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theme/themeOverride3.xml" ContentType="application/vnd.openxmlformats-officedocument.themeOverride+xml"/>
  <Override PartName="/word/charts/chart7.xml" ContentType="application/vnd.openxmlformats-officedocument.drawingml.chart+xml"/>
  <Override PartName="/word/theme/themeOverride4.xml" ContentType="application/vnd.openxmlformats-officedocument.themeOverride+xml"/>
  <Override PartName="/word/charts/chart8.xml" ContentType="application/vnd.openxmlformats-officedocument.drawingml.chart+xml"/>
  <Override PartName="/word/theme/themeOverride5.xml" ContentType="application/vnd.openxmlformats-officedocument.themeOverride+xml"/>
  <Override PartName="/word/charts/chart9.xml" ContentType="application/vnd.openxmlformats-officedocument.drawingml.chart+xml"/>
  <Override PartName="/word/theme/themeOverride6.xml" ContentType="application/vnd.openxmlformats-officedocument.themeOverride+xml"/>
  <Override PartName="/word/charts/chart10.xml" ContentType="application/vnd.openxmlformats-officedocument.drawingml.chart+xml"/>
  <Override PartName="/word/theme/themeOverride7.xml" ContentType="application/vnd.openxmlformats-officedocument.themeOverride+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alt="3ECDA04C-0C40-4269-9740-E4E665A92253" style="width:450.75pt;height:321pt">
            <v:imagedata r:id="rId9" o:title=""/>
          </v:shape>
        </w:pict>
      </w:r>
    </w:p>
    <w:bookmarkEnd w:id="0"/>
    <w:p>
      <w:pPr>
        <w:rPr>
          <w:rFonts w:ascii="Times New Roman" w:hAnsi="Times New Roman" w:cs="Times New Roman"/>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bookmarkStart w:id="1" w:name="_GoBack" w:displacedByCustomXml="next"/>
    <w:bookmarkEnd w:id="1" w:displacedByCustomXml="next"/>
    <w:sdt>
      <w:sdtPr>
        <w:rPr>
          <w:b w:val="0"/>
          <w:noProof/>
          <w:sz w:val="24"/>
        </w:rPr>
        <w:id w:val="1949033669"/>
        <w:docPartObj>
          <w:docPartGallery w:val="Table of Contents"/>
          <w:docPartUnique/>
        </w:docPartObj>
      </w:sdtPr>
      <w:sdtEndPr>
        <w:rPr>
          <w:bCs/>
        </w:rPr>
      </w:sdtEndPr>
      <w:sdtContent>
        <w:p>
          <w:pPr>
            <w:pStyle w:val="TOCHeading"/>
            <w:rPr>
              <w:noProof/>
            </w:rPr>
          </w:pPr>
          <w:r>
            <w:rPr>
              <w:noProof/>
            </w:rPr>
            <w:t>Съдържание</w:t>
          </w:r>
        </w:p>
        <w:p>
          <w:pPr>
            <w:pStyle w:val="TOC1"/>
            <w:rPr>
              <w:rFonts w:asciiTheme="minorHAnsi" w:eastAsiaTheme="minorEastAsia" w:hAnsiTheme="minorHAnsi" w:cstheme="minorBidi"/>
              <w:noProof/>
              <w:sz w:val="22"/>
              <w:szCs w:val="22"/>
              <w:lang w:val="en-GB" w:eastAsia="en-GB" w:bidi="ar-SA"/>
            </w:rPr>
          </w:pPr>
          <w:r>
            <w:rPr>
              <w:noProof/>
            </w:rPr>
            <w:fldChar w:fldCharType="begin"/>
          </w:r>
          <w:r>
            <w:rPr>
              <w:noProof/>
            </w:rPr>
            <w:instrText xml:space="preserve"> TOC \o "1-3" \h \z \u </w:instrText>
          </w:r>
          <w:r>
            <w:rPr>
              <w:noProof/>
            </w:rPr>
            <w:fldChar w:fldCharType="separate"/>
          </w:r>
          <w:hyperlink w:anchor="_Toc500948757" w:history="1">
            <w:r>
              <w:rPr>
                <w:rStyle w:val="Hyperlink"/>
                <w:noProof/>
              </w:rPr>
              <w:t>1.</w:t>
            </w:r>
            <w:r>
              <w:rPr>
                <w:rFonts w:asciiTheme="minorHAnsi" w:eastAsiaTheme="minorEastAsia" w:hAnsiTheme="minorHAnsi" w:cstheme="minorBidi"/>
                <w:noProof/>
                <w:sz w:val="22"/>
                <w:szCs w:val="22"/>
                <w:lang w:val="en-GB" w:eastAsia="en-GB" w:bidi="ar-SA"/>
              </w:rPr>
              <w:tab/>
            </w:r>
            <w:r>
              <w:rPr>
                <w:rStyle w:val="Hyperlink"/>
                <w:noProof/>
              </w:rPr>
              <w:t>Въведение</w:t>
            </w:r>
            <w:r>
              <w:rPr>
                <w:noProof/>
                <w:webHidden/>
              </w:rPr>
              <w:tab/>
            </w:r>
            <w:r>
              <w:rPr>
                <w:noProof/>
                <w:webHidden/>
              </w:rPr>
              <w:fldChar w:fldCharType="begin"/>
            </w:r>
            <w:r>
              <w:rPr>
                <w:noProof/>
                <w:webHidden/>
              </w:rPr>
              <w:instrText xml:space="preserve"> PAGEREF _Toc500948757 \h </w:instrText>
            </w:r>
            <w:r>
              <w:rPr>
                <w:noProof/>
                <w:webHidden/>
              </w:rPr>
            </w:r>
            <w:r>
              <w:rPr>
                <w:noProof/>
                <w:webHidden/>
              </w:rPr>
              <w:fldChar w:fldCharType="separate"/>
            </w:r>
            <w:r>
              <w:rPr>
                <w:noProof/>
                <w:webHidden/>
              </w:rPr>
              <w:t>4</w:t>
            </w:r>
            <w:r>
              <w:rPr>
                <w:noProof/>
                <w:webHidden/>
              </w:rPr>
              <w:fldChar w:fldCharType="end"/>
            </w:r>
          </w:hyperlink>
        </w:p>
        <w:p>
          <w:pPr>
            <w:pStyle w:val="TOC1"/>
            <w:rPr>
              <w:rFonts w:asciiTheme="minorHAnsi" w:eastAsiaTheme="minorEastAsia" w:hAnsiTheme="minorHAnsi" w:cstheme="minorBidi"/>
              <w:noProof/>
              <w:sz w:val="22"/>
              <w:szCs w:val="22"/>
              <w:lang w:val="en-GB" w:eastAsia="en-GB" w:bidi="ar-SA"/>
            </w:rPr>
          </w:pPr>
          <w:hyperlink w:anchor="_Toc500948758" w:history="1">
            <w:r>
              <w:rPr>
                <w:rStyle w:val="Hyperlink"/>
                <w:noProof/>
              </w:rPr>
              <w:t>2.</w:t>
            </w:r>
            <w:r>
              <w:rPr>
                <w:rFonts w:asciiTheme="minorHAnsi" w:eastAsiaTheme="minorEastAsia" w:hAnsiTheme="minorHAnsi" w:cstheme="minorBidi"/>
                <w:noProof/>
                <w:sz w:val="22"/>
                <w:szCs w:val="22"/>
                <w:lang w:val="en-GB" w:eastAsia="en-GB" w:bidi="ar-SA"/>
              </w:rPr>
              <w:tab/>
            </w:r>
            <w:r>
              <w:rPr>
                <w:rStyle w:val="Hyperlink"/>
                <w:noProof/>
              </w:rPr>
              <w:t>Значението на ДДС като приход на ЕС</w:t>
            </w:r>
            <w:r>
              <w:rPr>
                <w:noProof/>
                <w:webHidden/>
              </w:rPr>
              <w:tab/>
            </w:r>
            <w:r>
              <w:rPr>
                <w:noProof/>
                <w:webHidden/>
              </w:rPr>
              <w:fldChar w:fldCharType="begin"/>
            </w:r>
            <w:r>
              <w:rPr>
                <w:noProof/>
                <w:webHidden/>
              </w:rPr>
              <w:instrText xml:space="preserve"> PAGEREF _Toc500948758 \h </w:instrText>
            </w:r>
            <w:r>
              <w:rPr>
                <w:noProof/>
                <w:webHidden/>
              </w:rPr>
            </w:r>
            <w:r>
              <w:rPr>
                <w:noProof/>
                <w:webHidden/>
              </w:rPr>
              <w:fldChar w:fldCharType="separate"/>
            </w:r>
            <w:r>
              <w:rPr>
                <w:noProof/>
                <w:webHidden/>
              </w:rPr>
              <w:t>4</w:t>
            </w:r>
            <w:r>
              <w:rPr>
                <w:noProof/>
                <w:webHidden/>
              </w:rPr>
              <w:fldChar w:fldCharType="end"/>
            </w:r>
          </w:hyperlink>
        </w:p>
        <w:p>
          <w:pPr>
            <w:pStyle w:val="TOC1"/>
            <w:rPr>
              <w:rFonts w:asciiTheme="minorHAnsi" w:eastAsiaTheme="minorEastAsia" w:hAnsiTheme="minorHAnsi" w:cstheme="minorBidi"/>
              <w:noProof/>
              <w:sz w:val="22"/>
              <w:szCs w:val="22"/>
              <w:lang w:val="en-GB" w:eastAsia="en-GB" w:bidi="ar-SA"/>
            </w:rPr>
          </w:pPr>
          <w:hyperlink w:anchor="_Toc500948759" w:history="1">
            <w:r>
              <w:rPr>
                <w:rStyle w:val="Hyperlink"/>
                <w:noProof/>
              </w:rPr>
              <w:t>3.</w:t>
            </w:r>
            <w:r>
              <w:rPr>
                <w:rFonts w:asciiTheme="minorHAnsi" w:eastAsiaTheme="minorEastAsia" w:hAnsiTheme="minorHAnsi" w:cstheme="minorBidi"/>
                <w:noProof/>
                <w:sz w:val="22"/>
                <w:szCs w:val="22"/>
                <w:lang w:val="en-GB" w:eastAsia="en-GB" w:bidi="ar-SA"/>
              </w:rPr>
              <w:tab/>
            </w:r>
            <w:r>
              <w:rPr>
                <w:rStyle w:val="Hyperlink"/>
                <w:noProof/>
              </w:rPr>
              <w:t>Основни констатации</w:t>
            </w:r>
            <w:r>
              <w:rPr>
                <w:noProof/>
                <w:webHidden/>
              </w:rPr>
              <w:tab/>
            </w:r>
            <w:r>
              <w:rPr>
                <w:noProof/>
                <w:webHidden/>
              </w:rPr>
              <w:fldChar w:fldCharType="begin"/>
            </w:r>
            <w:r>
              <w:rPr>
                <w:noProof/>
                <w:webHidden/>
              </w:rPr>
              <w:instrText xml:space="preserve"> PAGEREF _Toc500948759 \h </w:instrText>
            </w:r>
            <w:r>
              <w:rPr>
                <w:noProof/>
                <w:webHidden/>
              </w:rPr>
            </w:r>
            <w:r>
              <w:rPr>
                <w:noProof/>
                <w:webHidden/>
              </w:rPr>
              <w:fldChar w:fldCharType="separate"/>
            </w:r>
            <w:r>
              <w:rPr>
                <w:noProof/>
                <w:webHidden/>
              </w:rPr>
              <w:t>5</w:t>
            </w:r>
            <w:r>
              <w:rPr>
                <w:noProof/>
                <w:webHidden/>
              </w:rPr>
              <w:fldChar w:fldCharType="end"/>
            </w:r>
          </w:hyperlink>
        </w:p>
        <w:p>
          <w:pPr>
            <w:pStyle w:val="TOC2"/>
            <w:rPr>
              <w:rFonts w:asciiTheme="minorHAnsi" w:eastAsiaTheme="minorEastAsia" w:hAnsiTheme="minorHAnsi" w:cstheme="minorBidi"/>
              <w:noProof/>
              <w:sz w:val="22"/>
              <w:szCs w:val="22"/>
              <w:lang w:val="en-GB" w:eastAsia="en-GB" w:bidi="ar-SA"/>
            </w:rPr>
          </w:pPr>
          <w:hyperlink w:anchor="_Toc500948760" w:history="1">
            <w:r>
              <w:rPr>
                <w:rStyle w:val="Hyperlink"/>
                <w:noProof/>
              </w:rPr>
              <w:t>3.1.</w:t>
            </w:r>
            <w:r>
              <w:rPr>
                <w:rFonts w:asciiTheme="minorHAnsi" w:eastAsiaTheme="minorEastAsia" w:hAnsiTheme="minorHAnsi" w:cstheme="minorBidi"/>
                <w:noProof/>
                <w:sz w:val="22"/>
                <w:szCs w:val="22"/>
                <w:lang w:val="en-GB" w:eastAsia="en-GB" w:bidi="ar-SA"/>
              </w:rPr>
              <w:tab/>
            </w:r>
            <w:r>
              <w:rPr>
                <w:rStyle w:val="Hyperlink"/>
                <w:noProof/>
              </w:rPr>
              <w:t>Общи бележки</w:t>
            </w:r>
            <w:r>
              <w:rPr>
                <w:noProof/>
                <w:webHidden/>
              </w:rPr>
              <w:tab/>
            </w:r>
            <w:r>
              <w:rPr>
                <w:noProof/>
                <w:webHidden/>
              </w:rPr>
              <w:fldChar w:fldCharType="begin"/>
            </w:r>
            <w:r>
              <w:rPr>
                <w:noProof/>
                <w:webHidden/>
              </w:rPr>
              <w:instrText xml:space="preserve"> PAGEREF _Toc500948760 \h </w:instrText>
            </w:r>
            <w:r>
              <w:rPr>
                <w:noProof/>
                <w:webHidden/>
              </w:rPr>
            </w:r>
            <w:r>
              <w:rPr>
                <w:noProof/>
                <w:webHidden/>
              </w:rPr>
              <w:fldChar w:fldCharType="separate"/>
            </w:r>
            <w:r>
              <w:rPr>
                <w:noProof/>
                <w:webHidden/>
              </w:rPr>
              <w:t>5</w:t>
            </w:r>
            <w:r>
              <w:rPr>
                <w:noProof/>
                <w:webHidden/>
              </w:rPr>
              <w:fldChar w:fldCharType="end"/>
            </w:r>
          </w:hyperlink>
        </w:p>
        <w:p>
          <w:pPr>
            <w:pStyle w:val="TOC3"/>
            <w:rPr>
              <w:rFonts w:asciiTheme="minorHAnsi" w:eastAsiaTheme="minorEastAsia" w:hAnsiTheme="minorHAnsi" w:cstheme="minorBidi"/>
              <w:noProof/>
              <w:sz w:val="22"/>
              <w:szCs w:val="22"/>
              <w:lang w:val="en-GB" w:eastAsia="en-GB" w:bidi="ar-SA"/>
            </w:rPr>
          </w:pPr>
          <w:hyperlink w:anchor="_Toc500948761" w:history="1">
            <w:r>
              <w:rPr>
                <w:rStyle w:val="Hyperlink"/>
                <w:noProof/>
              </w:rPr>
              <w:t>3.1.1.</w:t>
            </w:r>
            <w:r>
              <w:rPr>
                <w:rFonts w:asciiTheme="minorHAnsi" w:eastAsiaTheme="minorEastAsia" w:hAnsiTheme="minorHAnsi" w:cstheme="minorBidi"/>
                <w:noProof/>
                <w:sz w:val="22"/>
                <w:szCs w:val="22"/>
                <w:lang w:val="en-GB" w:eastAsia="en-GB" w:bidi="ar-SA"/>
              </w:rPr>
              <w:tab/>
            </w:r>
            <w:r>
              <w:rPr>
                <w:rStyle w:val="Hyperlink"/>
                <w:noProof/>
              </w:rPr>
              <w:t>Организация на данъчната администрация</w:t>
            </w:r>
            <w:r>
              <w:rPr>
                <w:noProof/>
                <w:webHidden/>
              </w:rPr>
              <w:tab/>
            </w:r>
            <w:r>
              <w:rPr>
                <w:noProof/>
                <w:webHidden/>
              </w:rPr>
              <w:fldChar w:fldCharType="begin"/>
            </w:r>
            <w:r>
              <w:rPr>
                <w:noProof/>
                <w:webHidden/>
              </w:rPr>
              <w:instrText xml:space="preserve"> PAGEREF _Toc500948761 \h </w:instrText>
            </w:r>
            <w:r>
              <w:rPr>
                <w:noProof/>
                <w:webHidden/>
              </w:rPr>
            </w:r>
            <w:r>
              <w:rPr>
                <w:noProof/>
                <w:webHidden/>
              </w:rPr>
              <w:fldChar w:fldCharType="separate"/>
            </w:r>
            <w:r>
              <w:rPr>
                <w:noProof/>
                <w:webHidden/>
              </w:rPr>
              <w:t>5</w:t>
            </w:r>
            <w:r>
              <w:rPr>
                <w:noProof/>
                <w:webHidden/>
              </w:rPr>
              <w:fldChar w:fldCharType="end"/>
            </w:r>
          </w:hyperlink>
        </w:p>
        <w:p>
          <w:pPr>
            <w:pStyle w:val="TOC3"/>
            <w:rPr>
              <w:rFonts w:asciiTheme="minorHAnsi" w:eastAsiaTheme="minorEastAsia" w:hAnsiTheme="minorHAnsi" w:cstheme="minorBidi"/>
              <w:noProof/>
              <w:sz w:val="22"/>
              <w:szCs w:val="22"/>
              <w:lang w:val="en-GB" w:eastAsia="en-GB" w:bidi="ar-SA"/>
            </w:rPr>
          </w:pPr>
          <w:hyperlink w:anchor="_Toc500948762" w:history="1">
            <w:r>
              <w:rPr>
                <w:rStyle w:val="Hyperlink"/>
                <w:noProof/>
              </w:rPr>
              <w:t>3.1.2.</w:t>
            </w:r>
            <w:r>
              <w:rPr>
                <w:rFonts w:asciiTheme="minorHAnsi" w:eastAsiaTheme="minorEastAsia" w:hAnsiTheme="minorHAnsi" w:cstheme="minorBidi"/>
                <w:noProof/>
                <w:sz w:val="22"/>
                <w:szCs w:val="22"/>
                <w:lang w:val="en-GB" w:eastAsia="en-GB" w:bidi="ar-SA"/>
              </w:rPr>
              <w:tab/>
            </w:r>
            <w:r>
              <w:rPr>
                <w:rStyle w:val="Hyperlink"/>
                <w:noProof/>
              </w:rPr>
              <w:t>Цифровизация и информационни технологии</w:t>
            </w:r>
            <w:r>
              <w:rPr>
                <w:noProof/>
                <w:webHidden/>
              </w:rPr>
              <w:tab/>
            </w:r>
            <w:r>
              <w:rPr>
                <w:noProof/>
                <w:webHidden/>
              </w:rPr>
              <w:fldChar w:fldCharType="begin"/>
            </w:r>
            <w:r>
              <w:rPr>
                <w:noProof/>
                <w:webHidden/>
              </w:rPr>
              <w:instrText xml:space="preserve"> PAGEREF _Toc500948762 \h </w:instrText>
            </w:r>
            <w:r>
              <w:rPr>
                <w:noProof/>
                <w:webHidden/>
              </w:rPr>
            </w:r>
            <w:r>
              <w:rPr>
                <w:noProof/>
                <w:webHidden/>
              </w:rPr>
              <w:fldChar w:fldCharType="separate"/>
            </w:r>
            <w:r>
              <w:rPr>
                <w:noProof/>
                <w:webHidden/>
              </w:rPr>
              <w:t>7</w:t>
            </w:r>
            <w:r>
              <w:rPr>
                <w:noProof/>
                <w:webHidden/>
              </w:rPr>
              <w:fldChar w:fldCharType="end"/>
            </w:r>
          </w:hyperlink>
        </w:p>
        <w:p>
          <w:pPr>
            <w:pStyle w:val="TOC3"/>
            <w:rPr>
              <w:rFonts w:asciiTheme="minorHAnsi" w:eastAsiaTheme="minorEastAsia" w:hAnsiTheme="minorHAnsi" w:cstheme="minorBidi"/>
              <w:noProof/>
              <w:sz w:val="22"/>
              <w:szCs w:val="22"/>
              <w:lang w:val="en-GB" w:eastAsia="en-GB" w:bidi="ar-SA"/>
            </w:rPr>
          </w:pPr>
          <w:hyperlink w:anchor="_Toc500948763" w:history="1">
            <w:r>
              <w:rPr>
                <w:rStyle w:val="Hyperlink"/>
                <w:noProof/>
              </w:rPr>
              <w:t>3.1.3.</w:t>
            </w:r>
            <w:r>
              <w:rPr>
                <w:rFonts w:asciiTheme="minorHAnsi" w:eastAsiaTheme="minorEastAsia" w:hAnsiTheme="minorHAnsi" w:cstheme="minorBidi"/>
                <w:noProof/>
                <w:sz w:val="22"/>
                <w:szCs w:val="22"/>
                <w:lang w:val="en-GB" w:eastAsia="en-GB" w:bidi="ar-SA"/>
              </w:rPr>
              <w:tab/>
            </w:r>
            <w:r>
              <w:rPr>
                <w:rStyle w:val="Hyperlink"/>
                <w:noProof/>
              </w:rPr>
              <w:t>Анализ на неизпълнението на потенциалните приходи от ДДС</w:t>
            </w:r>
            <w:r>
              <w:rPr>
                <w:noProof/>
                <w:webHidden/>
              </w:rPr>
              <w:tab/>
            </w:r>
            <w:r>
              <w:rPr>
                <w:noProof/>
                <w:webHidden/>
              </w:rPr>
              <w:fldChar w:fldCharType="begin"/>
            </w:r>
            <w:r>
              <w:rPr>
                <w:noProof/>
                <w:webHidden/>
              </w:rPr>
              <w:instrText xml:space="preserve"> PAGEREF _Toc500948763 \h </w:instrText>
            </w:r>
            <w:r>
              <w:rPr>
                <w:noProof/>
                <w:webHidden/>
              </w:rPr>
            </w:r>
            <w:r>
              <w:rPr>
                <w:noProof/>
                <w:webHidden/>
              </w:rPr>
              <w:fldChar w:fldCharType="separate"/>
            </w:r>
            <w:r>
              <w:rPr>
                <w:noProof/>
                <w:webHidden/>
              </w:rPr>
              <w:t>8</w:t>
            </w:r>
            <w:r>
              <w:rPr>
                <w:noProof/>
                <w:webHidden/>
              </w:rPr>
              <w:fldChar w:fldCharType="end"/>
            </w:r>
          </w:hyperlink>
        </w:p>
        <w:p>
          <w:pPr>
            <w:pStyle w:val="TOC2"/>
            <w:rPr>
              <w:rFonts w:asciiTheme="minorHAnsi" w:eastAsiaTheme="minorEastAsia" w:hAnsiTheme="minorHAnsi" w:cstheme="minorBidi"/>
              <w:noProof/>
              <w:sz w:val="22"/>
              <w:szCs w:val="22"/>
              <w:lang w:val="en-GB" w:eastAsia="en-GB" w:bidi="ar-SA"/>
            </w:rPr>
          </w:pPr>
          <w:hyperlink w:anchor="_Toc500948764" w:history="1">
            <w:r>
              <w:rPr>
                <w:rStyle w:val="Hyperlink"/>
                <w:noProof/>
              </w:rPr>
              <w:t>3.2.</w:t>
            </w:r>
            <w:r>
              <w:rPr>
                <w:rFonts w:asciiTheme="minorHAnsi" w:eastAsiaTheme="minorEastAsia" w:hAnsiTheme="minorHAnsi" w:cstheme="minorBidi"/>
                <w:noProof/>
                <w:sz w:val="22"/>
                <w:szCs w:val="22"/>
                <w:lang w:val="en-GB" w:eastAsia="en-GB" w:bidi="ar-SA"/>
              </w:rPr>
              <w:tab/>
            </w:r>
            <w:r>
              <w:rPr>
                <w:rStyle w:val="Hyperlink"/>
                <w:noProof/>
              </w:rPr>
              <w:t>Регистрация и дерегистрация за целите на ДДС</w:t>
            </w:r>
            <w:r>
              <w:rPr>
                <w:noProof/>
                <w:webHidden/>
              </w:rPr>
              <w:tab/>
            </w:r>
            <w:r>
              <w:rPr>
                <w:noProof/>
                <w:webHidden/>
              </w:rPr>
              <w:fldChar w:fldCharType="begin"/>
            </w:r>
            <w:r>
              <w:rPr>
                <w:noProof/>
                <w:webHidden/>
              </w:rPr>
              <w:instrText xml:space="preserve"> PAGEREF _Toc500948764 \h </w:instrText>
            </w:r>
            <w:r>
              <w:rPr>
                <w:noProof/>
                <w:webHidden/>
              </w:rPr>
            </w:r>
            <w:r>
              <w:rPr>
                <w:noProof/>
                <w:webHidden/>
              </w:rPr>
              <w:fldChar w:fldCharType="separate"/>
            </w:r>
            <w:r>
              <w:rPr>
                <w:noProof/>
                <w:webHidden/>
              </w:rPr>
              <w:t>9</w:t>
            </w:r>
            <w:r>
              <w:rPr>
                <w:noProof/>
                <w:webHidden/>
              </w:rPr>
              <w:fldChar w:fldCharType="end"/>
            </w:r>
          </w:hyperlink>
        </w:p>
        <w:p>
          <w:pPr>
            <w:pStyle w:val="TOC3"/>
            <w:rPr>
              <w:rFonts w:asciiTheme="minorHAnsi" w:eastAsiaTheme="minorEastAsia" w:hAnsiTheme="minorHAnsi" w:cstheme="minorBidi"/>
              <w:noProof/>
              <w:sz w:val="22"/>
              <w:szCs w:val="22"/>
              <w:lang w:val="en-GB" w:eastAsia="en-GB" w:bidi="ar-SA"/>
            </w:rPr>
          </w:pPr>
          <w:hyperlink w:anchor="_Toc500948765" w:history="1">
            <w:r>
              <w:rPr>
                <w:rStyle w:val="Hyperlink"/>
                <w:noProof/>
              </w:rPr>
              <w:t>3.2.1.</w:t>
            </w:r>
            <w:r>
              <w:rPr>
                <w:rFonts w:asciiTheme="minorHAnsi" w:eastAsiaTheme="minorEastAsia" w:hAnsiTheme="minorHAnsi" w:cstheme="minorBidi"/>
                <w:noProof/>
                <w:sz w:val="22"/>
                <w:szCs w:val="22"/>
                <w:lang w:val="en-GB" w:eastAsia="en-GB" w:bidi="ar-SA"/>
              </w:rPr>
              <w:tab/>
            </w:r>
            <w:r>
              <w:rPr>
                <w:rStyle w:val="Hyperlink"/>
                <w:noProof/>
              </w:rPr>
              <w:t>Регистрация за целите на ДДС</w:t>
            </w:r>
            <w:r>
              <w:rPr>
                <w:noProof/>
                <w:webHidden/>
              </w:rPr>
              <w:tab/>
            </w:r>
            <w:r>
              <w:rPr>
                <w:noProof/>
                <w:webHidden/>
              </w:rPr>
              <w:fldChar w:fldCharType="begin"/>
            </w:r>
            <w:r>
              <w:rPr>
                <w:noProof/>
                <w:webHidden/>
              </w:rPr>
              <w:instrText xml:space="preserve"> PAGEREF _Toc500948765 \h </w:instrText>
            </w:r>
            <w:r>
              <w:rPr>
                <w:noProof/>
                <w:webHidden/>
              </w:rPr>
            </w:r>
            <w:r>
              <w:rPr>
                <w:noProof/>
                <w:webHidden/>
              </w:rPr>
              <w:fldChar w:fldCharType="separate"/>
            </w:r>
            <w:r>
              <w:rPr>
                <w:noProof/>
                <w:webHidden/>
              </w:rPr>
              <w:t>9</w:t>
            </w:r>
            <w:r>
              <w:rPr>
                <w:noProof/>
                <w:webHidden/>
              </w:rPr>
              <w:fldChar w:fldCharType="end"/>
            </w:r>
          </w:hyperlink>
        </w:p>
        <w:p>
          <w:pPr>
            <w:pStyle w:val="TOC3"/>
            <w:rPr>
              <w:rFonts w:asciiTheme="minorHAnsi" w:eastAsiaTheme="minorEastAsia" w:hAnsiTheme="minorHAnsi" w:cstheme="minorBidi"/>
              <w:noProof/>
              <w:sz w:val="22"/>
              <w:szCs w:val="22"/>
              <w:lang w:val="en-GB" w:eastAsia="en-GB" w:bidi="ar-SA"/>
            </w:rPr>
          </w:pPr>
          <w:hyperlink w:anchor="_Toc500948766" w:history="1">
            <w:r>
              <w:rPr>
                <w:rStyle w:val="Hyperlink"/>
                <w:noProof/>
              </w:rPr>
              <w:t>3.2.2.</w:t>
            </w:r>
            <w:r>
              <w:rPr>
                <w:rFonts w:asciiTheme="minorHAnsi" w:eastAsiaTheme="minorEastAsia" w:hAnsiTheme="minorHAnsi" w:cstheme="minorBidi"/>
                <w:noProof/>
                <w:sz w:val="22"/>
                <w:szCs w:val="22"/>
                <w:lang w:val="en-GB" w:eastAsia="en-GB" w:bidi="ar-SA"/>
              </w:rPr>
              <w:tab/>
            </w:r>
            <w:r>
              <w:rPr>
                <w:rStyle w:val="Hyperlink"/>
                <w:noProof/>
              </w:rPr>
              <w:t>Дерегистрация за целите на ДДС</w:t>
            </w:r>
            <w:r>
              <w:rPr>
                <w:noProof/>
                <w:webHidden/>
              </w:rPr>
              <w:tab/>
            </w:r>
            <w:r>
              <w:rPr>
                <w:noProof/>
                <w:webHidden/>
              </w:rPr>
              <w:fldChar w:fldCharType="begin"/>
            </w:r>
            <w:r>
              <w:rPr>
                <w:noProof/>
                <w:webHidden/>
              </w:rPr>
              <w:instrText xml:space="preserve"> PAGEREF _Toc500948766 \h </w:instrText>
            </w:r>
            <w:r>
              <w:rPr>
                <w:noProof/>
                <w:webHidden/>
              </w:rPr>
            </w:r>
            <w:r>
              <w:rPr>
                <w:noProof/>
                <w:webHidden/>
              </w:rPr>
              <w:fldChar w:fldCharType="separate"/>
            </w:r>
            <w:r>
              <w:rPr>
                <w:noProof/>
                <w:webHidden/>
              </w:rPr>
              <w:t>12</w:t>
            </w:r>
            <w:r>
              <w:rPr>
                <w:noProof/>
                <w:webHidden/>
              </w:rPr>
              <w:fldChar w:fldCharType="end"/>
            </w:r>
          </w:hyperlink>
        </w:p>
        <w:p>
          <w:pPr>
            <w:pStyle w:val="TOC3"/>
            <w:rPr>
              <w:rFonts w:asciiTheme="minorHAnsi" w:eastAsiaTheme="minorEastAsia" w:hAnsiTheme="minorHAnsi" w:cstheme="minorBidi"/>
              <w:noProof/>
              <w:sz w:val="22"/>
              <w:szCs w:val="22"/>
              <w:lang w:val="en-GB" w:eastAsia="en-GB" w:bidi="ar-SA"/>
            </w:rPr>
          </w:pPr>
          <w:hyperlink w:anchor="_Toc500948767" w:history="1">
            <w:r>
              <w:rPr>
                <w:rStyle w:val="Hyperlink"/>
                <w:noProof/>
              </w:rPr>
              <w:t>3.2.3.</w:t>
            </w:r>
            <w:r>
              <w:rPr>
                <w:rFonts w:asciiTheme="minorHAnsi" w:eastAsiaTheme="minorEastAsia" w:hAnsiTheme="minorHAnsi" w:cstheme="minorBidi"/>
                <w:noProof/>
                <w:sz w:val="22"/>
                <w:szCs w:val="22"/>
                <w:lang w:val="en-GB" w:eastAsia="en-GB" w:bidi="ar-SA"/>
              </w:rPr>
              <w:tab/>
            </w:r>
            <w:r>
              <w:rPr>
                <w:rStyle w:val="Hyperlink"/>
                <w:noProof/>
              </w:rPr>
              <w:t>Регистрация и дерегистрация във VІЕS</w:t>
            </w:r>
            <w:r>
              <w:rPr>
                <w:noProof/>
                <w:webHidden/>
              </w:rPr>
              <w:tab/>
            </w:r>
            <w:r>
              <w:rPr>
                <w:noProof/>
                <w:webHidden/>
              </w:rPr>
              <w:fldChar w:fldCharType="begin"/>
            </w:r>
            <w:r>
              <w:rPr>
                <w:noProof/>
                <w:webHidden/>
              </w:rPr>
              <w:instrText xml:space="preserve"> PAGEREF _Toc500948767 \h </w:instrText>
            </w:r>
            <w:r>
              <w:rPr>
                <w:noProof/>
                <w:webHidden/>
              </w:rPr>
            </w:r>
            <w:r>
              <w:rPr>
                <w:noProof/>
                <w:webHidden/>
              </w:rPr>
              <w:fldChar w:fldCharType="separate"/>
            </w:r>
            <w:r>
              <w:rPr>
                <w:noProof/>
                <w:webHidden/>
              </w:rPr>
              <w:t>12</w:t>
            </w:r>
            <w:r>
              <w:rPr>
                <w:noProof/>
                <w:webHidden/>
              </w:rPr>
              <w:fldChar w:fldCharType="end"/>
            </w:r>
          </w:hyperlink>
        </w:p>
        <w:p>
          <w:pPr>
            <w:pStyle w:val="TOC2"/>
            <w:rPr>
              <w:rFonts w:asciiTheme="minorHAnsi" w:eastAsiaTheme="minorEastAsia" w:hAnsiTheme="minorHAnsi" w:cstheme="minorBidi"/>
              <w:noProof/>
              <w:sz w:val="22"/>
              <w:szCs w:val="22"/>
              <w:lang w:val="en-GB" w:eastAsia="en-GB" w:bidi="ar-SA"/>
            </w:rPr>
          </w:pPr>
          <w:hyperlink w:anchor="_Toc500948768" w:history="1">
            <w:r>
              <w:rPr>
                <w:rStyle w:val="Hyperlink"/>
                <w:noProof/>
              </w:rPr>
              <w:t>3.3.</w:t>
            </w:r>
            <w:r>
              <w:rPr>
                <w:rFonts w:asciiTheme="minorHAnsi" w:eastAsiaTheme="minorEastAsia" w:hAnsiTheme="minorHAnsi" w:cstheme="minorBidi"/>
                <w:noProof/>
                <w:sz w:val="22"/>
                <w:szCs w:val="22"/>
                <w:lang w:val="en-GB" w:eastAsia="en-GB" w:bidi="ar-SA"/>
              </w:rPr>
              <w:tab/>
            </w:r>
            <w:r>
              <w:rPr>
                <w:rStyle w:val="Hyperlink"/>
                <w:noProof/>
              </w:rPr>
              <w:t>Подаване на справки-декларации за ДДС и плащане на данъка</w:t>
            </w:r>
            <w:r>
              <w:rPr>
                <w:noProof/>
                <w:webHidden/>
              </w:rPr>
              <w:tab/>
            </w:r>
            <w:r>
              <w:rPr>
                <w:noProof/>
                <w:webHidden/>
              </w:rPr>
              <w:fldChar w:fldCharType="begin"/>
            </w:r>
            <w:r>
              <w:rPr>
                <w:noProof/>
                <w:webHidden/>
              </w:rPr>
              <w:instrText xml:space="preserve"> PAGEREF _Toc500948768 \h </w:instrText>
            </w:r>
            <w:r>
              <w:rPr>
                <w:noProof/>
                <w:webHidden/>
              </w:rPr>
            </w:r>
            <w:r>
              <w:rPr>
                <w:noProof/>
                <w:webHidden/>
              </w:rPr>
              <w:fldChar w:fldCharType="separate"/>
            </w:r>
            <w:r>
              <w:rPr>
                <w:noProof/>
                <w:webHidden/>
              </w:rPr>
              <w:t>13</w:t>
            </w:r>
            <w:r>
              <w:rPr>
                <w:noProof/>
                <w:webHidden/>
              </w:rPr>
              <w:fldChar w:fldCharType="end"/>
            </w:r>
          </w:hyperlink>
        </w:p>
        <w:p>
          <w:pPr>
            <w:pStyle w:val="TOC3"/>
            <w:rPr>
              <w:rFonts w:asciiTheme="minorHAnsi" w:eastAsiaTheme="minorEastAsia" w:hAnsiTheme="minorHAnsi" w:cstheme="minorBidi"/>
              <w:noProof/>
              <w:sz w:val="22"/>
              <w:szCs w:val="22"/>
              <w:lang w:val="en-GB" w:eastAsia="en-GB" w:bidi="ar-SA"/>
            </w:rPr>
          </w:pPr>
          <w:hyperlink w:anchor="_Toc500948769" w:history="1">
            <w:r>
              <w:rPr>
                <w:rStyle w:val="Hyperlink"/>
                <w:noProof/>
              </w:rPr>
              <w:t>3.3.1.</w:t>
            </w:r>
            <w:r>
              <w:rPr>
                <w:rFonts w:asciiTheme="minorHAnsi" w:eastAsiaTheme="minorEastAsia" w:hAnsiTheme="minorHAnsi" w:cstheme="minorBidi"/>
                <w:noProof/>
                <w:sz w:val="22"/>
                <w:szCs w:val="22"/>
                <w:lang w:val="en-GB" w:eastAsia="en-GB" w:bidi="ar-SA"/>
              </w:rPr>
              <w:tab/>
            </w:r>
            <w:r>
              <w:rPr>
                <w:rStyle w:val="Hyperlink"/>
                <w:noProof/>
              </w:rPr>
              <w:t>Подаване</w:t>
            </w:r>
            <w:r>
              <w:rPr>
                <w:noProof/>
                <w:webHidden/>
              </w:rPr>
              <w:tab/>
            </w:r>
            <w:r>
              <w:rPr>
                <w:noProof/>
                <w:webHidden/>
              </w:rPr>
              <w:fldChar w:fldCharType="begin"/>
            </w:r>
            <w:r>
              <w:rPr>
                <w:noProof/>
                <w:webHidden/>
              </w:rPr>
              <w:instrText xml:space="preserve"> PAGEREF _Toc500948769 \h </w:instrText>
            </w:r>
            <w:r>
              <w:rPr>
                <w:noProof/>
                <w:webHidden/>
              </w:rPr>
            </w:r>
            <w:r>
              <w:rPr>
                <w:noProof/>
                <w:webHidden/>
              </w:rPr>
              <w:fldChar w:fldCharType="separate"/>
            </w:r>
            <w:r>
              <w:rPr>
                <w:noProof/>
                <w:webHidden/>
              </w:rPr>
              <w:t>13</w:t>
            </w:r>
            <w:r>
              <w:rPr>
                <w:noProof/>
                <w:webHidden/>
              </w:rPr>
              <w:fldChar w:fldCharType="end"/>
            </w:r>
          </w:hyperlink>
        </w:p>
        <w:p>
          <w:pPr>
            <w:pStyle w:val="TOC3"/>
            <w:rPr>
              <w:rFonts w:asciiTheme="minorHAnsi" w:eastAsiaTheme="minorEastAsia" w:hAnsiTheme="minorHAnsi" w:cstheme="minorBidi"/>
              <w:noProof/>
              <w:sz w:val="22"/>
              <w:szCs w:val="22"/>
              <w:lang w:val="en-GB" w:eastAsia="en-GB" w:bidi="ar-SA"/>
            </w:rPr>
          </w:pPr>
          <w:hyperlink w:anchor="_Toc500948770" w:history="1">
            <w:r>
              <w:rPr>
                <w:rStyle w:val="Hyperlink"/>
                <w:noProof/>
              </w:rPr>
              <w:t>3.3.2.</w:t>
            </w:r>
            <w:r>
              <w:rPr>
                <w:rFonts w:asciiTheme="minorHAnsi" w:eastAsiaTheme="minorEastAsia" w:hAnsiTheme="minorHAnsi" w:cstheme="minorBidi"/>
                <w:noProof/>
                <w:sz w:val="22"/>
                <w:szCs w:val="22"/>
                <w:lang w:val="en-GB" w:eastAsia="en-GB" w:bidi="ar-SA"/>
              </w:rPr>
              <w:tab/>
            </w:r>
            <w:r>
              <w:rPr>
                <w:rStyle w:val="Hyperlink"/>
                <w:noProof/>
              </w:rPr>
              <w:t>Плащане</w:t>
            </w:r>
            <w:r>
              <w:rPr>
                <w:noProof/>
                <w:webHidden/>
              </w:rPr>
              <w:tab/>
            </w:r>
            <w:r>
              <w:rPr>
                <w:noProof/>
                <w:webHidden/>
              </w:rPr>
              <w:fldChar w:fldCharType="begin"/>
            </w:r>
            <w:r>
              <w:rPr>
                <w:noProof/>
                <w:webHidden/>
              </w:rPr>
              <w:instrText xml:space="preserve"> PAGEREF _Toc500948770 \h </w:instrText>
            </w:r>
            <w:r>
              <w:rPr>
                <w:noProof/>
                <w:webHidden/>
              </w:rPr>
            </w:r>
            <w:r>
              <w:rPr>
                <w:noProof/>
                <w:webHidden/>
              </w:rPr>
              <w:fldChar w:fldCharType="separate"/>
            </w:r>
            <w:r>
              <w:rPr>
                <w:noProof/>
                <w:webHidden/>
              </w:rPr>
              <w:t>14</w:t>
            </w:r>
            <w:r>
              <w:rPr>
                <w:noProof/>
                <w:webHidden/>
              </w:rPr>
              <w:fldChar w:fldCharType="end"/>
            </w:r>
          </w:hyperlink>
        </w:p>
        <w:p>
          <w:pPr>
            <w:pStyle w:val="TOC2"/>
            <w:rPr>
              <w:rFonts w:asciiTheme="minorHAnsi" w:eastAsiaTheme="minorEastAsia" w:hAnsiTheme="minorHAnsi" w:cstheme="minorBidi"/>
              <w:noProof/>
              <w:sz w:val="22"/>
              <w:szCs w:val="22"/>
              <w:lang w:val="en-GB" w:eastAsia="en-GB" w:bidi="ar-SA"/>
            </w:rPr>
          </w:pPr>
          <w:hyperlink w:anchor="_Toc500948771" w:history="1">
            <w:r>
              <w:rPr>
                <w:rStyle w:val="Hyperlink"/>
                <w:noProof/>
              </w:rPr>
              <w:t>3.4.</w:t>
            </w:r>
            <w:r>
              <w:rPr>
                <w:rFonts w:asciiTheme="minorHAnsi" w:eastAsiaTheme="minorEastAsia" w:hAnsiTheme="minorHAnsi" w:cstheme="minorBidi"/>
                <w:noProof/>
                <w:sz w:val="22"/>
                <w:szCs w:val="22"/>
                <w:lang w:val="en-GB" w:eastAsia="en-GB" w:bidi="ar-SA"/>
              </w:rPr>
              <w:tab/>
            </w:r>
            <w:r>
              <w:rPr>
                <w:rStyle w:val="Hyperlink"/>
                <w:noProof/>
              </w:rPr>
              <w:t>Събиране на дължимия ДДС</w:t>
            </w:r>
            <w:r>
              <w:rPr>
                <w:noProof/>
                <w:webHidden/>
              </w:rPr>
              <w:tab/>
            </w:r>
            <w:r>
              <w:rPr>
                <w:noProof/>
                <w:webHidden/>
              </w:rPr>
              <w:fldChar w:fldCharType="begin"/>
            </w:r>
            <w:r>
              <w:rPr>
                <w:noProof/>
                <w:webHidden/>
              </w:rPr>
              <w:instrText xml:space="preserve"> PAGEREF _Toc500948771 \h </w:instrText>
            </w:r>
            <w:r>
              <w:rPr>
                <w:noProof/>
                <w:webHidden/>
              </w:rPr>
            </w:r>
            <w:r>
              <w:rPr>
                <w:noProof/>
                <w:webHidden/>
              </w:rPr>
              <w:fldChar w:fldCharType="separate"/>
            </w:r>
            <w:r>
              <w:rPr>
                <w:noProof/>
                <w:webHidden/>
              </w:rPr>
              <w:t>15</w:t>
            </w:r>
            <w:r>
              <w:rPr>
                <w:noProof/>
                <w:webHidden/>
              </w:rPr>
              <w:fldChar w:fldCharType="end"/>
            </w:r>
          </w:hyperlink>
        </w:p>
        <w:p>
          <w:pPr>
            <w:pStyle w:val="TOC2"/>
            <w:rPr>
              <w:rFonts w:asciiTheme="minorHAnsi" w:eastAsiaTheme="minorEastAsia" w:hAnsiTheme="minorHAnsi" w:cstheme="minorBidi"/>
              <w:noProof/>
              <w:sz w:val="22"/>
              <w:szCs w:val="22"/>
              <w:lang w:val="en-GB" w:eastAsia="en-GB" w:bidi="ar-SA"/>
            </w:rPr>
          </w:pPr>
          <w:hyperlink w:anchor="_Toc500948772" w:history="1">
            <w:r>
              <w:rPr>
                <w:rStyle w:val="Hyperlink"/>
                <w:noProof/>
              </w:rPr>
              <w:t>3.5.</w:t>
            </w:r>
            <w:r>
              <w:rPr>
                <w:rFonts w:asciiTheme="minorHAnsi" w:eastAsiaTheme="minorEastAsia" w:hAnsiTheme="minorHAnsi" w:cstheme="minorBidi"/>
                <w:noProof/>
                <w:sz w:val="22"/>
                <w:szCs w:val="22"/>
                <w:lang w:val="en-GB" w:eastAsia="en-GB" w:bidi="ar-SA"/>
              </w:rPr>
              <w:tab/>
            </w:r>
            <w:r>
              <w:rPr>
                <w:rStyle w:val="Hyperlink"/>
                <w:noProof/>
              </w:rPr>
              <w:t>Възстановяване на ДДС</w:t>
            </w:r>
            <w:r>
              <w:rPr>
                <w:noProof/>
                <w:webHidden/>
              </w:rPr>
              <w:tab/>
            </w:r>
            <w:r>
              <w:rPr>
                <w:noProof/>
                <w:webHidden/>
              </w:rPr>
              <w:fldChar w:fldCharType="begin"/>
            </w:r>
            <w:r>
              <w:rPr>
                <w:noProof/>
                <w:webHidden/>
              </w:rPr>
              <w:instrText xml:space="preserve"> PAGEREF _Toc500948772 \h </w:instrText>
            </w:r>
            <w:r>
              <w:rPr>
                <w:noProof/>
                <w:webHidden/>
              </w:rPr>
            </w:r>
            <w:r>
              <w:rPr>
                <w:noProof/>
                <w:webHidden/>
              </w:rPr>
              <w:fldChar w:fldCharType="separate"/>
            </w:r>
            <w:r>
              <w:rPr>
                <w:noProof/>
                <w:webHidden/>
              </w:rPr>
              <w:t>17</w:t>
            </w:r>
            <w:r>
              <w:rPr>
                <w:noProof/>
                <w:webHidden/>
              </w:rPr>
              <w:fldChar w:fldCharType="end"/>
            </w:r>
          </w:hyperlink>
        </w:p>
        <w:p>
          <w:pPr>
            <w:pStyle w:val="TOC2"/>
            <w:rPr>
              <w:rFonts w:asciiTheme="minorHAnsi" w:eastAsiaTheme="minorEastAsia" w:hAnsiTheme="minorHAnsi" w:cstheme="minorBidi"/>
              <w:noProof/>
              <w:sz w:val="22"/>
              <w:szCs w:val="22"/>
              <w:lang w:val="en-GB" w:eastAsia="en-GB" w:bidi="ar-SA"/>
            </w:rPr>
          </w:pPr>
          <w:hyperlink w:anchor="_Toc500948773" w:history="1">
            <w:r>
              <w:rPr>
                <w:rStyle w:val="Hyperlink"/>
                <w:noProof/>
              </w:rPr>
              <w:t>3.6.</w:t>
            </w:r>
            <w:r>
              <w:rPr>
                <w:rFonts w:asciiTheme="minorHAnsi" w:eastAsiaTheme="minorEastAsia" w:hAnsiTheme="minorHAnsi" w:cstheme="minorBidi"/>
                <w:noProof/>
                <w:sz w:val="22"/>
                <w:szCs w:val="22"/>
                <w:lang w:val="en-GB" w:eastAsia="en-GB" w:bidi="ar-SA"/>
              </w:rPr>
              <w:tab/>
            </w:r>
            <w:r>
              <w:rPr>
                <w:rStyle w:val="Hyperlink"/>
                <w:noProof/>
              </w:rPr>
              <w:t>Ревизии и разследване във връзка с ДДС</w:t>
            </w:r>
            <w:r>
              <w:rPr>
                <w:noProof/>
                <w:webHidden/>
              </w:rPr>
              <w:tab/>
            </w:r>
            <w:r>
              <w:rPr>
                <w:noProof/>
                <w:webHidden/>
              </w:rPr>
              <w:fldChar w:fldCharType="begin"/>
            </w:r>
            <w:r>
              <w:rPr>
                <w:noProof/>
                <w:webHidden/>
              </w:rPr>
              <w:instrText xml:space="preserve"> PAGEREF _Toc500948773 \h </w:instrText>
            </w:r>
            <w:r>
              <w:rPr>
                <w:noProof/>
                <w:webHidden/>
              </w:rPr>
            </w:r>
            <w:r>
              <w:rPr>
                <w:noProof/>
                <w:webHidden/>
              </w:rPr>
              <w:fldChar w:fldCharType="separate"/>
            </w:r>
            <w:r>
              <w:rPr>
                <w:noProof/>
                <w:webHidden/>
              </w:rPr>
              <w:t>17</w:t>
            </w:r>
            <w:r>
              <w:rPr>
                <w:noProof/>
                <w:webHidden/>
              </w:rPr>
              <w:fldChar w:fldCharType="end"/>
            </w:r>
          </w:hyperlink>
        </w:p>
        <w:p>
          <w:pPr>
            <w:pStyle w:val="TOC1"/>
            <w:rPr>
              <w:rFonts w:asciiTheme="minorHAnsi" w:eastAsiaTheme="minorEastAsia" w:hAnsiTheme="minorHAnsi" w:cstheme="minorBidi"/>
              <w:noProof/>
              <w:sz w:val="22"/>
              <w:szCs w:val="22"/>
              <w:lang w:val="en-GB" w:eastAsia="en-GB" w:bidi="ar-SA"/>
            </w:rPr>
          </w:pPr>
          <w:hyperlink w:anchor="_Toc500948774" w:history="1">
            <w:r>
              <w:rPr>
                <w:rStyle w:val="Hyperlink"/>
                <w:noProof/>
              </w:rPr>
              <w:t>4.</w:t>
            </w:r>
            <w:r>
              <w:rPr>
                <w:rFonts w:asciiTheme="minorHAnsi" w:eastAsiaTheme="minorEastAsia" w:hAnsiTheme="minorHAnsi" w:cstheme="minorBidi"/>
                <w:noProof/>
                <w:sz w:val="22"/>
                <w:szCs w:val="22"/>
                <w:lang w:val="en-GB" w:eastAsia="en-GB" w:bidi="ar-SA"/>
              </w:rPr>
              <w:tab/>
            </w:r>
            <w:r>
              <w:rPr>
                <w:rStyle w:val="Hyperlink"/>
                <w:noProof/>
              </w:rPr>
              <w:t>Изпълнение на препоръките от Седмия доклад по член 12 и от работния документ на службите на Комисията</w:t>
            </w:r>
            <w:r>
              <w:rPr>
                <w:noProof/>
                <w:webHidden/>
              </w:rPr>
              <w:tab/>
            </w:r>
            <w:r>
              <w:rPr>
                <w:noProof/>
                <w:webHidden/>
              </w:rPr>
              <w:fldChar w:fldCharType="begin"/>
            </w:r>
            <w:r>
              <w:rPr>
                <w:noProof/>
                <w:webHidden/>
              </w:rPr>
              <w:instrText xml:space="preserve"> PAGEREF _Toc500948774 \h </w:instrText>
            </w:r>
            <w:r>
              <w:rPr>
                <w:noProof/>
                <w:webHidden/>
              </w:rPr>
            </w:r>
            <w:r>
              <w:rPr>
                <w:noProof/>
                <w:webHidden/>
              </w:rPr>
              <w:fldChar w:fldCharType="separate"/>
            </w:r>
            <w:r>
              <w:rPr>
                <w:noProof/>
                <w:webHidden/>
              </w:rPr>
              <w:t>20</w:t>
            </w:r>
            <w:r>
              <w:rPr>
                <w:noProof/>
                <w:webHidden/>
              </w:rPr>
              <w:fldChar w:fldCharType="end"/>
            </w:r>
          </w:hyperlink>
        </w:p>
        <w:p>
          <w:pPr>
            <w:pStyle w:val="TOC1"/>
            <w:rPr>
              <w:rFonts w:asciiTheme="minorHAnsi" w:eastAsiaTheme="minorEastAsia" w:hAnsiTheme="minorHAnsi" w:cstheme="minorBidi"/>
              <w:noProof/>
              <w:sz w:val="22"/>
              <w:szCs w:val="22"/>
              <w:lang w:val="en-GB" w:eastAsia="en-GB" w:bidi="ar-SA"/>
            </w:rPr>
          </w:pPr>
          <w:hyperlink w:anchor="_Toc500948775" w:history="1">
            <w:r>
              <w:rPr>
                <w:rStyle w:val="Hyperlink"/>
                <w:noProof/>
              </w:rPr>
              <w:t>5.</w:t>
            </w:r>
            <w:r>
              <w:rPr>
                <w:rFonts w:asciiTheme="minorHAnsi" w:eastAsiaTheme="minorEastAsia" w:hAnsiTheme="minorHAnsi" w:cstheme="minorBidi"/>
                <w:noProof/>
                <w:sz w:val="22"/>
                <w:szCs w:val="22"/>
                <w:lang w:val="en-GB" w:eastAsia="en-GB" w:bidi="ar-SA"/>
              </w:rPr>
              <w:tab/>
            </w:r>
            <w:r>
              <w:rPr>
                <w:rStyle w:val="Hyperlink"/>
                <w:noProof/>
              </w:rPr>
              <w:t>Към по-добро администриране на ДДС чрез сътрудничество</w:t>
            </w:r>
            <w:r>
              <w:rPr>
                <w:noProof/>
                <w:webHidden/>
              </w:rPr>
              <w:tab/>
            </w:r>
            <w:r>
              <w:rPr>
                <w:noProof/>
                <w:webHidden/>
              </w:rPr>
              <w:fldChar w:fldCharType="begin"/>
            </w:r>
            <w:r>
              <w:rPr>
                <w:noProof/>
                <w:webHidden/>
              </w:rPr>
              <w:instrText xml:space="preserve"> PAGEREF _Toc500948775 \h </w:instrText>
            </w:r>
            <w:r>
              <w:rPr>
                <w:noProof/>
                <w:webHidden/>
              </w:rPr>
            </w:r>
            <w:r>
              <w:rPr>
                <w:noProof/>
                <w:webHidden/>
              </w:rPr>
              <w:fldChar w:fldCharType="separate"/>
            </w:r>
            <w:r>
              <w:rPr>
                <w:noProof/>
                <w:webHidden/>
              </w:rPr>
              <w:t>22</w:t>
            </w:r>
            <w:r>
              <w:rPr>
                <w:noProof/>
                <w:webHidden/>
              </w:rPr>
              <w:fldChar w:fldCharType="end"/>
            </w:r>
          </w:hyperlink>
        </w:p>
        <w:p>
          <w:pPr>
            <w:pStyle w:val="TOC1"/>
            <w:rPr>
              <w:rFonts w:asciiTheme="minorHAnsi" w:eastAsiaTheme="minorEastAsia" w:hAnsiTheme="minorHAnsi" w:cstheme="minorBidi"/>
              <w:noProof/>
              <w:sz w:val="22"/>
              <w:szCs w:val="22"/>
            </w:rPr>
          </w:pPr>
          <w:r>
            <w:rPr>
              <w:b/>
              <w:bCs/>
              <w:noProof/>
            </w:rPr>
            <w:fldChar w:fldCharType="end"/>
          </w:r>
        </w:p>
      </w:sdtContent>
    </w:sdt>
    <w:p>
      <w:pPr>
        <w:pStyle w:val="TableofFigures"/>
        <w:tabs>
          <w:tab w:val="right" w:leader="dot" w:pos="9061"/>
        </w:tabs>
        <w:rPr>
          <w:noProof/>
        </w:rPr>
      </w:pPr>
    </w:p>
    <w:p>
      <w:pPr>
        <w:spacing w:after="0"/>
        <w:rPr>
          <w:rFonts w:ascii="Times New Roman" w:hAnsi="Times New Roman" w:cs="Times New Roman"/>
          <w:noProof/>
        </w:rPr>
      </w:pPr>
      <w:r>
        <w:rPr>
          <w:noProof/>
        </w:rPr>
        <w:br w:type="page"/>
      </w:r>
    </w:p>
    <w:p>
      <w:pPr>
        <w:pStyle w:val="TableofFigures"/>
        <w:tabs>
          <w:tab w:val="right" w:leader="dot" w:pos="9061"/>
        </w:tabs>
        <w:jc w:val="center"/>
        <w:rPr>
          <w:b/>
          <w:noProof/>
          <w:sz w:val="28"/>
          <w:szCs w:val="28"/>
        </w:rPr>
      </w:pPr>
      <w:r>
        <w:rPr>
          <w:b/>
          <w:noProof/>
          <w:sz w:val="28"/>
        </w:rPr>
        <w:lastRenderedPageBreak/>
        <w:t>Списък на таблиците</w:t>
      </w:r>
    </w:p>
    <w:p>
      <w:pPr>
        <w:pStyle w:val="TableofFigures"/>
        <w:tabs>
          <w:tab w:val="right" w:leader="dot" w:pos="9061"/>
        </w:tabs>
        <w:rPr>
          <w:rFonts w:asciiTheme="minorHAnsi" w:eastAsiaTheme="minorEastAsia" w:hAnsiTheme="minorHAnsi" w:cstheme="minorBidi"/>
          <w:noProof/>
          <w:sz w:val="22"/>
          <w:szCs w:val="22"/>
          <w:lang w:val="en-GB" w:eastAsia="en-GB" w:bidi="ar-SA"/>
        </w:rPr>
      </w:pPr>
      <w:r>
        <w:rPr>
          <w:b/>
          <w:noProof/>
        </w:rPr>
        <w:fldChar w:fldCharType="begin"/>
      </w:r>
      <w:r>
        <w:rPr>
          <w:b/>
          <w:noProof/>
        </w:rPr>
        <w:instrText xml:space="preserve"> TOC \h \z \c "Table" </w:instrText>
      </w:r>
      <w:r>
        <w:rPr>
          <w:b/>
          <w:noProof/>
        </w:rPr>
        <w:fldChar w:fldCharType="separate"/>
      </w:r>
      <w:hyperlink w:anchor="_Toc500948789" w:history="1">
        <w:r>
          <w:rPr>
            <w:rStyle w:val="Hyperlink"/>
            <w:i/>
            <w:noProof/>
          </w:rPr>
          <w:t>Таблица 1: Общи приходи на ЕС от собствените ресурси от ДДС през отчетния период (2013 — 2015 г.)</w:t>
        </w:r>
        <w:r>
          <w:rPr>
            <w:noProof/>
            <w:webHidden/>
          </w:rPr>
          <w:tab/>
        </w:r>
        <w:r>
          <w:rPr>
            <w:noProof/>
            <w:webHidden/>
          </w:rPr>
          <w:fldChar w:fldCharType="begin"/>
        </w:r>
        <w:r>
          <w:rPr>
            <w:noProof/>
            <w:webHidden/>
          </w:rPr>
          <w:instrText xml:space="preserve"> PAGEREF _Toc500948789 \h </w:instrText>
        </w:r>
        <w:r>
          <w:rPr>
            <w:noProof/>
            <w:webHidden/>
          </w:rPr>
        </w:r>
        <w:r>
          <w:rPr>
            <w:noProof/>
            <w:webHidden/>
          </w:rPr>
          <w:fldChar w:fldCharType="separate"/>
        </w:r>
        <w:r>
          <w:rPr>
            <w:noProof/>
            <w:webHidden/>
          </w:rPr>
          <w:t>4</w:t>
        </w:r>
        <w:r>
          <w:rPr>
            <w:noProof/>
            <w:webHidden/>
          </w:rPr>
          <w:fldChar w:fldCharType="end"/>
        </w:r>
      </w:hyperlink>
    </w:p>
    <w:p>
      <w:pPr>
        <w:pStyle w:val="TableofFigures"/>
        <w:tabs>
          <w:tab w:val="right" w:leader="dot" w:pos="9061"/>
        </w:tabs>
        <w:rPr>
          <w:rFonts w:asciiTheme="minorHAnsi" w:eastAsiaTheme="minorEastAsia" w:hAnsiTheme="minorHAnsi" w:cstheme="minorBidi"/>
          <w:noProof/>
          <w:sz w:val="22"/>
          <w:szCs w:val="22"/>
          <w:lang w:val="en-GB" w:eastAsia="en-GB" w:bidi="ar-SA"/>
        </w:rPr>
      </w:pPr>
      <w:hyperlink w:anchor="_Toc500948790" w:history="1">
        <w:r>
          <w:rPr>
            <w:rStyle w:val="Hyperlink"/>
            <w:i/>
            <w:noProof/>
          </w:rPr>
          <w:t>Таблица 2: Изменение на броя на справки-декларациите за ДДС в държавите — членки на ЕС за периода 2013 — 2015 г.</w:t>
        </w:r>
        <w:r>
          <w:rPr>
            <w:noProof/>
            <w:webHidden/>
          </w:rPr>
          <w:tab/>
        </w:r>
        <w:r>
          <w:rPr>
            <w:noProof/>
            <w:webHidden/>
          </w:rPr>
          <w:fldChar w:fldCharType="begin"/>
        </w:r>
        <w:r>
          <w:rPr>
            <w:noProof/>
            <w:webHidden/>
          </w:rPr>
          <w:instrText xml:space="preserve"> PAGEREF _Toc500948790 \h </w:instrText>
        </w:r>
        <w:r>
          <w:rPr>
            <w:noProof/>
            <w:webHidden/>
          </w:rPr>
        </w:r>
        <w:r>
          <w:rPr>
            <w:noProof/>
            <w:webHidden/>
          </w:rPr>
          <w:fldChar w:fldCharType="separate"/>
        </w:r>
        <w:r>
          <w:rPr>
            <w:noProof/>
            <w:webHidden/>
          </w:rPr>
          <w:t>14</w:t>
        </w:r>
        <w:r>
          <w:rPr>
            <w:noProof/>
            <w:webHidden/>
          </w:rPr>
          <w:fldChar w:fldCharType="end"/>
        </w:r>
      </w:hyperlink>
    </w:p>
    <w:p>
      <w:pPr>
        <w:pStyle w:val="TableofFigures"/>
        <w:tabs>
          <w:tab w:val="right" w:leader="dot" w:pos="9061"/>
        </w:tabs>
        <w:jc w:val="center"/>
        <w:rPr>
          <w:rFonts w:asciiTheme="minorHAnsi" w:eastAsiaTheme="minorEastAsia" w:hAnsiTheme="minorHAnsi" w:cstheme="minorBidi"/>
          <w:noProof/>
          <w:sz w:val="22"/>
          <w:szCs w:val="22"/>
        </w:rPr>
      </w:pPr>
      <w:r>
        <w:rPr>
          <w:b/>
          <w:noProof/>
        </w:rPr>
        <w:fldChar w:fldCharType="end"/>
      </w:r>
      <w:r>
        <w:rPr>
          <w:b/>
          <w:noProof/>
          <w:sz w:val="28"/>
        </w:rPr>
        <w:t>Списък на фигурите</w:t>
      </w:r>
    </w:p>
    <w:p>
      <w:pPr>
        <w:pStyle w:val="TableofFigures"/>
        <w:tabs>
          <w:tab w:val="right" w:leader="dot" w:pos="9061"/>
        </w:tabs>
        <w:rPr>
          <w:rFonts w:asciiTheme="minorHAnsi" w:eastAsiaTheme="minorEastAsia" w:hAnsiTheme="minorHAnsi" w:cstheme="minorBidi"/>
          <w:noProof/>
          <w:sz w:val="22"/>
          <w:szCs w:val="22"/>
          <w:lang w:val="en-GB" w:eastAsia="en-GB" w:bidi="ar-SA"/>
        </w:rPr>
      </w:pPr>
      <w:r>
        <w:rPr>
          <w:b/>
          <w:noProof/>
        </w:rPr>
        <w:fldChar w:fldCharType="begin"/>
      </w:r>
      <w:r>
        <w:rPr>
          <w:b/>
          <w:noProof/>
        </w:rPr>
        <w:instrText xml:space="preserve"> TOC \h \z \c "Figure" </w:instrText>
      </w:r>
      <w:r>
        <w:rPr>
          <w:b/>
          <w:noProof/>
        </w:rPr>
        <w:fldChar w:fldCharType="separate"/>
      </w:r>
      <w:hyperlink w:anchor="_Toc500948791" w:history="1">
        <w:r>
          <w:rPr>
            <w:rStyle w:val="Hyperlink"/>
            <w:i/>
            <w:noProof/>
          </w:rPr>
          <w:t xml:space="preserve">Фигура </w:t>
        </w:r>
        <w:r>
          <w:rPr>
            <w:rStyle w:val="Hyperlink"/>
            <w:bCs/>
            <w:i/>
            <w:noProof/>
          </w:rPr>
          <w:t>1</w:t>
        </w:r>
        <w:r>
          <w:rPr>
            <w:rStyle w:val="Hyperlink"/>
            <w:i/>
            <w:noProof/>
          </w:rPr>
          <w:t>: Неизпълнение на потенциалните приходи от ДДС в ЕС за 2011 — 2015 г. (като процент от съвкупния размер на дължимия ДДС (VТТL) и в млрд. евро)</w:t>
        </w:r>
        <w:r>
          <w:rPr>
            <w:noProof/>
            <w:webHidden/>
          </w:rPr>
          <w:tab/>
        </w:r>
        <w:r>
          <w:rPr>
            <w:noProof/>
            <w:webHidden/>
          </w:rPr>
          <w:fldChar w:fldCharType="begin"/>
        </w:r>
        <w:r>
          <w:rPr>
            <w:noProof/>
            <w:webHidden/>
          </w:rPr>
          <w:instrText xml:space="preserve"> PAGEREF _Toc500948791 \h </w:instrText>
        </w:r>
        <w:r>
          <w:rPr>
            <w:noProof/>
            <w:webHidden/>
          </w:rPr>
        </w:r>
        <w:r>
          <w:rPr>
            <w:noProof/>
            <w:webHidden/>
          </w:rPr>
          <w:fldChar w:fldCharType="separate"/>
        </w:r>
        <w:r>
          <w:rPr>
            <w:noProof/>
            <w:webHidden/>
          </w:rPr>
          <w:t>5</w:t>
        </w:r>
        <w:r>
          <w:rPr>
            <w:noProof/>
            <w:webHidden/>
          </w:rPr>
          <w:fldChar w:fldCharType="end"/>
        </w:r>
      </w:hyperlink>
    </w:p>
    <w:p>
      <w:pPr>
        <w:pStyle w:val="TableofFigures"/>
        <w:tabs>
          <w:tab w:val="right" w:leader="dot" w:pos="9061"/>
        </w:tabs>
        <w:rPr>
          <w:rFonts w:asciiTheme="minorHAnsi" w:eastAsiaTheme="minorEastAsia" w:hAnsiTheme="minorHAnsi" w:cstheme="minorBidi"/>
          <w:noProof/>
          <w:sz w:val="22"/>
          <w:szCs w:val="22"/>
          <w:lang w:val="en-GB" w:eastAsia="en-GB" w:bidi="ar-SA"/>
        </w:rPr>
      </w:pPr>
      <w:hyperlink w:anchor="_Toc500948792" w:history="1">
        <w:r>
          <w:rPr>
            <w:rStyle w:val="Hyperlink"/>
            <w:i/>
            <w:noProof/>
          </w:rPr>
          <w:t>Фигура 2: Изменения в исканията за регистрация за целите на ДДС в 21 държави — членки на ЕС (2013 — 2015 г.)</w:t>
        </w:r>
        <w:r>
          <w:rPr>
            <w:noProof/>
            <w:webHidden/>
          </w:rPr>
          <w:tab/>
        </w:r>
        <w:r>
          <w:rPr>
            <w:noProof/>
            <w:webHidden/>
          </w:rPr>
          <w:fldChar w:fldCharType="begin"/>
        </w:r>
        <w:r>
          <w:rPr>
            <w:noProof/>
            <w:webHidden/>
          </w:rPr>
          <w:instrText xml:space="preserve"> PAGEREF _Toc500948792 \h </w:instrText>
        </w:r>
        <w:r>
          <w:rPr>
            <w:noProof/>
            <w:webHidden/>
          </w:rPr>
        </w:r>
        <w:r>
          <w:rPr>
            <w:noProof/>
            <w:webHidden/>
          </w:rPr>
          <w:fldChar w:fldCharType="separate"/>
        </w:r>
        <w:r>
          <w:rPr>
            <w:noProof/>
            <w:webHidden/>
          </w:rPr>
          <w:t>9</w:t>
        </w:r>
        <w:r>
          <w:rPr>
            <w:noProof/>
            <w:webHidden/>
          </w:rPr>
          <w:fldChar w:fldCharType="end"/>
        </w:r>
      </w:hyperlink>
    </w:p>
    <w:p>
      <w:pPr>
        <w:pStyle w:val="TableofFigures"/>
        <w:tabs>
          <w:tab w:val="right" w:leader="dot" w:pos="9061"/>
        </w:tabs>
        <w:rPr>
          <w:rFonts w:asciiTheme="minorHAnsi" w:eastAsiaTheme="minorEastAsia" w:hAnsiTheme="minorHAnsi" w:cstheme="minorBidi"/>
          <w:noProof/>
          <w:sz w:val="22"/>
          <w:szCs w:val="22"/>
          <w:lang w:val="en-GB" w:eastAsia="en-GB" w:bidi="ar-SA"/>
        </w:rPr>
      </w:pPr>
      <w:hyperlink w:anchor="_Toc500948793" w:history="1">
        <w:r>
          <w:rPr>
            <w:rStyle w:val="Hyperlink"/>
            <w:i/>
            <w:noProof/>
          </w:rPr>
          <w:t>Фигура 3: Наличност на различни възможности на процедурите по регистрация в 28-те държави — членки на ЕС (2016 г.)</w:t>
        </w:r>
        <w:r>
          <w:rPr>
            <w:noProof/>
            <w:webHidden/>
          </w:rPr>
          <w:tab/>
        </w:r>
        <w:r>
          <w:rPr>
            <w:noProof/>
            <w:webHidden/>
          </w:rPr>
          <w:fldChar w:fldCharType="begin"/>
        </w:r>
        <w:r>
          <w:rPr>
            <w:noProof/>
            <w:webHidden/>
          </w:rPr>
          <w:instrText xml:space="preserve"> PAGEREF _Toc500948793 \h </w:instrText>
        </w:r>
        <w:r>
          <w:rPr>
            <w:noProof/>
            <w:webHidden/>
          </w:rPr>
        </w:r>
        <w:r>
          <w:rPr>
            <w:noProof/>
            <w:webHidden/>
          </w:rPr>
          <w:fldChar w:fldCharType="separate"/>
        </w:r>
        <w:r>
          <w:rPr>
            <w:noProof/>
            <w:webHidden/>
          </w:rPr>
          <w:t>10</w:t>
        </w:r>
        <w:r>
          <w:rPr>
            <w:noProof/>
            <w:webHidden/>
          </w:rPr>
          <w:fldChar w:fldCharType="end"/>
        </w:r>
      </w:hyperlink>
    </w:p>
    <w:p>
      <w:pPr>
        <w:pStyle w:val="TableofFigures"/>
        <w:tabs>
          <w:tab w:val="right" w:leader="dot" w:pos="9061"/>
        </w:tabs>
        <w:rPr>
          <w:rFonts w:asciiTheme="minorHAnsi" w:eastAsiaTheme="minorEastAsia" w:hAnsiTheme="minorHAnsi" w:cstheme="minorBidi"/>
          <w:noProof/>
          <w:sz w:val="22"/>
          <w:szCs w:val="22"/>
          <w:lang w:val="en-GB" w:eastAsia="en-GB" w:bidi="ar-SA"/>
        </w:rPr>
      </w:pPr>
      <w:hyperlink w:anchor="_Toc500948794" w:history="1">
        <w:r>
          <w:rPr>
            <w:rStyle w:val="Hyperlink"/>
            <w:i/>
            <w:noProof/>
          </w:rPr>
          <w:t>Фигура 4: Необходимо време за получаване на номер за целите на ДДС или VІЕS в 22 държави — членки на ЕС (2013 — 2015 г.)</w:t>
        </w:r>
        <w:r>
          <w:rPr>
            <w:noProof/>
            <w:webHidden/>
          </w:rPr>
          <w:tab/>
        </w:r>
        <w:r>
          <w:rPr>
            <w:noProof/>
            <w:webHidden/>
          </w:rPr>
          <w:fldChar w:fldCharType="begin"/>
        </w:r>
        <w:r>
          <w:rPr>
            <w:noProof/>
            <w:webHidden/>
          </w:rPr>
          <w:instrText xml:space="preserve"> PAGEREF _Toc500948794 \h </w:instrText>
        </w:r>
        <w:r>
          <w:rPr>
            <w:noProof/>
            <w:webHidden/>
          </w:rPr>
        </w:r>
        <w:r>
          <w:rPr>
            <w:noProof/>
            <w:webHidden/>
          </w:rPr>
          <w:fldChar w:fldCharType="separate"/>
        </w:r>
        <w:r>
          <w:rPr>
            <w:noProof/>
            <w:webHidden/>
          </w:rPr>
          <w:t>11</w:t>
        </w:r>
        <w:r>
          <w:rPr>
            <w:noProof/>
            <w:webHidden/>
          </w:rPr>
          <w:fldChar w:fldCharType="end"/>
        </w:r>
      </w:hyperlink>
    </w:p>
    <w:p>
      <w:pPr>
        <w:pStyle w:val="TableofFigures"/>
        <w:tabs>
          <w:tab w:val="right" w:leader="dot" w:pos="9061"/>
        </w:tabs>
        <w:rPr>
          <w:rFonts w:asciiTheme="minorHAnsi" w:eastAsiaTheme="minorEastAsia" w:hAnsiTheme="minorHAnsi" w:cstheme="minorBidi"/>
          <w:noProof/>
          <w:sz w:val="22"/>
          <w:szCs w:val="22"/>
          <w:lang w:val="en-GB" w:eastAsia="en-GB" w:bidi="ar-SA"/>
        </w:rPr>
      </w:pPr>
      <w:hyperlink w:anchor="_Toc500948795" w:history="1">
        <w:r>
          <w:rPr>
            <w:rStyle w:val="Hyperlink"/>
            <w:i/>
            <w:noProof/>
          </w:rPr>
          <w:t>Фигура 5: Възможност за електронно подаване в 28-те държави — членки на ЕС (2013 — 2015 г.)</w:t>
        </w:r>
        <w:r>
          <w:rPr>
            <w:noProof/>
            <w:webHidden/>
          </w:rPr>
          <w:tab/>
        </w:r>
        <w:r>
          <w:rPr>
            <w:noProof/>
            <w:webHidden/>
          </w:rPr>
          <w:fldChar w:fldCharType="begin"/>
        </w:r>
        <w:r>
          <w:rPr>
            <w:noProof/>
            <w:webHidden/>
          </w:rPr>
          <w:instrText xml:space="preserve"> PAGEREF _Toc500948795 \h </w:instrText>
        </w:r>
        <w:r>
          <w:rPr>
            <w:noProof/>
            <w:webHidden/>
          </w:rPr>
        </w:r>
        <w:r>
          <w:rPr>
            <w:noProof/>
            <w:webHidden/>
          </w:rPr>
          <w:fldChar w:fldCharType="separate"/>
        </w:r>
        <w:r>
          <w:rPr>
            <w:noProof/>
            <w:webHidden/>
          </w:rPr>
          <w:t>13</w:t>
        </w:r>
        <w:r>
          <w:rPr>
            <w:noProof/>
            <w:webHidden/>
          </w:rPr>
          <w:fldChar w:fldCharType="end"/>
        </w:r>
      </w:hyperlink>
    </w:p>
    <w:p>
      <w:pPr>
        <w:pStyle w:val="TableofFigures"/>
        <w:tabs>
          <w:tab w:val="right" w:leader="dot" w:pos="9061"/>
        </w:tabs>
        <w:rPr>
          <w:rFonts w:asciiTheme="minorHAnsi" w:eastAsiaTheme="minorEastAsia" w:hAnsiTheme="minorHAnsi" w:cstheme="minorBidi"/>
          <w:noProof/>
          <w:sz w:val="22"/>
          <w:szCs w:val="22"/>
          <w:lang w:val="en-GB" w:eastAsia="en-GB" w:bidi="ar-SA"/>
        </w:rPr>
      </w:pPr>
      <w:hyperlink w:anchor="_Toc500948796" w:history="1">
        <w:r>
          <w:rPr>
            <w:rStyle w:val="Hyperlink"/>
            <w:i/>
            <w:noProof/>
          </w:rPr>
          <w:t>Фигура 6: Дял на електронното подаване в 28-те държави — членки на ЕС (2013 — 2015 г.)</w:t>
        </w:r>
        <w:r>
          <w:rPr>
            <w:noProof/>
            <w:webHidden/>
          </w:rPr>
          <w:tab/>
        </w:r>
        <w:r>
          <w:rPr>
            <w:noProof/>
            <w:webHidden/>
          </w:rPr>
          <w:fldChar w:fldCharType="begin"/>
        </w:r>
        <w:r>
          <w:rPr>
            <w:noProof/>
            <w:webHidden/>
          </w:rPr>
          <w:instrText xml:space="preserve"> PAGEREF _Toc500948796 \h </w:instrText>
        </w:r>
        <w:r>
          <w:rPr>
            <w:noProof/>
            <w:webHidden/>
          </w:rPr>
        </w:r>
        <w:r>
          <w:rPr>
            <w:noProof/>
            <w:webHidden/>
          </w:rPr>
          <w:fldChar w:fldCharType="separate"/>
        </w:r>
        <w:r>
          <w:rPr>
            <w:noProof/>
            <w:webHidden/>
          </w:rPr>
          <w:t>13</w:t>
        </w:r>
        <w:r>
          <w:rPr>
            <w:noProof/>
            <w:webHidden/>
          </w:rPr>
          <w:fldChar w:fldCharType="end"/>
        </w:r>
      </w:hyperlink>
    </w:p>
    <w:p>
      <w:pPr>
        <w:pStyle w:val="TableofFigures"/>
        <w:tabs>
          <w:tab w:val="right" w:leader="dot" w:pos="9061"/>
        </w:tabs>
        <w:rPr>
          <w:rFonts w:asciiTheme="minorHAnsi" w:eastAsiaTheme="minorEastAsia" w:hAnsiTheme="minorHAnsi" w:cstheme="minorBidi"/>
          <w:noProof/>
          <w:sz w:val="22"/>
          <w:szCs w:val="22"/>
          <w:lang w:val="en-GB" w:eastAsia="en-GB" w:bidi="ar-SA"/>
        </w:rPr>
      </w:pPr>
      <w:hyperlink w:anchor="_Toc500948797" w:history="1">
        <w:r>
          <w:rPr>
            <w:rStyle w:val="Hyperlink"/>
            <w:i/>
            <w:noProof/>
          </w:rPr>
          <w:t>Фигура 7: Възможност за електронно плащане на ДДС в 28-те държави членки (2013 — 2015 г.)</w:t>
        </w:r>
        <w:r>
          <w:rPr>
            <w:noProof/>
            <w:webHidden/>
          </w:rPr>
          <w:tab/>
        </w:r>
        <w:r>
          <w:rPr>
            <w:noProof/>
            <w:webHidden/>
          </w:rPr>
          <w:fldChar w:fldCharType="begin"/>
        </w:r>
        <w:r>
          <w:rPr>
            <w:noProof/>
            <w:webHidden/>
          </w:rPr>
          <w:instrText xml:space="preserve"> PAGEREF _Toc500948797 \h </w:instrText>
        </w:r>
        <w:r>
          <w:rPr>
            <w:noProof/>
            <w:webHidden/>
          </w:rPr>
        </w:r>
        <w:r>
          <w:rPr>
            <w:noProof/>
            <w:webHidden/>
          </w:rPr>
          <w:fldChar w:fldCharType="separate"/>
        </w:r>
        <w:r>
          <w:rPr>
            <w:noProof/>
            <w:webHidden/>
          </w:rPr>
          <w:t>15</w:t>
        </w:r>
        <w:r>
          <w:rPr>
            <w:noProof/>
            <w:webHidden/>
          </w:rPr>
          <w:fldChar w:fldCharType="end"/>
        </w:r>
      </w:hyperlink>
    </w:p>
    <w:p>
      <w:pPr>
        <w:pStyle w:val="TableofFigures"/>
        <w:tabs>
          <w:tab w:val="right" w:leader="dot" w:pos="9061"/>
        </w:tabs>
        <w:rPr>
          <w:rFonts w:asciiTheme="minorHAnsi" w:eastAsiaTheme="minorEastAsia" w:hAnsiTheme="minorHAnsi" w:cstheme="minorBidi"/>
          <w:noProof/>
          <w:sz w:val="22"/>
          <w:szCs w:val="22"/>
          <w:lang w:val="en-GB" w:eastAsia="en-GB" w:bidi="ar-SA"/>
        </w:rPr>
      </w:pPr>
      <w:hyperlink w:anchor="_Toc500948798" w:history="1">
        <w:r>
          <w:rPr>
            <w:rStyle w:val="Hyperlink"/>
            <w:i/>
            <w:noProof/>
          </w:rPr>
          <w:t>Фигура 8: Напомнителни писма при забавено плащане в 28-те държави членки (2013 — 2015 г.)</w:t>
        </w:r>
        <w:r>
          <w:rPr>
            <w:noProof/>
            <w:webHidden/>
          </w:rPr>
          <w:tab/>
        </w:r>
        <w:r>
          <w:rPr>
            <w:noProof/>
            <w:webHidden/>
          </w:rPr>
          <w:fldChar w:fldCharType="begin"/>
        </w:r>
        <w:r>
          <w:rPr>
            <w:noProof/>
            <w:webHidden/>
          </w:rPr>
          <w:instrText xml:space="preserve"> PAGEREF _Toc500948798 \h </w:instrText>
        </w:r>
        <w:r>
          <w:rPr>
            <w:noProof/>
            <w:webHidden/>
          </w:rPr>
        </w:r>
        <w:r>
          <w:rPr>
            <w:noProof/>
            <w:webHidden/>
          </w:rPr>
          <w:fldChar w:fldCharType="separate"/>
        </w:r>
        <w:r>
          <w:rPr>
            <w:noProof/>
            <w:webHidden/>
          </w:rPr>
          <w:t>15</w:t>
        </w:r>
        <w:r>
          <w:rPr>
            <w:noProof/>
            <w:webHidden/>
          </w:rPr>
          <w:fldChar w:fldCharType="end"/>
        </w:r>
      </w:hyperlink>
    </w:p>
    <w:p>
      <w:pPr>
        <w:pStyle w:val="TableofFigures"/>
        <w:tabs>
          <w:tab w:val="right" w:leader="dot" w:pos="9061"/>
        </w:tabs>
        <w:rPr>
          <w:rFonts w:asciiTheme="minorHAnsi" w:eastAsiaTheme="minorEastAsia" w:hAnsiTheme="minorHAnsi" w:cstheme="minorBidi"/>
          <w:noProof/>
          <w:sz w:val="22"/>
          <w:szCs w:val="22"/>
          <w:lang w:val="en-GB" w:eastAsia="en-GB" w:bidi="ar-SA"/>
        </w:rPr>
      </w:pPr>
      <w:hyperlink w:anchor="_Toc500948799" w:history="1">
        <w:r>
          <w:rPr>
            <w:rStyle w:val="Hyperlink"/>
            <w:i/>
            <w:noProof/>
          </w:rPr>
          <w:t>Фигура 9:  Събиране на дължимия ДДС — преглед на основните инструменти и практики, използвани в 28-те държави — членки на ЕС (2016 г.)</w:t>
        </w:r>
        <w:r>
          <w:rPr>
            <w:noProof/>
            <w:webHidden/>
          </w:rPr>
          <w:tab/>
        </w:r>
        <w:r>
          <w:rPr>
            <w:noProof/>
            <w:webHidden/>
          </w:rPr>
          <w:fldChar w:fldCharType="begin"/>
        </w:r>
        <w:r>
          <w:rPr>
            <w:noProof/>
            <w:webHidden/>
          </w:rPr>
          <w:instrText xml:space="preserve"> PAGEREF _Toc500948799 \h </w:instrText>
        </w:r>
        <w:r>
          <w:rPr>
            <w:noProof/>
            <w:webHidden/>
          </w:rPr>
        </w:r>
        <w:r>
          <w:rPr>
            <w:noProof/>
            <w:webHidden/>
          </w:rPr>
          <w:fldChar w:fldCharType="separate"/>
        </w:r>
        <w:r>
          <w:rPr>
            <w:noProof/>
            <w:webHidden/>
          </w:rPr>
          <w:t>16</w:t>
        </w:r>
        <w:r>
          <w:rPr>
            <w:noProof/>
            <w:webHidden/>
          </w:rPr>
          <w:fldChar w:fldCharType="end"/>
        </w:r>
      </w:hyperlink>
    </w:p>
    <w:p>
      <w:pPr>
        <w:pStyle w:val="TableofFigures"/>
        <w:tabs>
          <w:tab w:val="right" w:leader="dot" w:pos="9061"/>
        </w:tabs>
        <w:rPr>
          <w:rFonts w:asciiTheme="minorHAnsi" w:eastAsiaTheme="minorEastAsia" w:hAnsiTheme="minorHAnsi" w:cstheme="minorBidi"/>
          <w:noProof/>
          <w:sz w:val="22"/>
          <w:szCs w:val="22"/>
          <w:lang w:val="en-GB" w:eastAsia="en-GB" w:bidi="ar-SA"/>
        </w:rPr>
      </w:pPr>
      <w:hyperlink w:anchor="_Toc500948800" w:history="1">
        <w:r>
          <w:rPr>
            <w:rStyle w:val="Hyperlink"/>
            <w:b/>
            <w:i/>
            <w:noProof/>
          </w:rPr>
          <w:t>Фигура 10</w:t>
        </w:r>
        <w:r>
          <w:rPr>
            <w:rStyle w:val="Hyperlink"/>
            <w:i/>
            <w:noProof/>
          </w:rPr>
          <w:t>: Събиране на ДДС и изчислен ДДС след извършване на ревизия в 22 държави — членки на ЕС (2013 — 2015 г.)</w:t>
        </w:r>
        <w:r>
          <w:rPr>
            <w:noProof/>
            <w:webHidden/>
          </w:rPr>
          <w:tab/>
        </w:r>
        <w:r>
          <w:rPr>
            <w:noProof/>
            <w:webHidden/>
          </w:rPr>
          <w:fldChar w:fldCharType="begin"/>
        </w:r>
        <w:r>
          <w:rPr>
            <w:noProof/>
            <w:webHidden/>
          </w:rPr>
          <w:instrText xml:space="preserve"> PAGEREF _Toc500948800 \h </w:instrText>
        </w:r>
        <w:r>
          <w:rPr>
            <w:noProof/>
            <w:webHidden/>
          </w:rPr>
        </w:r>
        <w:r>
          <w:rPr>
            <w:noProof/>
            <w:webHidden/>
          </w:rPr>
          <w:fldChar w:fldCharType="separate"/>
        </w:r>
        <w:r>
          <w:rPr>
            <w:noProof/>
            <w:webHidden/>
          </w:rPr>
          <w:t>18</w:t>
        </w:r>
        <w:r>
          <w:rPr>
            <w:noProof/>
            <w:webHidden/>
          </w:rPr>
          <w:fldChar w:fldCharType="end"/>
        </w:r>
      </w:hyperlink>
    </w:p>
    <w:p>
      <w:pPr>
        <w:pStyle w:val="TableofFigures"/>
        <w:tabs>
          <w:tab w:val="right" w:leader="dot" w:pos="9061"/>
        </w:tabs>
        <w:rPr>
          <w:rFonts w:asciiTheme="minorHAnsi" w:eastAsiaTheme="minorEastAsia" w:hAnsiTheme="minorHAnsi" w:cstheme="minorBidi"/>
          <w:noProof/>
          <w:sz w:val="22"/>
          <w:szCs w:val="22"/>
          <w:lang w:val="en-GB" w:eastAsia="en-GB" w:bidi="ar-SA"/>
        </w:rPr>
      </w:pPr>
      <w:hyperlink w:anchor="_Toc500948801" w:history="1">
        <w:r>
          <w:rPr>
            <w:rStyle w:val="Hyperlink"/>
            <w:i/>
            <w:noProof/>
          </w:rPr>
          <w:t>Фигура 11: Процент на изпълнение на препоръките по раздели за 27 държави членки</w:t>
        </w:r>
        <w:r>
          <w:rPr>
            <w:noProof/>
            <w:webHidden/>
          </w:rPr>
          <w:tab/>
        </w:r>
        <w:r>
          <w:rPr>
            <w:noProof/>
            <w:webHidden/>
          </w:rPr>
          <w:fldChar w:fldCharType="begin"/>
        </w:r>
        <w:r>
          <w:rPr>
            <w:noProof/>
            <w:webHidden/>
          </w:rPr>
          <w:instrText xml:space="preserve"> PAGEREF _Toc500948801 \h </w:instrText>
        </w:r>
        <w:r>
          <w:rPr>
            <w:noProof/>
            <w:webHidden/>
          </w:rPr>
        </w:r>
        <w:r>
          <w:rPr>
            <w:noProof/>
            <w:webHidden/>
          </w:rPr>
          <w:fldChar w:fldCharType="separate"/>
        </w:r>
        <w:r>
          <w:rPr>
            <w:noProof/>
            <w:webHidden/>
          </w:rPr>
          <w:t>20</w:t>
        </w:r>
        <w:r>
          <w:rPr>
            <w:noProof/>
            <w:webHidden/>
          </w:rPr>
          <w:fldChar w:fldCharType="end"/>
        </w:r>
      </w:hyperlink>
    </w:p>
    <w:p>
      <w:pPr>
        <w:pStyle w:val="TableofFigures"/>
        <w:tabs>
          <w:tab w:val="right" w:leader="dot" w:pos="9061"/>
        </w:tabs>
        <w:rPr>
          <w:rFonts w:asciiTheme="minorHAnsi" w:eastAsiaTheme="minorEastAsia" w:hAnsiTheme="minorHAnsi" w:cstheme="minorBidi"/>
          <w:noProof/>
          <w:sz w:val="22"/>
          <w:szCs w:val="22"/>
          <w:lang w:val="en-GB" w:eastAsia="en-GB" w:bidi="ar-SA"/>
        </w:rPr>
      </w:pPr>
      <w:hyperlink w:anchor="_Toc500948802" w:history="1">
        <w:r>
          <w:rPr>
            <w:rStyle w:val="Hyperlink"/>
            <w:i/>
            <w:noProof/>
          </w:rPr>
          <w:t>Фигура 12:</w:t>
        </w:r>
        <w:r>
          <w:rPr>
            <w:rStyle w:val="Hyperlink"/>
            <w:noProof/>
          </w:rPr>
          <w:t xml:space="preserve"> </w:t>
        </w:r>
        <w:r>
          <w:rPr>
            <w:rStyle w:val="Hyperlink"/>
            <w:i/>
            <w:noProof/>
          </w:rPr>
          <w:t>Общ процент на изпълнение на предходните препоръки</w:t>
        </w:r>
        <w:r>
          <w:rPr>
            <w:noProof/>
            <w:webHidden/>
          </w:rPr>
          <w:tab/>
        </w:r>
        <w:r>
          <w:rPr>
            <w:noProof/>
            <w:webHidden/>
          </w:rPr>
          <w:fldChar w:fldCharType="begin"/>
        </w:r>
        <w:r>
          <w:rPr>
            <w:noProof/>
            <w:webHidden/>
          </w:rPr>
          <w:instrText xml:space="preserve"> PAGEREF _Toc500948802 \h </w:instrText>
        </w:r>
        <w:r>
          <w:rPr>
            <w:noProof/>
            <w:webHidden/>
          </w:rPr>
        </w:r>
        <w:r>
          <w:rPr>
            <w:noProof/>
            <w:webHidden/>
          </w:rPr>
          <w:fldChar w:fldCharType="separate"/>
        </w:r>
        <w:r>
          <w:rPr>
            <w:noProof/>
            <w:webHidden/>
          </w:rPr>
          <w:t>21</w:t>
        </w:r>
        <w:r>
          <w:rPr>
            <w:noProof/>
            <w:webHidden/>
          </w:rPr>
          <w:fldChar w:fldCharType="end"/>
        </w:r>
      </w:hyperlink>
    </w:p>
    <w:p>
      <w:pPr>
        <w:pStyle w:val="TableofFigures"/>
        <w:tabs>
          <w:tab w:val="right" w:leader="dot" w:pos="9061"/>
        </w:tabs>
        <w:rPr>
          <w:rFonts w:asciiTheme="minorHAnsi" w:eastAsiaTheme="minorEastAsia" w:hAnsiTheme="minorHAnsi" w:cstheme="minorBidi"/>
          <w:noProof/>
          <w:sz w:val="22"/>
          <w:szCs w:val="22"/>
        </w:rPr>
      </w:pPr>
      <w:r>
        <w:rPr>
          <w:b/>
          <w:noProof/>
        </w:rPr>
        <w:fldChar w:fldCharType="end"/>
      </w:r>
      <w:r>
        <w:rPr>
          <w:b/>
          <w:noProof/>
          <w:sz w:val="28"/>
        </w:rPr>
        <w:t>Списък на препоръките</w:t>
      </w:r>
    </w:p>
    <w:p>
      <w:pPr>
        <w:pStyle w:val="TableofFigures"/>
        <w:tabs>
          <w:tab w:val="right" w:leader="dot" w:pos="9061"/>
        </w:tabs>
        <w:rPr>
          <w:rFonts w:asciiTheme="minorHAnsi" w:eastAsiaTheme="minorEastAsia" w:hAnsiTheme="minorHAnsi" w:cstheme="minorBidi"/>
          <w:noProof/>
          <w:sz w:val="22"/>
          <w:szCs w:val="22"/>
          <w:lang w:val="en-GB" w:eastAsia="en-GB" w:bidi="ar-SA"/>
        </w:rPr>
      </w:pPr>
      <w:r>
        <w:rPr>
          <w:b/>
          <w:i/>
          <w:noProof/>
        </w:rPr>
        <w:fldChar w:fldCharType="begin"/>
      </w:r>
      <w:r>
        <w:rPr>
          <w:b/>
          <w:i/>
          <w:noProof/>
        </w:rPr>
        <w:instrText xml:space="preserve"> TOC \h \z \c "Recommendation" </w:instrText>
      </w:r>
      <w:r>
        <w:rPr>
          <w:b/>
          <w:i/>
          <w:noProof/>
        </w:rPr>
        <w:fldChar w:fldCharType="separate"/>
      </w:r>
      <w:hyperlink w:anchor="_Toc500948803" w:history="1">
        <w:r>
          <w:rPr>
            <w:rStyle w:val="Hyperlink"/>
            <w:noProof/>
          </w:rPr>
          <w:t>Препоръка 1: Организация на данъчната администрация</w:t>
        </w:r>
        <w:r>
          <w:rPr>
            <w:noProof/>
            <w:webHidden/>
          </w:rPr>
          <w:tab/>
        </w:r>
        <w:r>
          <w:rPr>
            <w:noProof/>
            <w:webHidden/>
          </w:rPr>
          <w:fldChar w:fldCharType="begin"/>
        </w:r>
        <w:r>
          <w:rPr>
            <w:noProof/>
            <w:webHidden/>
          </w:rPr>
          <w:instrText xml:space="preserve"> PAGEREF _Toc500948803 \h </w:instrText>
        </w:r>
        <w:r>
          <w:rPr>
            <w:noProof/>
            <w:webHidden/>
          </w:rPr>
        </w:r>
        <w:r>
          <w:rPr>
            <w:noProof/>
            <w:webHidden/>
          </w:rPr>
          <w:fldChar w:fldCharType="separate"/>
        </w:r>
        <w:r>
          <w:rPr>
            <w:noProof/>
            <w:webHidden/>
          </w:rPr>
          <w:t>6</w:t>
        </w:r>
        <w:r>
          <w:rPr>
            <w:noProof/>
            <w:webHidden/>
          </w:rPr>
          <w:fldChar w:fldCharType="end"/>
        </w:r>
      </w:hyperlink>
    </w:p>
    <w:p>
      <w:pPr>
        <w:pStyle w:val="TableofFigures"/>
        <w:tabs>
          <w:tab w:val="right" w:leader="dot" w:pos="9061"/>
        </w:tabs>
        <w:rPr>
          <w:rFonts w:asciiTheme="minorHAnsi" w:eastAsiaTheme="minorEastAsia" w:hAnsiTheme="minorHAnsi" w:cstheme="minorBidi"/>
          <w:noProof/>
          <w:sz w:val="22"/>
          <w:szCs w:val="22"/>
          <w:lang w:val="en-GB" w:eastAsia="en-GB" w:bidi="ar-SA"/>
        </w:rPr>
      </w:pPr>
      <w:hyperlink w:anchor="_Toc500948804" w:history="1">
        <w:r>
          <w:rPr>
            <w:rStyle w:val="Hyperlink"/>
            <w:b/>
            <w:noProof/>
          </w:rPr>
          <w:t xml:space="preserve">Препоръка </w:t>
        </w:r>
        <w:r>
          <w:rPr>
            <w:rStyle w:val="Hyperlink"/>
            <w:noProof/>
          </w:rPr>
          <w:t>2</w:t>
        </w:r>
        <w:r>
          <w:rPr>
            <w:rStyle w:val="Hyperlink"/>
            <w:b/>
            <w:noProof/>
          </w:rPr>
          <w:t>: Цифровизация и информационни технологии</w:t>
        </w:r>
        <w:r>
          <w:rPr>
            <w:noProof/>
            <w:webHidden/>
          </w:rPr>
          <w:tab/>
        </w:r>
        <w:r>
          <w:rPr>
            <w:noProof/>
            <w:webHidden/>
          </w:rPr>
          <w:fldChar w:fldCharType="begin"/>
        </w:r>
        <w:r>
          <w:rPr>
            <w:noProof/>
            <w:webHidden/>
          </w:rPr>
          <w:instrText xml:space="preserve"> PAGEREF _Toc500948804 \h </w:instrText>
        </w:r>
        <w:r>
          <w:rPr>
            <w:noProof/>
            <w:webHidden/>
          </w:rPr>
        </w:r>
        <w:r>
          <w:rPr>
            <w:noProof/>
            <w:webHidden/>
          </w:rPr>
          <w:fldChar w:fldCharType="separate"/>
        </w:r>
        <w:r>
          <w:rPr>
            <w:noProof/>
            <w:webHidden/>
          </w:rPr>
          <w:t>8</w:t>
        </w:r>
        <w:r>
          <w:rPr>
            <w:noProof/>
            <w:webHidden/>
          </w:rPr>
          <w:fldChar w:fldCharType="end"/>
        </w:r>
      </w:hyperlink>
    </w:p>
    <w:p>
      <w:pPr>
        <w:pStyle w:val="TableofFigures"/>
        <w:tabs>
          <w:tab w:val="right" w:leader="dot" w:pos="9061"/>
        </w:tabs>
        <w:rPr>
          <w:rFonts w:asciiTheme="minorHAnsi" w:eastAsiaTheme="minorEastAsia" w:hAnsiTheme="minorHAnsi" w:cstheme="minorBidi"/>
          <w:noProof/>
          <w:sz w:val="22"/>
          <w:szCs w:val="22"/>
          <w:lang w:val="en-GB" w:eastAsia="en-GB" w:bidi="ar-SA"/>
        </w:rPr>
      </w:pPr>
      <w:hyperlink w:anchor="_Toc500948805" w:history="1">
        <w:r>
          <w:rPr>
            <w:rStyle w:val="Hyperlink"/>
            <w:noProof/>
          </w:rPr>
          <w:t>Препоръка 3: Изчисляване и анализ на неизпълнението на потенциалните приходи от ДДС</w:t>
        </w:r>
        <w:r>
          <w:rPr>
            <w:noProof/>
            <w:webHidden/>
          </w:rPr>
          <w:tab/>
        </w:r>
        <w:r>
          <w:rPr>
            <w:noProof/>
            <w:webHidden/>
          </w:rPr>
          <w:fldChar w:fldCharType="begin"/>
        </w:r>
        <w:r>
          <w:rPr>
            <w:noProof/>
            <w:webHidden/>
          </w:rPr>
          <w:instrText xml:space="preserve"> PAGEREF _Toc500948805 \h </w:instrText>
        </w:r>
        <w:r>
          <w:rPr>
            <w:noProof/>
            <w:webHidden/>
          </w:rPr>
        </w:r>
        <w:r>
          <w:rPr>
            <w:noProof/>
            <w:webHidden/>
          </w:rPr>
          <w:fldChar w:fldCharType="separate"/>
        </w:r>
        <w:r>
          <w:rPr>
            <w:noProof/>
            <w:webHidden/>
          </w:rPr>
          <w:t>8</w:t>
        </w:r>
        <w:r>
          <w:rPr>
            <w:noProof/>
            <w:webHidden/>
          </w:rPr>
          <w:fldChar w:fldCharType="end"/>
        </w:r>
      </w:hyperlink>
    </w:p>
    <w:p>
      <w:pPr>
        <w:pStyle w:val="TableofFigures"/>
        <w:tabs>
          <w:tab w:val="right" w:leader="dot" w:pos="9061"/>
        </w:tabs>
        <w:rPr>
          <w:rFonts w:asciiTheme="minorHAnsi" w:eastAsiaTheme="minorEastAsia" w:hAnsiTheme="minorHAnsi" w:cstheme="minorBidi"/>
          <w:noProof/>
          <w:sz w:val="22"/>
          <w:szCs w:val="22"/>
          <w:lang w:val="en-GB" w:eastAsia="en-GB" w:bidi="ar-SA"/>
        </w:rPr>
      </w:pPr>
      <w:hyperlink w:anchor="_Toc500948806" w:history="1">
        <w:r>
          <w:rPr>
            <w:rStyle w:val="Hyperlink"/>
            <w:noProof/>
          </w:rPr>
          <w:t>Препоръка 4: Регистрация за целите на ДДС за чуждестранни данъкоплатци</w:t>
        </w:r>
        <w:r>
          <w:rPr>
            <w:noProof/>
            <w:webHidden/>
          </w:rPr>
          <w:tab/>
        </w:r>
        <w:r>
          <w:rPr>
            <w:noProof/>
            <w:webHidden/>
          </w:rPr>
          <w:fldChar w:fldCharType="begin"/>
        </w:r>
        <w:r>
          <w:rPr>
            <w:noProof/>
            <w:webHidden/>
          </w:rPr>
          <w:instrText xml:space="preserve"> PAGEREF _Toc500948806 \h </w:instrText>
        </w:r>
        <w:r>
          <w:rPr>
            <w:noProof/>
            <w:webHidden/>
          </w:rPr>
        </w:r>
        <w:r>
          <w:rPr>
            <w:noProof/>
            <w:webHidden/>
          </w:rPr>
          <w:fldChar w:fldCharType="separate"/>
        </w:r>
        <w:r>
          <w:rPr>
            <w:noProof/>
            <w:webHidden/>
          </w:rPr>
          <w:t>10</w:t>
        </w:r>
        <w:r>
          <w:rPr>
            <w:noProof/>
            <w:webHidden/>
          </w:rPr>
          <w:fldChar w:fldCharType="end"/>
        </w:r>
      </w:hyperlink>
    </w:p>
    <w:p>
      <w:pPr>
        <w:pStyle w:val="TableofFigures"/>
        <w:tabs>
          <w:tab w:val="right" w:leader="dot" w:pos="9061"/>
        </w:tabs>
        <w:rPr>
          <w:rFonts w:asciiTheme="minorHAnsi" w:eastAsiaTheme="minorEastAsia" w:hAnsiTheme="minorHAnsi" w:cstheme="minorBidi"/>
          <w:noProof/>
          <w:sz w:val="22"/>
          <w:szCs w:val="22"/>
          <w:lang w:val="en-GB" w:eastAsia="en-GB" w:bidi="ar-SA"/>
        </w:rPr>
      </w:pPr>
      <w:hyperlink w:anchor="_Toc500948807" w:history="1">
        <w:r>
          <w:rPr>
            <w:rStyle w:val="Hyperlink"/>
            <w:noProof/>
          </w:rPr>
          <w:t>Препоръка 5: Идентификационни номера за целите на ДДС</w:t>
        </w:r>
        <w:r>
          <w:rPr>
            <w:noProof/>
            <w:webHidden/>
          </w:rPr>
          <w:tab/>
        </w:r>
        <w:r>
          <w:rPr>
            <w:noProof/>
            <w:webHidden/>
          </w:rPr>
          <w:fldChar w:fldCharType="begin"/>
        </w:r>
        <w:r>
          <w:rPr>
            <w:noProof/>
            <w:webHidden/>
          </w:rPr>
          <w:instrText xml:space="preserve"> PAGEREF _Toc500948807 \h </w:instrText>
        </w:r>
        <w:r>
          <w:rPr>
            <w:noProof/>
            <w:webHidden/>
          </w:rPr>
        </w:r>
        <w:r>
          <w:rPr>
            <w:noProof/>
            <w:webHidden/>
          </w:rPr>
          <w:fldChar w:fldCharType="separate"/>
        </w:r>
        <w:r>
          <w:rPr>
            <w:noProof/>
            <w:webHidden/>
          </w:rPr>
          <w:t>11</w:t>
        </w:r>
        <w:r>
          <w:rPr>
            <w:noProof/>
            <w:webHidden/>
          </w:rPr>
          <w:fldChar w:fldCharType="end"/>
        </w:r>
      </w:hyperlink>
    </w:p>
    <w:p>
      <w:pPr>
        <w:pStyle w:val="TableofFigures"/>
        <w:tabs>
          <w:tab w:val="right" w:leader="dot" w:pos="9061"/>
        </w:tabs>
        <w:rPr>
          <w:rFonts w:asciiTheme="minorHAnsi" w:eastAsiaTheme="minorEastAsia" w:hAnsiTheme="minorHAnsi" w:cstheme="minorBidi"/>
          <w:noProof/>
          <w:sz w:val="22"/>
          <w:szCs w:val="22"/>
          <w:lang w:val="en-GB" w:eastAsia="en-GB" w:bidi="ar-SA"/>
        </w:rPr>
      </w:pPr>
      <w:hyperlink w:anchor="_Toc500948808" w:history="1">
        <w:r>
          <w:rPr>
            <w:rStyle w:val="Hyperlink"/>
            <w:noProof/>
          </w:rPr>
          <w:t>Препоръка 6: Валидност на регистрацията за целите на ДДС и регистрацията във VІЕS</w:t>
        </w:r>
        <w:r>
          <w:rPr>
            <w:noProof/>
            <w:webHidden/>
          </w:rPr>
          <w:tab/>
        </w:r>
        <w:r>
          <w:rPr>
            <w:noProof/>
            <w:webHidden/>
          </w:rPr>
          <w:fldChar w:fldCharType="begin"/>
        </w:r>
        <w:r>
          <w:rPr>
            <w:noProof/>
            <w:webHidden/>
          </w:rPr>
          <w:instrText xml:space="preserve"> PAGEREF _Toc500948808 \h </w:instrText>
        </w:r>
        <w:r>
          <w:rPr>
            <w:noProof/>
            <w:webHidden/>
          </w:rPr>
        </w:r>
        <w:r>
          <w:rPr>
            <w:noProof/>
            <w:webHidden/>
          </w:rPr>
          <w:fldChar w:fldCharType="separate"/>
        </w:r>
        <w:r>
          <w:rPr>
            <w:noProof/>
            <w:webHidden/>
          </w:rPr>
          <w:t>11</w:t>
        </w:r>
        <w:r>
          <w:rPr>
            <w:noProof/>
            <w:webHidden/>
          </w:rPr>
          <w:fldChar w:fldCharType="end"/>
        </w:r>
      </w:hyperlink>
    </w:p>
    <w:p>
      <w:pPr>
        <w:pStyle w:val="TableofFigures"/>
        <w:tabs>
          <w:tab w:val="right" w:leader="dot" w:pos="9061"/>
        </w:tabs>
        <w:rPr>
          <w:rFonts w:asciiTheme="minorHAnsi" w:eastAsiaTheme="minorEastAsia" w:hAnsiTheme="minorHAnsi" w:cstheme="minorBidi"/>
          <w:noProof/>
          <w:sz w:val="22"/>
          <w:szCs w:val="22"/>
          <w:lang w:val="en-GB" w:eastAsia="en-GB" w:bidi="ar-SA"/>
        </w:rPr>
      </w:pPr>
      <w:hyperlink w:anchor="_Toc500948809" w:history="1">
        <w:r>
          <w:rPr>
            <w:rStyle w:val="Hyperlink"/>
            <w:noProof/>
          </w:rPr>
          <w:t>Препоръка 7: Проверки след регистрацията</w:t>
        </w:r>
        <w:r>
          <w:rPr>
            <w:noProof/>
            <w:webHidden/>
          </w:rPr>
          <w:tab/>
        </w:r>
        <w:r>
          <w:rPr>
            <w:noProof/>
            <w:webHidden/>
          </w:rPr>
          <w:fldChar w:fldCharType="begin"/>
        </w:r>
        <w:r>
          <w:rPr>
            <w:noProof/>
            <w:webHidden/>
          </w:rPr>
          <w:instrText xml:space="preserve"> PAGEREF _Toc500948809 \h </w:instrText>
        </w:r>
        <w:r>
          <w:rPr>
            <w:noProof/>
            <w:webHidden/>
          </w:rPr>
        </w:r>
        <w:r>
          <w:rPr>
            <w:noProof/>
            <w:webHidden/>
          </w:rPr>
          <w:fldChar w:fldCharType="separate"/>
        </w:r>
        <w:r>
          <w:rPr>
            <w:noProof/>
            <w:webHidden/>
          </w:rPr>
          <w:t>13</w:t>
        </w:r>
        <w:r>
          <w:rPr>
            <w:noProof/>
            <w:webHidden/>
          </w:rPr>
          <w:fldChar w:fldCharType="end"/>
        </w:r>
      </w:hyperlink>
    </w:p>
    <w:p>
      <w:pPr>
        <w:pStyle w:val="TableofFigures"/>
        <w:tabs>
          <w:tab w:val="right" w:leader="dot" w:pos="9061"/>
        </w:tabs>
        <w:rPr>
          <w:rFonts w:asciiTheme="minorHAnsi" w:eastAsiaTheme="minorEastAsia" w:hAnsiTheme="minorHAnsi" w:cstheme="minorBidi"/>
          <w:noProof/>
          <w:sz w:val="22"/>
          <w:szCs w:val="22"/>
          <w:lang w:val="en-GB" w:eastAsia="en-GB" w:bidi="ar-SA"/>
        </w:rPr>
      </w:pPr>
      <w:hyperlink w:anchor="_Toc500948810" w:history="1">
        <w:r>
          <w:rPr>
            <w:rStyle w:val="Hyperlink"/>
            <w:noProof/>
          </w:rPr>
          <w:t>Препоръка 8: Проверки след регистрацията</w:t>
        </w:r>
        <w:r>
          <w:rPr>
            <w:noProof/>
            <w:webHidden/>
          </w:rPr>
          <w:tab/>
        </w:r>
        <w:r>
          <w:rPr>
            <w:noProof/>
            <w:webHidden/>
          </w:rPr>
          <w:fldChar w:fldCharType="begin"/>
        </w:r>
        <w:r>
          <w:rPr>
            <w:noProof/>
            <w:webHidden/>
          </w:rPr>
          <w:instrText xml:space="preserve"> PAGEREF _Toc500948810 \h </w:instrText>
        </w:r>
        <w:r>
          <w:rPr>
            <w:noProof/>
            <w:webHidden/>
          </w:rPr>
        </w:r>
        <w:r>
          <w:rPr>
            <w:noProof/>
            <w:webHidden/>
          </w:rPr>
          <w:fldChar w:fldCharType="separate"/>
        </w:r>
        <w:r>
          <w:rPr>
            <w:noProof/>
            <w:webHidden/>
          </w:rPr>
          <w:t>17</w:t>
        </w:r>
        <w:r>
          <w:rPr>
            <w:noProof/>
            <w:webHidden/>
          </w:rPr>
          <w:fldChar w:fldCharType="end"/>
        </w:r>
      </w:hyperlink>
    </w:p>
    <w:p>
      <w:pPr>
        <w:pStyle w:val="TableofFigures"/>
        <w:tabs>
          <w:tab w:val="right" w:leader="dot" w:pos="9061"/>
        </w:tabs>
        <w:rPr>
          <w:rFonts w:asciiTheme="minorHAnsi" w:eastAsiaTheme="minorEastAsia" w:hAnsiTheme="minorHAnsi" w:cstheme="minorBidi"/>
          <w:noProof/>
          <w:sz w:val="22"/>
          <w:szCs w:val="22"/>
          <w:lang w:val="en-GB" w:eastAsia="en-GB" w:bidi="ar-SA"/>
        </w:rPr>
      </w:pPr>
      <w:hyperlink w:anchor="_Toc500948811" w:history="1">
        <w:r>
          <w:rPr>
            <w:rStyle w:val="Hyperlink"/>
            <w:noProof/>
          </w:rPr>
          <w:t>Препоръка 9: Забавено възстановяване на ДДС</w:t>
        </w:r>
        <w:r>
          <w:rPr>
            <w:noProof/>
            <w:webHidden/>
          </w:rPr>
          <w:tab/>
        </w:r>
        <w:r>
          <w:rPr>
            <w:noProof/>
            <w:webHidden/>
          </w:rPr>
          <w:fldChar w:fldCharType="begin"/>
        </w:r>
        <w:r>
          <w:rPr>
            <w:noProof/>
            <w:webHidden/>
          </w:rPr>
          <w:instrText xml:space="preserve"> PAGEREF _Toc500948811 \h </w:instrText>
        </w:r>
        <w:r>
          <w:rPr>
            <w:noProof/>
            <w:webHidden/>
          </w:rPr>
        </w:r>
        <w:r>
          <w:rPr>
            <w:noProof/>
            <w:webHidden/>
          </w:rPr>
          <w:fldChar w:fldCharType="separate"/>
        </w:r>
        <w:r>
          <w:rPr>
            <w:noProof/>
            <w:webHidden/>
          </w:rPr>
          <w:t>17</w:t>
        </w:r>
        <w:r>
          <w:rPr>
            <w:noProof/>
            <w:webHidden/>
          </w:rPr>
          <w:fldChar w:fldCharType="end"/>
        </w:r>
      </w:hyperlink>
    </w:p>
    <w:p>
      <w:pPr>
        <w:pStyle w:val="TableofFigures"/>
        <w:tabs>
          <w:tab w:val="right" w:leader="dot" w:pos="9061"/>
        </w:tabs>
        <w:rPr>
          <w:rFonts w:asciiTheme="minorHAnsi" w:eastAsiaTheme="minorEastAsia" w:hAnsiTheme="minorHAnsi" w:cstheme="minorBidi"/>
          <w:noProof/>
          <w:sz w:val="22"/>
          <w:szCs w:val="22"/>
          <w:lang w:val="en-GB" w:eastAsia="en-GB" w:bidi="ar-SA"/>
        </w:rPr>
      </w:pPr>
      <w:hyperlink w:anchor="_Toc500948812" w:history="1">
        <w:r>
          <w:rPr>
            <w:rStyle w:val="Hyperlink"/>
            <w:noProof/>
          </w:rPr>
          <w:t>Препоръка 10: Стратегия за ревизия и спазване на изискванията</w:t>
        </w:r>
        <w:r>
          <w:rPr>
            <w:noProof/>
            <w:webHidden/>
          </w:rPr>
          <w:tab/>
        </w:r>
        <w:r>
          <w:rPr>
            <w:noProof/>
            <w:webHidden/>
          </w:rPr>
          <w:fldChar w:fldCharType="begin"/>
        </w:r>
        <w:r>
          <w:rPr>
            <w:noProof/>
            <w:webHidden/>
          </w:rPr>
          <w:instrText xml:space="preserve"> PAGEREF _Toc500948812 \h </w:instrText>
        </w:r>
        <w:r>
          <w:rPr>
            <w:noProof/>
            <w:webHidden/>
          </w:rPr>
        </w:r>
        <w:r>
          <w:rPr>
            <w:noProof/>
            <w:webHidden/>
          </w:rPr>
          <w:fldChar w:fldCharType="separate"/>
        </w:r>
        <w:r>
          <w:rPr>
            <w:noProof/>
            <w:webHidden/>
          </w:rPr>
          <w:t>19</w:t>
        </w:r>
        <w:r>
          <w:rPr>
            <w:noProof/>
            <w:webHidden/>
          </w:rPr>
          <w:fldChar w:fldCharType="end"/>
        </w:r>
      </w:hyperlink>
    </w:p>
    <w:p>
      <w:pPr>
        <w:pStyle w:val="TableofFigures"/>
        <w:tabs>
          <w:tab w:val="right" w:leader="dot" w:pos="9061"/>
        </w:tabs>
        <w:rPr>
          <w:rFonts w:asciiTheme="minorHAnsi" w:eastAsiaTheme="minorEastAsia" w:hAnsiTheme="minorHAnsi" w:cstheme="minorBidi"/>
          <w:noProof/>
          <w:sz w:val="22"/>
          <w:szCs w:val="22"/>
          <w:lang w:val="en-GB" w:eastAsia="en-GB" w:bidi="ar-SA"/>
        </w:rPr>
      </w:pPr>
      <w:hyperlink w:anchor="_Toc500948813" w:history="1">
        <w:r>
          <w:rPr>
            <w:rStyle w:val="Hyperlink"/>
            <w:noProof/>
          </w:rPr>
          <w:t>Препоръка 11: Митнически режим 42</w:t>
        </w:r>
        <w:r>
          <w:rPr>
            <w:noProof/>
            <w:webHidden/>
          </w:rPr>
          <w:tab/>
        </w:r>
        <w:r>
          <w:rPr>
            <w:noProof/>
            <w:webHidden/>
          </w:rPr>
          <w:fldChar w:fldCharType="begin"/>
        </w:r>
        <w:r>
          <w:rPr>
            <w:noProof/>
            <w:webHidden/>
          </w:rPr>
          <w:instrText xml:space="preserve"> PAGEREF _Toc500948813 \h </w:instrText>
        </w:r>
        <w:r>
          <w:rPr>
            <w:noProof/>
            <w:webHidden/>
          </w:rPr>
        </w:r>
        <w:r>
          <w:rPr>
            <w:noProof/>
            <w:webHidden/>
          </w:rPr>
          <w:fldChar w:fldCharType="separate"/>
        </w:r>
        <w:r>
          <w:rPr>
            <w:noProof/>
            <w:webHidden/>
          </w:rPr>
          <w:t>22</w:t>
        </w:r>
        <w:r>
          <w:rPr>
            <w:noProof/>
            <w:webHidden/>
          </w:rPr>
          <w:fldChar w:fldCharType="end"/>
        </w:r>
      </w:hyperlink>
    </w:p>
    <w:p>
      <w:pPr>
        <w:pStyle w:val="TableofFigures"/>
        <w:tabs>
          <w:tab w:val="right" w:leader="dot" w:pos="9061"/>
        </w:tabs>
        <w:rPr>
          <w:rFonts w:asciiTheme="minorHAnsi" w:eastAsiaTheme="minorEastAsia" w:hAnsiTheme="minorHAnsi" w:cstheme="minorBidi"/>
          <w:noProof/>
          <w:sz w:val="22"/>
          <w:szCs w:val="22"/>
        </w:rPr>
      </w:pPr>
      <w:r>
        <w:rPr>
          <w:b/>
          <w:i/>
          <w:noProof/>
        </w:rPr>
        <w:fldChar w:fldCharType="end"/>
      </w:r>
    </w:p>
    <w:p>
      <w:pPr>
        <w:pStyle w:val="ManualHeading1"/>
        <w:rPr>
          <w:noProof/>
        </w:rPr>
      </w:pPr>
      <w:r>
        <w:rPr>
          <w:noProof/>
        </w:rPr>
        <w:br w:type="page"/>
      </w:r>
      <w:bookmarkStart w:id="2" w:name="_Toc500948757"/>
      <w:r>
        <w:lastRenderedPageBreak/>
        <w:t>1.</w:t>
      </w:r>
      <w:r>
        <w:tab/>
      </w:r>
      <w:r>
        <w:rPr>
          <w:noProof/>
        </w:rPr>
        <w:t>Въведение</w:t>
      </w:r>
      <w:bookmarkEnd w:id="2"/>
    </w:p>
    <w:p>
      <w:pPr>
        <w:pStyle w:val="Text1"/>
        <w:ind w:left="0"/>
        <w:rPr>
          <w:noProof/>
        </w:rPr>
      </w:pPr>
      <w:r>
        <w:rPr>
          <w:noProof/>
        </w:rPr>
        <w:t xml:space="preserve">Съгласно член 12 от Регламент (ЕИО, Евратом) № 1553/89 на Съвета за окончателни унифицирани схеми за събирането на собствените ресурси, набирани от данък добавена стойност, от Комисията се изисква да представя на всеки три години доклад пред Европейския парламент и Съвета за процедурите, прилагани в държавите членки за регистрирането на данъчно задължените лица и за определянето и събирането на ДДС, както и за режимите и резултатите от техните системи за контрол в областта на ДДС. </w:t>
      </w:r>
    </w:p>
    <w:p>
      <w:pPr>
        <w:pStyle w:val="Text1"/>
        <w:ind w:left="0"/>
        <w:rPr>
          <w:noProof/>
        </w:rPr>
      </w:pPr>
      <w:r>
        <w:rPr>
          <w:noProof/>
        </w:rPr>
        <w:t xml:space="preserve">В настоящия осми доклад са включени новостите в периода 2013 — 2016 г. Числените данни се отнасят за периода от 2013 до 2015 г. За изготвянето на настоящия доклад Комисията събра чрез въпросник информация от данъчните органи на всички държави — членки на ЕС. Освен това, с цел да получат по-точна информация и да изяснят някои от отговорите на въпросника, службите на Комисията посетиха десет държави членки. </w:t>
      </w:r>
    </w:p>
    <w:p>
      <w:pPr>
        <w:pStyle w:val="Text1"/>
        <w:ind w:left="0"/>
        <w:rPr>
          <w:noProof/>
        </w:rPr>
      </w:pPr>
      <w:r>
        <w:rPr>
          <w:noProof/>
        </w:rPr>
        <w:t xml:space="preserve">В глава 2 от доклада се обясняват значението на ДДС и предизвикателствата пред данъчните администрации, породени от разликата между потенциалните и реално събраните приходи от ДДС. Основните констатации са представени в глава 3 от настоящия доклад, като се следват най-важните фази на администрирането на ДДС: регистрация и дерегистрация за целите на ДДС, подаване на справки-декларации за ДДС и плащане на данъка, събиране на дължимия ДДС, възстановяване на ДДС, ревизия и разследване във връзка с ДДС. Констатациите разкриват определени тенденции в администрирането на ДДС и водят до препоръки, насочени към продължаващото модернизиране на системата на ЕС за ДДС. Препоръките са представени със съответните констатации. В глава 3 се отчита изпълнението на препоръките, направени в предходния доклад по член 12 и включващи предложения за подобряване на  администрирането на данъка. Накрая, в глава 4 е изложена стратегическа концепция за администрирането на ДДС. </w:t>
      </w:r>
    </w:p>
    <w:p>
      <w:pPr>
        <w:pStyle w:val="Text1"/>
        <w:ind w:left="0"/>
        <w:rPr>
          <w:noProof/>
        </w:rPr>
      </w:pPr>
      <w:r>
        <w:rPr>
          <w:noProof/>
        </w:rPr>
        <w:t>Настоящият доклад е изготвен въз основа на информацията, получена от националните данъчни администрации. Качеството и точността на данните варираха в широки граници. Освен това, тъй като организацията на данъчните администрации се основава все повече на интегрирани процеси за събиране на всички видове данъци, понякога беше трудно от по-широката структура на администриране на данъците да се изолират специфичните въпроси, свързани с ДДС. И на последно място, извън обхвата на настоящия доклад остават социално-политическите, географските, икономическите и историческите особености, които оказват влияние върху структурата и организацията на една национална система за събиране и контрол на ДДС.</w:t>
      </w:r>
    </w:p>
    <w:p>
      <w:pPr>
        <w:pStyle w:val="ManualHeading1"/>
        <w:rPr>
          <w:noProof/>
        </w:rPr>
      </w:pPr>
      <w:bookmarkStart w:id="3" w:name="_Toc500948758"/>
      <w:r>
        <w:t>2.</w:t>
      </w:r>
      <w:r>
        <w:tab/>
      </w:r>
      <w:r>
        <w:rPr>
          <w:noProof/>
        </w:rPr>
        <w:t>Значението на ДДС като приход на ЕС</w:t>
      </w:r>
      <w:bookmarkEnd w:id="3"/>
      <w:r>
        <w:rPr>
          <w:noProof/>
        </w:rPr>
        <w:t xml:space="preserve"> </w:t>
      </w:r>
    </w:p>
    <w:p>
      <w:pPr>
        <w:spacing w:after="240"/>
        <w:jc w:val="both"/>
        <w:rPr>
          <w:rFonts w:ascii="Times New Roman" w:hAnsi="Times New Roman" w:cs="Times New Roman"/>
          <w:noProof/>
          <w:sz w:val="24"/>
          <w:szCs w:val="24"/>
        </w:rPr>
      </w:pPr>
      <w:r>
        <w:rPr>
          <w:rFonts w:ascii="Times New Roman" w:hAnsi="Times New Roman"/>
          <w:b/>
          <w:noProof/>
          <w:sz w:val="24"/>
        </w:rPr>
        <w:t>Приходите от ДДС</w:t>
      </w:r>
      <w:r>
        <w:rPr>
          <w:rFonts w:ascii="Times New Roman" w:hAnsi="Times New Roman"/>
          <w:noProof/>
          <w:sz w:val="24"/>
        </w:rPr>
        <w:t xml:space="preserve"> са важен източник на средства за бюджетите на държавите членки и на ЕС. Общите приходи от собствени ресурси на база ДДС в бюджета на ЕС се увеличиха от 14,019 млрд. евро през 2013 г. до </w:t>
      </w:r>
      <w:r>
        <w:rPr>
          <w:rFonts w:ascii="Times New Roman" w:hAnsi="Times New Roman"/>
          <w:b/>
          <w:noProof/>
          <w:sz w:val="24"/>
        </w:rPr>
        <w:t>18,087 млрд.</w:t>
      </w:r>
      <w:r>
        <w:rPr>
          <w:rFonts w:ascii="Times New Roman" w:hAnsi="Times New Roman"/>
          <w:noProof/>
          <w:sz w:val="24"/>
        </w:rPr>
        <w:t xml:space="preserve"> евро през 2015 г., което отговаря на нарастване с три процентни пункта — от 9,4 % през 2013 г. до 12,4 % през 2015 г. — на относителния дял на приходите от собствени ресурси от ДДС, внесени от държавите членки в общите собствени ресурси. </w:t>
      </w:r>
    </w:p>
    <w:p>
      <w:pPr>
        <w:pStyle w:val="Caption"/>
        <w:rPr>
          <w:b w:val="0"/>
          <w:i/>
          <w:noProof/>
          <w:sz w:val="24"/>
        </w:rPr>
      </w:pPr>
      <w:bookmarkStart w:id="4" w:name="_Toc500948789"/>
      <w:r>
        <w:rPr>
          <w:i/>
          <w:noProof/>
          <w:sz w:val="24"/>
          <w:u w:val="single"/>
        </w:rPr>
        <w:t xml:space="preserve">Таблица </w:t>
      </w:r>
      <w:r>
        <w:rPr>
          <w:i/>
          <w:noProof/>
          <w:sz w:val="24"/>
          <w:szCs w:val="24"/>
          <w:u w:val="single"/>
        </w:rPr>
        <w:fldChar w:fldCharType="begin"/>
      </w:r>
      <w:r>
        <w:rPr>
          <w:i/>
          <w:noProof/>
          <w:sz w:val="24"/>
          <w:szCs w:val="24"/>
          <w:u w:val="single"/>
        </w:rPr>
        <w:instrText xml:space="preserve"> SEQ Table \* ARABIC </w:instrText>
      </w:r>
      <w:r>
        <w:rPr>
          <w:i/>
          <w:noProof/>
          <w:sz w:val="24"/>
          <w:szCs w:val="24"/>
          <w:u w:val="single"/>
        </w:rPr>
        <w:fldChar w:fldCharType="separate"/>
      </w:r>
      <w:r>
        <w:rPr>
          <w:i/>
          <w:noProof/>
          <w:sz w:val="24"/>
          <w:szCs w:val="24"/>
          <w:u w:val="single"/>
        </w:rPr>
        <w:t>1</w:t>
      </w:r>
      <w:r>
        <w:rPr>
          <w:i/>
          <w:noProof/>
          <w:sz w:val="24"/>
          <w:szCs w:val="24"/>
          <w:u w:val="single"/>
        </w:rPr>
        <w:fldChar w:fldCharType="end"/>
      </w:r>
      <w:r>
        <w:rPr>
          <w:b w:val="0"/>
          <w:i/>
          <w:noProof/>
          <w:sz w:val="24"/>
          <w:u w:val="single"/>
        </w:rPr>
        <w:t>:</w:t>
      </w:r>
      <w:r>
        <w:rPr>
          <w:i/>
          <w:noProof/>
          <w:sz w:val="24"/>
        </w:rPr>
        <w:t xml:space="preserve"> </w:t>
      </w:r>
      <w:r>
        <w:rPr>
          <w:b w:val="0"/>
          <w:i/>
          <w:noProof/>
          <w:sz w:val="24"/>
        </w:rPr>
        <w:t>Общи приходи на ЕС от собствените ресурси от ДДС през отчетния период (2013 — 2015 г.)</w:t>
      </w:r>
      <w:bookmarkEnd w:id="4"/>
    </w:p>
    <w:tbl>
      <w:tblPr>
        <w:tblW w:w="4701" w:type="pct"/>
        <w:tblInd w:w="144" w:type="dxa"/>
        <w:tblBorders>
          <w:insideH w:val="single" w:sz="8" w:space="0" w:color="1F497D" w:themeColor="text2"/>
        </w:tblBorders>
        <w:tblCellMar>
          <w:left w:w="144" w:type="dxa"/>
          <w:right w:w="144" w:type="dxa"/>
        </w:tblCellMar>
        <w:tblLook w:val="04A0" w:firstRow="1" w:lastRow="0" w:firstColumn="1" w:lastColumn="0" w:noHBand="0" w:noVBand="1"/>
      </w:tblPr>
      <w:tblGrid>
        <w:gridCol w:w="2980"/>
        <w:gridCol w:w="3118"/>
        <w:gridCol w:w="2701"/>
      </w:tblGrid>
      <w:tr>
        <w:trPr>
          <w:trHeight w:val="633"/>
        </w:trPr>
        <w:tc>
          <w:tcPr>
            <w:tcW w:w="1693" w:type="pct"/>
            <w:tcBorders>
              <w:bottom w:val="single" w:sz="12" w:space="0" w:color="1F497D" w:themeColor="text2"/>
            </w:tcBorders>
            <w:vAlign w:val="center"/>
          </w:tcPr>
          <w:p>
            <w:pPr>
              <w:spacing w:after="0"/>
              <w:rPr>
                <w:rFonts w:ascii="Times New Roman" w:hAnsi="Times New Roman" w:cs="Times New Roman"/>
                <w:noProof/>
                <w:u w:val="single"/>
              </w:rPr>
            </w:pPr>
            <w:r>
              <w:rPr>
                <w:rFonts w:ascii="Times New Roman" w:hAnsi="Times New Roman"/>
                <w:noProof/>
                <w:u w:val="single"/>
              </w:rPr>
              <w:t>СОБСТВЕНИ РЕСУРСИ ОТ ДДС</w:t>
            </w:r>
            <w:r>
              <w:rPr>
                <w:rFonts w:ascii="Times New Roman" w:hAnsi="Times New Roman" w:cs="Times New Roman"/>
                <w:noProof/>
                <w:u w:val="single"/>
              </w:rPr>
              <w:t xml:space="preserve"> </w:t>
            </w:r>
            <w:r>
              <w:rPr>
                <w:rFonts w:ascii="Times New Roman" w:hAnsi="Times New Roman"/>
                <w:noProof/>
              </w:rPr>
              <w:t>(в млн. евро)</w:t>
            </w:r>
          </w:p>
        </w:tc>
        <w:tc>
          <w:tcPr>
            <w:tcW w:w="1772" w:type="pct"/>
            <w:tcBorders>
              <w:bottom w:val="single" w:sz="12" w:space="0" w:color="1F497D" w:themeColor="text2"/>
            </w:tcBorders>
            <w:vAlign w:val="center"/>
          </w:tcPr>
          <w:p>
            <w:pPr>
              <w:spacing w:after="0"/>
              <w:rPr>
                <w:rFonts w:ascii="Times New Roman" w:hAnsi="Times New Roman" w:cs="Times New Roman"/>
                <w:b/>
                <w:noProof/>
              </w:rPr>
            </w:pPr>
            <w:r>
              <w:rPr>
                <w:rFonts w:ascii="Times New Roman" w:hAnsi="Times New Roman"/>
                <w:noProof/>
              </w:rPr>
              <w:t>Общи приходи на ЕС от ДДС</w:t>
            </w:r>
          </w:p>
        </w:tc>
        <w:tc>
          <w:tcPr>
            <w:tcW w:w="1535" w:type="pct"/>
            <w:tcBorders>
              <w:bottom w:val="single" w:sz="12" w:space="0" w:color="1F497D" w:themeColor="text2"/>
            </w:tcBorders>
            <w:vAlign w:val="center"/>
          </w:tcPr>
          <w:p>
            <w:pPr>
              <w:spacing w:after="0"/>
              <w:rPr>
                <w:rFonts w:ascii="Times New Roman" w:hAnsi="Times New Roman" w:cs="Times New Roman"/>
                <w:b/>
                <w:noProof/>
              </w:rPr>
            </w:pPr>
            <w:r>
              <w:rPr>
                <w:rFonts w:ascii="Times New Roman" w:hAnsi="Times New Roman"/>
                <w:noProof/>
              </w:rPr>
              <w:t>Процент от общите приходи на ЕС</w:t>
            </w:r>
          </w:p>
        </w:tc>
      </w:tr>
      <w:tr>
        <w:trPr>
          <w:trHeight w:val="444"/>
        </w:trPr>
        <w:tc>
          <w:tcPr>
            <w:tcW w:w="1693" w:type="pct"/>
            <w:tcBorders>
              <w:top w:val="single" w:sz="12" w:space="0" w:color="1F497D" w:themeColor="text2"/>
              <w:bottom w:val="single" w:sz="8" w:space="0" w:color="1F497D" w:themeColor="text2"/>
            </w:tcBorders>
            <w:vAlign w:val="center"/>
          </w:tcPr>
          <w:p>
            <w:pPr>
              <w:spacing w:after="0"/>
              <w:rPr>
                <w:rFonts w:ascii="Times New Roman" w:hAnsi="Times New Roman" w:cs="Times New Roman"/>
                <w:noProof/>
                <w:color w:val="015685"/>
                <w:sz w:val="20"/>
              </w:rPr>
            </w:pPr>
            <w:r>
              <w:rPr>
                <w:rFonts w:ascii="Times New Roman" w:hAnsi="Times New Roman"/>
                <w:noProof/>
                <w:color w:val="015685"/>
                <w:sz w:val="20"/>
              </w:rPr>
              <w:t>2013 г.</w:t>
            </w:r>
          </w:p>
        </w:tc>
        <w:tc>
          <w:tcPr>
            <w:tcW w:w="1772" w:type="pct"/>
            <w:tcBorders>
              <w:top w:val="single" w:sz="12" w:space="0" w:color="1F497D" w:themeColor="text2"/>
              <w:bottom w:val="single" w:sz="8" w:space="0" w:color="1F497D" w:themeColor="text2"/>
            </w:tcBorders>
            <w:vAlign w:val="center"/>
          </w:tcPr>
          <w:p>
            <w:pPr>
              <w:spacing w:after="0"/>
              <w:rPr>
                <w:rFonts w:ascii="Times New Roman" w:hAnsi="Times New Roman" w:cs="Times New Roman"/>
                <w:b/>
                <w:noProof/>
                <w:color w:val="015685"/>
                <w:sz w:val="20"/>
              </w:rPr>
            </w:pPr>
            <w:r>
              <w:rPr>
                <w:rFonts w:ascii="Times New Roman" w:hAnsi="Times New Roman"/>
                <w:b/>
                <w:noProof/>
                <w:color w:val="015685"/>
                <w:sz w:val="20"/>
              </w:rPr>
              <w:t>14 019</w:t>
            </w:r>
          </w:p>
        </w:tc>
        <w:tc>
          <w:tcPr>
            <w:tcW w:w="1535" w:type="pct"/>
            <w:tcBorders>
              <w:top w:val="single" w:sz="12" w:space="0" w:color="1F497D" w:themeColor="text2"/>
              <w:bottom w:val="single" w:sz="8" w:space="0" w:color="1F497D" w:themeColor="text2"/>
            </w:tcBorders>
            <w:vAlign w:val="center"/>
          </w:tcPr>
          <w:p>
            <w:pPr>
              <w:spacing w:after="0"/>
              <w:rPr>
                <w:rFonts w:ascii="Times New Roman" w:hAnsi="Times New Roman" w:cs="Times New Roman"/>
                <w:b/>
                <w:noProof/>
                <w:color w:val="015685"/>
                <w:sz w:val="20"/>
              </w:rPr>
            </w:pPr>
            <w:r>
              <w:rPr>
                <w:rFonts w:ascii="Times New Roman" w:hAnsi="Times New Roman"/>
                <w:b/>
                <w:noProof/>
                <w:color w:val="015685"/>
                <w:sz w:val="20"/>
              </w:rPr>
              <w:t>9,4 %</w:t>
            </w:r>
          </w:p>
        </w:tc>
      </w:tr>
      <w:tr>
        <w:trPr>
          <w:trHeight w:val="444"/>
        </w:trPr>
        <w:tc>
          <w:tcPr>
            <w:tcW w:w="1693" w:type="pct"/>
            <w:tcBorders>
              <w:top w:val="single" w:sz="8" w:space="0" w:color="1F497D" w:themeColor="text2"/>
            </w:tcBorders>
            <w:vAlign w:val="center"/>
          </w:tcPr>
          <w:p>
            <w:pPr>
              <w:spacing w:after="0"/>
              <w:rPr>
                <w:rFonts w:ascii="Times New Roman" w:hAnsi="Times New Roman" w:cs="Times New Roman"/>
                <w:noProof/>
                <w:color w:val="38906C"/>
                <w:sz w:val="20"/>
              </w:rPr>
            </w:pPr>
            <w:r>
              <w:rPr>
                <w:rFonts w:ascii="Times New Roman" w:hAnsi="Times New Roman"/>
                <w:noProof/>
                <w:color w:val="38906C"/>
                <w:sz w:val="20"/>
              </w:rPr>
              <w:t>2014 г.</w:t>
            </w:r>
          </w:p>
        </w:tc>
        <w:tc>
          <w:tcPr>
            <w:tcW w:w="1772" w:type="pct"/>
            <w:tcBorders>
              <w:top w:val="single" w:sz="8" w:space="0" w:color="1F497D" w:themeColor="text2"/>
            </w:tcBorders>
            <w:vAlign w:val="center"/>
          </w:tcPr>
          <w:p>
            <w:pPr>
              <w:spacing w:after="0"/>
              <w:rPr>
                <w:rFonts w:ascii="Times New Roman" w:hAnsi="Times New Roman" w:cs="Times New Roman"/>
                <w:b/>
                <w:noProof/>
                <w:color w:val="38906C"/>
                <w:sz w:val="20"/>
              </w:rPr>
            </w:pPr>
            <w:r>
              <w:rPr>
                <w:rFonts w:ascii="Times New Roman" w:hAnsi="Times New Roman"/>
                <w:b/>
                <w:noProof/>
                <w:color w:val="38906C"/>
                <w:sz w:val="20"/>
              </w:rPr>
              <w:t>17 667</w:t>
            </w:r>
          </w:p>
        </w:tc>
        <w:tc>
          <w:tcPr>
            <w:tcW w:w="1535" w:type="pct"/>
            <w:tcBorders>
              <w:top w:val="single" w:sz="8" w:space="0" w:color="1F497D" w:themeColor="text2"/>
            </w:tcBorders>
            <w:vAlign w:val="center"/>
          </w:tcPr>
          <w:p>
            <w:pPr>
              <w:spacing w:after="0"/>
              <w:rPr>
                <w:rFonts w:ascii="Times New Roman" w:hAnsi="Times New Roman" w:cs="Times New Roman"/>
                <w:b/>
                <w:noProof/>
                <w:color w:val="38906C"/>
                <w:sz w:val="20"/>
              </w:rPr>
            </w:pPr>
            <w:r>
              <w:rPr>
                <w:rFonts w:ascii="Times New Roman" w:hAnsi="Times New Roman"/>
                <w:b/>
                <w:noProof/>
                <w:color w:val="38906C"/>
                <w:sz w:val="20"/>
              </w:rPr>
              <w:t>12,3 %</w:t>
            </w:r>
          </w:p>
        </w:tc>
      </w:tr>
      <w:tr>
        <w:trPr>
          <w:trHeight w:val="444"/>
        </w:trPr>
        <w:tc>
          <w:tcPr>
            <w:tcW w:w="1693" w:type="pct"/>
            <w:vAlign w:val="center"/>
          </w:tcPr>
          <w:p>
            <w:pPr>
              <w:spacing w:after="0"/>
              <w:rPr>
                <w:rFonts w:ascii="Times New Roman" w:hAnsi="Times New Roman" w:cs="Times New Roman"/>
                <w:noProof/>
                <w:color w:val="FE8D26"/>
                <w:sz w:val="20"/>
              </w:rPr>
            </w:pPr>
            <w:r>
              <w:rPr>
                <w:rFonts w:ascii="Times New Roman" w:hAnsi="Times New Roman"/>
                <w:noProof/>
                <w:color w:val="FE8D26"/>
                <w:sz w:val="20"/>
              </w:rPr>
              <w:t>2015 г.</w:t>
            </w:r>
          </w:p>
        </w:tc>
        <w:tc>
          <w:tcPr>
            <w:tcW w:w="1772" w:type="pct"/>
            <w:vAlign w:val="center"/>
          </w:tcPr>
          <w:p>
            <w:pPr>
              <w:spacing w:after="0"/>
              <w:rPr>
                <w:rFonts w:ascii="Times New Roman" w:hAnsi="Times New Roman" w:cs="Times New Roman"/>
                <w:b/>
                <w:noProof/>
                <w:color w:val="FE8D26"/>
                <w:sz w:val="20"/>
              </w:rPr>
            </w:pPr>
            <w:r>
              <w:rPr>
                <w:rFonts w:ascii="Times New Roman" w:hAnsi="Times New Roman"/>
                <w:b/>
                <w:noProof/>
                <w:color w:val="FE8D26"/>
                <w:sz w:val="20"/>
              </w:rPr>
              <w:t>18 087</w:t>
            </w:r>
          </w:p>
        </w:tc>
        <w:tc>
          <w:tcPr>
            <w:tcW w:w="1535" w:type="pct"/>
            <w:vAlign w:val="center"/>
          </w:tcPr>
          <w:p>
            <w:pPr>
              <w:spacing w:after="0"/>
              <w:rPr>
                <w:rFonts w:ascii="Times New Roman" w:hAnsi="Times New Roman" w:cs="Times New Roman"/>
                <w:b/>
                <w:noProof/>
                <w:color w:val="FE8D26"/>
                <w:sz w:val="20"/>
              </w:rPr>
            </w:pPr>
            <w:r>
              <w:rPr>
                <w:rFonts w:ascii="Times New Roman" w:hAnsi="Times New Roman"/>
                <w:b/>
                <w:noProof/>
                <w:color w:val="FE8D26"/>
                <w:sz w:val="20"/>
              </w:rPr>
              <w:t>12,4 %</w:t>
            </w:r>
          </w:p>
        </w:tc>
      </w:tr>
    </w:tbl>
    <w:p>
      <w:pPr>
        <w:pStyle w:val="NORMAL0"/>
        <w:spacing w:after="240" w:line="276" w:lineRule="auto"/>
        <w:rPr>
          <w:rFonts w:ascii="Times New Roman" w:eastAsiaTheme="minorHAnsi" w:hAnsi="Times New Roman" w:cs="Times New Roman"/>
          <w:i/>
          <w:noProof/>
          <w:sz w:val="18"/>
          <w:szCs w:val="18"/>
        </w:rPr>
      </w:pPr>
      <w:r>
        <w:rPr>
          <w:rFonts w:ascii="Times New Roman" w:eastAsiaTheme="minorHAnsi" w:hAnsi="Times New Roman"/>
          <w:i/>
          <w:noProof/>
          <w:sz w:val="18"/>
        </w:rPr>
        <w:t>Източник:  Бюджет на ЕС (Финансови отчети на ГД „Бюджет“ за 2013, 2014, 2015 г.)</w:t>
      </w:r>
    </w:p>
    <w:p>
      <w:pPr>
        <w:spacing w:after="240"/>
        <w:jc w:val="both"/>
        <w:rPr>
          <w:rFonts w:ascii="Times New Roman" w:hAnsi="Times New Roman" w:cs="Times New Roman"/>
          <w:noProof/>
          <w:sz w:val="24"/>
          <w:szCs w:val="24"/>
        </w:rPr>
      </w:pPr>
      <w:r>
        <w:rPr>
          <w:rFonts w:ascii="Times New Roman" w:hAnsi="Times New Roman"/>
          <w:noProof/>
          <w:sz w:val="24"/>
        </w:rPr>
        <w:t xml:space="preserve">Въпреки това в ЕС е значителен размерът на </w:t>
      </w:r>
      <w:r>
        <w:rPr>
          <w:rFonts w:ascii="Times New Roman" w:hAnsi="Times New Roman"/>
          <w:b/>
          <w:noProof/>
          <w:sz w:val="24"/>
        </w:rPr>
        <w:t>неизпълнението на потенциалните приходи от ДДС</w:t>
      </w:r>
      <w:r>
        <w:rPr>
          <w:rFonts w:ascii="Times New Roman" w:hAnsi="Times New Roman"/>
          <w:noProof/>
          <w:sz w:val="24"/>
        </w:rPr>
        <w:t xml:space="preserve">, т.е. на разликата между общо събраните приходи от ДДС и теоретичните суми, които се очаква да бъдат събрани. През периода 2011 — 2015 г. неизпълнението на потенциалните приходи от ДДС първо нарасна, достигайки максималния си размер през 2013 г., след което намаля, за да достигне най-ниския си дял през 2015 г. (около </w:t>
      </w:r>
      <w:r>
        <w:rPr>
          <w:rFonts w:ascii="Times New Roman" w:hAnsi="Times New Roman"/>
          <w:b/>
          <w:noProof/>
          <w:sz w:val="24"/>
        </w:rPr>
        <w:t>152 милиарда евро</w:t>
      </w:r>
      <w:r>
        <w:rPr>
          <w:rFonts w:ascii="Times New Roman" w:hAnsi="Times New Roman"/>
          <w:noProof/>
          <w:sz w:val="24"/>
        </w:rPr>
        <w:t>).</w:t>
      </w:r>
    </w:p>
    <w:p>
      <w:pPr>
        <w:spacing w:before="240"/>
        <w:rPr>
          <w:rFonts w:ascii="Times New Roman" w:hAnsi="Times New Roman" w:cs="Times New Roman"/>
          <w:bCs/>
          <w:i/>
          <w:noProof/>
          <w:szCs w:val="24"/>
        </w:rPr>
      </w:pPr>
      <w:bookmarkStart w:id="5" w:name="_Toc500948791"/>
      <w:r>
        <w:rPr>
          <w:rFonts w:ascii="Times New Roman" w:hAnsi="Times New Roman"/>
          <w:i/>
          <w:noProof/>
          <w:u w:val="single"/>
        </w:rPr>
        <w:t xml:space="preserve">Фигура </w:t>
      </w:r>
      <w:r>
        <w:rPr>
          <w:rFonts w:ascii="Times New Roman" w:hAnsi="Times New Roman" w:cs="Times New Roman"/>
          <w:bCs/>
          <w:i/>
          <w:noProof/>
          <w:szCs w:val="24"/>
          <w:u w:val="single"/>
        </w:rPr>
        <w:fldChar w:fldCharType="begin"/>
      </w:r>
      <w:r>
        <w:rPr>
          <w:rFonts w:ascii="Times New Roman" w:hAnsi="Times New Roman" w:cs="Times New Roman"/>
          <w:bCs/>
          <w:i/>
          <w:noProof/>
          <w:szCs w:val="24"/>
          <w:u w:val="single"/>
        </w:rPr>
        <w:instrText xml:space="preserve"> SEQ Figure \* ARABIC </w:instrText>
      </w:r>
      <w:r>
        <w:rPr>
          <w:rFonts w:ascii="Times New Roman" w:hAnsi="Times New Roman" w:cs="Times New Roman"/>
          <w:bCs/>
          <w:i/>
          <w:noProof/>
          <w:szCs w:val="24"/>
          <w:u w:val="single"/>
        </w:rPr>
        <w:fldChar w:fldCharType="separate"/>
      </w:r>
      <w:r>
        <w:rPr>
          <w:rFonts w:ascii="Times New Roman" w:hAnsi="Times New Roman" w:cs="Times New Roman"/>
          <w:bCs/>
          <w:i/>
          <w:noProof/>
          <w:szCs w:val="24"/>
          <w:u w:val="single"/>
        </w:rPr>
        <w:t>1</w:t>
      </w:r>
      <w:r>
        <w:rPr>
          <w:rFonts w:ascii="Times New Roman" w:hAnsi="Times New Roman" w:cs="Times New Roman"/>
          <w:bCs/>
          <w:i/>
          <w:noProof/>
          <w:szCs w:val="24"/>
          <w:u w:val="single"/>
        </w:rPr>
        <w:fldChar w:fldCharType="end"/>
      </w:r>
      <w:r>
        <w:rPr>
          <w:rFonts w:ascii="Times New Roman" w:hAnsi="Times New Roman"/>
          <w:i/>
          <w:noProof/>
          <w:u w:val="single"/>
        </w:rPr>
        <w:t>:</w:t>
      </w:r>
      <w:r>
        <w:rPr>
          <w:rFonts w:ascii="Times New Roman" w:hAnsi="Times New Roman"/>
          <w:i/>
          <w:noProof/>
        </w:rPr>
        <w:t xml:space="preserve"> Неизпълнение на потенциалните приходи от ДДС в ЕС за 2011 — 2015 г. (като процент от съвкупния размер на дължимия ДДС (VТТL) и в млрд. евро)</w:t>
      </w:r>
      <w:bookmarkEnd w:id="5"/>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trPr>
          <w:trHeight w:val="316"/>
        </w:trPr>
        <w:tc>
          <w:tcPr>
            <w:tcW w:w="4644" w:type="dxa"/>
            <w:vAlign w:val="center"/>
          </w:tcPr>
          <w:p>
            <w:pPr>
              <w:jc w:val="center"/>
              <w:rPr>
                <w:rFonts w:ascii="Times New Roman" w:hAnsi="Times New Roman"/>
                <w:noProof/>
              </w:rPr>
            </w:pPr>
            <w:r>
              <w:rPr>
                <w:rFonts w:ascii="Times New Roman" w:hAnsi="Times New Roman"/>
                <w:noProof/>
              </w:rPr>
              <w:t>Неизпълнение на потенциалните приходи от ДДС (като процент от VТТL)</w:t>
            </w:r>
          </w:p>
        </w:tc>
        <w:tc>
          <w:tcPr>
            <w:tcW w:w="4644" w:type="dxa"/>
            <w:vAlign w:val="center"/>
          </w:tcPr>
          <w:p>
            <w:pPr>
              <w:jc w:val="center"/>
              <w:rPr>
                <w:rFonts w:ascii="Times New Roman" w:hAnsi="Times New Roman"/>
                <w:noProof/>
              </w:rPr>
            </w:pPr>
            <w:r>
              <w:rPr>
                <w:rFonts w:ascii="Times New Roman" w:hAnsi="Times New Roman"/>
                <w:noProof/>
              </w:rPr>
              <w:t>Неизпълнение на потенциалните приходи от ДДС (в млрд. евро)</w:t>
            </w:r>
          </w:p>
        </w:tc>
      </w:tr>
      <w:tr>
        <w:trPr>
          <w:trHeight w:val="2344"/>
        </w:trPr>
        <w:tc>
          <w:tcPr>
            <w:tcW w:w="4644" w:type="dxa"/>
          </w:tcPr>
          <w:p>
            <w:pPr>
              <w:rPr>
                <w:rFonts w:ascii="Times New Roman" w:hAnsi="Times New Roman"/>
                <w:noProof/>
              </w:rPr>
            </w:pPr>
            <w:r>
              <w:rPr>
                <w:rFonts w:ascii="Times New Roman" w:hAnsi="Times New Roman"/>
                <w:noProof/>
                <w:lang w:val="en-US" w:eastAsia="en-US" w:bidi="ar-SA"/>
              </w:rPr>
              <w:drawing>
                <wp:inline distT="0" distB="0" distL="0" distR="0">
                  <wp:extent cx="2830664" cy="1558456"/>
                  <wp:effectExtent l="0" t="0" r="27305" b="22860"/>
                  <wp:docPr id="227" name="Chart 2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c>
        <w:tc>
          <w:tcPr>
            <w:tcW w:w="4644" w:type="dxa"/>
          </w:tcPr>
          <w:p>
            <w:pPr>
              <w:rPr>
                <w:rFonts w:ascii="Times New Roman" w:hAnsi="Times New Roman"/>
                <w:noProof/>
              </w:rPr>
            </w:pPr>
            <w:r>
              <w:rPr>
                <w:rFonts w:ascii="Times New Roman" w:hAnsi="Times New Roman"/>
                <w:noProof/>
                <w:lang w:val="en-US" w:eastAsia="en-US" w:bidi="ar-SA"/>
              </w:rPr>
              <w:drawing>
                <wp:inline distT="0" distB="0" distL="0" distR="0">
                  <wp:extent cx="2830664" cy="1558456"/>
                  <wp:effectExtent l="0" t="0" r="27305" b="22860"/>
                  <wp:docPr id="228" name="Chart 22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c>
      </w:tr>
    </w:tbl>
    <w:p>
      <w:pPr>
        <w:spacing w:after="240"/>
        <w:rPr>
          <w:rFonts w:ascii="Times New Roman" w:hAnsi="Times New Roman" w:cs="Times New Roman"/>
          <w:i/>
          <w:noProof/>
          <w:sz w:val="18"/>
          <w:szCs w:val="18"/>
        </w:rPr>
      </w:pPr>
      <w:r>
        <w:rPr>
          <w:rFonts w:ascii="Times New Roman" w:hAnsi="Times New Roman"/>
          <w:i/>
          <w:noProof/>
          <w:sz w:val="18"/>
        </w:rPr>
        <w:t>Източник: Проучване и доклади за неизпълнението на потенциалните приходи от ДДС в 28-те държави – членки на ЕС: окончателен доклад, 2017 г.</w:t>
      </w:r>
      <w:r>
        <w:rPr>
          <w:rStyle w:val="FootnoteReference"/>
          <w:rFonts w:ascii="Times New Roman" w:hAnsi="Times New Roman"/>
          <w:i/>
          <w:noProof/>
          <w:sz w:val="18"/>
        </w:rPr>
        <w:footnoteReference w:id="1"/>
      </w:r>
    </w:p>
    <w:p>
      <w:pPr>
        <w:jc w:val="both"/>
        <w:rPr>
          <w:rFonts w:ascii="Times New Roman" w:hAnsi="Times New Roman" w:cs="Times New Roman"/>
          <w:noProof/>
          <w:sz w:val="24"/>
          <w:szCs w:val="24"/>
        </w:rPr>
      </w:pPr>
      <w:r>
        <w:rPr>
          <w:rFonts w:ascii="Times New Roman" w:hAnsi="Times New Roman"/>
          <w:noProof/>
          <w:sz w:val="24"/>
        </w:rPr>
        <w:t>Събирането на ДДС е повлияно, наред с други неща, от ефикасността и ефективността на процесите и процедурите на данъчната администрация. Следователно ефективността на данъчната администрация оказва въздействие върху размера на собствените ресурси от ДДС, дължими на ЕС от държавите членки. Поради това управлението на системата на ДДС е ключов елемент на данъчната администрация</w:t>
      </w:r>
      <w:r>
        <w:rPr>
          <w:rStyle w:val="FootnoteReference"/>
          <w:rFonts w:ascii="Times New Roman" w:hAnsi="Times New Roman"/>
          <w:noProof/>
          <w:sz w:val="24"/>
        </w:rPr>
        <w:footnoteReference w:id="2"/>
      </w:r>
      <w:r>
        <w:rPr>
          <w:noProof/>
        </w:rPr>
        <w:t>.</w:t>
      </w:r>
    </w:p>
    <w:p>
      <w:pPr>
        <w:pStyle w:val="ManualHeading1"/>
        <w:rPr>
          <w:noProof/>
        </w:rPr>
      </w:pPr>
      <w:bookmarkStart w:id="6" w:name="_Toc500948759"/>
      <w:r>
        <w:t>3.</w:t>
      </w:r>
      <w:r>
        <w:tab/>
      </w:r>
      <w:r>
        <w:rPr>
          <w:noProof/>
        </w:rPr>
        <w:t>Основни констатации</w:t>
      </w:r>
      <w:bookmarkEnd w:id="6"/>
    </w:p>
    <w:p>
      <w:pPr>
        <w:pStyle w:val="ManualHeading2"/>
        <w:rPr>
          <w:noProof/>
          <w:szCs w:val="26"/>
        </w:rPr>
      </w:pPr>
      <w:bookmarkStart w:id="7" w:name="_Toc500948760"/>
      <w:r>
        <w:t>3.1.</w:t>
      </w:r>
      <w:r>
        <w:tab/>
      </w:r>
      <w:r>
        <w:rPr>
          <w:noProof/>
        </w:rPr>
        <w:t>Общи бележки</w:t>
      </w:r>
      <w:bookmarkEnd w:id="7"/>
    </w:p>
    <w:p>
      <w:pPr>
        <w:pStyle w:val="ManualHeading3"/>
        <w:rPr>
          <w:noProof/>
        </w:rPr>
      </w:pPr>
      <w:bookmarkStart w:id="8" w:name="_Toc500948761"/>
      <w:r>
        <w:t>3.1.1.</w:t>
      </w:r>
      <w:r>
        <w:tab/>
      </w:r>
      <w:r>
        <w:rPr>
          <w:noProof/>
        </w:rPr>
        <w:t>Организация на данъчната администрация</w:t>
      </w:r>
      <w:bookmarkEnd w:id="8"/>
    </w:p>
    <w:p>
      <w:pPr>
        <w:pStyle w:val="Text1"/>
        <w:spacing w:line="276" w:lineRule="auto"/>
        <w:ind w:left="0"/>
        <w:rPr>
          <w:noProof/>
        </w:rPr>
      </w:pPr>
      <w:r>
        <w:rPr>
          <w:noProof/>
        </w:rPr>
        <w:t xml:space="preserve">В периода 2013 — 2016 г. няколко </w:t>
      </w:r>
      <w:r>
        <w:rPr>
          <w:b/>
          <w:noProof/>
        </w:rPr>
        <w:t>държави членки реформираха или са в процес на реформиране на (части от) своята данъчна администрация</w:t>
      </w:r>
      <w:r>
        <w:rPr>
          <w:noProof/>
        </w:rPr>
        <w:t>. Продължава тенденцията за преминаване от администрация, основана на видове данъци, към данъчна администрация, организирана по видове данъкоплатци (големи предприятия, МСП и частни лица) или видове функции (регистрация, подаване на справки-декларации, плащане и пр.). Поради това вместо да има различни процеси за данъка върху добавената стойност (ДДС), корпоративния данък, личния подоходен данък и пр., тези процеси са обединени в единен процес за всички данъци. Оттук следва, че измерването на ефективността на процедурите за ДДС, посочено в член 12 от Регламента, предполага оценка на основните функции на данъчната администрация, независимо от вида на данъка.</w:t>
      </w:r>
    </w:p>
    <w:p>
      <w:pPr>
        <w:pStyle w:val="Text1"/>
        <w:spacing w:line="276" w:lineRule="auto"/>
        <w:ind w:left="0"/>
        <w:rPr>
          <w:noProof/>
        </w:rPr>
      </w:pPr>
      <w:r>
        <w:rPr>
          <w:noProof/>
        </w:rPr>
        <w:t xml:space="preserve">Данъчните органи са изправени пред нарастващи предизвикателства, които често се възприемат като рискове, напр. сложността и иновациите в бизнес моделите (по-специално в областта на т. нар. икономика на сътрудничеството), нови финансови продукти, голям брой данъчно задължени лица и служби, цифровизация на икономиката и бурното разрастване на електронната търговия. Същевременно от данъчните администрации се изисква да подобрят ефикасността и отчетността си при намаляване на бюджетите и числеността на персонала. Това принуждава данъчните администрации да търсят нови и гъвкави мерки и подходи за събиране на данъците, в това число на ДДС. </w:t>
      </w:r>
    </w:p>
    <w:p>
      <w:pPr>
        <w:pStyle w:val="Text1"/>
        <w:spacing w:line="276" w:lineRule="auto"/>
        <w:ind w:left="0"/>
        <w:rPr>
          <w:noProof/>
        </w:rPr>
      </w:pPr>
      <w:r>
        <w:rPr>
          <w:noProof/>
        </w:rPr>
        <w:t>За да се създадат полезни взаимодействия и да се намалят разходите, държавите членки сляха данъчната администрация с митническата администрация и/или звената за разследване на финансови престъпления. Освен това всички данъчни органи използват в по-голяма или по-малка степен подход, основан на риска, когато изпълняват основните си функции за администриране на данъците. Няколко данъчни администрации създадоха специализирана функция за анализ и управление на риска, отговаряща за откриването на рискове и изготвянето и изпълнението на стратегия за управление на риска. Други включиха процедури, основани на риска, във всички или в част от основните функции на данъчната администрация с оглед на по-добро разпределение на ресурсите, както и за да станат тези функции по-ефикасни и по-ефективни.</w:t>
      </w:r>
    </w:p>
    <w:p>
      <w:pPr>
        <w:pStyle w:val="Text1"/>
        <w:spacing w:after="240" w:line="276" w:lineRule="auto"/>
        <w:ind w:left="0"/>
        <w:rPr>
          <w:noProof/>
        </w:rPr>
      </w:pPr>
      <w:r>
        <w:rPr>
          <w:noProof/>
        </w:rPr>
        <w:t>Освен това в резултат на законодателни промени (като напр. въвеждането на режима за съкратено обслужване на едно гише</w:t>
      </w:r>
      <w:r>
        <w:rPr>
          <w:rStyle w:val="FootnoteReference"/>
          <w:noProof/>
        </w:rPr>
        <w:footnoteReference w:id="3"/>
      </w:r>
      <w:r>
        <w:rPr>
          <w:noProof/>
        </w:rPr>
        <w:t>, прилагането на механизма за обратно начисляване в някои сектори, промени в ставките на ДДС или на режима на касова отчетност</w:t>
      </w:r>
      <w:r>
        <w:rPr>
          <w:rStyle w:val="FootnoteReference"/>
          <w:noProof/>
        </w:rPr>
        <w:footnoteReference w:id="4"/>
      </w:r>
      <w:r>
        <w:rPr>
          <w:noProof/>
        </w:rPr>
        <w:t xml:space="preserve">) се наложи системата на ДДС да бъде променена на национално равнище. </w:t>
      </w:r>
    </w:p>
    <w:p>
      <w:pPr>
        <w:pStyle w:val="Caption"/>
        <w:spacing w:line="276" w:lineRule="auto"/>
        <w:rPr>
          <w:noProof/>
          <w:sz w:val="24"/>
        </w:rPr>
      </w:pPr>
      <w:bookmarkStart w:id="9" w:name="_Toc500948803"/>
      <w:r>
        <w:rPr>
          <w:noProof/>
          <w:sz w:val="24"/>
        </w:rPr>
        <w:t xml:space="preserve">Препоръка </w:t>
      </w:r>
      <w:r>
        <w:rPr>
          <w:noProof/>
          <w:sz w:val="24"/>
        </w:rPr>
        <w:fldChar w:fldCharType="begin"/>
      </w:r>
      <w:r>
        <w:rPr>
          <w:noProof/>
          <w:sz w:val="24"/>
        </w:rPr>
        <w:instrText xml:space="preserve"> SEQ Recommendation \* ARABIC </w:instrText>
      </w:r>
      <w:r>
        <w:rPr>
          <w:noProof/>
          <w:sz w:val="24"/>
        </w:rPr>
        <w:fldChar w:fldCharType="separate"/>
      </w:r>
      <w:r>
        <w:rPr>
          <w:noProof/>
          <w:sz w:val="24"/>
        </w:rPr>
        <w:t>1</w:t>
      </w:r>
      <w:r>
        <w:rPr>
          <w:noProof/>
          <w:sz w:val="24"/>
        </w:rPr>
        <w:fldChar w:fldCharType="end"/>
      </w:r>
      <w:r>
        <w:rPr>
          <w:noProof/>
          <w:sz w:val="24"/>
        </w:rPr>
        <w:t>: Организация на данъчната администрация</w:t>
      </w:r>
      <w:bookmarkEnd w:id="9"/>
    </w:p>
    <w:p>
      <w:pPr>
        <w:pStyle w:val="Text1"/>
        <w:pBdr>
          <w:top w:val="single" w:sz="4" w:space="1" w:color="auto"/>
          <w:left w:val="single" w:sz="4" w:space="4" w:color="auto"/>
          <w:bottom w:val="single" w:sz="4" w:space="1" w:color="auto"/>
          <w:right w:val="single" w:sz="4" w:space="4" w:color="auto"/>
        </w:pBdr>
        <w:spacing w:after="240" w:line="276" w:lineRule="auto"/>
        <w:ind w:left="0"/>
        <w:rPr>
          <w:i/>
          <w:noProof/>
        </w:rPr>
      </w:pPr>
      <w:r>
        <w:rPr>
          <w:i/>
          <w:noProof/>
        </w:rPr>
        <w:t xml:space="preserve">За оценка на въздействието на промените в управлението на системата на ДДС (т.е. реформите в организацията, процесите и процедурите) държавите членки трябва да имат въведена система за мониторинг и оценка, чрез която да се отчита ефикасността и ефективността на предприетите мерки. </w:t>
      </w:r>
    </w:p>
    <w:p>
      <w:pPr>
        <w:pStyle w:val="ManualHeading3"/>
        <w:rPr>
          <w:noProof/>
        </w:rPr>
      </w:pPr>
      <w:bookmarkStart w:id="10" w:name="_Toc500948762"/>
      <w:r>
        <w:t>3.1.2.</w:t>
      </w:r>
      <w:r>
        <w:tab/>
      </w:r>
      <w:r>
        <w:rPr>
          <w:noProof/>
        </w:rPr>
        <w:t>Цифровизация и информационни технологии</w:t>
      </w:r>
      <w:bookmarkEnd w:id="10"/>
    </w:p>
    <w:p>
      <w:pPr>
        <w:pStyle w:val="Text1"/>
        <w:spacing w:line="276" w:lineRule="auto"/>
        <w:ind w:left="0"/>
        <w:rPr>
          <w:noProof/>
        </w:rPr>
      </w:pPr>
      <w:r>
        <w:rPr>
          <w:noProof/>
        </w:rPr>
        <w:t>Настоящите административни процеси се характеризират с цифровизация и информационни технологии. Тези развития оказват въздействие върху отношенията между данъкоплатците и данъчните администрации: те улесняват изпълнението на задълженията на данъкоплатците и помагат на данъчните органи да откриват и анализират рискове във връзка с ДДС. В резултат на нуждата от повече приходи, по-голяма ефективност и по-добро спазване на изискванията в условията на намаляващи ресурси данъчните органи все повече разчитат на цифрово събиране и анализиране на данните, свързани с плащането на данъците. Това помага на данъчните органи да събират тези данни в почти реално време, особено когато информацията може да бъде директно събрана от собствените системи на данъкоплатеца. ДДС е един от първите данъци, които ще да бъдат изцяло цифровизирани. Електронните услуги, банковите сметки, обслужващи данъкоплатците, използването на национални декларации за контрол</w:t>
      </w:r>
      <w:r>
        <w:rPr>
          <w:rStyle w:val="FootnoteReference"/>
          <w:noProof/>
        </w:rPr>
        <w:footnoteReference w:id="5"/>
      </w:r>
      <w:r>
        <w:rPr>
          <w:noProof/>
        </w:rPr>
        <w:t xml:space="preserve"> са примери за тези нововъведения.</w:t>
      </w:r>
    </w:p>
    <w:p>
      <w:pPr>
        <w:pStyle w:val="Text1"/>
        <w:spacing w:line="276" w:lineRule="auto"/>
        <w:ind w:left="0"/>
        <w:rPr>
          <w:noProof/>
        </w:rPr>
      </w:pPr>
      <w:r>
        <w:rPr>
          <w:noProof/>
        </w:rPr>
        <w:t xml:space="preserve">Тази </w:t>
      </w:r>
      <w:r>
        <w:rPr>
          <w:b/>
          <w:noProof/>
        </w:rPr>
        <w:t>тенденция към по-голямо използване на информационните технологии</w:t>
      </w:r>
      <w:r>
        <w:rPr>
          <w:noProof/>
        </w:rPr>
        <w:t xml:space="preserve"> се проявява ясно през отчетния период, въпреки че степента на прилагане е различна в отделните държави членки. Извличането на данни и анализите имат все по-голяма роля в инициативите за спазване на изискванията и за ревизия. Въз основа на данните, получени от данъкоплатците, данъчните органи имат по-добри възможности да открият сложни търговски взаимоотношения и измамни дейности, които например стават причина за извършване на ревизия или за спиране на плащането на възстановявания.</w:t>
      </w:r>
    </w:p>
    <w:p>
      <w:pPr>
        <w:pStyle w:val="Text1"/>
        <w:spacing w:line="276" w:lineRule="auto"/>
        <w:ind w:left="0"/>
        <w:rPr>
          <w:noProof/>
        </w:rPr>
      </w:pPr>
      <w:r>
        <w:rPr>
          <w:b/>
          <w:noProof/>
        </w:rPr>
        <w:t>Разширява се анализът на данни за целите на спазване на изискванията.</w:t>
      </w:r>
      <w:r>
        <w:rPr>
          <w:noProof/>
        </w:rPr>
        <w:t xml:space="preserve"> В областта на ДДС няколко държави членки предприеха или са в процес на въвеждане на инициативи за събиране на информация на ниво фактури, така че да се повиши прозрачността на сделките на територията им, или събират данни за движението на стоките. Информационните технологии помагат на данъчните администрации да събират все повече данни, но нарастващият обем от информация не води непременно до по-добра оценка на риска: твърде многото информация може дори да попречи на идентифицирането на важни данни и да доведе до по-слабо спазване на изискванията. Затова данъчните администрации трябва да намерят добър баланс между нуждата от информация и правилното ѝ обработване и анализиране, от една страна, и административната тежест върху предприятията, от друга страна. </w:t>
      </w:r>
    </w:p>
    <w:p>
      <w:pPr>
        <w:pStyle w:val="Text1"/>
        <w:spacing w:after="240" w:line="276" w:lineRule="auto"/>
        <w:ind w:left="0"/>
        <w:rPr>
          <w:noProof/>
        </w:rPr>
      </w:pPr>
      <w:r>
        <w:rPr>
          <w:noProof/>
        </w:rPr>
        <w:t xml:space="preserve">Освен това данъчните органи изпитват ограничения, когато става въпрос за инвестиране в информационни технологии. Информационните системи (хардуер и софтуер) са често скъпи и невинаги съвместими помежду си, което може да бъде пречка за обмена на информация между данъчните и/или други правителствени органи. </w:t>
      </w:r>
      <w:r>
        <w:rPr>
          <w:b/>
          <w:noProof/>
        </w:rPr>
        <w:t>Държавите членки могат да извлекат полза от по-тясно сътрудничество</w:t>
      </w:r>
      <w:r>
        <w:rPr>
          <w:noProof/>
        </w:rPr>
        <w:t xml:space="preserve"> помежду си, така че да не дублират усилия и системи, да съкратят разходите за информационни технологии и да извлекат взаимни ползи, като инвестират в съвместими информационно-технологични решения. </w:t>
      </w:r>
    </w:p>
    <w:p>
      <w:pPr>
        <w:pStyle w:val="Text1"/>
        <w:spacing w:after="240" w:line="276" w:lineRule="auto"/>
        <w:ind w:left="0"/>
        <w:rPr>
          <w:noProof/>
        </w:rPr>
      </w:pPr>
      <w:bookmarkStart w:id="11" w:name="_Toc500948804"/>
      <w:r>
        <w:rPr>
          <w:b/>
          <w:noProof/>
        </w:rPr>
        <w:t xml:space="preserve">Препоръка </w:t>
      </w:r>
      <w:r>
        <w:rPr>
          <w:noProof/>
        </w:rPr>
        <w:fldChar w:fldCharType="begin"/>
      </w:r>
      <w:r>
        <w:rPr>
          <w:noProof/>
        </w:rPr>
        <w:instrText xml:space="preserve"> SEQ Recommendation \* ARABIC </w:instrText>
      </w:r>
      <w:r>
        <w:rPr>
          <w:noProof/>
        </w:rPr>
        <w:fldChar w:fldCharType="separate"/>
      </w:r>
      <w:r>
        <w:rPr>
          <w:noProof/>
        </w:rPr>
        <w:t>2</w:t>
      </w:r>
      <w:r>
        <w:rPr>
          <w:noProof/>
        </w:rPr>
        <w:fldChar w:fldCharType="end"/>
      </w:r>
      <w:r>
        <w:rPr>
          <w:b/>
          <w:noProof/>
        </w:rPr>
        <w:t>: Цифровизация и информационни технологии</w:t>
      </w:r>
      <w:bookmarkEnd w:id="11"/>
    </w:p>
    <w:p>
      <w:pPr>
        <w:pStyle w:val="Text1"/>
        <w:pBdr>
          <w:top w:val="single" w:sz="4" w:space="1" w:color="auto"/>
          <w:left w:val="single" w:sz="4" w:space="4" w:color="auto"/>
          <w:bottom w:val="single" w:sz="4" w:space="1" w:color="auto"/>
          <w:right w:val="single" w:sz="4" w:space="4" w:color="auto"/>
        </w:pBdr>
        <w:spacing w:after="240" w:line="276" w:lineRule="auto"/>
        <w:ind w:left="0"/>
        <w:rPr>
          <w:i/>
          <w:noProof/>
        </w:rPr>
      </w:pPr>
      <w:r>
        <w:rPr>
          <w:i/>
          <w:noProof/>
        </w:rPr>
        <w:t>С превръщането на цифровизацията и информационните технологии в ключови елементи на данъчната администрация държавите членки следва да продължат с цифровизацията и автоматизирането на данните и задачите. След това те следва да потърсят съвместно с другите държави членки начини, по които националните им данни да бъдат оптимално използвани и в помощ на други държави членки. Като отправна точка за тази цел може да послужи текущият проект за анализ на операциите в мрежа</w:t>
      </w:r>
      <w:r>
        <w:rPr>
          <w:rStyle w:val="FootnoteReference"/>
          <w:i/>
          <w:noProof/>
        </w:rPr>
        <w:footnoteReference w:id="6"/>
      </w:r>
      <w:r>
        <w:rPr>
          <w:i/>
          <w:noProof/>
        </w:rPr>
        <w:t>.</w:t>
      </w:r>
    </w:p>
    <w:p>
      <w:pPr>
        <w:pStyle w:val="ManualHeading3"/>
        <w:rPr>
          <w:noProof/>
        </w:rPr>
      </w:pPr>
      <w:bookmarkStart w:id="12" w:name="_Toc500948763"/>
      <w:r>
        <w:t>3.1.3.</w:t>
      </w:r>
      <w:r>
        <w:tab/>
      </w:r>
      <w:r>
        <w:rPr>
          <w:noProof/>
        </w:rPr>
        <w:t>Анализ на неизпълнението на потенциалните приходи от ДДС</w:t>
      </w:r>
      <w:bookmarkEnd w:id="12"/>
    </w:p>
    <w:p>
      <w:pPr>
        <w:spacing w:after="240"/>
        <w:jc w:val="both"/>
        <w:rPr>
          <w:rFonts w:ascii="Times New Roman" w:eastAsiaTheme="minorEastAsia" w:hAnsi="Times New Roman" w:cs="Times New Roman"/>
          <w:noProof/>
          <w:sz w:val="24"/>
          <w:szCs w:val="24"/>
        </w:rPr>
      </w:pPr>
      <w:r>
        <w:rPr>
          <w:rFonts w:ascii="Times New Roman" w:eastAsiaTheme="minorEastAsia" w:hAnsi="Times New Roman"/>
          <w:noProof/>
          <w:sz w:val="24"/>
        </w:rPr>
        <w:t>През отчетния период неизпълнението на потенциалните приходи от ДДС показа малък спад както по размер, така и в проценти (вж. фигура 1). Въпреки това на индивидуално равнище разликите в неизпълнението на потенциалните приходи от ДДС между отделните държави членки остават все така значителни (в диапазона от 0 % до 36,9 %). Макар да е възможно причините за намаляване на неизпълнението на потенциалните приходи от ДДС да са различни, напр. подобрени данни или икономическия растеж, намаляването може да е свързано и с по-добра работа на данъчната администрация. В периода, за който е извършена оценката (2013 — 2016 г.), много данъчни органи предприеха редица понякога широкомащабни мерки за намаляване на неизпълнението на потенциалните приходи от ДДС</w:t>
      </w:r>
      <w:r>
        <w:rPr>
          <w:rFonts w:ascii="Times New Roman" w:eastAsiaTheme="minorEastAsia" w:hAnsi="Times New Roman"/>
          <w:noProof/>
          <w:sz w:val="24"/>
          <w:vertAlign w:val="superscript"/>
        </w:rPr>
        <w:footnoteReference w:id="7"/>
      </w:r>
      <w:r>
        <w:rPr>
          <w:rFonts w:ascii="Times New Roman" w:eastAsiaTheme="minorEastAsia" w:hAnsi="Times New Roman"/>
          <w:noProof/>
          <w:sz w:val="24"/>
        </w:rPr>
        <w:t>. Въпреки че липсват солидни данни за въздействието на тези мерки върху размера на неизпълнението на потенциалните приходи от ДДС, те по всяка вероятност са повлияли на равнището на спазване на изискванията и с това на размера на неизпълнението. В допълнение на доклада за неизпълнението на потенциалните приходи от ДДС, публикуван от Комисията, все повече държави членки изчисляват това неизпълнение на национално равнище, и то с все повече подробности, например като го изчисляват по икономически сектори или географски райони.</w:t>
      </w:r>
    </w:p>
    <w:p>
      <w:pPr>
        <w:pStyle w:val="Caption"/>
        <w:spacing w:line="276" w:lineRule="auto"/>
        <w:rPr>
          <w:noProof/>
          <w:sz w:val="24"/>
        </w:rPr>
      </w:pPr>
      <w:bookmarkStart w:id="13" w:name="_Toc500948805"/>
      <w:r>
        <w:rPr>
          <w:noProof/>
          <w:sz w:val="24"/>
        </w:rPr>
        <w:t xml:space="preserve">Препоръка </w:t>
      </w:r>
      <w:r>
        <w:rPr>
          <w:noProof/>
          <w:sz w:val="24"/>
        </w:rPr>
        <w:fldChar w:fldCharType="begin"/>
      </w:r>
      <w:r>
        <w:rPr>
          <w:noProof/>
          <w:sz w:val="24"/>
        </w:rPr>
        <w:instrText xml:space="preserve"> SEQ Recommendation \* ARABIC </w:instrText>
      </w:r>
      <w:r>
        <w:rPr>
          <w:noProof/>
          <w:sz w:val="24"/>
        </w:rPr>
        <w:fldChar w:fldCharType="separate"/>
      </w:r>
      <w:r>
        <w:rPr>
          <w:noProof/>
          <w:sz w:val="24"/>
        </w:rPr>
        <w:t>3</w:t>
      </w:r>
      <w:r>
        <w:rPr>
          <w:noProof/>
          <w:sz w:val="24"/>
        </w:rPr>
        <w:fldChar w:fldCharType="end"/>
      </w:r>
      <w:r>
        <w:rPr>
          <w:noProof/>
          <w:sz w:val="24"/>
        </w:rPr>
        <w:t>: Изчисляване и анализ на неизпълнението на потенциалните приходи от ДДС</w:t>
      </w:r>
      <w:bookmarkEnd w:id="13"/>
    </w:p>
    <w:p>
      <w:pPr>
        <w:pStyle w:val="Text1"/>
        <w:pBdr>
          <w:top w:val="single" w:sz="4" w:space="1" w:color="auto"/>
          <w:left w:val="single" w:sz="4" w:space="4" w:color="auto"/>
          <w:bottom w:val="single" w:sz="4" w:space="1" w:color="auto"/>
          <w:right w:val="single" w:sz="4" w:space="4" w:color="auto"/>
        </w:pBdr>
        <w:spacing w:after="240" w:line="276" w:lineRule="auto"/>
        <w:ind w:left="0"/>
        <w:rPr>
          <w:i/>
          <w:noProof/>
        </w:rPr>
      </w:pPr>
      <w:r>
        <w:rPr>
          <w:rFonts w:eastAsiaTheme="minorEastAsia"/>
          <w:i/>
          <w:noProof/>
        </w:rPr>
        <w:t xml:space="preserve">Държавите членки следва да инвестират или да продължат да инвестират в изчисляване на своето собствено неизпълнение на потенциалните приходи от ДДС и да анализират по-подробно това неизпълнение. </w:t>
      </w:r>
    </w:p>
    <w:p>
      <w:pPr>
        <w:pStyle w:val="ManualHeading2"/>
        <w:rPr>
          <w:noProof/>
        </w:rPr>
      </w:pPr>
      <w:bookmarkStart w:id="14" w:name="_Toc500948764"/>
      <w:r>
        <w:t>3.2.</w:t>
      </w:r>
      <w:r>
        <w:tab/>
      </w:r>
      <w:r>
        <w:rPr>
          <w:noProof/>
        </w:rPr>
        <w:t>Регистрация и дерегистрация за целите на ДДС</w:t>
      </w:r>
      <w:bookmarkEnd w:id="14"/>
    </w:p>
    <w:p>
      <w:pPr>
        <w:spacing w:after="240"/>
        <w:jc w:val="both"/>
        <w:rPr>
          <w:rFonts w:ascii="Times New Roman" w:hAnsi="Times New Roman" w:cs="Times New Roman"/>
          <w:noProof/>
          <w:sz w:val="24"/>
          <w:szCs w:val="24"/>
        </w:rPr>
      </w:pPr>
      <w:r>
        <w:rPr>
          <w:rFonts w:ascii="Times New Roman" w:hAnsi="Times New Roman"/>
          <w:noProof/>
          <w:sz w:val="24"/>
        </w:rPr>
        <w:t>Държавите членки трябва да имат система за данъчна регистрация, която идентифицира техните платци на ДДС</w:t>
      </w:r>
      <w:r>
        <w:rPr>
          <w:rStyle w:val="FootnoteReference"/>
          <w:rFonts w:ascii="Times New Roman" w:hAnsi="Times New Roman"/>
          <w:noProof/>
          <w:sz w:val="24"/>
        </w:rPr>
        <w:footnoteReference w:id="8"/>
      </w:r>
      <w:r>
        <w:rPr>
          <w:rFonts w:ascii="Times New Roman" w:hAnsi="Times New Roman"/>
          <w:noProof/>
          <w:sz w:val="24"/>
        </w:rPr>
        <w:t>, и трябва да съхраняват във VІЕS</w:t>
      </w:r>
      <w:r>
        <w:rPr>
          <w:rStyle w:val="FootnoteReference"/>
          <w:rFonts w:ascii="Times New Roman" w:hAnsi="Times New Roman"/>
          <w:noProof/>
          <w:sz w:val="24"/>
        </w:rPr>
        <w:footnoteReference w:id="9"/>
      </w:r>
      <w:r>
        <w:rPr>
          <w:rFonts w:ascii="Times New Roman" w:hAnsi="Times New Roman"/>
          <w:noProof/>
          <w:sz w:val="24"/>
        </w:rPr>
        <w:t xml:space="preserve"> съответните данни за облагаемите вътресъюзни сделки. </w:t>
      </w:r>
    </w:p>
    <w:p>
      <w:pPr>
        <w:pStyle w:val="ManualHeading3"/>
        <w:rPr>
          <w:noProof/>
        </w:rPr>
      </w:pPr>
      <w:bookmarkStart w:id="15" w:name="_Toc500948765"/>
      <w:r>
        <w:t>3.2.1.</w:t>
      </w:r>
      <w:r>
        <w:tab/>
      </w:r>
      <w:r>
        <w:rPr>
          <w:noProof/>
        </w:rPr>
        <w:t>Регистрация за целите на ДДС</w:t>
      </w:r>
      <w:bookmarkEnd w:id="15"/>
    </w:p>
    <w:p>
      <w:pPr>
        <w:spacing w:after="120"/>
        <w:jc w:val="both"/>
        <w:rPr>
          <w:rFonts w:ascii="Times New Roman" w:hAnsi="Times New Roman" w:cs="Times New Roman"/>
          <w:noProof/>
          <w:sz w:val="24"/>
          <w:szCs w:val="24"/>
        </w:rPr>
      </w:pPr>
      <w:r>
        <w:rPr>
          <w:rFonts w:ascii="Times New Roman" w:hAnsi="Times New Roman"/>
          <w:noProof/>
          <w:sz w:val="24"/>
        </w:rPr>
        <w:t xml:space="preserve">Ефикасната процедура по регистрация и правилното определяне на идентификационни номера за целите на ДДС подобряват ключовите административни процеси, свързани с подаване на справки-декларации, плащане, оценка, събиране и разрешаване на спорове. За тази цел информацията, събирана в момента на регистрацията и съхранявана в базите данни на данъчната администрация, следва да бъде пълна, точна и актуална. От решаващо значение е данъчните органи да следват точно процедурите по регистрация и дерегистрация, тъй като </w:t>
      </w:r>
      <w:r>
        <w:rPr>
          <w:rFonts w:ascii="Times New Roman" w:hAnsi="Times New Roman"/>
          <w:b/>
          <w:noProof/>
          <w:sz w:val="24"/>
        </w:rPr>
        <w:t>всяка непоследователност в тази област ще окаже силно въздействие върху събирането на ДДС в останалите държави членки</w:t>
      </w:r>
      <w:r>
        <w:rPr>
          <w:rFonts w:ascii="Times New Roman" w:hAnsi="Times New Roman"/>
          <w:noProof/>
          <w:sz w:val="24"/>
        </w:rPr>
        <w:t>.</w:t>
      </w:r>
    </w:p>
    <w:p>
      <w:pPr>
        <w:spacing w:after="120"/>
        <w:jc w:val="both"/>
        <w:rPr>
          <w:rFonts w:ascii="Times New Roman" w:hAnsi="Times New Roman" w:cs="Times New Roman"/>
          <w:noProof/>
          <w:sz w:val="24"/>
          <w:szCs w:val="24"/>
        </w:rPr>
      </w:pPr>
      <w:r>
        <w:rPr>
          <w:rFonts w:ascii="Times New Roman" w:hAnsi="Times New Roman"/>
          <w:noProof/>
          <w:sz w:val="24"/>
        </w:rPr>
        <w:t>Процесът по регистрация трябва да бъде бърз, за да не спъва стопанската дейност на данъкоплатците, но е от особено значение да се избягва даване на идентификационни номера за целите на ДДС на данъкоплатци с намерения за измама. Важно е следователно да се постигне балансиран подход между бързина и сигурност.</w:t>
      </w:r>
    </w:p>
    <w:p>
      <w:pPr>
        <w:pStyle w:val="Caption"/>
        <w:rPr>
          <w:b w:val="0"/>
          <w:i/>
          <w:noProof/>
          <w:sz w:val="24"/>
          <w:szCs w:val="24"/>
        </w:rPr>
      </w:pPr>
      <w:bookmarkStart w:id="16" w:name="_Toc500948792"/>
      <w:r>
        <w:rPr>
          <w:i/>
          <w:noProof/>
          <w:sz w:val="24"/>
          <w:u w:val="single"/>
        </w:rPr>
        <w:t xml:space="preserve">Фигура </w:t>
      </w:r>
      <w:r>
        <w:rPr>
          <w:i/>
          <w:noProof/>
          <w:sz w:val="24"/>
          <w:szCs w:val="24"/>
          <w:u w:val="single"/>
        </w:rPr>
        <w:fldChar w:fldCharType="begin"/>
      </w:r>
      <w:r>
        <w:rPr>
          <w:i/>
          <w:noProof/>
          <w:sz w:val="24"/>
          <w:szCs w:val="24"/>
          <w:u w:val="single"/>
        </w:rPr>
        <w:instrText xml:space="preserve"> SEQ Figure \* ARABIC </w:instrText>
      </w:r>
      <w:r>
        <w:rPr>
          <w:i/>
          <w:noProof/>
          <w:sz w:val="24"/>
          <w:szCs w:val="24"/>
          <w:u w:val="single"/>
        </w:rPr>
        <w:fldChar w:fldCharType="separate"/>
      </w:r>
      <w:r>
        <w:rPr>
          <w:i/>
          <w:noProof/>
          <w:sz w:val="24"/>
          <w:szCs w:val="24"/>
          <w:u w:val="single"/>
        </w:rPr>
        <w:t>2</w:t>
      </w:r>
      <w:r>
        <w:rPr>
          <w:i/>
          <w:noProof/>
          <w:sz w:val="24"/>
          <w:szCs w:val="24"/>
          <w:u w:val="single"/>
        </w:rPr>
        <w:fldChar w:fldCharType="end"/>
      </w:r>
      <w:r>
        <w:rPr>
          <w:i/>
          <w:noProof/>
          <w:sz w:val="24"/>
          <w:u w:val="single"/>
        </w:rPr>
        <w:t>:</w:t>
      </w:r>
      <w:r>
        <w:rPr>
          <w:i/>
          <w:noProof/>
          <w:sz w:val="24"/>
        </w:rPr>
        <w:t xml:space="preserve"> </w:t>
      </w:r>
      <w:r>
        <w:rPr>
          <w:b w:val="0"/>
          <w:i/>
          <w:noProof/>
          <w:sz w:val="24"/>
        </w:rPr>
        <w:t>Изменения в исканията за регистрация за целите на ДДС в 21 държави — членки на ЕС (2013 — 2015 г.)</w:t>
      </w:r>
      <w:r>
        <w:rPr>
          <w:rStyle w:val="FootnoteReference"/>
          <w:b w:val="0"/>
          <w:i/>
          <w:noProof/>
          <w:sz w:val="24"/>
        </w:rPr>
        <w:footnoteReference w:id="10"/>
      </w:r>
      <w:bookmarkEnd w:id="16"/>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7"/>
        <w:gridCol w:w="236"/>
        <w:gridCol w:w="2457"/>
      </w:tblGrid>
      <w:tr>
        <w:trPr>
          <w:trHeight w:val="333"/>
        </w:trPr>
        <w:tc>
          <w:tcPr>
            <w:tcW w:w="6487" w:type="dxa"/>
            <w:vMerge w:val="restart"/>
          </w:tcPr>
          <w:p>
            <w:pPr>
              <w:spacing w:after="60"/>
              <w:rPr>
                <w:rFonts w:ascii="Times New Roman" w:hAnsi="Times New Roman" w:cs="Times New Roman"/>
                <w:noProof/>
              </w:rPr>
            </w:pPr>
            <w:r>
              <w:rPr>
                <w:rFonts w:ascii="Times New Roman" w:hAnsi="Times New Roman" w:cs="Times New Roman"/>
                <w:noProof/>
                <w:color w:val="FFFFFF" w:themeColor="background1"/>
                <w:sz w:val="18"/>
                <w:szCs w:val="18"/>
                <w:lang w:val="en-US" w:eastAsia="en-US" w:bidi="ar-SA"/>
              </w:rPr>
              <w:drawing>
                <wp:inline distT="0" distB="0" distL="0" distR="0">
                  <wp:extent cx="3944680" cy="1818167"/>
                  <wp:effectExtent l="0" t="0" r="17780" b="10795"/>
                  <wp:docPr id="250" name="Chart 25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c>
        <w:tc>
          <w:tcPr>
            <w:tcW w:w="2693" w:type="dxa"/>
            <w:gridSpan w:val="2"/>
          </w:tcPr>
          <w:p>
            <w:pPr>
              <w:rPr>
                <w:rFonts w:ascii="Times New Roman" w:hAnsi="Times New Roman" w:cs="Times New Roman"/>
                <w:noProof/>
              </w:rPr>
            </w:pPr>
            <w:r>
              <w:rPr>
                <w:rFonts w:ascii="Times New Roman" w:hAnsi="Times New Roman"/>
                <w:noProof/>
              </w:rPr>
              <w:t>Легенда:</w:t>
            </w:r>
          </w:p>
        </w:tc>
      </w:tr>
      <w:tr>
        <w:trPr>
          <w:trHeight w:val="193"/>
        </w:trPr>
        <w:tc>
          <w:tcPr>
            <w:tcW w:w="6487" w:type="dxa"/>
            <w:vMerge/>
          </w:tcPr>
          <w:p>
            <w:pPr>
              <w:spacing w:after="60"/>
              <w:rPr>
                <w:rFonts w:ascii="Times New Roman" w:hAnsi="Times New Roman" w:cs="Times New Roman"/>
                <w:noProof/>
                <w:color w:val="FFFFFF" w:themeColor="background1"/>
                <w:sz w:val="18"/>
                <w:szCs w:val="18"/>
              </w:rPr>
            </w:pPr>
          </w:p>
        </w:tc>
        <w:tc>
          <w:tcPr>
            <w:tcW w:w="236" w:type="dxa"/>
            <w:shd w:val="clear" w:color="auto" w:fill="B8CCE4" w:themeFill="accent1" w:themeFillTint="66"/>
          </w:tcPr>
          <w:p>
            <w:pPr>
              <w:rPr>
                <w:rFonts w:ascii="Times New Roman" w:hAnsi="Times New Roman" w:cs="Times New Roman"/>
                <w:noProof/>
                <w:sz w:val="20"/>
              </w:rPr>
            </w:pPr>
          </w:p>
        </w:tc>
        <w:tc>
          <w:tcPr>
            <w:tcW w:w="2457" w:type="dxa"/>
          </w:tcPr>
          <w:p>
            <w:pPr>
              <w:rPr>
                <w:rFonts w:ascii="Times New Roman" w:hAnsi="Times New Roman" w:cs="Times New Roman"/>
                <w:noProof/>
                <w:sz w:val="20"/>
              </w:rPr>
            </w:pPr>
            <w:r>
              <w:rPr>
                <w:rFonts w:ascii="Times New Roman" w:hAnsi="Times New Roman"/>
                <w:noProof/>
                <w:sz w:val="20"/>
              </w:rPr>
              <w:t xml:space="preserve">Искания за регистрация за целите на ДДС </w:t>
            </w:r>
          </w:p>
        </w:tc>
      </w:tr>
      <w:tr>
        <w:trPr>
          <w:trHeight w:val="214"/>
        </w:trPr>
        <w:tc>
          <w:tcPr>
            <w:tcW w:w="6487" w:type="dxa"/>
            <w:vMerge/>
          </w:tcPr>
          <w:p>
            <w:pPr>
              <w:spacing w:after="60"/>
              <w:rPr>
                <w:rFonts w:ascii="Times New Roman" w:hAnsi="Times New Roman" w:cs="Times New Roman"/>
                <w:noProof/>
                <w:color w:val="FFFFFF" w:themeColor="background1"/>
                <w:sz w:val="18"/>
                <w:szCs w:val="18"/>
              </w:rPr>
            </w:pPr>
          </w:p>
        </w:tc>
        <w:tc>
          <w:tcPr>
            <w:tcW w:w="236" w:type="dxa"/>
          </w:tcPr>
          <w:p>
            <w:pPr>
              <w:rPr>
                <w:rFonts w:ascii="Times New Roman" w:hAnsi="Times New Roman" w:cs="Times New Roman"/>
                <w:noProof/>
                <w:sz w:val="20"/>
              </w:rPr>
            </w:pPr>
          </w:p>
        </w:tc>
        <w:tc>
          <w:tcPr>
            <w:tcW w:w="2457" w:type="dxa"/>
          </w:tcPr>
          <w:p>
            <w:pPr>
              <w:rPr>
                <w:rFonts w:ascii="Times New Roman" w:hAnsi="Times New Roman" w:cs="Times New Roman"/>
                <w:noProof/>
                <w:sz w:val="20"/>
              </w:rPr>
            </w:pPr>
            <w:r>
              <w:rPr>
                <w:rFonts w:ascii="Times New Roman" w:hAnsi="Times New Roman"/>
                <w:noProof/>
                <w:sz w:val="20"/>
              </w:rPr>
              <w:t>(общ брой)</w:t>
            </w:r>
          </w:p>
        </w:tc>
      </w:tr>
      <w:tr>
        <w:trPr>
          <w:trHeight w:val="214"/>
        </w:trPr>
        <w:tc>
          <w:tcPr>
            <w:tcW w:w="6487" w:type="dxa"/>
            <w:vMerge/>
          </w:tcPr>
          <w:p>
            <w:pPr>
              <w:spacing w:after="60"/>
              <w:rPr>
                <w:rFonts w:ascii="Times New Roman" w:hAnsi="Times New Roman" w:cs="Times New Roman"/>
                <w:noProof/>
                <w:color w:val="FFFFFF" w:themeColor="background1"/>
                <w:sz w:val="18"/>
                <w:szCs w:val="18"/>
              </w:rPr>
            </w:pPr>
          </w:p>
        </w:tc>
        <w:tc>
          <w:tcPr>
            <w:tcW w:w="236" w:type="dxa"/>
          </w:tcPr>
          <w:p>
            <w:pPr>
              <w:rPr>
                <w:rFonts w:ascii="Times New Roman" w:hAnsi="Times New Roman" w:cs="Times New Roman"/>
                <w:noProof/>
                <w:sz w:val="20"/>
              </w:rPr>
            </w:pPr>
          </w:p>
        </w:tc>
        <w:tc>
          <w:tcPr>
            <w:tcW w:w="2457" w:type="dxa"/>
          </w:tcPr>
          <w:p>
            <w:pPr>
              <w:rPr>
                <w:rFonts w:ascii="Times New Roman" w:hAnsi="Times New Roman" w:cs="Times New Roman"/>
                <w:noProof/>
                <w:sz w:val="20"/>
              </w:rPr>
            </w:pPr>
          </w:p>
        </w:tc>
      </w:tr>
      <w:tr>
        <w:trPr>
          <w:trHeight w:val="204"/>
        </w:trPr>
        <w:tc>
          <w:tcPr>
            <w:tcW w:w="6487" w:type="dxa"/>
            <w:vMerge/>
          </w:tcPr>
          <w:p>
            <w:pPr>
              <w:spacing w:after="60"/>
              <w:rPr>
                <w:rFonts w:ascii="Times New Roman" w:hAnsi="Times New Roman" w:cs="Times New Roman"/>
                <w:noProof/>
                <w:color w:val="FFFFFF" w:themeColor="background1"/>
                <w:sz w:val="18"/>
                <w:szCs w:val="18"/>
              </w:rPr>
            </w:pPr>
          </w:p>
        </w:tc>
        <w:tc>
          <w:tcPr>
            <w:tcW w:w="236" w:type="dxa"/>
            <w:shd w:val="clear" w:color="auto" w:fill="244061" w:themeFill="accent1" w:themeFillShade="80"/>
          </w:tcPr>
          <w:p>
            <w:pPr>
              <w:rPr>
                <w:rFonts w:ascii="Times New Roman" w:hAnsi="Times New Roman" w:cs="Times New Roman"/>
                <w:noProof/>
                <w:sz w:val="20"/>
              </w:rPr>
            </w:pPr>
          </w:p>
        </w:tc>
        <w:tc>
          <w:tcPr>
            <w:tcW w:w="2457" w:type="dxa"/>
          </w:tcPr>
          <w:p>
            <w:pPr>
              <w:rPr>
                <w:rFonts w:ascii="Times New Roman" w:hAnsi="Times New Roman" w:cs="Times New Roman"/>
                <w:noProof/>
                <w:sz w:val="20"/>
              </w:rPr>
            </w:pPr>
            <w:r>
              <w:rPr>
                <w:rFonts w:ascii="Times New Roman" w:hAnsi="Times New Roman"/>
                <w:noProof/>
                <w:sz w:val="20"/>
              </w:rPr>
              <w:t xml:space="preserve">Искания за регистрация за целите на ДДС </w:t>
            </w:r>
          </w:p>
        </w:tc>
      </w:tr>
      <w:tr>
        <w:trPr>
          <w:trHeight w:val="236"/>
        </w:trPr>
        <w:tc>
          <w:tcPr>
            <w:tcW w:w="6487" w:type="dxa"/>
            <w:vMerge/>
          </w:tcPr>
          <w:p>
            <w:pPr>
              <w:spacing w:after="60"/>
              <w:rPr>
                <w:rFonts w:ascii="Times New Roman" w:hAnsi="Times New Roman" w:cs="Times New Roman"/>
                <w:noProof/>
                <w:color w:val="FFFFFF" w:themeColor="background1"/>
                <w:sz w:val="18"/>
                <w:szCs w:val="18"/>
              </w:rPr>
            </w:pPr>
          </w:p>
        </w:tc>
        <w:tc>
          <w:tcPr>
            <w:tcW w:w="236" w:type="dxa"/>
          </w:tcPr>
          <w:p>
            <w:pPr>
              <w:rPr>
                <w:rFonts w:ascii="Times New Roman" w:hAnsi="Times New Roman" w:cs="Times New Roman"/>
                <w:noProof/>
                <w:sz w:val="20"/>
              </w:rPr>
            </w:pPr>
          </w:p>
        </w:tc>
        <w:tc>
          <w:tcPr>
            <w:tcW w:w="2457" w:type="dxa"/>
          </w:tcPr>
          <w:p>
            <w:pPr>
              <w:rPr>
                <w:rFonts w:ascii="Times New Roman" w:hAnsi="Times New Roman" w:cs="Times New Roman"/>
                <w:noProof/>
                <w:sz w:val="20"/>
              </w:rPr>
            </w:pPr>
            <w:r>
              <w:rPr>
                <w:rFonts w:ascii="Times New Roman" w:hAnsi="Times New Roman"/>
                <w:noProof/>
                <w:sz w:val="20"/>
              </w:rPr>
              <w:t>спрямо 2013 г.</w:t>
            </w:r>
          </w:p>
          <w:p>
            <w:pPr>
              <w:rPr>
                <w:rFonts w:ascii="Times New Roman" w:hAnsi="Times New Roman" w:cs="Times New Roman"/>
                <w:noProof/>
                <w:sz w:val="20"/>
              </w:rPr>
            </w:pPr>
            <w:r>
              <w:rPr>
                <w:rFonts w:ascii="Times New Roman" w:hAnsi="Times New Roman"/>
                <w:noProof/>
                <w:sz w:val="20"/>
              </w:rPr>
              <w:t>(изменение)</w:t>
            </w:r>
          </w:p>
        </w:tc>
      </w:tr>
      <w:tr>
        <w:trPr>
          <w:trHeight w:val="236"/>
        </w:trPr>
        <w:tc>
          <w:tcPr>
            <w:tcW w:w="6487" w:type="dxa"/>
            <w:vMerge/>
          </w:tcPr>
          <w:p>
            <w:pPr>
              <w:spacing w:after="60"/>
              <w:rPr>
                <w:rFonts w:ascii="Times New Roman" w:hAnsi="Times New Roman" w:cs="Times New Roman"/>
                <w:noProof/>
                <w:color w:val="FFFFFF" w:themeColor="background1"/>
                <w:sz w:val="18"/>
                <w:szCs w:val="18"/>
              </w:rPr>
            </w:pPr>
          </w:p>
        </w:tc>
        <w:tc>
          <w:tcPr>
            <w:tcW w:w="236" w:type="dxa"/>
          </w:tcPr>
          <w:p>
            <w:pPr>
              <w:rPr>
                <w:rFonts w:ascii="Times New Roman" w:hAnsi="Times New Roman" w:cs="Times New Roman"/>
                <w:noProof/>
                <w:sz w:val="20"/>
              </w:rPr>
            </w:pPr>
          </w:p>
        </w:tc>
        <w:tc>
          <w:tcPr>
            <w:tcW w:w="2457" w:type="dxa"/>
          </w:tcPr>
          <w:p>
            <w:pPr>
              <w:rPr>
                <w:rFonts w:ascii="Times New Roman" w:hAnsi="Times New Roman" w:cs="Times New Roman"/>
                <w:noProof/>
                <w:sz w:val="20"/>
              </w:rPr>
            </w:pPr>
          </w:p>
        </w:tc>
      </w:tr>
      <w:tr>
        <w:trPr>
          <w:trHeight w:val="226"/>
        </w:trPr>
        <w:tc>
          <w:tcPr>
            <w:tcW w:w="6487" w:type="dxa"/>
            <w:vMerge/>
          </w:tcPr>
          <w:p>
            <w:pPr>
              <w:spacing w:after="60"/>
              <w:rPr>
                <w:rFonts w:ascii="Times New Roman" w:hAnsi="Times New Roman" w:cs="Times New Roman"/>
                <w:noProof/>
                <w:color w:val="FFFFFF" w:themeColor="background1"/>
                <w:sz w:val="18"/>
                <w:szCs w:val="18"/>
              </w:rPr>
            </w:pPr>
          </w:p>
        </w:tc>
        <w:tc>
          <w:tcPr>
            <w:tcW w:w="236" w:type="dxa"/>
            <w:shd w:val="clear" w:color="auto" w:fill="C00000"/>
          </w:tcPr>
          <w:p>
            <w:pPr>
              <w:rPr>
                <w:rFonts w:ascii="Times New Roman" w:hAnsi="Times New Roman" w:cs="Times New Roman"/>
                <w:noProof/>
                <w:sz w:val="20"/>
              </w:rPr>
            </w:pPr>
          </w:p>
        </w:tc>
        <w:tc>
          <w:tcPr>
            <w:tcW w:w="2457" w:type="dxa"/>
          </w:tcPr>
          <w:p>
            <w:pPr>
              <w:rPr>
                <w:rFonts w:ascii="Times New Roman" w:hAnsi="Times New Roman" w:cs="Times New Roman"/>
                <w:noProof/>
                <w:sz w:val="20"/>
              </w:rPr>
            </w:pPr>
            <w:r>
              <w:rPr>
                <w:rFonts w:ascii="Times New Roman" w:hAnsi="Times New Roman"/>
                <w:noProof/>
                <w:sz w:val="20"/>
              </w:rPr>
              <w:t>Отказани регистрации</w:t>
            </w:r>
          </w:p>
        </w:tc>
      </w:tr>
      <w:tr>
        <w:trPr>
          <w:trHeight w:val="226"/>
        </w:trPr>
        <w:tc>
          <w:tcPr>
            <w:tcW w:w="6487" w:type="dxa"/>
            <w:vMerge/>
          </w:tcPr>
          <w:p>
            <w:pPr>
              <w:spacing w:after="60"/>
              <w:rPr>
                <w:rFonts w:ascii="Times New Roman" w:hAnsi="Times New Roman" w:cs="Times New Roman"/>
                <w:noProof/>
                <w:color w:val="FFFFFF" w:themeColor="background1"/>
                <w:sz w:val="18"/>
                <w:szCs w:val="18"/>
              </w:rPr>
            </w:pPr>
          </w:p>
        </w:tc>
        <w:tc>
          <w:tcPr>
            <w:tcW w:w="236" w:type="dxa"/>
            <w:shd w:val="clear" w:color="auto" w:fill="auto"/>
          </w:tcPr>
          <w:p>
            <w:pPr>
              <w:rPr>
                <w:rFonts w:ascii="Times New Roman" w:hAnsi="Times New Roman" w:cs="Times New Roman"/>
                <w:noProof/>
                <w:sz w:val="20"/>
              </w:rPr>
            </w:pPr>
          </w:p>
        </w:tc>
        <w:tc>
          <w:tcPr>
            <w:tcW w:w="2457" w:type="dxa"/>
          </w:tcPr>
          <w:p>
            <w:pPr>
              <w:rPr>
                <w:rFonts w:ascii="Times New Roman" w:hAnsi="Times New Roman" w:cs="Times New Roman"/>
                <w:noProof/>
                <w:sz w:val="20"/>
              </w:rPr>
            </w:pPr>
          </w:p>
        </w:tc>
      </w:tr>
      <w:tr>
        <w:trPr>
          <w:trHeight w:val="502"/>
        </w:trPr>
        <w:tc>
          <w:tcPr>
            <w:tcW w:w="6487" w:type="dxa"/>
            <w:vMerge/>
          </w:tcPr>
          <w:p>
            <w:pPr>
              <w:spacing w:after="60"/>
              <w:rPr>
                <w:rFonts w:ascii="Times New Roman" w:hAnsi="Times New Roman" w:cs="Times New Roman"/>
                <w:noProof/>
                <w:color w:val="FFFFFF" w:themeColor="background1"/>
                <w:sz w:val="18"/>
                <w:szCs w:val="18"/>
              </w:rPr>
            </w:pPr>
          </w:p>
        </w:tc>
        <w:tc>
          <w:tcPr>
            <w:tcW w:w="2693" w:type="dxa"/>
            <w:gridSpan w:val="2"/>
          </w:tcPr>
          <w:p>
            <w:pPr>
              <w:rPr>
                <w:rFonts w:ascii="Times New Roman" w:hAnsi="Times New Roman" w:cs="Times New Roman"/>
                <w:noProof/>
                <w:sz w:val="20"/>
              </w:rPr>
            </w:pPr>
          </w:p>
        </w:tc>
      </w:tr>
    </w:tbl>
    <w:p>
      <w:pPr>
        <w:pStyle w:val="NORMAL0"/>
        <w:spacing w:after="120" w:line="276" w:lineRule="auto"/>
        <w:rPr>
          <w:rFonts w:ascii="Times New Roman" w:eastAsiaTheme="minorHAnsi" w:hAnsi="Times New Roman" w:cs="Times New Roman"/>
          <w:i/>
          <w:noProof/>
          <w:sz w:val="18"/>
          <w:szCs w:val="18"/>
        </w:rPr>
      </w:pPr>
      <w:r>
        <w:rPr>
          <w:rFonts w:ascii="Times New Roman" w:eastAsiaTheme="minorHAnsi" w:hAnsi="Times New Roman"/>
          <w:i/>
          <w:noProof/>
          <w:sz w:val="18"/>
        </w:rPr>
        <w:t xml:space="preserve">Източник: Отговори на държави членки на въпросника от 2017 г. </w:t>
      </w:r>
    </w:p>
    <w:p>
      <w:pPr>
        <w:spacing w:after="240"/>
        <w:rPr>
          <w:rFonts w:ascii="Times New Roman" w:hAnsi="Times New Roman" w:cs="Times New Roman"/>
          <w:noProof/>
          <w:sz w:val="24"/>
          <w:szCs w:val="24"/>
        </w:rPr>
      </w:pPr>
      <w:r>
        <w:rPr>
          <w:rFonts w:ascii="Times New Roman" w:hAnsi="Times New Roman"/>
          <w:noProof/>
          <w:sz w:val="24"/>
        </w:rPr>
        <w:t>През отчетния период общият брой на исканията за регистрация за целите на ДДС в 21 държави членки от фигурата е сравнително стабилен, докато броят на дерегистрациите от системата VІЕS се е повишил значително през 2015 г. Не е установена конкретна причина за този ръст.</w:t>
      </w:r>
    </w:p>
    <w:p>
      <w:pPr>
        <w:spacing w:after="120"/>
        <w:jc w:val="both"/>
        <w:rPr>
          <w:rFonts w:ascii="Times New Roman" w:hAnsi="Times New Roman" w:cs="Times New Roman"/>
          <w:noProof/>
          <w:sz w:val="24"/>
          <w:szCs w:val="24"/>
        </w:rPr>
      </w:pPr>
      <w:r>
        <w:rPr>
          <w:rFonts w:ascii="Times New Roman" w:hAnsi="Times New Roman"/>
          <w:noProof/>
          <w:sz w:val="24"/>
        </w:rPr>
        <w:t xml:space="preserve">Процедури по регистрация са въведени във всички държави членки. В някои държави има възможност за регистрация чрез обслужване на едно гише. Вместо да се регистрират за различни цели в няколко учреждения (напр. Търговска камара, Търговски съд и данъчна служба), предприятията могат да се регистрират за всички задължения на едно-единствено място. Това предполага интегрирани бази данни и обмен на информация между съответните институции. </w:t>
      </w:r>
    </w:p>
    <w:p>
      <w:pPr>
        <w:pStyle w:val="Caption"/>
        <w:rPr>
          <w:i/>
          <w:noProof/>
          <w:sz w:val="24"/>
          <w:szCs w:val="24"/>
        </w:rPr>
      </w:pPr>
      <w:bookmarkStart w:id="17" w:name="_Toc500948793"/>
      <w:r>
        <w:rPr>
          <w:i/>
          <w:noProof/>
          <w:sz w:val="24"/>
          <w:u w:val="single"/>
        </w:rPr>
        <w:t xml:space="preserve">Фигура </w:t>
      </w:r>
      <w:r>
        <w:rPr>
          <w:i/>
          <w:noProof/>
          <w:sz w:val="24"/>
          <w:szCs w:val="24"/>
          <w:u w:val="single"/>
        </w:rPr>
        <w:fldChar w:fldCharType="begin"/>
      </w:r>
      <w:r>
        <w:rPr>
          <w:i/>
          <w:noProof/>
          <w:sz w:val="24"/>
          <w:szCs w:val="24"/>
          <w:u w:val="single"/>
        </w:rPr>
        <w:instrText xml:space="preserve"> SEQ Figure \* ARABIC </w:instrText>
      </w:r>
      <w:r>
        <w:rPr>
          <w:i/>
          <w:noProof/>
          <w:sz w:val="24"/>
          <w:szCs w:val="24"/>
          <w:u w:val="single"/>
        </w:rPr>
        <w:fldChar w:fldCharType="separate"/>
      </w:r>
      <w:r>
        <w:rPr>
          <w:i/>
          <w:noProof/>
          <w:sz w:val="24"/>
          <w:szCs w:val="24"/>
          <w:u w:val="single"/>
        </w:rPr>
        <w:t>3</w:t>
      </w:r>
      <w:r>
        <w:rPr>
          <w:i/>
          <w:noProof/>
          <w:sz w:val="24"/>
          <w:szCs w:val="24"/>
          <w:u w:val="single"/>
        </w:rPr>
        <w:fldChar w:fldCharType="end"/>
      </w:r>
      <w:r>
        <w:rPr>
          <w:i/>
          <w:noProof/>
          <w:sz w:val="24"/>
          <w:u w:val="single"/>
        </w:rPr>
        <w:t>:</w:t>
      </w:r>
      <w:r>
        <w:rPr>
          <w:i/>
          <w:noProof/>
          <w:sz w:val="24"/>
        </w:rPr>
        <w:t xml:space="preserve"> </w:t>
      </w:r>
      <w:r>
        <w:rPr>
          <w:b w:val="0"/>
          <w:i/>
          <w:noProof/>
          <w:sz w:val="24"/>
        </w:rPr>
        <w:t>Наличност на различни възможности на процедурите по регистрация в 28-те държави — членки на ЕС (2016 г.)</w:t>
      </w:r>
      <w:bookmarkEnd w:id="17"/>
      <w:r>
        <w:rPr>
          <w:b w:val="0"/>
          <w:i/>
          <w:noProof/>
          <w:sz w:val="24"/>
        </w:rPr>
        <w:t xml:space="preserve"> </w:t>
      </w:r>
    </w:p>
    <w:tbl>
      <w:tblPr>
        <w:tblW w:w="9221" w:type="dxa"/>
        <w:tblLayout w:type="fixed"/>
        <w:tblLook w:val="04A0" w:firstRow="1" w:lastRow="0" w:firstColumn="1" w:lastColumn="0" w:noHBand="0" w:noVBand="1"/>
      </w:tblPr>
      <w:tblGrid>
        <w:gridCol w:w="76"/>
        <w:gridCol w:w="1667"/>
        <w:gridCol w:w="7478"/>
      </w:tblGrid>
      <w:tr>
        <w:trPr>
          <w:trHeight w:val="1509"/>
        </w:trPr>
        <w:tc>
          <w:tcPr>
            <w:tcW w:w="76" w:type="dxa"/>
            <w:tcMar>
              <w:left w:w="28" w:type="dxa"/>
              <w:right w:w="28" w:type="dxa"/>
            </w:tcMar>
            <w:vAlign w:val="center"/>
          </w:tcPr>
          <w:p>
            <w:pPr>
              <w:spacing w:after="120"/>
              <w:ind w:left="849"/>
              <w:contextualSpacing/>
              <w:rPr>
                <w:rFonts w:ascii="Times New Roman" w:hAnsi="Times New Roman" w:cs="Times New Roman"/>
                <w:noProof/>
                <w:color w:val="7F7F7F" w:themeColor="text1" w:themeTint="80"/>
                <w:sz w:val="16"/>
                <w:szCs w:val="16"/>
              </w:rPr>
            </w:pPr>
          </w:p>
        </w:tc>
        <w:tc>
          <w:tcPr>
            <w:tcW w:w="1667" w:type="dxa"/>
            <w:vAlign w:val="center"/>
          </w:tcPr>
          <w:p>
            <w:pPr>
              <w:spacing w:after="120"/>
              <w:rPr>
                <w:rFonts w:ascii="Times New Roman" w:hAnsi="Times New Roman" w:cs="Times New Roman"/>
                <w:noProof/>
                <w:sz w:val="14"/>
                <w:szCs w:val="14"/>
              </w:rPr>
            </w:pPr>
            <w:r>
              <w:rPr>
                <w:rFonts w:ascii="Times New Roman" w:hAnsi="Times New Roman"/>
                <w:noProof/>
                <w:sz w:val="14"/>
                <w:szCs w:val="14"/>
              </w:rPr>
              <w:t>Има информация за данъкоплатците за регистрацията</w:t>
            </w:r>
          </w:p>
          <w:p>
            <w:pPr>
              <w:spacing w:after="120"/>
              <w:rPr>
                <w:rFonts w:ascii="Times New Roman" w:hAnsi="Times New Roman" w:cs="Times New Roman"/>
                <w:noProof/>
                <w:sz w:val="14"/>
                <w:szCs w:val="14"/>
              </w:rPr>
            </w:pPr>
            <w:r>
              <w:rPr>
                <w:rFonts w:ascii="Times New Roman" w:hAnsi="Times New Roman"/>
                <w:noProof/>
                <w:sz w:val="14"/>
                <w:szCs w:val="14"/>
              </w:rPr>
              <w:t>На чужди езици</w:t>
            </w:r>
          </w:p>
          <w:p>
            <w:pPr>
              <w:spacing w:after="120"/>
              <w:rPr>
                <w:rFonts w:ascii="Times New Roman" w:hAnsi="Times New Roman" w:cs="Times New Roman"/>
                <w:noProof/>
                <w:sz w:val="14"/>
                <w:szCs w:val="14"/>
              </w:rPr>
            </w:pPr>
            <w:r>
              <w:rPr>
                <w:rFonts w:ascii="Times New Roman" w:hAnsi="Times New Roman"/>
                <w:noProof/>
                <w:sz w:val="14"/>
                <w:szCs w:val="14"/>
              </w:rPr>
              <w:t>Възможна е онлайн регистрация</w:t>
            </w:r>
          </w:p>
          <w:p>
            <w:pPr>
              <w:spacing w:after="120"/>
              <w:rPr>
                <w:rFonts w:ascii="Times New Roman" w:hAnsi="Times New Roman" w:cs="Times New Roman"/>
                <w:noProof/>
                <w:sz w:val="14"/>
                <w:szCs w:val="14"/>
              </w:rPr>
            </w:pPr>
            <w:r>
              <w:rPr>
                <w:rFonts w:ascii="Times New Roman" w:hAnsi="Times New Roman"/>
                <w:noProof/>
                <w:sz w:val="14"/>
                <w:szCs w:val="14"/>
              </w:rPr>
              <w:t>Проверява се автентичността на регистрацията</w:t>
            </w:r>
          </w:p>
          <w:p>
            <w:pPr>
              <w:spacing w:after="120"/>
              <w:rPr>
                <w:rFonts w:ascii="Times New Roman" w:hAnsi="Times New Roman" w:cs="Times New Roman"/>
                <w:noProof/>
                <w:sz w:val="14"/>
                <w:szCs w:val="14"/>
              </w:rPr>
            </w:pPr>
            <w:r>
              <w:rPr>
                <w:rFonts w:ascii="Times New Roman" w:hAnsi="Times New Roman"/>
                <w:noProof/>
                <w:sz w:val="14"/>
                <w:szCs w:val="14"/>
              </w:rPr>
              <w:t>Има проверки преди регистрация</w:t>
            </w:r>
          </w:p>
          <w:p>
            <w:pPr>
              <w:spacing w:after="120"/>
              <w:rPr>
                <w:rFonts w:ascii="Times New Roman" w:hAnsi="Times New Roman"/>
                <w:noProof/>
                <w:sz w:val="14"/>
                <w:szCs w:val="14"/>
              </w:rPr>
            </w:pPr>
            <w:r>
              <w:rPr>
                <w:rFonts w:ascii="Times New Roman" w:hAnsi="Times New Roman"/>
                <w:noProof/>
                <w:sz w:val="14"/>
                <w:szCs w:val="14"/>
              </w:rPr>
              <w:t>ИТ система за регистрация за целите на ДДС и във VІЕS</w:t>
            </w:r>
          </w:p>
          <w:p>
            <w:pPr>
              <w:spacing w:after="120"/>
              <w:rPr>
                <w:rFonts w:ascii="Times New Roman" w:hAnsi="Times New Roman" w:cs="Times New Roman"/>
                <w:noProof/>
                <w:color w:val="7F7F7F" w:themeColor="text1" w:themeTint="80"/>
                <w:sz w:val="14"/>
                <w:szCs w:val="14"/>
              </w:rPr>
            </w:pPr>
            <w:r>
              <w:rPr>
                <w:rFonts w:ascii="Times New Roman" w:hAnsi="Times New Roman"/>
                <w:noProof/>
                <w:sz w:val="14"/>
                <w:szCs w:val="14"/>
              </w:rPr>
              <w:t>Проверки след регистрация във VІЕS</w:t>
            </w:r>
          </w:p>
        </w:tc>
        <w:tc>
          <w:tcPr>
            <w:tcW w:w="7478" w:type="dxa"/>
          </w:tcPr>
          <w:p>
            <w:pPr>
              <w:spacing w:after="120"/>
              <w:rPr>
                <w:rFonts w:ascii="Times New Roman" w:hAnsi="Times New Roman" w:cs="Times New Roman"/>
                <w:noProof/>
              </w:rPr>
            </w:pPr>
            <w:r>
              <w:rPr>
                <w:rFonts w:ascii="Times New Roman" w:hAnsi="Times New Roman" w:cs="Times New Roman"/>
                <w:i/>
                <w:noProof/>
                <w:lang w:val="en-US" w:eastAsia="en-US" w:bidi="ar-SA"/>
              </w:rPr>
              <w:drawing>
                <wp:inline distT="0" distB="0" distL="0" distR="0">
                  <wp:extent cx="4710224" cy="2466753"/>
                  <wp:effectExtent l="0" t="0" r="14605" b="10160"/>
                  <wp:docPr id="29"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c>
      </w:tr>
    </w:tbl>
    <w:p>
      <w:pPr>
        <w:spacing w:after="120"/>
        <w:rPr>
          <w:rFonts w:ascii="Times New Roman" w:hAnsi="Times New Roman" w:cs="Times New Roman"/>
          <w:i/>
          <w:noProof/>
          <w:sz w:val="18"/>
          <w:szCs w:val="18"/>
        </w:rPr>
      </w:pPr>
      <w:r>
        <w:rPr>
          <w:rFonts w:ascii="Times New Roman" w:hAnsi="Times New Roman"/>
          <w:i/>
          <w:noProof/>
          <w:sz w:val="18"/>
        </w:rPr>
        <w:t xml:space="preserve">Източник: Отговори на държави членки на въпросника от 2017 г. </w:t>
      </w:r>
    </w:p>
    <w:p>
      <w:pPr>
        <w:spacing w:after="120"/>
        <w:jc w:val="both"/>
        <w:rPr>
          <w:rFonts w:ascii="Times New Roman" w:hAnsi="Times New Roman" w:cs="Times New Roman"/>
          <w:noProof/>
          <w:sz w:val="24"/>
          <w:szCs w:val="24"/>
        </w:rPr>
      </w:pPr>
      <w:r>
        <w:rPr>
          <w:rFonts w:ascii="Times New Roman" w:hAnsi="Times New Roman"/>
          <w:noProof/>
          <w:sz w:val="24"/>
        </w:rPr>
        <w:t>В съответствие с тенденцията за по-добро обслужване на данъкоплатците, онлайн регистрацията става също стандартна практика</w:t>
      </w:r>
      <w:r>
        <w:rPr>
          <w:rStyle w:val="FootnoteReference"/>
          <w:rFonts w:ascii="Times New Roman" w:hAnsi="Times New Roman"/>
          <w:noProof/>
          <w:sz w:val="24"/>
        </w:rPr>
        <w:footnoteReference w:id="11"/>
      </w:r>
      <w:r>
        <w:rPr>
          <w:rFonts w:ascii="Times New Roman" w:hAnsi="Times New Roman"/>
          <w:noProof/>
          <w:sz w:val="24"/>
        </w:rPr>
        <w:t xml:space="preserve">. </w:t>
      </w:r>
    </w:p>
    <w:p>
      <w:pPr>
        <w:spacing w:after="120"/>
        <w:jc w:val="both"/>
        <w:rPr>
          <w:rFonts w:ascii="Times New Roman" w:hAnsi="Times New Roman" w:cs="Times New Roman"/>
          <w:b/>
          <w:noProof/>
          <w:sz w:val="24"/>
          <w:szCs w:val="24"/>
        </w:rPr>
      </w:pPr>
      <w:r>
        <w:rPr>
          <w:rFonts w:ascii="Times New Roman" w:hAnsi="Times New Roman"/>
          <w:noProof/>
          <w:sz w:val="24"/>
        </w:rPr>
        <w:t xml:space="preserve">Информация за процедурите и задълженията във връзка с регистрацията се съобщава на данъкоплатците основно чрез уебсайта на данъчната администрация. Въпреки това в някои държави членки </w:t>
      </w:r>
      <w:r>
        <w:rPr>
          <w:rFonts w:ascii="Times New Roman" w:hAnsi="Times New Roman"/>
          <w:b/>
          <w:noProof/>
          <w:sz w:val="24"/>
        </w:rPr>
        <w:t>тази информация все още не е налична или достъпна на чужд език</w:t>
      </w:r>
      <w:r>
        <w:rPr>
          <w:rFonts w:ascii="Times New Roman" w:hAnsi="Times New Roman"/>
          <w:noProof/>
          <w:sz w:val="24"/>
        </w:rPr>
        <w:t>, което може да затрудни данъкоплатците, които не са установени в съответната държава, да изпълнят условията за регистрация.</w:t>
      </w:r>
      <w:r>
        <w:rPr>
          <w:rFonts w:ascii="Times New Roman" w:hAnsi="Times New Roman"/>
          <w:b/>
          <w:noProof/>
          <w:sz w:val="24"/>
        </w:rPr>
        <w:t xml:space="preserve"> </w:t>
      </w:r>
    </w:p>
    <w:p>
      <w:pPr>
        <w:pStyle w:val="Caption"/>
        <w:spacing w:line="276" w:lineRule="auto"/>
        <w:rPr>
          <w:noProof/>
          <w:sz w:val="24"/>
        </w:rPr>
      </w:pPr>
      <w:bookmarkStart w:id="18" w:name="_Toc500948806"/>
      <w:r>
        <w:rPr>
          <w:noProof/>
          <w:sz w:val="24"/>
        </w:rPr>
        <w:t xml:space="preserve">Препоръка </w:t>
      </w:r>
      <w:r>
        <w:rPr>
          <w:noProof/>
          <w:sz w:val="24"/>
        </w:rPr>
        <w:fldChar w:fldCharType="begin"/>
      </w:r>
      <w:r>
        <w:rPr>
          <w:noProof/>
          <w:sz w:val="24"/>
        </w:rPr>
        <w:instrText xml:space="preserve"> SEQ Recommendation \* ARABIC </w:instrText>
      </w:r>
      <w:r>
        <w:rPr>
          <w:noProof/>
          <w:sz w:val="24"/>
        </w:rPr>
        <w:fldChar w:fldCharType="separate"/>
      </w:r>
      <w:r>
        <w:rPr>
          <w:noProof/>
          <w:sz w:val="24"/>
        </w:rPr>
        <w:t>4</w:t>
      </w:r>
      <w:r>
        <w:rPr>
          <w:noProof/>
          <w:sz w:val="24"/>
        </w:rPr>
        <w:fldChar w:fldCharType="end"/>
      </w:r>
      <w:r>
        <w:rPr>
          <w:noProof/>
          <w:sz w:val="24"/>
        </w:rPr>
        <w:t>: Регистрация за целите на ДДС за чуждестранни данъкоплатци</w:t>
      </w:r>
      <w:bookmarkEnd w:id="18"/>
    </w:p>
    <w:p>
      <w:pPr>
        <w:pStyle w:val="Text1"/>
        <w:pBdr>
          <w:top w:val="single" w:sz="4" w:space="1" w:color="auto"/>
          <w:left w:val="single" w:sz="4" w:space="4" w:color="auto"/>
          <w:bottom w:val="single" w:sz="4" w:space="1" w:color="auto"/>
          <w:right w:val="single" w:sz="4" w:space="4" w:color="auto"/>
        </w:pBdr>
        <w:spacing w:line="276" w:lineRule="auto"/>
        <w:ind w:left="0"/>
        <w:rPr>
          <w:i/>
          <w:noProof/>
        </w:rPr>
      </w:pPr>
      <w:r>
        <w:rPr>
          <w:rFonts w:eastAsiaTheme="minorEastAsia"/>
          <w:i/>
          <w:noProof/>
        </w:rPr>
        <w:t>Въпреки препоръката в предишния доклад за някои държави членки продължава  да е необходимо да вземат допълнителни мерки за оказване на помощ на чуждестранните данъкоплатци при изпълнение на техните задължения за регистрация за целите на ДДС.</w:t>
      </w:r>
    </w:p>
    <w:p>
      <w:pPr>
        <w:spacing w:after="240"/>
        <w:jc w:val="both"/>
        <w:rPr>
          <w:rFonts w:ascii="Times New Roman" w:hAnsi="Times New Roman" w:cs="Times New Roman"/>
          <w:b/>
          <w:noProof/>
          <w:sz w:val="24"/>
          <w:szCs w:val="24"/>
        </w:rPr>
      </w:pPr>
      <w:r>
        <w:rPr>
          <w:rFonts w:ascii="Times New Roman" w:hAnsi="Times New Roman"/>
          <w:b/>
          <w:noProof/>
          <w:sz w:val="24"/>
        </w:rPr>
        <w:t>Държавите членки имат въведени различни практики за определяне на номерата за идентифициране на данъкоплатците.</w:t>
      </w:r>
      <w:r>
        <w:rPr>
          <w:rFonts w:ascii="Times New Roman" w:hAnsi="Times New Roman"/>
          <w:noProof/>
          <w:sz w:val="24"/>
        </w:rPr>
        <w:t xml:space="preserve"> Те варират от единен идентификационен номер за целите на всички данъци, включително ДДС, до различни идентификационни номера за целите на ДДС и другите данъци. В някои държави членки дори номерът за регистрация във VІЕS е различен от идентификационния номер за целите на ДДС. </w:t>
      </w:r>
      <w:r>
        <w:rPr>
          <w:rFonts w:ascii="Times New Roman" w:hAnsi="Times New Roman"/>
          <w:b/>
          <w:noProof/>
          <w:sz w:val="24"/>
        </w:rPr>
        <w:t>Тази разнородност на практиките за идентификация за целите на ДДС може да доведе до допълнителни административни тежести за предприятията, действащи в различни държави членки.</w:t>
      </w:r>
    </w:p>
    <w:p>
      <w:pPr>
        <w:pStyle w:val="Caption"/>
        <w:spacing w:line="276" w:lineRule="auto"/>
        <w:rPr>
          <w:noProof/>
          <w:sz w:val="24"/>
        </w:rPr>
      </w:pPr>
      <w:bookmarkStart w:id="19" w:name="_Toc500948807"/>
      <w:r>
        <w:rPr>
          <w:noProof/>
          <w:sz w:val="24"/>
        </w:rPr>
        <w:t xml:space="preserve">Препоръка </w:t>
      </w:r>
      <w:r>
        <w:rPr>
          <w:noProof/>
          <w:sz w:val="24"/>
        </w:rPr>
        <w:fldChar w:fldCharType="begin"/>
      </w:r>
      <w:r>
        <w:rPr>
          <w:noProof/>
          <w:sz w:val="24"/>
        </w:rPr>
        <w:instrText xml:space="preserve"> SEQ Recommendation \* ARABIC </w:instrText>
      </w:r>
      <w:r>
        <w:rPr>
          <w:noProof/>
          <w:sz w:val="24"/>
        </w:rPr>
        <w:fldChar w:fldCharType="separate"/>
      </w:r>
      <w:r>
        <w:rPr>
          <w:noProof/>
          <w:sz w:val="24"/>
        </w:rPr>
        <w:t>5</w:t>
      </w:r>
      <w:r>
        <w:rPr>
          <w:noProof/>
          <w:sz w:val="24"/>
        </w:rPr>
        <w:fldChar w:fldCharType="end"/>
      </w:r>
      <w:r>
        <w:rPr>
          <w:noProof/>
          <w:sz w:val="24"/>
        </w:rPr>
        <w:t>: Идентификационни номера за целите на ДДС</w:t>
      </w:r>
      <w:bookmarkEnd w:id="19"/>
    </w:p>
    <w:p>
      <w:pPr>
        <w:pBdr>
          <w:top w:val="single" w:sz="4" w:space="1" w:color="auto"/>
          <w:left w:val="single" w:sz="4" w:space="4" w:color="auto"/>
          <w:bottom w:val="single" w:sz="4" w:space="1" w:color="auto"/>
          <w:right w:val="single" w:sz="4" w:space="4" w:color="auto"/>
        </w:pBdr>
        <w:spacing w:after="240"/>
        <w:jc w:val="both"/>
        <w:rPr>
          <w:rFonts w:ascii="Times New Roman" w:hAnsi="Times New Roman" w:cs="Times New Roman"/>
          <w:b/>
          <w:noProof/>
          <w:sz w:val="24"/>
          <w:szCs w:val="24"/>
        </w:rPr>
      </w:pPr>
      <w:r>
        <w:rPr>
          <w:rFonts w:ascii="Times New Roman" w:eastAsiaTheme="minorEastAsia" w:hAnsi="Times New Roman"/>
          <w:i/>
          <w:noProof/>
          <w:sz w:val="24"/>
        </w:rPr>
        <w:t>С оглед да бъде намалена тази административна тежест държавите членки и Комисията следва да поразсъждават върху определянето на идентификационни номера за целите на ДДС и номера за регистрация във VІЕS.</w:t>
      </w:r>
    </w:p>
    <w:p>
      <w:pPr>
        <w:spacing w:after="240"/>
        <w:jc w:val="both"/>
        <w:rPr>
          <w:rFonts w:ascii="Times New Roman" w:hAnsi="Times New Roman" w:cs="Times New Roman"/>
          <w:noProof/>
          <w:sz w:val="24"/>
          <w:szCs w:val="24"/>
        </w:rPr>
      </w:pPr>
      <w:r>
        <w:rPr>
          <w:rFonts w:ascii="Times New Roman" w:hAnsi="Times New Roman"/>
          <w:noProof/>
          <w:sz w:val="24"/>
        </w:rPr>
        <w:t xml:space="preserve">За да се избегне възможността регистрационният номер за целите на ДДС да бъде използван за измамни дейности, данъчните администрации трябва да гарантират автентичността, точността и пълнотата на информацията, предоставена от данъкоплатеца. За тази цел голям брой държави членки са въвели цялостен процес, включващ проверка на самоличността на данъкоплатеца, предварителни проверки преди регистрацията въз основа на анализ на риска, кръстосани проверки с информация от трета страна, програми за мониторинг след регистрацията за рискови търговци и процедури по дерегистрация, в случай че данъкоплатците вече не изпълняват условията за регистрация. Въпреки че някои държави членки са въвели този цялостен процес, съпътстващите дейности често се извършват на </w:t>
      </w:r>
      <w:r>
        <w:rPr>
          <w:rFonts w:ascii="Times New Roman" w:hAnsi="Times New Roman"/>
          <w:i/>
          <w:noProof/>
          <w:sz w:val="24"/>
        </w:rPr>
        <w:t>ad hoc</w:t>
      </w:r>
      <w:r>
        <w:rPr>
          <w:rFonts w:ascii="Times New Roman" w:hAnsi="Times New Roman"/>
          <w:noProof/>
          <w:sz w:val="24"/>
        </w:rPr>
        <w:t xml:space="preserve"> основа, което повишава риска от попадане на ненадеждни данни в системата за регистрация. При използване на по-систематичен подход данъчните администрации ще имат по-добри възможности за справяне с рисковете на процедурата по регистрация.</w:t>
      </w:r>
    </w:p>
    <w:p>
      <w:pPr>
        <w:pStyle w:val="Caption"/>
        <w:spacing w:line="276" w:lineRule="auto"/>
        <w:rPr>
          <w:noProof/>
          <w:sz w:val="24"/>
        </w:rPr>
      </w:pPr>
      <w:bookmarkStart w:id="20" w:name="_Toc500948808"/>
      <w:r>
        <w:rPr>
          <w:noProof/>
          <w:sz w:val="24"/>
        </w:rPr>
        <w:t xml:space="preserve">Препоръка </w:t>
      </w:r>
      <w:r>
        <w:rPr>
          <w:noProof/>
          <w:sz w:val="24"/>
        </w:rPr>
        <w:fldChar w:fldCharType="begin"/>
      </w:r>
      <w:r>
        <w:rPr>
          <w:noProof/>
          <w:sz w:val="24"/>
        </w:rPr>
        <w:instrText xml:space="preserve"> SEQ Recommendation \* ARABIC </w:instrText>
      </w:r>
      <w:r>
        <w:rPr>
          <w:noProof/>
          <w:sz w:val="24"/>
        </w:rPr>
        <w:fldChar w:fldCharType="separate"/>
      </w:r>
      <w:r>
        <w:rPr>
          <w:noProof/>
          <w:sz w:val="24"/>
        </w:rPr>
        <w:t>6</w:t>
      </w:r>
      <w:r>
        <w:rPr>
          <w:noProof/>
          <w:sz w:val="24"/>
        </w:rPr>
        <w:fldChar w:fldCharType="end"/>
      </w:r>
      <w:r>
        <w:rPr>
          <w:noProof/>
          <w:sz w:val="24"/>
        </w:rPr>
        <w:t>: Валидност на регистрацията за целите на ДДС и регистрацията във VІЕS</w:t>
      </w:r>
      <w:bookmarkEnd w:id="20"/>
    </w:p>
    <w:p>
      <w:pPr>
        <w:pStyle w:val="Text1"/>
        <w:pBdr>
          <w:top w:val="single" w:sz="4" w:space="1" w:color="auto"/>
          <w:left w:val="single" w:sz="4" w:space="4" w:color="auto"/>
          <w:bottom w:val="single" w:sz="4" w:space="1" w:color="auto"/>
          <w:right w:val="single" w:sz="4" w:space="4" w:color="auto"/>
        </w:pBdr>
        <w:spacing w:after="240" w:line="276" w:lineRule="auto"/>
        <w:ind w:left="0"/>
        <w:rPr>
          <w:i/>
          <w:noProof/>
        </w:rPr>
      </w:pPr>
      <w:r>
        <w:rPr>
          <w:rFonts w:eastAsiaTheme="minorEastAsia"/>
          <w:i/>
          <w:noProof/>
        </w:rPr>
        <w:t>Държавите членки следва да проверяват по-систематично валидността на регистрацията за целите на ДДС и регистрацията във VІЕS.</w:t>
      </w:r>
    </w:p>
    <w:p>
      <w:pPr>
        <w:spacing w:after="240"/>
        <w:jc w:val="both"/>
        <w:rPr>
          <w:rFonts w:ascii="Times New Roman" w:hAnsi="Times New Roman" w:cs="Times New Roman"/>
          <w:noProof/>
          <w:sz w:val="24"/>
          <w:szCs w:val="24"/>
        </w:rPr>
      </w:pPr>
      <w:r>
        <w:rPr>
          <w:rFonts w:ascii="Times New Roman" w:hAnsi="Times New Roman"/>
          <w:noProof/>
          <w:sz w:val="24"/>
        </w:rPr>
        <w:t xml:space="preserve">Общо взето </w:t>
      </w:r>
      <w:r>
        <w:rPr>
          <w:rFonts w:ascii="Times New Roman" w:hAnsi="Times New Roman"/>
          <w:b/>
          <w:noProof/>
          <w:sz w:val="24"/>
        </w:rPr>
        <w:t>държавите членки се насочват към процедура по регистрация, основана на оценка на риска</w:t>
      </w:r>
      <w:r>
        <w:rPr>
          <w:rFonts w:ascii="Times New Roman" w:hAnsi="Times New Roman"/>
          <w:noProof/>
          <w:sz w:val="24"/>
        </w:rPr>
        <w:t>. За да не доведе този подход до забавяне при издаването на идентификационни номера за целите на ДДС, няколко данъчни администрации въведоха процедури, които смекчават този риск</w:t>
      </w:r>
      <w:r>
        <w:rPr>
          <w:rStyle w:val="FootnoteReference"/>
          <w:rFonts w:ascii="Times New Roman" w:hAnsi="Times New Roman"/>
          <w:noProof/>
          <w:sz w:val="24"/>
        </w:rPr>
        <w:footnoteReference w:id="12"/>
      </w:r>
      <w:r>
        <w:rPr>
          <w:noProof/>
        </w:rPr>
        <w:t>.</w:t>
      </w:r>
      <w:r>
        <w:rPr>
          <w:rFonts w:ascii="Times New Roman" w:hAnsi="Times New Roman"/>
          <w:noProof/>
          <w:sz w:val="24"/>
        </w:rPr>
        <w:t xml:space="preserve"> В своите отговори държавите членки посочват, че времето за получаване на идентификационен номер за целите на ДДС и/или VІЕS е в рамките на една седмица, от един до пет дена.</w:t>
      </w:r>
      <w:r>
        <w:rPr>
          <w:rFonts w:ascii="Times New Roman" w:hAnsi="Times New Roman"/>
          <w:b/>
          <w:noProof/>
          <w:sz w:val="24"/>
        </w:rPr>
        <w:t xml:space="preserve"> Вижда се следователно, че подходът, основан на оценка на риска, не води до съществени забавяния при издаване на идентификационен номер за целите на ДДС и/или VІЕS.</w:t>
      </w:r>
    </w:p>
    <w:p>
      <w:pPr>
        <w:pStyle w:val="Caption"/>
        <w:rPr>
          <w:i/>
          <w:noProof/>
          <w:sz w:val="24"/>
          <w:szCs w:val="24"/>
        </w:rPr>
      </w:pPr>
      <w:bookmarkStart w:id="21" w:name="_Toc500948794"/>
      <w:r>
        <w:rPr>
          <w:i/>
          <w:noProof/>
          <w:sz w:val="24"/>
          <w:u w:val="single"/>
        </w:rPr>
        <w:t xml:space="preserve">Фигура </w:t>
      </w:r>
      <w:r>
        <w:rPr>
          <w:i/>
          <w:noProof/>
          <w:sz w:val="24"/>
          <w:szCs w:val="24"/>
          <w:u w:val="single"/>
        </w:rPr>
        <w:fldChar w:fldCharType="begin"/>
      </w:r>
      <w:r>
        <w:rPr>
          <w:i/>
          <w:noProof/>
          <w:sz w:val="24"/>
          <w:szCs w:val="24"/>
          <w:u w:val="single"/>
        </w:rPr>
        <w:instrText xml:space="preserve"> SEQ Figure \* ARABIC </w:instrText>
      </w:r>
      <w:r>
        <w:rPr>
          <w:i/>
          <w:noProof/>
          <w:sz w:val="24"/>
          <w:szCs w:val="24"/>
          <w:u w:val="single"/>
        </w:rPr>
        <w:fldChar w:fldCharType="separate"/>
      </w:r>
      <w:r>
        <w:rPr>
          <w:i/>
          <w:noProof/>
          <w:sz w:val="24"/>
          <w:szCs w:val="24"/>
          <w:u w:val="single"/>
        </w:rPr>
        <w:t>4</w:t>
      </w:r>
      <w:r>
        <w:rPr>
          <w:i/>
          <w:noProof/>
          <w:sz w:val="24"/>
          <w:szCs w:val="24"/>
          <w:u w:val="single"/>
        </w:rPr>
        <w:fldChar w:fldCharType="end"/>
      </w:r>
      <w:r>
        <w:rPr>
          <w:i/>
          <w:noProof/>
          <w:sz w:val="24"/>
        </w:rPr>
        <w:t xml:space="preserve">: </w:t>
      </w:r>
      <w:r>
        <w:rPr>
          <w:b w:val="0"/>
          <w:i/>
          <w:noProof/>
          <w:sz w:val="24"/>
        </w:rPr>
        <w:t>Необходимо време за получаване на номер за целите на ДДС или VІЕS в 22 държави — членки на ЕС (2013 — 2015 г.)</w:t>
      </w:r>
      <w:r>
        <w:rPr>
          <w:rStyle w:val="FootnoteReference"/>
          <w:i/>
          <w:noProof/>
          <w:sz w:val="24"/>
        </w:rPr>
        <w:footnoteReference w:id="13"/>
      </w:r>
      <w:bookmarkEnd w:id="21"/>
    </w:p>
    <w:p>
      <w:pPr>
        <w:spacing w:before="240" w:after="120"/>
        <w:rPr>
          <w:rFonts w:ascii="Times New Roman" w:hAnsi="Times New Roman" w:cs="Times New Roman"/>
          <w:noProof/>
        </w:rPr>
      </w:pPr>
      <w:r>
        <w:rPr>
          <w:rFonts w:ascii="Times New Roman" w:hAnsi="Times New Roman" w:cs="Times New Roman"/>
          <w:noProof/>
          <w:lang w:val="en-US" w:eastAsia="en-US" w:bidi="ar-SA"/>
        </w:rPr>
        <w:drawing>
          <wp:inline distT="0" distB="0" distL="0" distR="0">
            <wp:extent cx="5771692" cy="1558137"/>
            <wp:effectExtent l="0" t="0" r="19685" b="23495"/>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pPr>
        <w:spacing w:after="240"/>
        <w:rPr>
          <w:rFonts w:ascii="Times New Roman" w:hAnsi="Times New Roman" w:cs="Times New Roman"/>
          <w:i/>
          <w:noProof/>
          <w:sz w:val="18"/>
          <w:szCs w:val="18"/>
        </w:rPr>
      </w:pPr>
      <w:r>
        <w:rPr>
          <w:rFonts w:ascii="Times New Roman" w:hAnsi="Times New Roman"/>
          <w:i/>
          <w:noProof/>
          <w:sz w:val="18"/>
        </w:rPr>
        <w:t xml:space="preserve">Източник: Отговори на държави членки на въпросника от 2017 г. </w:t>
      </w:r>
    </w:p>
    <w:p>
      <w:pPr>
        <w:spacing w:before="240"/>
        <w:jc w:val="both"/>
        <w:rPr>
          <w:rFonts w:ascii="Times New Roman" w:hAnsi="Times New Roman" w:cs="Times New Roman"/>
          <w:noProof/>
          <w:sz w:val="24"/>
          <w:szCs w:val="24"/>
        </w:rPr>
      </w:pPr>
      <w:r>
        <w:rPr>
          <w:rFonts w:ascii="Times New Roman" w:hAnsi="Times New Roman"/>
          <w:noProof/>
          <w:sz w:val="24"/>
        </w:rPr>
        <w:t>Във всички държави членки базата данни за регистрация за целите на ДДС е налична в електронен формат, което дава възможност на данъчните органи да свържат информацията за регистрация с други информационни подсистеми, предназначени за подаване на справки-декларации за ДДС, плащане на данъка, събиране и ревизия на ДДС.</w:t>
      </w:r>
    </w:p>
    <w:p>
      <w:pPr>
        <w:spacing w:after="240"/>
        <w:jc w:val="both"/>
        <w:rPr>
          <w:rFonts w:ascii="Times New Roman" w:hAnsi="Times New Roman" w:cs="Times New Roman"/>
          <w:noProof/>
          <w:sz w:val="24"/>
          <w:szCs w:val="24"/>
        </w:rPr>
      </w:pPr>
      <w:r>
        <w:rPr>
          <w:rFonts w:ascii="Times New Roman" w:hAnsi="Times New Roman"/>
          <w:noProof/>
          <w:sz w:val="24"/>
        </w:rPr>
        <w:t>Накрая следва да се отбележи, че голямото мнозинство от данъчните администрации имат въведени стратегии за постигане на съответствие с изискванията, включващи инициативи за откриване на нерегистрирани данъчно задължени лица. Информационните кампании</w:t>
      </w:r>
      <w:r>
        <w:rPr>
          <w:rStyle w:val="FootnoteReference"/>
          <w:rFonts w:ascii="Times New Roman" w:hAnsi="Times New Roman"/>
          <w:noProof/>
          <w:sz w:val="24"/>
        </w:rPr>
        <w:footnoteReference w:id="14"/>
      </w:r>
      <w:r>
        <w:rPr>
          <w:rFonts w:ascii="Times New Roman" w:hAnsi="Times New Roman"/>
          <w:noProof/>
          <w:sz w:val="24"/>
        </w:rPr>
        <w:t>, посещенията на място и проверките на националните декларации за контрол</w:t>
      </w:r>
      <w:r>
        <w:rPr>
          <w:rStyle w:val="FootnoteReference"/>
          <w:rFonts w:ascii="Times New Roman" w:hAnsi="Times New Roman"/>
          <w:noProof/>
          <w:sz w:val="24"/>
        </w:rPr>
        <w:footnoteReference w:id="15"/>
      </w:r>
      <w:r>
        <w:rPr>
          <w:rFonts w:ascii="Times New Roman" w:hAnsi="Times New Roman"/>
          <w:noProof/>
          <w:sz w:val="24"/>
        </w:rPr>
        <w:t xml:space="preserve"> са примери за такива инициативи.</w:t>
      </w:r>
    </w:p>
    <w:p>
      <w:pPr>
        <w:pStyle w:val="ManualHeading3"/>
        <w:rPr>
          <w:noProof/>
        </w:rPr>
      </w:pPr>
      <w:bookmarkStart w:id="22" w:name="_Toc500948766"/>
      <w:r>
        <w:t>3.2.2.</w:t>
      </w:r>
      <w:r>
        <w:tab/>
      </w:r>
      <w:r>
        <w:rPr>
          <w:noProof/>
        </w:rPr>
        <w:t>Дерегистрация за целите на ДДС</w:t>
      </w:r>
      <w:bookmarkEnd w:id="22"/>
    </w:p>
    <w:p>
      <w:pPr>
        <w:spacing w:after="240"/>
        <w:jc w:val="both"/>
        <w:rPr>
          <w:rFonts w:ascii="Times New Roman" w:hAnsi="Times New Roman" w:cs="Times New Roman"/>
          <w:noProof/>
          <w:sz w:val="24"/>
          <w:szCs w:val="24"/>
        </w:rPr>
      </w:pPr>
      <w:r>
        <w:rPr>
          <w:rFonts w:ascii="Times New Roman" w:hAnsi="Times New Roman"/>
          <w:noProof/>
          <w:sz w:val="24"/>
        </w:rPr>
        <w:t xml:space="preserve">Във всички държави членки данъчните администрации извършват дерегистрация на данъкоплатци по тяхно искане или </w:t>
      </w:r>
      <w:r>
        <w:rPr>
          <w:rFonts w:ascii="Times New Roman" w:hAnsi="Times New Roman"/>
          <w:i/>
          <w:noProof/>
          <w:sz w:val="24"/>
        </w:rPr>
        <w:t>ex officio</w:t>
      </w:r>
      <w:r>
        <w:rPr>
          <w:rFonts w:ascii="Times New Roman" w:hAnsi="Times New Roman"/>
          <w:noProof/>
          <w:sz w:val="24"/>
        </w:rPr>
        <w:t xml:space="preserve">, когато икономическите дейности са преустановени. Няколко държави членки са въвели възможност за дерегистрация на данъкоплатци, когато в течение на определен брой месеци те не са подавали справки-декларации за ДДС. В други случаи, напр. при подозрения за измама, повечето държави членки нямат правна възможност за дерегистрация на тези данъкоплатци от системата на ДДС. </w:t>
      </w:r>
    </w:p>
    <w:p>
      <w:pPr>
        <w:pStyle w:val="ManualHeading3"/>
        <w:rPr>
          <w:noProof/>
        </w:rPr>
      </w:pPr>
      <w:bookmarkStart w:id="23" w:name="_Toc500948767"/>
      <w:r>
        <w:t>3.2.3.</w:t>
      </w:r>
      <w:r>
        <w:tab/>
      </w:r>
      <w:r>
        <w:rPr>
          <w:noProof/>
        </w:rPr>
        <w:t>Регистрация и дерегистрация във VІЕS</w:t>
      </w:r>
      <w:bookmarkEnd w:id="23"/>
    </w:p>
    <w:p>
      <w:pPr>
        <w:jc w:val="both"/>
        <w:rPr>
          <w:rFonts w:ascii="Times New Roman" w:hAnsi="Times New Roman" w:cs="Times New Roman"/>
          <w:noProof/>
          <w:sz w:val="24"/>
          <w:szCs w:val="24"/>
        </w:rPr>
      </w:pPr>
      <w:r>
        <w:rPr>
          <w:rFonts w:ascii="Times New Roman" w:hAnsi="Times New Roman"/>
          <w:noProof/>
          <w:sz w:val="24"/>
        </w:rPr>
        <w:t xml:space="preserve">Различни са подходите за регистрация на платци на ДДС във VІЕS. В някои държави членки всички национални регистрации се включват автоматично в системата на VІЕS. Други държави членки включват във VІЕS само тези данъкоплатци, които в момента на регистрацията или след това заявят, че извършват сделки в рамките на ЕС. </w:t>
      </w:r>
    </w:p>
    <w:p>
      <w:pPr>
        <w:spacing w:after="240"/>
        <w:jc w:val="both"/>
        <w:rPr>
          <w:rFonts w:ascii="Times New Roman" w:hAnsi="Times New Roman" w:cs="Times New Roman"/>
          <w:noProof/>
          <w:sz w:val="24"/>
          <w:szCs w:val="24"/>
        </w:rPr>
      </w:pPr>
      <w:r>
        <w:rPr>
          <w:rFonts w:ascii="Times New Roman" w:hAnsi="Times New Roman"/>
          <w:noProof/>
          <w:sz w:val="24"/>
        </w:rPr>
        <w:t xml:space="preserve">Отговорите на държавите членки показаха, </w:t>
      </w:r>
      <w:r>
        <w:rPr>
          <w:rFonts w:ascii="Times New Roman" w:hAnsi="Times New Roman"/>
          <w:b/>
          <w:noProof/>
          <w:sz w:val="24"/>
        </w:rPr>
        <w:t>че над 30 % от данъчните администрации не са въвели процедура за контрол след регистрацията</w:t>
      </w:r>
      <w:r>
        <w:rPr>
          <w:rStyle w:val="FootnoteReference"/>
          <w:rFonts w:ascii="Times New Roman" w:hAnsi="Times New Roman"/>
          <w:b/>
          <w:noProof/>
          <w:sz w:val="24"/>
        </w:rPr>
        <w:footnoteReference w:id="16"/>
      </w:r>
      <w:r>
        <w:rPr>
          <w:rFonts w:ascii="Times New Roman" w:hAnsi="Times New Roman"/>
          <w:noProof/>
          <w:sz w:val="24"/>
        </w:rPr>
        <w:t>.</w:t>
      </w:r>
      <w:r>
        <w:rPr>
          <w:rFonts w:ascii="Times New Roman" w:hAnsi="Times New Roman"/>
          <w:b/>
          <w:noProof/>
          <w:sz w:val="24"/>
        </w:rPr>
        <w:t xml:space="preserve"> </w:t>
      </w:r>
      <w:r>
        <w:rPr>
          <w:rFonts w:ascii="Times New Roman" w:hAnsi="Times New Roman"/>
          <w:noProof/>
          <w:sz w:val="24"/>
        </w:rPr>
        <w:t xml:space="preserve">Други данъчни администрации на държави членки извършват само </w:t>
      </w:r>
      <w:r>
        <w:rPr>
          <w:rFonts w:ascii="Times New Roman" w:hAnsi="Times New Roman"/>
          <w:i/>
          <w:noProof/>
          <w:sz w:val="24"/>
        </w:rPr>
        <w:t>аd hoc</w:t>
      </w:r>
      <w:r>
        <w:rPr>
          <w:rFonts w:ascii="Times New Roman" w:hAnsi="Times New Roman"/>
          <w:noProof/>
          <w:sz w:val="24"/>
        </w:rPr>
        <w:t xml:space="preserve"> проверки след регистрацията. </w:t>
      </w:r>
    </w:p>
    <w:p>
      <w:pPr>
        <w:pStyle w:val="Caption"/>
        <w:spacing w:line="276" w:lineRule="auto"/>
        <w:rPr>
          <w:noProof/>
          <w:sz w:val="24"/>
        </w:rPr>
      </w:pPr>
      <w:bookmarkStart w:id="24" w:name="_Toc500948809"/>
      <w:r>
        <w:rPr>
          <w:noProof/>
          <w:sz w:val="24"/>
        </w:rPr>
        <w:t xml:space="preserve">Препоръка </w:t>
      </w:r>
      <w:r>
        <w:rPr>
          <w:noProof/>
          <w:sz w:val="24"/>
        </w:rPr>
        <w:fldChar w:fldCharType="begin"/>
      </w:r>
      <w:r>
        <w:rPr>
          <w:noProof/>
          <w:sz w:val="24"/>
        </w:rPr>
        <w:instrText xml:space="preserve"> SEQ Recommendation \* ARABIC </w:instrText>
      </w:r>
      <w:r>
        <w:rPr>
          <w:noProof/>
          <w:sz w:val="24"/>
        </w:rPr>
        <w:fldChar w:fldCharType="separate"/>
      </w:r>
      <w:r>
        <w:rPr>
          <w:noProof/>
          <w:sz w:val="24"/>
        </w:rPr>
        <w:t>7</w:t>
      </w:r>
      <w:r>
        <w:rPr>
          <w:noProof/>
          <w:sz w:val="24"/>
        </w:rPr>
        <w:fldChar w:fldCharType="end"/>
      </w:r>
      <w:r>
        <w:rPr>
          <w:noProof/>
          <w:sz w:val="24"/>
        </w:rPr>
        <w:t>: Проверки след регистрацията</w:t>
      </w:r>
      <w:bookmarkEnd w:id="24"/>
    </w:p>
    <w:p>
      <w:pPr>
        <w:pStyle w:val="Text1"/>
        <w:pBdr>
          <w:top w:val="single" w:sz="4" w:space="1" w:color="auto"/>
          <w:left w:val="single" w:sz="4" w:space="4" w:color="auto"/>
          <w:bottom w:val="single" w:sz="4" w:space="1" w:color="auto"/>
          <w:right w:val="single" w:sz="4" w:space="4" w:color="auto"/>
        </w:pBdr>
        <w:spacing w:after="240" w:line="276" w:lineRule="auto"/>
        <w:ind w:left="0"/>
        <w:rPr>
          <w:i/>
          <w:noProof/>
        </w:rPr>
      </w:pPr>
      <w:r>
        <w:rPr>
          <w:rFonts w:eastAsiaTheme="minorEastAsia"/>
          <w:i/>
          <w:noProof/>
        </w:rPr>
        <w:t>Държавите членки, които извършват само предварителни проверки преди регистрацията, следва да извършват проверки след регистрацията, за да се гарантира надеждността на данните във VІЕS.</w:t>
      </w:r>
    </w:p>
    <w:p>
      <w:pPr>
        <w:pStyle w:val="ManualHeading2"/>
        <w:rPr>
          <w:noProof/>
        </w:rPr>
      </w:pPr>
      <w:bookmarkStart w:id="25" w:name="_Toc500948768"/>
      <w:r>
        <w:t>3.3.</w:t>
      </w:r>
      <w:r>
        <w:tab/>
      </w:r>
      <w:r>
        <w:rPr>
          <w:noProof/>
        </w:rPr>
        <w:t>Подаване на справки-декларации за ДДС и плащане на данъка</w:t>
      </w:r>
      <w:bookmarkEnd w:id="25"/>
    </w:p>
    <w:p>
      <w:pPr>
        <w:jc w:val="both"/>
        <w:rPr>
          <w:rFonts w:ascii="Times New Roman" w:hAnsi="Times New Roman" w:cs="Times New Roman"/>
          <w:noProof/>
          <w:sz w:val="24"/>
          <w:szCs w:val="24"/>
        </w:rPr>
      </w:pPr>
      <w:r>
        <w:rPr>
          <w:rFonts w:ascii="Times New Roman" w:hAnsi="Times New Roman"/>
          <w:noProof/>
          <w:sz w:val="24"/>
        </w:rPr>
        <w:t xml:space="preserve">ДДС е данък върху потреблението. Той се плаща от крайния потребител на доставчика, който е данъчно задължено лице по ДДС, което събира ДДС върху своите продажби, приспада  платения ДДС върху покупките си и внася дължимото салдо от ДДС в държавния бюджет. Тъй като данъчно задълженото лице всъщност събира данъка за сметка на държавния бюджет, важно е справки-декларациите за ДДС да се подават и плащанията да се извършват в срок. </w:t>
      </w:r>
    </w:p>
    <w:p>
      <w:pPr>
        <w:pStyle w:val="ManualHeading3"/>
        <w:rPr>
          <w:noProof/>
        </w:rPr>
      </w:pPr>
      <w:bookmarkStart w:id="26" w:name="_Toc500948769"/>
      <w:r>
        <w:t>3.3.1.</w:t>
      </w:r>
      <w:r>
        <w:tab/>
      </w:r>
      <w:r>
        <w:rPr>
          <w:noProof/>
        </w:rPr>
        <w:t>Подаване</w:t>
      </w:r>
      <w:bookmarkEnd w:id="26"/>
    </w:p>
    <w:p>
      <w:pPr>
        <w:jc w:val="both"/>
        <w:rPr>
          <w:rFonts w:ascii="Times New Roman" w:hAnsi="Times New Roman" w:cs="Times New Roman"/>
          <w:noProof/>
          <w:sz w:val="24"/>
          <w:szCs w:val="24"/>
        </w:rPr>
      </w:pPr>
      <w:r>
        <w:rPr>
          <w:rFonts w:ascii="Times New Roman" w:hAnsi="Times New Roman"/>
          <w:noProof/>
          <w:sz w:val="24"/>
        </w:rPr>
        <w:t xml:space="preserve">За да се подобри спазването на изискванията, почти всички държави членки предлагат възможността за електронно подаване на справки-декларациите за ДДС. В повечето държави членки електронното подаване е задължително за всички дружества, регистрирани за целите на ДДС. Известен брой държави членки са разрешили някои изключения, например за малки предприятия. </w:t>
      </w:r>
    </w:p>
    <w:p>
      <w:pPr>
        <w:jc w:val="both"/>
        <w:rPr>
          <w:rFonts w:ascii="Times New Roman" w:hAnsi="Times New Roman"/>
          <w:noProof/>
          <w:sz w:val="24"/>
          <w:lang w:val="en-GB"/>
        </w:rPr>
      </w:pPr>
      <w:r>
        <w:rPr>
          <w:rFonts w:ascii="Times New Roman" w:hAnsi="Times New Roman"/>
          <w:noProof/>
          <w:sz w:val="24"/>
        </w:rPr>
        <w:t>Всички държави членки предлагат електронно подаване, а голям брой от тях са го направили задължително за много платци на ДДС. Делът на електронното подаване нарасна от над 83 % през 2013 г. до почти 95 % през 2015 г.</w:t>
      </w:r>
    </w:p>
    <w:p>
      <w:pPr>
        <w:jc w:val="both"/>
        <w:rPr>
          <w:rFonts w:ascii="Times New Roman" w:hAnsi="Times New Roman"/>
          <w:noProof/>
          <w:sz w:val="24"/>
          <w:lang w:val="en-GB"/>
        </w:rPr>
      </w:pPr>
    </w:p>
    <w:p>
      <w:pPr>
        <w:jc w:val="both"/>
        <w:rPr>
          <w:rFonts w:ascii="Times New Roman" w:hAnsi="Times New Roman" w:cs="Times New Roman"/>
          <w:noProof/>
          <w:sz w:val="24"/>
          <w:szCs w:val="24"/>
          <w:lang w:val="en-GB"/>
        </w:rPr>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0"/>
        <w:gridCol w:w="1130"/>
        <w:gridCol w:w="3123"/>
        <w:gridCol w:w="283"/>
        <w:gridCol w:w="4574"/>
      </w:tblGrid>
      <w:tr>
        <w:trPr>
          <w:trHeight w:val="350"/>
        </w:trPr>
        <w:tc>
          <w:tcPr>
            <w:tcW w:w="4503" w:type="dxa"/>
            <w:gridSpan w:val="3"/>
            <w:tcBorders>
              <w:top w:val="single" w:sz="4" w:space="0" w:color="A6A6A6" w:themeColor="background1" w:themeShade="A6"/>
              <w:left w:val="single" w:sz="4" w:space="0" w:color="A6A6A6" w:themeColor="background1" w:themeShade="A6"/>
              <w:right w:val="single" w:sz="4" w:space="0" w:color="A6A6A6" w:themeColor="background1" w:themeShade="A6"/>
            </w:tcBorders>
          </w:tcPr>
          <w:p>
            <w:pPr>
              <w:pStyle w:val="Caption"/>
              <w:spacing w:before="60" w:after="240"/>
              <w:rPr>
                <w:b w:val="0"/>
                <w:i/>
                <w:noProof/>
                <w:sz w:val="22"/>
              </w:rPr>
            </w:pPr>
            <w:bookmarkStart w:id="27" w:name="_Toc500948795"/>
            <w:r>
              <w:rPr>
                <w:i/>
                <w:noProof/>
                <w:sz w:val="22"/>
                <w:u w:val="single"/>
              </w:rPr>
              <w:t xml:space="preserve">Фигура </w:t>
            </w:r>
            <w:r>
              <w:rPr>
                <w:i/>
                <w:noProof/>
                <w:sz w:val="22"/>
                <w:u w:val="single"/>
              </w:rPr>
              <w:fldChar w:fldCharType="begin"/>
            </w:r>
            <w:r>
              <w:rPr>
                <w:i/>
                <w:noProof/>
                <w:sz w:val="22"/>
                <w:u w:val="single"/>
              </w:rPr>
              <w:instrText xml:space="preserve"> SEQ Figure \* ARABIC </w:instrText>
            </w:r>
            <w:r>
              <w:rPr>
                <w:i/>
                <w:noProof/>
                <w:sz w:val="22"/>
                <w:u w:val="single"/>
              </w:rPr>
              <w:fldChar w:fldCharType="separate"/>
            </w:r>
            <w:r>
              <w:rPr>
                <w:i/>
                <w:noProof/>
                <w:sz w:val="22"/>
                <w:u w:val="single"/>
              </w:rPr>
              <w:t>5</w:t>
            </w:r>
            <w:r>
              <w:rPr>
                <w:i/>
                <w:noProof/>
                <w:sz w:val="22"/>
                <w:u w:val="single"/>
              </w:rPr>
              <w:fldChar w:fldCharType="end"/>
            </w:r>
            <w:r>
              <w:rPr>
                <w:i/>
                <w:noProof/>
                <w:sz w:val="22"/>
                <w:u w:val="single"/>
              </w:rPr>
              <w:t>:</w:t>
            </w:r>
            <w:r>
              <w:rPr>
                <w:i/>
                <w:noProof/>
                <w:sz w:val="22"/>
              </w:rPr>
              <w:t xml:space="preserve"> </w:t>
            </w:r>
            <w:r>
              <w:rPr>
                <w:b w:val="0"/>
                <w:i/>
                <w:noProof/>
                <w:sz w:val="22"/>
              </w:rPr>
              <w:t>Възможност за електронно подаване в 28-те държави — членки на ЕС (2013 — 2015 г.)</w:t>
            </w:r>
            <w:bookmarkEnd w:id="27"/>
          </w:p>
        </w:tc>
        <w:tc>
          <w:tcPr>
            <w:tcW w:w="283" w:type="dxa"/>
            <w:tcBorders>
              <w:left w:val="single" w:sz="4" w:space="0" w:color="A6A6A6" w:themeColor="background1" w:themeShade="A6"/>
              <w:right w:val="single" w:sz="4" w:space="0" w:color="A6A6A6" w:themeColor="background1" w:themeShade="A6"/>
            </w:tcBorders>
          </w:tcPr>
          <w:p>
            <w:pPr>
              <w:pStyle w:val="Caption"/>
              <w:rPr>
                <w:b w:val="0"/>
                <w:i/>
                <w:noProof/>
                <w:sz w:val="22"/>
              </w:rPr>
            </w:pPr>
          </w:p>
        </w:tc>
        <w:tc>
          <w:tcPr>
            <w:tcW w:w="4574" w:type="dxa"/>
            <w:tcBorders>
              <w:top w:val="single" w:sz="4" w:space="0" w:color="A6A6A6" w:themeColor="background1" w:themeShade="A6"/>
              <w:left w:val="single" w:sz="4" w:space="0" w:color="A6A6A6" w:themeColor="background1" w:themeShade="A6"/>
              <w:right w:val="single" w:sz="4" w:space="0" w:color="A6A6A6" w:themeColor="background1" w:themeShade="A6"/>
            </w:tcBorders>
          </w:tcPr>
          <w:p>
            <w:pPr>
              <w:pStyle w:val="Caption"/>
              <w:spacing w:before="60" w:after="0"/>
              <w:rPr>
                <w:b w:val="0"/>
                <w:i/>
                <w:noProof/>
                <w:sz w:val="22"/>
              </w:rPr>
            </w:pPr>
            <w:bookmarkStart w:id="28" w:name="_Toc500948796"/>
            <w:r>
              <w:rPr>
                <w:i/>
                <w:noProof/>
                <w:sz w:val="22"/>
                <w:u w:val="single"/>
              </w:rPr>
              <w:t xml:space="preserve">Фигура </w:t>
            </w:r>
            <w:r>
              <w:rPr>
                <w:i/>
                <w:noProof/>
                <w:sz w:val="22"/>
                <w:u w:val="single"/>
              </w:rPr>
              <w:fldChar w:fldCharType="begin"/>
            </w:r>
            <w:r>
              <w:rPr>
                <w:i/>
                <w:noProof/>
                <w:sz w:val="22"/>
                <w:u w:val="single"/>
              </w:rPr>
              <w:instrText xml:space="preserve"> SEQ Figure \* ARABIC </w:instrText>
            </w:r>
            <w:r>
              <w:rPr>
                <w:i/>
                <w:noProof/>
                <w:sz w:val="22"/>
                <w:u w:val="single"/>
              </w:rPr>
              <w:fldChar w:fldCharType="separate"/>
            </w:r>
            <w:r>
              <w:rPr>
                <w:i/>
                <w:noProof/>
                <w:sz w:val="22"/>
                <w:u w:val="single"/>
              </w:rPr>
              <w:t>6</w:t>
            </w:r>
            <w:r>
              <w:rPr>
                <w:i/>
                <w:noProof/>
                <w:sz w:val="22"/>
                <w:u w:val="single"/>
              </w:rPr>
              <w:fldChar w:fldCharType="end"/>
            </w:r>
            <w:r>
              <w:rPr>
                <w:i/>
                <w:noProof/>
                <w:sz w:val="22"/>
                <w:u w:val="single"/>
              </w:rPr>
              <w:t>:</w:t>
            </w:r>
            <w:r>
              <w:rPr>
                <w:i/>
                <w:noProof/>
                <w:sz w:val="22"/>
              </w:rPr>
              <w:t xml:space="preserve"> </w:t>
            </w:r>
            <w:r>
              <w:rPr>
                <w:b w:val="0"/>
                <w:i/>
                <w:noProof/>
                <w:sz w:val="22"/>
              </w:rPr>
              <w:t>Дял на електронното подаване в 28-те държави — членки на ЕС (2013 — 2015 г.)</w:t>
            </w:r>
            <w:bookmarkEnd w:id="28"/>
          </w:p>
        </w:tc>
      </w:tr>
      <w:tr>
        <w:trPr>
          <w:trHeight w:val="36"/>
        </w:trPr>
        <w:tc>
          <w:tcPr>
            <w:tcW w:w="250" w:type="dxa"/>
            <w:tcBorders>
              <w:left w:val="single" w:sz="4" w:space="0" w:color="A6A6A6" w:themeColor="background1" w:themeShade="A6"/>
              <w:bottom w:val="single" w:sz="4" w:space="0" w:color="A6A6A6" w:themeColor="background1" w:themeShade="A6"/>
            </w:tcBorders>
            <w:shd w:val="clear" w:color="auto" w:fill="95B3D7" w:themeFill="accent1" w:themeFillTint="99"/>
          </w:tcPr>
          <w:p>
            <w:pPr>
              <w:rPr>
                <w:rFonts w:ascii="Times New Roman" w:hAnsi="Times New Roman" w:cs="Times New Roman"/>
                <w:noProof/>
                <w:sz w:val="18"/>
                <w:szCs w:val="18"/>
              </w:rPr>
            </w:pPr>
          </w:p>
        </w:tc>
        <w:tc>
          <w:tcPr>
            <w:tcW w:w="1130" w:type="dxa"/>
            <w:tcMar>
              <w:left w:w="28" w:type="dxa"/>
              <w:right w:w="28" w:type="dxa"/>
            </w:tcMar>
            <w:vAlign w:val="bottom"/>
          </w:tcPr>
          <w:p>
            <w:pPr>
              <w:rPr>
                <w:rFonts w:ascii="Times New Roman" w:hAnsi="Times New Roman" w:cs="Times New Roman"/>
                <w:noProof/>
                <w:sz w:val="16"/>
                <w:szCs w:val="16"/>
              </w:rPr>
            </w:pPr>
            <w:r>
              <w:rPr>
                <w:rFonts w:ascii="Times New Roman" w:hAnsi="Times New Roman"/>
                <w:noProof/>
                <w:sz w:val="16"/>
              </w:rPr>
              <w:t>На разположение</w:t>
            </w:r>
          </w:p>
        </w:tc>
        <w:tc>
          <w:tcPr>
            <w:tcW w:w="3123" w:type="dxa"/>
            <w:vMerge w:val="restart"/>
            <w:tcBorders>
              <w:bottom w:val="single" w:sz="4" w:space="0" w:color="A6A6A6" w:themeColor="background1" w:themeShade="A6"/>
              <w:right w:val="single" w:sz="4" w:space="0" w:color="A6A6A6" w:themeColor="background1" w:themeShade="A6"/>
            </w:tcBorders>
          </w:tcPr>
          <w:p>
            <w:pPr>
              <w:rPr>
                <w:rFonts w:ascii="Times New Roman" w:hAnsi="Times New Roman" w:cs="Times New Roman"/>
                <w:noProof/>
                <w:sz w:val="18"/>
                <w:szCs w:val="18"/>
              </w:rPr>
            </w:pPr>
            <w:r>
              <w:rPr>
                <w:rFonts w:ascii="Times New Roman" w:hAnsi="Times New Roman" w:cs="Times New Roman"/>
                <w:noProof/>
                <w:lang w:val="en-US" w:eastAsia="en-US" w:bidi="ar-SA"/>
              </w:rPr>
              <w:drawing>
                <wp:inline distT="0" distB="0" distL="0" distR="0">
                  <wp:extent cx="1963973" cy="1645920"/>
                  <wp:effectExtent l="0" t="0" r="0" b="0"/>
                  <wp:docPr id="251" name="Chart 25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tc>
        <w:tc>
          <w:tcPr>
            <w:tcW w:w="283" w:type="dxa"/>
            <w:vMerge w:val="restart"/>
            <w:tcBorders>
              <w:left w:val="single" w:sz="4" w:space="0" w:color="A6A6A6" w:themeColor="background1" w:themeShade="A6"/>
              <w:right w:val="single" w:sz="4" w:space="0" w:color="A6A6A6" w:themeColor="background1" w:themeShade="A6"/>
            </w:tcBorders>
          </w:tcPr>
          <w:p>
            <w:pPr>
              <w:rPr>
                <w:rFonts w:ascii="Times New Roman" w:hAnsi="Times New Roman" w:cs="Times New Roman"/>
                <w:noProof/>
                <w:sz w:val="18"/>
                <w:szCs w:val="18"/>
              </w:rPr>
            </w:pPr>
          </w:p>
        </w:tc>
        <w:tc>
          <w:tcPr>
            <w:tcW w:w="4574" w:type="dxa"/>
            <w:vMerge w:val="restart"/>
            <w:tcBorders>
              <w:left w:val="single" w:sz="4" w:space="0" w:color="A6A6A6" w:themeColor="background1" w:themeShade="A6"/>
              <w:bottom w:val="single" w:sz="4" w:space="0" w:color="A6A6A6" w:themeColor="background1" w:themeShade="A6"/>
              <w:right w:val="single" w:sz="4" w:space="0" w:color="A6A6A6" w:themeColor="background1" w:themeShade="A6"/>
            </w:tcBorders>
          </w:tcPr>
          <w:p>
            <w:pPr>
              <w:rPr>
                <w:rFonts w:ascii="Times New Roman" w:hAnsi="Times New Roman" w:cs="Times New Roman"/>
                <w:noProof/>
                <w:sz w:val="18"/>
                <w:szCs w:val="18"/>
              </w:rPr>
            </w:pPr>
            <w:r>
              <w:rPr>
                <w:rFonts w:ascii="Times New Roman" w:hAnsi="Times New Roman" w:cs="Times New Roman"/>
                <w:noProof/>
                <w:lang w:val="en-US" w:eastAsia="en-US" w:bidi="ar-SA"/>
              </w:rPr>
              <w:drawing>
                <wp:inline distT="0" distB="0" distL="0" distR="0">
                  <wp:extent cx="2735248" cy="1645920"/>
                  <wp:effectExtent l="0" t="0" r="8255" b="0"/>
                  <wp:docPr id="252" name="Chart 25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tc>
      </w:tr>
      <w:tr>
        <w:trPr>
          <w:trHeight w:val="36"/>
        </w:trPr>
        <w:tc>
          <w:tcPr>
            <w:tcW w:w="250" w:type="dxa"/>
            <w:tcBorders>
              <w:top w:val="single" w:sz="4" w:space="0" w:color="A6A6A6" w:themeColor="background1" w:themeShade="A6"/>
              <w:left w:val="single" w:sz="4" w:space="0" w:color="A6A6A6" w:themeColor="background1" w:themeShade="A6"/>
            </w:tcBorders>
          </w:tcPr>
          <w:p>
            <w:pPr>
              <w:rPr>
                <w:rFonts w:ascii="Times New Roman" w:hAnsi="Times New Roman" w:cs="Times New Roman"/>
                <w:noProof/>
                <w:sz w:val="18"/>
                <w:szCs w:val="18"/>
              </w:rPr>
            </w:pPr>
          </w:p>
        </w:tc>
        <w:tc>
          <w:tcPr>
            <w:tcW w:w="1130" w:type="dxa"/>
            <w:tcMar>
              <w:left w:w="28" w:type="dxa"/>
              <w:right w:w="28" w:type="dxa"/>
            </w:tcMar>
          </w:tcPr>
          <w:p>
            <w:pPr>
              <w:rPr>
                <w:rFonts w:ascii="Times New Roman" w:hAnsi="Times New Roman" w:cs="Times New Roman"/>
                <w:noProof/>
                <w:sz w:val="16"/>
                <w:szCs w:val="16"/>
              </w:rPr>
            </w:pPr>
            <w:r>
              <w:rPr>
                <w:rFonts w:ascii="Times New Roman" w:hAnsi="Times New Roman"/>
                <w:noProof/>
                <w:sz w:val="16"/>
              </w:rPr>
              <w:t>(не е задължително)</w:t>
            </w:r>
          </w:p>
        </w:tc>
        <w:tc>
          <w:tcPr>
            <w:tcW w:w="3123" w:type="dxa"/>
            <w:vMerge/>
            <w:tcBorders>
              <w:bottom w:val="single" w:sz="4" w:space="0" w:color="A6A6A6" w:themeColor="background1" w:themeShade="A6"/>
              <w:right w:val="single" w:sz="4" w:space="0" w:color="A6A6A6" w:themeColor="background1" w:themeShade="A6"/>
            </w:tcBorders>
          </w:tcPr>
          <w:p>
            <w:pPr>
              <w:rPr>
                <w:rFonts w:ascii="Times New Roman" w:hAnsi="Times New Roman" w:cs="Times New Roman"/>
                <w:noProof/>
              </w:rPr>
            </w:pPr>
          </w:p>
        </w:tc>
        <w:tc>
          <w:tcPr>
            <w:tcW w:w="283" w:type="dxa"/>
            <w:vMerge/>
            <w:tcBorders>
              <w:left w:val="single" w:sz="4" w:space="0" w:color="A6A6A6" w:themeColor="background1" w:themeShade="A6"/>
              <w:right w:val="single" w:sz="4" w:space="0" w:color="A6A6A6" w:themeColor="background1" w:themeShade="A6"/>
            </w:tcBorders>
          </w:tcPr>
          <w:p>
            <w:pPr>
              <w:rPr>
                <w:rFonts w:ascii="Times New Roman" w:hAnsi="Times New Roman" w:cs="Times New Roman"/>
                <w:noProof/>
              </w:rPr>
            </w:pPr>
          </w:p>
        </w:tc>
        <w:tc>
          <w:tcPr>
            <w:tcW w:w="4574" w:type="dxa"/>
            <w:vMerge/>
            <w:tcBorders>
              <w:left w:val="single" w:sz="4" w:space="0" w:color="A6A6A6" w:themeColor="background1" w:themeShade="A6"/>
              <w:bottom w:val="single" w:sz="4" w:space="0" w:color="A6A6A6" w:themeColor="background1" w:themeShade="A6"/>
              <w:right w:val="single" w:sz="4" w:space="0" w:color="A6A6A6" w:themeColor="background1" w:themeShade="A6"/>
            </w:tcBorders>
          </w:tcPr>
          <w:p>
            <w:pPr>
              <w:rPr>
                <w:rFonts w:ascii="Times New Roman" w:hAnsi="Times New Roman" w:cs="Times New Roman"/>
                <w:noProof/>
              </w:rPr>
            </w:pPr>
          </w:p>
        </w:tc>
      </w:tr>
      <w:tr>
        <w:trPr>
          <w:trHeight w:val="36"/>
        </w:trPr>
        <w:tc>
          <w:tcPr>
            <w:tcW w:w="250" w:type="dxa"/>
            <w:tcBorders>
              <w:left w:val="single" w:sz="4" w:space="0" w:color="A6A6A6" w:themeColor="background1" w:themeShade="A6"/>
            </w:tcBorders>
          </w:tcPr>
          <w:p>
            <w:pPr>
              <w:rPr>
                <w:rFonts w:ascii="Times New Roman" w:hAnsi="Times New Roman" w:cs="Times New Roman"/>
                <w:noProof/>
                <w:sz w:val="18"/>
                <w:szCs w:val="18"/>
              </w:rPr>
            </w:pPr>
          </w:p>
        </w:tc>
        <w:tc>
          <w:tcPr>
            <w:tcW w:w="1130" w:type="dxa"/>
            <w:tcMar>
              <w:left w:w="28" w:type="dxa"/>
              <w:right w:w="28" w:type="dxa"/>
            </w:tcMar>
          </w:tcPr>
          <w:p>
            <w:pPr>
              <w:rPr>
                <w:rFonts w:ascii="Times New Roman" w:hAnsi="Times New Roman" w:cs="Times New Roman"/>
                <w:noProof/>
                <w:sz w:val="16"/>
                <w:szCs w:val="16"/>
              </w:rPr>
            </w:pPr>
          </w:p>
        </w:tc>
        <w:tc>
          <w:tcPr>
            <w:tcW w:w="3123" w:type="dxa"/>
            <w:vMerge/>
            <w:tcBorders>
              <w:bottom w:val="single" w:sz="4" w:space="0" w:color="A6A6A6" w:themeColor="background1" w:themeShade="A6"/>
              <w:right w:val="single" w:sz="4" w:space="0" w:color="A6A6A6" w:themeColor="background1" w:themeShade="A6"/>
            </w:tcBorders>
          </w:tcPr>
          <w:p>
            <w:pPr>
              <w:rPr>
                <w:rFonts w:ascii="Times New Roman" w:hAnsi="Times New Roman" w:cs="Times New Roman"/>
                <w:noProof/>
              </w:rPr>
            </w:pPr>
          </w:p>
        </w:tc>
        <w:tc>
          <w:tcPr>
            <w:tcW w:w="283" w:type="dxa"/>
            <w:vMerge/>
            <w:tcBorders>
              <w:left w:val="single" w:sz="4" w:space="0" w:color="A6A6A6" w:themeColor="background1" w:themeShade="A6"/>
              <w:right w:val="single" w:sz="4" w:space="0" w:color="A6A6A6" w:themeColor="background1" w:themeShade="A6"/>
            </w:tcBorders>
          </w:tcPr>
          <w:p>
            <w:pPr>
              <w:rPr>
                <w:rFonts w:ascii="Times New Roman" w:hAnsi="Times New Roman" w:cs="Times New Roman"/>
                <w:noProof/>
              </w:rPr>
            </w:pPr>
          </w:p>
        </w:tc>
        <w:tc>
          <w:tcPr>
            <w:tcW w:w="4574" w:type="dxa"/>
            <w:vMerge/>
            <w:tcBorders>
              <w:left w:val="single" w:sz="4" w:space="0" w:color="A6A6A6" w:themeColor="background1" w:themeShade="A6"/>
              <w:bottom w:val="single" w:sz="4" w:space="0" w:color="A6A6A6" w:themeColor="background1" w:themeShade="A6"/>
              <w:right w:val="single" w:sz="4" w:space="0" w:color="A6A6A6" w:themeColor="background1" w:themeShade="A6"/>
            </w:tcBorders>
          </w:tcPr>
          <w:p>
            <w:pPr>
              <w:rPr>
                <w:rFonts w:ascii="Times New Roman" w:hAnsi="Times New Roman" w:cs="Times New Roman"/>
                <w:noProof/>
              </w:rPr>
            </w:pPr>
          </w:p>
        </w:tc>
      </w:tr>
      <w:tr>
        <w:trPr>
          <w:trHeight w:val="36"/>
        </w:trPr>
        <w:tc>
          <w:tcPr>
            <w:tcW w:w="250" w:type="dxa"/>
            <w:tcBorders>
              <w:left w:val="single" w:sz="4" w:space="0" w:color="A6A6A6" w:themeColor="background1" w:themeShade="A6"/>
            </w:tcBorders>
            <w:shd w:val="clear" w:color="auto" w:fill="365F91" w:themeFill="accent1" w:themeFillShade="BF"/>
          </w:tcPr>
          <w:p>
            <w:pPr>
              <w:rPr>
                <w:rFonts w:ascii="Times New Roman" w:hAnsi="Times New Roman" w:cs="Times New Roman"/>
                <w:noProof/>
                <w:sz w:val="18"/>
                <w:szCs w:val="18"/>
              </w:rPr>
            </w:pPr>
          </w:p>
        </w:tc>
        <w:tc>
          <w:tcPr>
            <w:tcW w:w="1130" w:type="dxa"/>
            <w:tcMar>
              <w:left w:w="28" w:type="dxa"/>
              <w:right w:w="28" w:type="dxa"/>
            </w:tcMar>
          </w:tcPr>
          <w:p>
            <w:pPr>
              <w:rPr>
                <w:rFonts w:ascii="Times New Roman" w:hAnsi="Times New Roman" w:cs="Times New Roman"/>
                <w:noProof/>
                <w:sz w:val="16"/>
                <w:szCs w:val="16"/>
              </w:rPr>
            </w:pPr>
            <w:r>
              <w:rPr>
                <w:rFonts w:ascii="Times New Roman" w:hAnsi="Times New Roman"/>
                <w:noProof/>
                <w:sz w:val="16"/>
              </w:rPr>
              <w:t>Задължително</w:t>
            </w:r>
          </w:p>
        </w:tc>
        <w:tc>
          <w:tcPr>
            <w:tcW w:w="3123" w:type="dxa"/>
            <w:vMerge/>
            <w:tcBorders>
              <w:bottom w:val="single" w:sz="4" w:space="0" w:color="A6A6A6" w:themeColor="background1" w:themeShade="A6"/>
              <w:right w:val="single" w:sz="4" w:space="0" w:color="A6A6A6" w:themeColor="background1" w:themeShade="A6"/>
            </w:tcBorders>
          </w:tcPr>
          <w:p>
            <w:pPr>
              <w:rPr>
                <w:rFonts w:ascii="Times New Roman" w:hAnsi="Times New Roman" w:cs="Times New Roman"/>
                <w:noProof/>
              </w:rPr>
            </w:pPr>
          </w:p>
        </w:tc>
        <w:tc>
          <w:tcPr>
            <w:tcW w:w="283" w:type="dxa"/>
            <w:vMerge/>
            <w:tcBorders>
              <w:left w:val="single" w:sz="4" w:space="0" w:color="A6A6A6" w:themeColor="background1" w:themeShade="A6"/>
              <w:right w:val="single" w:sz="4" w:space="0" w:color="A6A6A6" w:themeColor="background1" w:themeShade="A6"/>
            </w:tcBorders>
          </w:tcPr>
          <w:p>
            <w:pPr>
              <w:rPr>
                <w:rFonts w:ascii="Times New Roman" w:hAnsi="Times New Roman" w:cs="Times New Roman"/>
                <w:noProof/>
              </w:rPr>
            </w:pPr>
          </w:p>
        </w:tc>
        <w:tc>
          <w:tcPr>
            <w:tcW w:w="4574" w:type="dxa"/>
            <w:vMerge/>
            <w:tcBorders>
              <w:left w:val="single" w:sz="4" w:space="0" w:color="A6A6A6" w:themeColor="background1" w:themeShade="A6"/>
              <w:bottom w:val="single" w:sz="4" w:space="0" w:color="A6A6A6" w:themeColor="background1" w:themeShade="A6"/>
              <w:right w:val="single" w:sz="4" w:space="0" w:color="A6A6A6" w:themeColor="background1" w:themeShade="A6"/>
            </w:tcBorders>
          </w:tcPr>
          <w:p>
            <w:pPr>
              <w:rPr>
                <w:rFonts w:ascii="Times New Roman" w:hAnsi="Times New Roman" w:cs="Times New Roman"/>
                <w:noProof/>
              </w:rPr>
            </w:pPr>
          </w:p>
        </w:tc>
      </w:tr>
      <w:tr>
        <w:trPr>
          <w:trHeight w:val="36"/>
        </w:trPr>
        <w:tc>
          <w:tcPr>
            <w:tcW w:w="250" w:type="dxa"/>
            <w:tcBorders>
              <w:left w:val="single" w:sz="4" w:space="0" w:color="A6A6A6" w:themeColor="background1" w:themeShade="A6"/>
            </w:tcBorders>
          </w:tcPr>
          <w:p>
            <w:pPr>
              <w:rPr>
                <w:rFonts w:ascii="Times New Roman" w:hAnsi="Times New Roman" w:cs="Times New Roman"/>
                <w:noProof/>
                <w:sz w:val="18"/>
                <w:szCs w:val="18"/>
              </w:rPr>
            </w:pPr>
          </w:p>
        </w:tc>
        <w:tc>
          <w:tcPr>
            <w:tcW w:w="1130" w:type="dxa"/>
            <w:tcMar>
              <w:left w:w="28" w:type="dxa"/>
              <w:right w:w="28" w:type="dxa"/>
            </w:tcMar>
          </w:tcPr>
          <w:p>
            <w:pPr>
              <w:rPr>
                <w:rFonts w:ascii="Times New Roman" w:hAnsi="Times New Roman" w:cs="Times New Roman"/>
                <w:noProof/>
                <w:sz w:val="16"/>
                <w:szCs w:val="16"/>
              </w:rPr>
            </w:pPr>
          </w:p>
        </w:tc>
        <w:tc>
          <w:tcPr>
            <w:tcW w:w="3123" w:type="dxa"/>
            <w:vMerge/>
            <w:tcBorders>
              <w:bottom w:val="single" w:sz="4" w:space="0" w:color="A6A6A6" w:themeColor="background1" w:themeShade="A6"/>
              <w:right w:val="single" w:sz="4" w:space="0" w:color="A6A6A6" w:themeColor="background1" w:themeShade="A6"/>
            </w:tcBorders>
          </w:tcPr>
          <w:p>
            <w:pPr>
              <w:rPr>
                <w:rFonts w:ascii="Times New Roman" w:hAnsi="Times New Roman" w:cs="Times New Roman"/>
                <w:noProof/>
              </w:rPr>
            </w:pPr>
          </w:p>
        </w:tc>
        <w:tc>
          <w:tcPr>
            <w:tcW w:w="283" w:type="dxa"/>
            <w:vMerge/>
            <w:tcBorders>
              <w:left w:val="single" w:sz="4" w:space="0" w:color="A6A6A6" w:themeColor="background1" w:themeShade="A6"/>
              <w:right w:val="single" w:sz="4" w:space="0" w:color="A6A6A6" w:themeColor="background1" w:themeShade="A6"/>
            </w:tcBorders>
          </w:tcPr>
          <w:p>
            <w:pPr>
              <w:rPr>
                <w:rFonts w:ascii="Times New Roman" w:hAnsi="Times New Roman" w:cs="Times New Roman"/>
                <w:noProof/>
              </w:rPr>
            </w:pPr>
          </w:p>
        </w:tc>
        <w:tc>
          <w:tcPr>
            <w:tcW w:w="4574" w:type="dxa"/>
            <w:vMerge/>
            <w:tcBorders>
              <w:left w:val="single" w:sz="4" w:space="0" w:color="A6A6A6" w:themeColor="background1" w:themeShade="A6"/>
              <w:bottom w:val="single" w:sz="4" w:space="0" w:color="A6A6A6" w:themeColor="background1" w:themeShade="A6"/>
              <w:right w:val="single" w:sz="4" w:space="0" w:color="A6A6A6" w:themeColor="background1" w:themeShade="A6"/>
            </w:tcBorders>
          </w:tcPr>
          <w:p>
            <w:pPr>
              <w:rPr>
                <w:rFonts w:ascii="Times New Roman" w:hAnsi="Times New Roman" w:cs="Times New Roman"/>
                <w:noProof/>
              </w:rPr>
            </w:pPr>
          </w:p>
        </w:tc>
      </w:tr>
      <w:tr>
        <w:trPr>
          <w:trHeight w:val="36"/>
        </w:trPr>
        <w:tc>
          <w:tcPr>
            <w:tcW w:w="250" w:type="dxa"/>
            <w:tcBorders>
              <w:left w:val="single" w:sz="4" w:space="0" w:color="A6A6A6" w:themeColor="background1" w:themeShade="A6"/>
            </w:tcBorders>
            <w:shd w:val="clear" w:color="auto" w:fill="244061" w:themeFill="accent1" w:themeFillShade="80"/>
          </w:tcPr>
          <w:p>
            <w:pPr>
              <w:rPr>
                <w:rFonts w:ascii="Times New Roman" w:hAnsi="Times New Roman" w:cs="Times New Roman"/>
                <w:noProof/>
                <w:sz w:val="18"/>
                <w:szCs w:val="18"/>
              </w:rPr>
            </w:pPr>
          </w:p>
        </w:tc>
        <w:tc>
          <w:tcPr>
            <w:tcW w:w="1130" w:type="dxa"/>
            <w:tcMar>
              <w:left w:w="28" w:type="dxa"/>
              <w:right w:w="28" w:type="dxa"/>
            </w:tcMar>
          </w:tcPr>
          <w:p>
            <w:pPr>
              <w:rPr>
                <w:rFonts w:ascii="Times New Roman" w:hAnsi="Times New Roman" w:cs="Times New Roman"/>
                <w:noProof/>
                <w:sz w:val="16"/>
                <w:szCs w:val="16"/>
              </w:rPr>
            </w:pPr>
            <w:r>
              <w:rPr>
                <w:rFonts w:ascii="Times New Roman" w:hAnsi="Times New Roman"/>
                <w:noProof/>
                <w:sz w:val="16"/>
              </w:rPr>
              <w:t>Задължително</w:t>
            </w:r>
          </w:p>
        </w:tc>
        <w:tc>
          <w:tcPr>
            <w:tcW w:w="3123" w:type="dxa"/>
            <w:vMerge/>
            <w:tcBorders>
              <w:bottom w:val="single" w:sz="4" w:space="0" w:color="A6A6A6" w:themeColor="background1" w:themeShade="A6"/>
              <w:right w:val="single" w:sz="4" w:space="0" w:color="A6A6A6" w:themeColor="background1" w:themeShade="A6"/>
            </w:tcBorders>
          </w:tcPr>
          <w:p>
            <w:pPr>
              <w:rPr>
                <w:rFonts w:ascii="Times New Roman" w:hAnsi="Times New Roman" w:cs="Times New Roman"/>
                <w:noProof/>
              </w:rPr>
            </w:pPr>
          </w:p>
        </w:tc>
        <w:tc>
          <w:tcPr>
            <w:tcW w:w="283" w:type="dxa"/>
            <w:vMerge/>
            <w:tcBorders>
              <w:left w:val="single" w:sz="4" w:space="0" w:color="A6A6A6" w:themeColor="background1" w:themeShade="A6"/>
              <w:right w:val="single" w:sz="4" w:space="0" w:color="A6A6A6" w:themeColor="background1" w:themeShade="A6"/>
            </w:tcBorders>
          </w:tcPr>
          <w:p>
            <w:pPr>
              <w:rPr>
                <w:rFonts w:ascii="Times New Roman" w:hAnsi="Times New Roman" w:cs="Times New Roman"/>
                <w:noProof/>
              </w:rPr>
            </w:pPr>
          </w:p>
        </w:tc>
        <w:tc>
          <w:tcPr>
            <w:tcW w:w="4574" w:type="dxa"/>
            <w:vMerge/>
            <w:tcBorders>
              <w:left w:val="single" w:sz="4" w:space="0" w:color="A6A6A6" w:themeColor="background1" w:themeShade="A6"/>
              <w:bottom w:val="single" w:sz="4" w:space="0" w:color="A6A6A6" w:themeColor="background1" w:themeShade="A6"/>
              <w:right w:val="single" w:sz="4" w:space="0" w:color="A6A6A6" w:themeColor="background1" w:themeShade="A6"/>
            </w:tcBorders>
          </w:tcPr>
          <w:p>
            <w:pPr>
              <w:rPr>
                <w:rFonts w:ascii="Times New Roman" w:hAnsi="Times New Roman" w:cs="Times New Roman"/>
                <w:noProof/>
              </w:rPr>
            </w:pPr>
          </w:p>
        </w:tc>
      </w:tr>
      <w:tr>
        <w:trPr>
          <w:trHeight w:val="36"/>
        </w:trPr>
        <w:tc>
          <w:tcPr>
            <w:tcW w:w="250" w:type="dxa"/>
            <w:tcBorders>
              <w:left w:val="single" w:sz="4" w:space="0" w:color="A6A6A6" w:themeColor="background1" w:themeShade="A6"/>
            </w:tcBorders>
          </w:tcPr>
          <w:p>
            <w:pPr>
              <w:rPr>
                <w:rFonts w:ascii="Times New Roman" w:hAnsi="Times New Roman" w:cs="Times New Roman"/>
                <w:noProof/>
                <w:sz w:val="18"/>
                <w:szCs w:val="18"/>
              </w:rPr>
            </w:pPr>
          </w:p>
        </w:tc>
        <w:tc>
          <w:tcPr>
            <w:tcW w:w="1130" w:type="dxa"/>
            <w:tcMar>
              <w:left w:w="28" w:type="dxa"/>
              <w:right w:w="28" w:type="dxa"/>
            </w:tcMar>
          </w:tcPr>
          <w:p>
            <w:pPr>
              <w:rPr>
                <w:rFonts w:ascii="Times New Roman" w:hAnsi="Times New Roman" w:cs="Times New Roman"/>
                <w:noProof/>
                <w:sz w:val="18"/>
                <w:szCs w:val="18"/>
              </w:rPr>
            </w:pPr>
            <w:r>
              <w:rPr>
                <w:rFonts w:ascii="Times New Roman" w:hAnsi="Times New Roman"/>
                <w:noProof/>
                <w:sz w:val="16"/>
              </w:rPr>
              <w:t>(само за някои данъкоплатци)</w:t>
            </w:r>
          </w:p>
        </w:tc>
        <w:tc>
          <w:tcPr>
            <w:tcW w:w="3123" w:type="dxa"/>
            <w:vMerge/>
            <w:tcBorders>
              <w:bottom w:val="single" w:sz="4" w:space="0" w:color="A6A6A6" w:themeColor="background1" w:themeShade="A6"/>
              <w:right w:val="single" w:sz="4" w:space="0" w:color="A6A6A6" w:themeColor="background1" w:themeShade="A6"/>
            </w:tcBorders>
          </w:tcPr>
          <w:p>
            <w:pPr>
              <w:rPr>
                <w:rFonts w:ascii="Times New Roman" w:hAnsi="Times New Roman" w:cs="Times New Roman"/>
                <w:noProof/>
              </w:rPr>
            </w:pPr>
          </w:p>
        </w:tc>
        <w:tc>
          <w:tcPr>
            <w:tcW w:w="283" w:type="dxa"/>
            <w:vMerge/>
            <w:tcBorders>
              <w:left w:val="single" w:sz="4" w:space="0" w:color="A6A6A6" w:themeColor="background1" w:themeShade="A6"/>
              <w:right w:val="single" w:sz="4" w:space="0" w:color="A6A6A6" w:themeColor="background1" w:themeShade="A6"/>
            </w:tcBorders>
          </w:tcPr>
          <w:p>
            <w:pPr>
              <w:rPr>
                <w:rFonts w:ascii="Times New Roman" w:hAnsi="Times New Roman" w:cs="Times New Roman"/>
                <w:noProof/>
              </w:rPr>
            </w:pPr>
          </w:p>
        </w:tc>
        <w:tc>
          <w:tcPr>
            <w:tcW w:w="4574" w:type="dxa"/>
            <w:vMerge/>
            <w:tcBorders>
              <w:left w:val="single" w:sz="4" w:space="0" w:color="A6A6A6" w:themeColor="background1" w:themeShade="A6"/>
              <w:bottom w:val="single" w:sz="4" w:space="0" w:color="A6A6A6" w:themeColor="background1" w:themeShade="A6"/>
              <w:right w:val="single" w:sz="4" w:space="0" w:color="A6A6A6" w:themeColor="background1" w:themeShade="A6"/>
            </w:tcBorders>
          </w:tcPr>
          <w:p>
            <w:pPr>
              <w:rPr>
                <w:rFonts w:ascii="Times New Roman" w:hAnsi="Times New Roman" w:cs="Times New Roman"/>
                <w:noProof/>
              </w:rPr>
            </w:pPr>
          </w:p>
        </w:tc>
      </w:tr>
      <w:tr>
        <w:trPr>
          <w:trHeight w:val="1154"/>
        </w:trPr>
        <w:tc>
          <w:tcPr>
            <w:tcW w:w="250" w:type="dxa"/>
            <w:tcBorders>
              <w:left w:val="single" w:sz="4" w:space="0" w:color="A6A6A6" w:themeColor="background1" w:themeShade="A6"/>
              <w:bottom w:val="single" w:sz="4" w:space="0" w:color="A6A6A6" w:themeColor="background1" w:themeShade="A6"/>
            </w:tcBorders>
          </w:tcPr>
          <w:p>
            <w:pPr>
              <w:rPr>
                <w:rFonts w:ascii="Times New Roman" w:hAnsi="Times New Roman" w:cs="Times New Roman"/>
                <w:noProof/>
                <w:sz w:val="18"/>
                <w:szCs w:val="18"/>
              </w:rPr>
            </w:pPr>
          </w:p>
        </w:tc>
        <w:tc>
          <w:tcPr>
            <w:tcW w:w="1130" w:type="dxa"/>
            <w:tcBorders>
              <w:bottom w:val="single" w:sz="4" w:space="0" w:color="A6A6A6" w:themeColor="background1" w:themeShade="A6"/>
            </w:tcBorders>
            <w:tcMar>
              <w:left w:w="28" w:type="dxa"/>
              <w:right w:w="28" w:type="dxa"/>
            </w:tcMar>
          </w:tcPr>
          <w:p>
            <w:pPr>
              <w:rPr>
                <w:rFonts w:ascii="Times New Roman" w:hAnsi="Times New Roman" w:cs="Times New Roman"/>
                <w:noProof/>
                <w:sz w:val="18"/>
                <w:szCs w:val="18"/>
              </w:rPr>
            </w:pPr>
          </w:p>
        </w:tc>
        <w:tc>
          <w:tcPr>
            <w:tcW w:w="3123" w:type="dxa"/>
            <w:vMerge/>
            <w:tcBorders>
              <w:bottom w:val="single" w:sz="4" w:space="0" w:color="A6A6A6" w:themeColor="background1" w:themeShade="A6"/>
              <w:right w:val="single" w:sz="4" w:space="0" w:color="A6A6A6" w:themeColor="background1" w:themeShade="A6"/>
            </w:tcBorders>
          </w:tcPr>
          <w:p>
            <w:pPr>
              <w:rPr>
                <w:rFonts w:ascii="Times New Roman" w:hAnsi="Times New Roman" w:cs="Times New Roman"/>
                <w:noProof/>
              </w:rPr>
            </w:pPr>
          </w:p>
        </w:tc>
        <w:tc>
          <w:tcPr>
            <w:tcW w:w="283" w:type="dxa"/>
            <w:vMerge/>
            <w:tcBorders>
              <w:left w:val="single" w:sz="4" w:space="0" w:color="A6A6A6" w:themeColor="background1" w:themeShade="A6"/>
              <w:right w:val="single" w:sz="4" w:space="0" w:color="A6A6A6" w:themeColor="background1" w:themeShade="A6"/>
            </w:tcBorders>
          </w:tcPr>
          <w:p>
            <w:pPr>
              <w:rPr>
                <w:rFonts w:ascii="Times New Roman" w:hAnsi="Times New Roman" w:cs="Times New Roman"/>
                <w:noProof/>
              </w:rPr>
            </w:pPr>
          </w:p>
        </w:tc>
        <w:tc>
          <w:tcPr>
            <w:tcW w:w="4574" w:type="dxa"/>
            <w:vMerge/>
            <w:tcBorders>
              <w:left w:val="single" w:sz="4" w:space="0" w:color="A6A6A6" w:themeColor="background1" w:themeShade="A6"/>
              <w:bottom w:val="single" w:sz="4" w:space="0" w:color="A6A6A6" w:themeColor="background1" w:themeShade="A6"/>
              <w:right w:val="single" w:sz="4" w:space="0" w:color="A6A6A6" w:themeColor="background1" w:themeShade="A6"/>
            </w:tcBorders>
          </w:tcPr>
          <w:p>
            <w:pPr>
              <w:rPr>
                <w:rFonts w:ascii="Times New Roman" w:hAnsi="Times New Roman" w:cs="Times New Roman"/>
                <w:noProof/>
              </w:rPr>
            </w:pPr>
          </w:p>
        </w:tc>
      </w:tr>
    </w:tbl>
    <w:p>
      <w:pPr>
        <w:pStyle w:val="NORMAL0"/>
        <w:spacing w:before="120" w:after="240" w:line="276" w:lineRule="auto"/>
        <w:jc w:val="left"/>
        <w:rPr>
          <w:rFonts w:ascii="Times New Roman" w:eastAsiaTheme="minorHAnsi" w:hAnsi="Times New Roman" w:cs="Times New Roman"/>
          <w:i/>
          <w:noProof/>
          <w:sz w:val="18"/>
          <w:szCs w:val="18"/>
        </w:rPr>
      </w:pPr>
      <w:r>
        <w:rPr>
          <w:rFonts w:ascii="Times New Roman" w:eastAsiaTheme="minorHAnsi" w:hAnsi="Times New Roman"/>
          <w:i/>
          <w:noProof/>
          <w:sz w:val="18"/>
        </w:rPr>
        <w:t xml:space="preserve">Източник: Отговори на държави членки на въпросника от 2017 г. Източник: Отговори на държави членки на въпросника от 2017 г. </w:t>
      </w:r>
    </w:p>
    <w:p>
      <w:pPr>
        <w:spacing w:after="240"/>
        <w:jc w:val="both"/>
        <w:rPr>
          <w:rFonts w:ascii="Times New Roman" w:hAnsi="Times New Roman" w:cs="Times New Roman"/>
          <w:noProof/>
          <w:sz w:val="24"/>
          <w:szCs w:val="24"/>
        </w:rPr>
      </w:pPr>
      <w:r>
        <w:rPr>
          <w:rFonts w:ascii="Times New Roman" w:hAnsi="Times New Roman"/>
          <w:noProof/>
          <w:sz w:val="24"/>
        </w:rPr>
        <w:t>Всички държави членки следят автоматично сроковете за подаване. През периода 2013 — 2015 г. делът на спазване на изискванията за своевременно подаване на справки-декларациите за ДДС нарасна и достигна до почти 89 % през 2015 г. Като се вземат предвид справки-декларациите за ДДС, подадени в рамките на 30 дена след изтичане на срока, делът на спазване на изискванията надхвърли 96 %.</w:t>
      </w:r>
    </w:p>
    <w:p>
      <w:pPr>
        <w:pStyle w:val="Caption"/>
        <w:rPr>
          <w:i/>
          <w:noProof/>
          <w:sz w:val="24"/>
          <w:szCs w:val="24"/>
        </w:rPr>
      </w:pPr>
      <w:bookmarkStart w:id="29" w:name="_Toc500948790"/>
      <w:r>
        <w:rPr>
          <w:i/>
          <w:noProof/>
          <w:sz w:val="24"/>
          <w:u w:val="single"/>
        </w:rPr>
        <w:t xml:space="preserve">Таблица </w:t>
      </w:r>
      <w:r>
        <w:rPr>
          <w:i/>
          <w:noProof/>
          <w:sz w:val="24"/>
          <w:szCs w:val="24"/>
          <w:u w:val="single"/>
        </w:rPr>
        <w:fldChar w:fldCharType="begin"/>
      </w:r>
      <w:r>
        <w:rPr>
          <w:i/>
          <w:noProof/>
          <w:sz w:val="24"/>
          <w:szCs w:val="24"/>
          <w:u w:val="single"/>
        </w:rPr>
        <w:instrText xml:space="preserve"> SEQ Table \* ARABIC </w:instrText>
      </w:r>
      <w:r>
        <w:rPr>
          <w:i/>
          <w:noProof/>
          <w:sz w:val="24"/>
          <w:szCs w:val="24"/>
          <w:u w:val="single"/>
        </w:rPr>
        <w:fldChar w:fldCharType="separate"/>
      </w:r>
      <w:r>
        <w:rPr>
          <w:i/>
          <w:noProof/>
          <w:sz w:val="24"/>
          <w:szCs w:val="24"/>
          <w:u w:val="single"/>
        </w:rPr>
        <w:t>2</w:t>
      </w:r>
      <w:r>
        <w:rPr>
          <w:i/>
          <w:noProof/>
          <w:sz w:val="24"/>
          <w:szCs w:val="24"/>
          <w:u w:val="single"/>
        </w:rPr>
        <w:fldChar w:fldCharType="end"/>
      </w:r>
      <w:r>
        <w:rPr>
          <w:b w:val="0"/>
          <w:i/>
          <w:noProof/>
          <w:sz w:val="24"/>
          <w:u w:val="single"/>
        </w:rPr>
        <w:t>:</w:t>
      </w:r>
      <w:r>
        <w:rPr>
          <w:i/>
          <w:noProof/>
          <w:sz w:val="24"/>
        </w:rPr>
        <w:t xml:space="preserve"> </w:t>
      </w:r>
      <w:r>
        <w:rPr>
          <w:b w:val="0"/>
          <w:i/>
          <w:noProof/>
          <w:sz w:val="24"/>
        </w:rPr>
        <w:t>Изменение на броя на справки-декларациите за ДДС в държавите — членки на ЕС за периода 2013 — 2015 г.</w:t>
      </w:r>
      <w:r>
        <w:rPr>
          <w:rStyle w:val="FootnoteReference"/>
          <w:b w:val="0"/>
          <w:i/>
          <w:noProof/>
          <w:sz w:val="24"/>
        </w:rPr>
        <w:footnoteReference w:id="17"/>
      </w:r>
      <w:bookmarkEnd w:id="29"/>
      <w:r>
        <w:rPr>
          <w:i/>
          <w:noProof/>
          <w:sz w:val="24"/>
        </w:rPr>
        <w:t xml:space="preserve"> </w:t>
      </w:r>
    </w:p>
    <w:tbl>
      <w:tblPr>
        <w:tblW w:w="4847" w:type="pct"/>
        <w:tblInd w:w="144" w:type="dxa"/>
        <w:tblBorders>
          <w:insideH w:val="single" w:sz="8" w:space="0" w:color="1F497D" w:themeColor="text2"/>
        </w:tblBorders>
        <w:tblCellMar>
          <w:left w:w="144" w:type="dxa"/>
          <w:right w:w="144" w:type="dxa"/>
        </w:tblCellMar>
        <w:tblLook w:val="04A0" w:firstRow="1" w:lastRow="0" w:firstColumn="1" w:lastColumn="0" w:noHBand="0" w:noVBand="1"/>
      </w:tblPr>
      <w:tblGrid>
        <w:gridCol w:w="5647"/>
        <w:gridCol w:w="1112"/>
        <w:gridCol w:w="1435"/>
        <w:gridCol w:w="879"/>
      </w:tblGrid>
      <w:tr>
        <w:trPr>
          <w:trHeight w:val="679"/>
        </w:trPr>
        <w:tc>
          <w:tcPr>
            <w:tcW w:w="3125" w:type="pct"/>
            <w:tcBorders>
              <w:bottom w:val="single" w:sz="12" w:space="0" w:color="1F497D" w:themeColor="text2"/>
            </w:tcBorders>
            <w:vAlign w:val="center"/>
          </w:tcPr>
          <w:p>
            <w:pPr>
              <w:spacing w:before="60" w:after="60"/>
              <w:rPr>
                <w:rFonts w:ascii="Times New Roman" w:hAnsi="Times New Roman" w:cs="Times New Roman"/>
                <w:noProof/>
                <w:color w:val="244061" w:themeColor="accent1" w:themeShade="80"/>
                <w:sz w:val="20"/>
              </w:rPr>
            </w:pPr>
          </w:p>
        </w:tc>
        <w:tc>
          <w:tcPr>
            <w:tcW w:w="626" w:type="pct"/>
            <w:tcBorders>
              <w:bottom w:val="single" w:sz="12" w:space="0" w:color="1F497D" w:themeColor="text2"/>
            </w:tcBorders>
            <w:vAlign w:val="center"/>
          </w:tcPr>
          <w:p>
            <w:pPr>
              <w:spacing w:before="60" w:after="60"/>
              <w:jc w:val="center"/>
              <w:rPr>
                <w:rFonts w:ascii="Times New Roman" w:hAnsi="Times New Roman" w:cs="Times New Roman"/>
                <w:b/>
                <w:noProof/>
                <w:color w:val="015685"/>
                <w:sz w:val="20"/>
              </w:rPr>
            </w:pPr>
            <w:r>
              <w:rPr>
                <w:rFonts w:ascii="Times New Roman" w:hAnsi="Times New Roman"/>
                <w:b/>
                <w:noProof/>
                <w:color w:val="015685"/>
                <w:sz w:val="20"/>
              </w:rPr>
              <w:t>2013 г.</w:t>
            </w:r>
          </w:p>
        </w:tc>
        <w:tc>
          <w:tcPr>
            <w:tcW w:w="804" w:type="pct"/>
            <w:tcBorders>
              <w:bottom w:val="single" w:sz="12" w:space="0" w:color="1F497D" w:themeColor="text2"/>
            </w:tcBorders>
            <w:vAlign w:val="center"/>
          </w:tcPr>
          <w:p>
            <w:pPr>
              <w:spacing w:before="60" w:after="60"/>
              <w:jc w:val="center"/>
              <w:rPr>
                <w:rFonts w:ascii="Times New Roman" w:hAnsi="Times New Roman" w:cs="Times New Roman"/>
                <w:b/>
                <w:noProof/>
                <w:color w:val="38906C"/>
                <w:sz w:val="20"/>
              </w:rPr>
            </w:pPr>
            <w:r>
              <w:rPr>
                <w:rFonts w:ascii="Times New Roman" w:hAnsi="Times New Roman"/>
                <w:b/>
                <w:noProof/>
                <w:color w:val="38906C"/>
                <w:sz w:val="20"/>
              </w:rPr>
              <w:t>2014 г.</w:t>
            </w:r>
          </w:p>
        </w:tc>
        <w:tc>
          <w:tcPr>
            <w:tcW w:w="445" w:type="pct"/>
            <w:tcBorders>
              <w:bottom w:val="single" w:sz="12" w:space="0" w:color="1F497D" w:themeColor="text2"/>
            </w:tcBorders>
            <w:vAlign w:val="center"/>
          </w:tcPr>
          <w:p>
            <w:pPr>
              <w:spacing w:before="60" w:after="60"/>
              <w:jc w:val="center"/>
              <w:rPr>
                <w:rFonts w:ascii="Times New Roman" w:hAnsi="Times New Roman" w:cs="Times New Roman"/>
                <w:b/>
                <w:noProof/>
                <w:color w:val="FE8D26"/>
                <w:sz w:val="20"/>
              </w:rPr>
            </w:pPr>
            <w:r>
              <w:rPr>
                <w:rFonts w:ascii="Times New Roman" w:hAnsi="Times New Roman"/>
                <w:b/>
                <w:noProof/>
                <w:color w:val="FE8D26"/>
                <w:sz w:val="20"/>
              </w:rPr>
              <w:t>2015 г.</w:t>
            </w:r>
          </w:p>
        </w:tc>
      </w:tr>
      <w:tr>
        <w:trPr>
          <w:trHeight w:val="168"/>
        </w:trPr>
        <w:tc>
          <w:tcPr>
            <w:tcW w:w="3125" w:type="pct"/>
            <w:tcBorders>
              <w:top w:val="single" w:sz="12" w:space="0" w:color="1F497D" w:themeColor="text2"/>
              <w:bottom w:val="single" w:sz="8" w:space="0" w:color="1F497D" w:themeColor="text2"/>
            </w:tcBorders>
            <w:vAlign w:val="center"/>
          </w:tcPr>
          <w:p>
            <w:pPr>
              <w:spacing w:after="0"/>
              <w:rPr>
                <w:rFonts w:ascii="Times New Roman" w:hAnsi="Times New Roman" w:cs="Times New Roman"/>
                <w:b/>
                <w:noProof/>
                <w:color w:val="244061" w:themeColor="accent1" w:themeShade="80"/>
                <w:sz w:val="20"/>
              </w:rPr>
            </w:pPr>
            <w:r>
              <w:rPr>
                <w:rFonts w:ascii="Times New Roman" w:hAnsi="Times New Roman"/>
                <w:noProof/>
                <w:color w:val="244061" w:themeColor="accent1" w:themeShade="80"/>
                <w:sz w:val="20"/>
              </w:rPr>
              <w:t>Брой на очакваните справки-декларации в държавите — членки на ЕС (в милиони)</w:t>
            </w:r>
          </w:p>
        </w:tc>
        <w:tc>
          <w:tcPr>
            <w:tcW w:w="626" w:type="pct"/>
            <w:tcBorders>
              <w:top w:val="single" w:sz="12" w:space="0" w:color="1F497D" w:themeColor="text2"/>
              <w:bottom w:val="single" w:sz="8" w:space="0" w:color="1F497D" w:themeColor="text2"/>
            </w:tcBorders>
            <w:vAlign w:val="center"/>
          </w:tcPr>
          <w:p>
            <w:pPr>
              <w:spacing w:after="0"/>
              <w:jc w:val="center"/>
              <w:rPr>
                <w:rFonts w:ascii="Times New Roman" w:hAnsi="Times New Roman" w:cs="Times New Roman"/>
                <w:noProof/>
                <w:color w:val="015685"/>
                <w:sz w:val="20"/>
              </w:rPr>
            </w:pPr>
            <w:r>
              <w:rPr>
                <w:rFonts w:ascii="Times New Roman" w:hAnsi="Times New Roman"/>
                <w:noProof/>
                <w:color w:val="015685"/>
                <w:sz w:val="20"/>
              </w:rPr>
              <w:t>127,9 </w:t>
            </w:r>
          </w:p>
        </w:tc>
        <w:tc>
          <w:tcPr>
            <w:tcW w:w="804" w:type="pct"/>
            <w:tcBorders>
              <w:top w:val="single" w:sz="12" w:space="0" w:color="1F497D" w:themeColor="text2"/>
              <w:bottom w:val="single" w:sz="8" w:space="0" w:color="1F497D" w:themeColor="text2"/>
            </w:tcBorders>
            <w:vAlign w:val="center"/>
          </w:tcPr>
          <w:p>
            <w:pPr>
              <w:spacing w:after="0"/>
              <w:jc w:val="center"/>
              <w:rPr>
                <w:rFonts w:ascii="Times New Roman" w:hAnsi="Times New Roman" w:cs="Times New Roman"/>
                <w:noProof/>
                <w:color w:val="38906C"/>
                <w:sz w:val="20"/>
              </w:rPr>
            </w:pPr>
            <w:r>
              <w:rPr>
                <w:rFonts w:ascii="Times New Roman" w:hAnsi="Times New Roman"/>
                <w:noProof/>
                <w:color w:val="38906C"/>
                <w:sz w:val="20"/>
              </w:rPr>
              <w:t>130,1</w:t>
            </w:r>
          </w:p>
        </w:tc>
        <w:tc>
          <w:tcPr>
            <w:tcW w:w="445" w:type="pct"/>
            <w:tcBorders>
              <w:top w:val="single" w:sz="12" w:space="0" w:color="1F497D" w:themeColor="text2"/>
              <w:bottom w:val="single" w:sz="8" w:space="0" w:color="1F497D" w:themeColor="text2"/>
            </w:tcBorders>
            <w:vAlign w:val="center"/>
          </w:tcPr>
          <w:p>
            <w:pPr>
              <w:spacing w:after="0"/>
              <w:jc w:val="center"/>
              <w:rPr>
                <w:rFonts w:ascii="Times New Roman" w:hAnsi="Times New Roman" w:cs="Times New Roman"/>
                <w:noProof/>
                <w:color w:val="FE8D26"/>
                <w:sz w:val="20"/>
              </w:rPr>
            </w:pPr>
            <w:r>
              <w:rPr>
                <w:rFonts w:ascii="Times New Roman" w:hAnsi="Times New Roman"/>
                <w:noProof/>
                <w:color w:val="FE8D26"/>
                <w:sz w:val="20"/>
              </w:rPr>
              <w:t>132,3</w:t>
            </w:r>
          </w:p>
        </w:tc>
      </w:tr>
      <w:tr>
        <w:trPr>
          <w:trHeight w:val="519"/>
        </w:trPr>
        <w:tc>
          <w:tcPr>
            <w:tcW w:w="3125" w:type="pct"/>
            <w:tcBorders>
              <w:top w:val="single" w:sz="8" w:space="0" w:color="1F497D" w:themeColor="text2"/>
            </w:tcBorders>
            <w:vAlign w:val="center"/>
          </w:tcPr>
          <w:p>
            <w:pPr>
              <w:spacing w:after="0"/>
              <w:rPr>
                <w:rFonts w:ascii="Times New Roman" w:hAnsi="Times New Roman" w:cs="Times New Roman"/>
                <w:b/>
                <w:noProof/>
                <w:color w:val="244061" w:themeColor="accent1" w:themeShade="80"/>
                <w:sz w:val="20"/>
              </w:rPr>
            </w:pPr>
            <w:r>
              <w:rPr>
                <w:rFonts w:ascii="Times New Roman" w:hAnsi="Times New Roman"/>
                <w:noProof/>
                <w:color w:val="244061" w:themeColor="accent1" w:themeShade="80"/>
                <w:sz w:val="20"/>
              </w:rPr>
              <w:t>Справки-декларации за ДДС, подадени в срок (%)</w:t>
            </w:r>
          </w:p>
        </w:tc>
        <w:tc>
          <w:tcPr>
            <w:tcW w:w="626" w:type="pct"/>
            <w:tcBorders>
              <w:top w:val="single" w:sz="8" w:space="0" w:color="1F497D" w:themeColor="text2"/>
            </w:tcBorders>
            <w:vAlign w:val="center"/>
          </w:tcPr>
          <w:p>
            <w:pPr>
              <w:spacing w:after="0"/>
              <w:jc w:val="center"/>
              <w:rPr>
                <w:rFonts w:ascii="Times New Roman" w:hAnsi="Times New Roman" w:cs="Times New Roman"/>
                <w:noProof/>
                <w:color w:val="015685"/>
                <w:sz w:val="20"/>
              </w:rPr>
            </w:pPr>
            <w:r>
              <w:rPr>
                <w:rFonts w:ascii="Times New Roman" w:hAnsi="Times New Roman"/>
                <w:noProof/>
                <w:color w:val="015685"/>
                <w:sz w:val="20"/>
              </w:rPr>
              <w:t>87,1</w:t>
            </w:r>
          </w:p>
        </w:tc>
        <w:tc>
          <w:tcPr>
            <w:tcW w:w="804" w:type="pct"/>
            <w:tcBorders>
              <w:top w:val="single" w:sz="8" w:space="0" w:color="1F497D" w:themeColor="text2"/>
            </w:tcBorders>
            <w:vAlign w:val="center"/>
          </w:tcPr>
          <w:p>
            <w:pPr>
              <w:spacing w:after="0"/>
              <w:jc w:val="center"/>
              <w:rPr>
                <w:rFonts w:ascii="Times New Roman" w:hAnsi="Times New Roman" w:cs="Times New Roman"/>
                <w:noProof/>
                <w:color w:val="38906C"/>
                <w:sz w:val="20"/>
              </w:rPr>
            </w:pPr>
            <w:r>
              <w:rPr>
                <w:rFonts w:ascii="Times New Roman" w:hAnsi="Times New Roman"/>
                <w:noProof/>
                <w:color w:val="38906C"/>
                <w:sz w:val="20"/>
              </w:rPr>
              <w:t>88,6</w:t>
            </w:r>
          </w:p>
        </w:tc>
        <w:tc>
          <w:tcPr>
            <w:tcW w:w="445" w:type="pct"/>
            <w:tcBorders>
              <w:top w:val="single" w:sz="8" w:space="0" w:color="1F497D" w:themeColor="text2"/>
            </w:tcBorders>
            <w:vAlign w:val="center"/>
          </w:tcPr>
          <w:p>
            <w:pPr>
              <w:spacing w:after="0"/>
              <w:jc w:val="center"/>
              <w:rPr>
                <w:rFonts w:ascii="Times New Roman" w:hAnsi="Times New Roman" w:cs="Times New Roman"/>
                <w:noProof/>
                <w:color w:val="FE8D26"/>
                <w:sz w:val="20"/>
              </w:rPr>
            </w:pPr>
            <w:r>
              <w:rPr>
                <w:rFonts w:ascii="Times New Roman" w:hAnsi="Times New Roman"/>
                <w:noProof/>
                <w:color w:val="FE8D26"/>
                <w:sz w:val="20"/>
              </w:rPr>
              <w:t>88,9</w:t>
            </w:r>
          </w:p>
        </w:tc>
      </w:tr>
      <w:tr>
        <w:trPr>
          <w:trHeight w:val="519"/>
        </w:trPr>
        <w:tc>
          <w:tcPr>
            <w:tcW w:w="3125" w:type="pct"/>
            <w:tcBorders>
              <w:top w:val="single" w:sz="8" w:space="0" w:color="1F497D" w:themeColor="text2"/>
              <w:bottom w:val="single" w:sz="8" w:space="0" w:color="1F497D" w:themeColor="text2"/>
            </w:tcBorders>
            <w:vAlign w:val="center"/>
          </w:tcPr>
          <w:p>
            <w:pPr>
              <w:spacing w:after="0"/>
              <w:rPr>
                <w:rFonts w:ascii="Times New Roman" w:hAnsi="Times New Roman" w:cs="Times New Roman"/>
                <w:noProof/>
                <w:color w:val="244061" w:themeColor="accent1" w:themeShade="80"/>
                <w:sz w:val="20"/>
              </w:rPr>
            </w:pPr>
            <w:r>
              <w:rPr>
                <w:rFonts w:ascii="Times New Roman" w:hAnsi="Times New Roman"/>
                <w:noProof/>
                <w:color w:val="244061" w:themeColor="accent1" w:themeShade="80"/>
                <w:sz w:val="20"/>
              </w:rPr>
              <w:t xml:space="preserve">Справки-декларации за ДДС, подадени със закъснение </w:t>
            </w:r>
            <w:r>
              <w:rPr>
                <w:rFonts w:ascii="Times New Roman" w:hAnsi="Times New Roman"/>
                <w:noProof/>
                <w:color w:val="244061" w:themeColor="accent1" w:themeShade="80"/>
                <w:sz w:val="20"/>
                <w:u w:val="single"/>
              </w:rPr>
              <w:t>под</w:t>
            </w:r>
            <w:r>
              <w:rPr>
                <w:rFonts w:ascii="Times New Roman" w:hAnsi="Times New Roman"/>
                <w:noProof/>
                <w:color w:val="244061" w:themeColor="accent1" w:themeShade="80"/>
                <w:sz w:val="20"/>
              </w:rPr>
              <w:t xml:space="preserve"> 30 дена (%)</w:t>
            </w:r>
          </w:p>
        </w:tc>
        <w:tc>
          <w:tcPr>
            <w:tcW w:w="626" w:type="pct"/>
            <w:tcBorders>
              <w:top w:val="single" w:sz="8" w:space="0" w:color="1F497D" w:themeColor="text2"/>
              <w:bottom w:val="single" w:sz="8" w:space="0" w:color="1F497D" w:themeColor="text2"/>
            </w:tcBorders>
            <w:vAlign w:val="center"/>
          </w:tcPr>
          <w:p>
            <w:pPr>
              <w:spacing w:after="0"/>
              <w:jc w:val="center"/>
              <w:rPr>
                <w:rFonts w:ascii="Times New Roman" w:hAnsi="Times New Roman" w:cs="Times New Roman"/>
                <w:noProof/>
                <w:color w:val="015685"/>
                <w:sz w:val="20"/>
              </w:rPr>
            </w:pPr>
            <w:r>
              <w:rPr>
                <w:rFonts w:ascii="Times New Roman" w:hAnsi="Times New Roman"/>
                <w:noProof/>
                <w:color w:val="015685"/>
                <w:sz w:val="20"/>
              </w:rPr>
              <w:t>4,6</w:t>
            </w:r>
          </w:p>
        </w:tc>
        <w:tc>
          <w:tcPr>
            <w:tcW w:w="804" w:type="pct"/>
            <w:tcBorders>
              <w:top w:val="single" w:sz="8" w:space="0" w:color="1F497D" w:themeColor="text2"/>
              <w:bottom w:val="single" w:sz="8" w:space="0" w:color="1F497D" w:themeColor="text2"/>
            </w:tcBorders>
            <w:vAlign w:val="center"/>
          </w:tcPr>
          <w:p>
            <w:pPr>
              <w:spacing w:after="0"/>
              <w:jc w:val="center"/>
              <w:rPr>
                <w:rFonts w:ascii="Times New Roman" w:hAnsi="Times New Roman" w:cs="Times New Roman"/>
                <w:noProof/>
                <w:color w:val="38906C"/>
                <w:sz w:val="20"/>
              </w:rPr>
            </w:pPr>
            <w:r>
              <w:rPr>
                <w:rFonts w:ascii="Times New Roman" w:hAnsi="Times New Roman"/>
                <w:noProof/>
                <w:color w:val="38906C"/>
                <w:sz w:val="20"/>
              </w:rPr>
              <w:t>4,4</w:t>
            </w:r>
          </w:p>
        </w:tc>
        <w:tc>
          <w:tcPr>
            <w:tcW w:w="445" w:type="pct"/>
            <w:tcBorders>
              <w:top w:val="single" w:sz="8" w:space="0" w:color="1F497D" w:themeColor="text2"/>
              <w:bottom w:val="single" w:sz="8" w:space="0" w:color="1F497D" w:themeColor="text2"/>
            </w:tcBorders>
            <w:vAlign w:val="center"/>
          </w:tcPr>
          <w:p>
            <w:pPr>
              <w:spacing w:after="0"/>
              <w:jc w:val="center"/>
              <w:rPr>
                <w:rFonts w:ascii="Times New Roman" w:hAnsi="Times New Roman" w:cs="Times New Roman"/>
                <w:noProof/>
                <w:color w:val="FE8D26"/>
                <w:sz w:val="20"/>
              </w:rPr>
            </w:pPr>
            <w:r>
              <w:rPr>
                <w:rFonts w:ascii="Times New Roman" w:hAnsi="Times New Roman"/>
                <w:noProof/>
                <w:color w:val="FE8D26"/>
                <w:sz w:val="20"/>
              </w:rPr>
              <w:t>4,7</w:t>
            </w:r>
          </w:p>
        </w:tc>
      </w:tr>
      <w:tr>
        <w:trPr>
          <w:trHeight w:val="519"/>
        </w:trPr>
        <w:tc>
          <w:tcPr>
            <w:tcW w:w="3125" w:type="pct"/>
            <w:tcBorders>
              <w:top w:val="single" w:sz="8" w:space="0" w:color="1F497D" w:themeColor="text2"/>
              <w:bottom w:val="single" w:sz="8" w:space="0" w:color="1F497D" w:themeColor="text2"/>
            </w:tcBorders>
            <w:vAlign w:val="center"/>
          </w:tcPr>
          <w:p>
            <w:pPr>
              <w:spacing w:after="0"/>
              <w:rPr>
                <w:rFonts w:ascii="Times New Roman" w:hAnsi="Times New Roman" w:cs="Times New Roman"/>
                <w:b/>
                <w:noProof/>
                <w:color w:val="244061" w:themeColor="accent1" w:themeShade="80"/>
                <w:sz w:val="20"/>
              </w:rPr>
            </w:pPr>
            <w:r>
              <w:rPr>
                <w:rFonts w:ascii="Times New Roman" w:hAnsi="Times New Roman"/>
                <w:noProof/>
                <w:color w:val="244061" w:themeColor="accent1" w:themeShade="80"/>
                <w:sz w:val="20"/>
              </w:rPr>
              <w:t>Дял на спазване на изискванията при справки-декларациите за ДДС (получени/очаквани; %)</w:t>
            </w:r>
          </w:p>
        </w:tc>
        <w:tc>
          <w:tcPr>
            <w:tcW w:w="626" w:type="pct"/>
            <w:tcBorders>
              <w:top w:val="single" w:sz="8" w:space="0" w:color="1F497D" w:themeColor="text2"/>
              <w:bottom w:val="single" w:sz="8" w:space="0" w:color="1F497D" w:themeColor="text2"/>
            </w:tcBorders>
            <w:vAlign w:val="center"/>
          </w:tcPr>
          <w:p>
            <w:pPr>
              <w:spacing w:after="0"/>
              <w:jc w:val="center"/>
              <w:rPr>
                <w:rFonts w:ascii="Times New Roman" w:hAnsi="Times New Roman" w:cs="Times New Roman"/>
                <w:noProof/>
                <w:color w:val="015685"/>
                <w:sz w:val="20"/>
              </w:rPr>
            </w:pPr>
            <w:r>
              <w:rPr>
                <w:rFonts w:ascii="Times New Roman" w:hAnsi="Times New Roman"/>
                <w:noProof/>
                <w:color w:val="015685"/>
                <w:sz w:val="20"/>
              </w:rPr>
              <w:t>91,2</w:t>
            </w:r>
          </w:p>
        </w:tc>
        <w:tc>
          <w:tcPr>
            <w:tcW w:w="804" w:type="pct"/>
            <w:tcBorders>
              <w:top w:val="single" w:sz="8" w:space="0" w:color="1F497D" w:themeColor="text2"/>
              <w:bottom w:val="single" w:sz="8" w:space="0" w:color="1F497D" w:themeColor="text2"/>
            </w:tcBorders>
            <w:vAlign w:val="center"/>
          </w:tcPr>
          <w:p>
            <w:pPr>
              <w:spacing w:after="0"/>
              <w:jc w:val="center"/>
              <w:rPr>
                <w:rFonts w:ascii="Times New Roman" w:hAnsi="Times New Roman" w:cs="Times New Roman"/>
                <w:noProof/>
                <w:color w:val="38906C"/>
                <w:sz w:val="20"/>
              </w:rPr>
            </w:pPr>
            <w:r>
              <w:rPr>
                <w:rFonts w:ascii="Times New Roman" w:hAnsi="Times New Roman"/>
                <w:noProof/>
                <w:color w:val="38906C"/>
                <w:sz w:val="20"/>
              </w:rPr>
              <w:t>95,9</w:t>
            </w:r>
          </w:p>
        </w:tc>
        <w:tc>
          <w:tcPr>
            <w:tcW w:w="445" w:type="pct"/>
            <w:tcBorders>
              <w:top w:val="single" w:sz="8" w:space="0" w:color="1F497D" w:themeColor="text2"/>
              <w:bottom w:val="single" w:sz="8" w:space="0" w:color="1F497D" w:themeColor="text2"/>
            </w:tcBorders>
            <w:vAlign w:val="center"/>
          </w:tcPr>
          <w:p>
            <w:pPr>
              <w:spacing w:after="0"/>
              <w:jc w:val="center"/>
              <w:rPr>
                <w:rFonts w:ascii="Times New Roman" w:hAnsi="Times New Roman" w:cs="Times New Roman"/>
                <w:noProof/>
                <w:color w:val="FE8D26"/>
                <w:sz w:val="20"/>
              </w:rPr>
            </w:pPr>
            <w:r>
              <w:rPr>
                <w:rFonts w:ascii="Times New Roman" w:hAnsi="Times New Roman"/>
                <w:noProof/>
                <w:color w:val="FE8D26"/>
                <w:sz w:val="20"/>
              </w:rPr>
              <w:t>96,4</w:t>
            </w:r>
          </w:p>
        </w:tc>
      </w:tr>
    </w:tbl>
    <w:p>
      <w:pPr>
        <w:pStyle w:val="NORMAL0"/>
        <w:spacing w:before="120" w:after="240" w:line="276" w:lineRule="auto"/>
        <w:rPr>
          <w:rFonts w:ascii="Times New Roman" w:eastAsiaTheme="minorHAnsi" w:hAnsi="Times New Roman" w:cs="Times New Roman"/>
          <w:i/>
          <w:noProof/>
          <w:sz w:val="18"/>
          <w:szCs w:val="18"/>
        </w:rPr>
      </w:pPr>
      <w:r>
        <w:rPr>
          <w:rFonts w:ascii="Times New Roman" w:eastAsiaTheme="minorHAnsi" w:hAnsi="Times New Roman"/>
          <w:i/>
          <w:noProof/>
          <w:sz w:val="18"/>
        </w:rPr>
        <w:t xml:space="preserve">Източник: Отговори на държави членки на въпросника от 2017 г. </w:t>
      </w:r>
    </w:p>
    <w:p>
      <w:pPr>
        <w:jc w:val="both"/>
        <w:rPr>
          <w:rFonts w:ascii="Times New Roman" w:hAnsi="Times New Roman" w:cs="Times New Roman"/>
          <w:noProof/>
          <w:sz w:val="24"/>
          <w:szCs w:val="24"/>
        </w:rPr>
      </w:pPr>
      <w:r>
        <w:rPr>
          <w:rFonts w:ascii="Times New Roman" w:hAnsi="Times New Roman"/>
          <w:noProof/>
          <w:sz w:val="24"/>
        </w:rPr>
        <w:t>В случай на забавяне при подаването повечето държави членки изпращат (автоматично или ръчно) напомнителни писма след изтичане на крайния срок. Малък брой държави членки изпращат предупредителни писма преди предстоящия срок. Според тези държави членки посочената практика е намалила броя на забавените подавания.</w:t>
      </w:r>
    </w:p>
    <w:p>
      <w:pPr>
        <w:spacing w:after="240"/>
        <w:jc w:val="both"/>
        <w:rPr>
          <w:rFonts w:ascii="Times New Roman" w:hAnsi="Times New Roman" w:cs="Times New Roman"/>
          <w:noProof/>
          <w:sz w:val="24"/>
          <w:szCs w:val="24"/>
        </w:rPr>
      </w:pPr>
      <w:r>
        <w:rPr>
          <w:rFonts w:ascii="Times New Roman" w:hAnsi="Times New Roman"/>
          <w:noProof/>
          <w:sz w:val="24"/>
        </w:rPr>
        <w:t>Всички държави членки имат въведена система за санкции с цел насърчаване на данъкоплатците да подават декларациите си в срок. Ако не са подадени справки-декларации за ДДС, повечето държави членки изчисляват прогнозен размер на дължимия ДДС и добавят санкция. В половината държави членки се прилага опростена система за подаване на справки-декларации за ДДС.</w:t>
      </w:r>
    </w:p>
    <w:p>
      <w:pPr>
        <w:pStyle w:val="ManualHeading3"/>
        <w:rPr>
          <w:noProof/>
          <w:szCs w:val="24"/>
        </w:rPr>
      </w:pPr>
      <w:bookmarkStart w:id="30" w:name="_Toc500948770"/>
      <w:r>
        <w:t>3.3.2.</w:t>
      </w:r>
      <w:r>
        <w:tab/>
      </w:r>
      <w:r>
        <w:rPr>
          <w:noProof/>
        </w:rPr>
        <w:t>Плащане</w:t>
      </w:r>
      <w:bookmarkEnd w:id="30"/>
    </w:p>
    <w:p>
      <w:pPr>
        <w:spacing w:after="120"/>
        <w:jc w:val="both"/>
        <w:rPr>
          <w:rFonts w:ascii="Times New Roman" w:hAnsi="Times New Roman" w:cs="Times New Roman"/>
          <w:noProof/>
          <w:sz w:val="24"/>
          <w:szCs w:val="24"/>
        </w:rPr>
      </w:pPr>
      <w:r>
        <w:rPr>
          <w:rFonts w:ascii="Times New Roman" w:hAnsi="Times New Roman"/>
          <w:noProof/>
          <w:sz w:val="24"/>
        </w:rPr>
        <w:t>В повечето държави членки данъчните органи предлагат възможността за електронно плащане на дължимия ДДС. Само в 50 % от държавите членки обаче електронното плащане на ДДС е задължително. Малък брой държави членки все още предлагат възможността за плащане в брой на дължимия ДДС, но насърчават използването на електронни средства.</w:t>
      </w:r>
    </w:p>
    <w:p>
      <w:pPr>
        <w:spacing w:after="120"/>
        <w:jc w:val="both"/>
        <w:rPr>
          <w:rFonts w:ascii="Times New Roman" w:hAnsi="Times New Roman" w:cs="Times New Roman"/>
          <w:noProof/>
          <w:sz w:val="24"/>
          <w:szCs w:val="24"/>
        </w:rPr>
      </w:pPr>
      <w:r>
        <w:rPr>
          <w:rFonts w:ascii="Times New Roman" w:hAnsi="Times New Roman"/>
          <w:noProof/>
          <w:sz w:val="24"/>
        </w:rPr>
        <w:t>Сроковете за плащане също се следят електронно. Общата практика при изтичане на крайните срокове е данъчните органи да изпращат автоматични напомнителни писма. За малките данъкоплатци данъчните органи предлагат специален опростен режим на плащане</w:t>
      </w:r>
      <w:r>
        <w:rPr>
          <w:rStyle w:val="FootnoteReference"/>
          <w:rFonts w:ascii="Times New Roman" w:hAnsi="Times New Roman"/>
          <w:noProof/>
          <w:sz w:val="24"/>
        </w:rPr>
        <w:footnoteReference w:id="18"/>
      </w:r>
      <w:r>
        <w:rPr>
          <w:rFonts w:ascii="Times New Roman" w:hAnsi="Times New Roman"/>
          <w:noProof/>
          <w:sz w:val="24"/>
        </w:rPr>
        <w:t>.</w:t>
      </w:r>
    </w:p>
    <w:tbl>
      <w:tblPr>
        <w:tblStyle w:val="TableGrid"/>
        <w:tblW w:w="9434" w:type="dxa"/>
        <w:tblLayout w:type="fixed"/>
        <w:tblLook w:val="04A0" w:firstRow="1" w:lastRow="0" w:firstColumn="1" w:lastColumn="0" w:noHBand="0" w:noVBand="1"/>
      </w:tblPr>
      <w:tblGrid>
        <w:gridCol w:w="392"/>
        <w:gridCol w:w="992"/>
        <w:gridCol w:w="3313"/>
        <w:gridCol w:w="236"/>
        <w:gridCol w:w="236"/>
        <w:gridCol w:w="184"/>
        <w:gridCol w:w="1134"/>
        <w:gridCol w:w="2947"/>
      </w:tblGrid>
      <w:tr>
        <w:tc>
          <w:tcPr>
            <w:tcW w:w="4697" w:type="dxa"/>
            <w:gridSpan w:val="3"/>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shd w:val="clear" w:color="auto" w:fill="auto"/>
          </w:tcPr>
          <w:p>
            <w:pPr>
              <w:pStyle w:val="Caption"/>
              <w:spacing w:before="60"/>
              <w:rPr>
                <w:b w:val="0"/>
                <w:i/>
                <w:noProof/>
                <w:sz w:val="22"/>
              </w:rPr>
            </w:pPr>
            <w:bookmarkStart w:id="31" w:name="_Toc500948797"/>
            <w:r>
              <w:rPr>
                <w:i/>
                <w:noProof/>
              </w:rPr>
              <w:t xml:space="preserve">Фигура </w:t>
            </w:r>
            <w:r>
              <w:rPr>
                <w:i/>
                <w:noProof/>
              </w:rPr>
              <w:fldChar w:fldCharType="begin"/>
            </w:r>
            <w:r>
              <w:rPr>
                <w:i/>
                <w:noProof/>
              </w:rPr>
              <w:instrText xml:space="preserve"> SEQ Figure \* ARABIC </w:instrText>
            </w:r>
            <w:r>
              <w:rPr>
                <w:i/>
                <w:noProof/>
              </w:rPr>
              <w:fldChar w:fldCharType="separate"/>
            </w:r>
            <w:r>
              <w:rPr>
                <w:i/>
                <w:noProof/>
              </w:rPr>
              <w:t>7</w:t>
            </w:r>
            <w:r>
              <w:rPr>
                <w:i/>
                <w:noProof/>
              </w:rPr>
              <w:fldChar w:fldCharType="end"/>
            </w:r>
            <w:r>
              <w:rPr>
                <w:i/>
                <w:noProof/>
              </w:rPr>
              <w:t xml:space="preserve">: </w:t>
            </w:r>
            <w:r>
              <w:rPr>
                <w:b w:val="0"/>
                <w:i/>
                <w:noProof/>
              </w:rPr>
              <w:t>Възможност за електронно плащане на ДДС в 28-те държави членки (2013 — 2015 г.)</w:t>
            </w:r>
            <w:bookmarkEnd w:id="31"/>
          </w:p>
        </w:tc>
        <w:tc>
          <w:tcPr>
            <w:tcW w:w="236" w:type="dxa"/>
            <w:tcBorders>
              <w:top w:val="nil"/>
              <w:left w:val="single" w:sz="4" w:space="0" w:color="A6A6A6" w:themeColor="background1" w:themeShade="A6"/>
              <w:bottom w:val="nil"/>
              <w:right w:val="single" w:sz="4" w:space="0" w:color="A6A6A6" w:themeColor="background1" w:themeShade="A6"/>
            </w:tcBorders>
            <w:shd w:val="clear" w:color="auto" w:fill="auto"/>
          </w:tcPr>
          <w:p>
            <w:pPr>
              <w:spacing w:line="276" w:lineRule="auto"/>
              <w:rPr>
                <w:rFonts w:ascii="Times New Roman" w:hAnsi="Times New Roman" w:cs="Times New Roman"/>
                <w:noProof/>
              </w:rPr>
            </w:pPr>
          </w:p>
        </w:tc>
        <w:tc>
          <w:tcPr>
            <w:tcW w:w="4501" w:type="dxa"/>
            <w:gridSpan w:val="4"/>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shd w:val="clear" w:color="auto" w:fill="auto"/>
          </w:tcPr>
          <w:p>
            <w:pPr>
              <w:pStyle w:val="Caption"/>
              <w:spacing w:before="60"/>
              <w:ind w:right="4"/>
              <w:rPr>
                <w:b w:val="0"/>
                <w:i/>
                <w:noProof/>
                <w:sz w:val="22"/>
              </w:rPr>
            </w:pPr>
            <w:bookmarkStart w:id="32" w:name="_Toc500948798"/>
            <w:r>
              <w:rPr>
                <w:i/>
                <w:noProof/>
              </w:rPr>
              <w:t xml:space="preserve">Фигура </w:t>
            </w:r>
            <w:r>
              <w:rPr>
                <w:i/>
                <w:noProof/>
              </w:rPr>
              <w:fldChar w:fldCharType="begin"/>
            </w:r>
            <w:r>
              <w:rPr>
                <w:i/>
                <w:noProof/>
              </w:rPr>
              <w:instrText xml:space="preserve"> SEQ Figure \* ARABIC </w:instrText>
            </w:r>
            <w:r>
              <w:rPr>
                <w:i/>
                <w:noProof/>
              </w:rPr>
              <w:fldChar w:fldCharType="separate"/>
            </w:r>
            <w:r>
              <w:rPr>
                <w:i/>
                <w:noProof/>
              </w:rPr>
              <w:t>8</w:t>
            </w:r>
            <w:r>
              <w:rPr>
                <w:i/>
                <w:noProof/>
              </w:rPr>
              <w:fldChar w:fldCharType="end"/>
            </w:r>
            <w:r>
              <w:rPr>
                <w:i/>
                <w:noProof/>
              </w:rPr>
              <w:t xml:space="preserve">: </w:t>
            </w:r>
            <w:r>
              <w:rPr>
                <w:b w:val="0"/>
                <w:i/>
                <w:noProof/>
              </w:rPr>
              <w:t>Напомнителни писма при забавено плащане в 28-те държави членки (2013 — 2015 г.)</w:t>
            </w:r>
            <w:bookmarkEnd w:id="32"/>
          </w:p>
        </w:tc>
      </w:tr>
      <w:tr>
        <w:trPr>
          <w:trHeight w:val="174"/>
        </w:trPr>
        <w:tc>
          <w:tcPr>
            <w:tcW w:w="392" w:type="dxa"/>
            <w:tcBorders>
              <w:top w:val="nil"/>
              <w:left w:val="single" w:sz="4" w:space="0" w:color="A6A6A6" w:themeColor="background1" w:themeShade="A6"/>
              <w:bottom w:val="nil"/>
              <w:right w:val="nil"/>
            </w:tcBorders>
            <w:shd w:val="clear" w:color="auto" w:fill="auto"/>
          </w:tcPr>
          <w:p>
            <w:pPr>
              <w:jc w:val="right"/>
              <w:rPr>
                <w:rFonts w:ascii="Times New Roman" w:hAnsi="Times New Roman" w:cs="Times New Roman"/>
                <w:noProof/>
              </w:rPr>
            </w:pPr>
          </w:p>
        </w:tc>
        <w:tc>
          <w:tcPr>
            <w:tcW w:w="992" w:type="dxa"/>
            <w:vMerge w:val="restart"/>
            <w:tcBorders>
              <w:top w:val="nil"/>
              <w:left w:val="nil"/>
              <w:bottom w:val="nil"/>
              <w:right w:val="nil"/>
            </w:tcBorders>
            <w:shd w:val="clear" w:color="auto" w:fill="auto"/>
          </w:tcPr>
          <w:p>
            <w:pPr>
              <w:spacing w:before="40"/>
              <w:rPr>
                <w:rFonts w:ascii="Times New Roman" w:hAnsi="Times New Roman" w:cs="Times New Roman"/>
                <w:noProof/>
                <w:sz w:val="20"/>
                <w:szCs w:val="20"/>
              </w:rPr>
            </w:pPr>
          </w:p>
        </w:tc>
        <w:tc>
          <w:tcPr>
            <w:tcW w:w="3313" w:type="dxa"/>
            <w:vMerge w:val="restart"/>
            <w:tcBorders>
              <w:top w:val="nil"/>
              <w:left w:val="nil"/>
              <w:bottom w:val="nil"/>
              <w:right w:val="single" w:sz="4" w:space="0" w:color="A6A6A6" w:themeColor="background1" w:themeShade="A6"/>
            </w:tcBorders>
            <w:shd w:val="clear" w:color="auto" w:fill="auto"/>
            <w:tcMar>
              <w:left w:w="28" w:type="dxa"/>
              <w:right w:w="28" w:type="dxa"/>
            </w:tcMar>
            <w:vAlign w:val="center"/>
          </w:tcPr>
          <w:p>
            <w:pPr>
              <w:rPr>
                <w:rFonts w:ascii="Times New Roman" w:hAnsi="Times New Roman" w:cs="Times New Roman"/>
                <w:noProof/>
              </w:rPr>
            </w:pPr>
            <w:r>
              <w:rPr>
                <w:rFonts w:ascii="Times New Roman" w:hAnsi="Times New Roman" w:cs="Times New Roman"/>
                <w:noProof/>
                <w:lang w:val="en-US" w:eastAsia="en-US" w:bidi="ar-SA"/>
              </w:rPr>
              <w:drawing>
                <wp:inline distT="0" distB="0" distL="0" distR="0">
                  <wp:extent cx="2114550" cy="1609725"/>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tc>
        <w:tc>
          <w:tcPr>
            <w:tcW w:w="236" w:type="dxa"/>
            <w:vMerge w:val="restart"/>
            <w:tcBorders>
              <w:top w:val="nil"/>
              <w:left w:val="single" w:sz="4" w:space="0" w:color="A6A6A6" w:themeColor="background1" w:themeShade="A6"/>
              <w:bottom w:val="nil"/>
              <w:right w:val="single" w:sz="4" w:space="0" w:color="A6A6A6" w:themeColor="background1" w:themeShade="A6"/>
            </w:tcBorders>
            <w:shd w:val="clear" w:color="auto" w:fill="auto"/>
          </w:tcPr>
          <w:p>
            <w:pPr>
              <w:spacing w:line="276" w:lineRule="auto"/>
              <w:rPr>
                <w:rFonts w:ascii="Times New Roman" w:hAnsi="Times New Roman" w:cs="Times New Roman"/>
                <w:noProof/>
              </w:rPr>
            </w:pPr>
          </w:p>
        </w:tc>
        <w:tc>
          <w:tcPr>
            <w:tcW w:w="236" w:type="dxa"/>
            <w:tcBorders>
              <w:top w:val="nil"/>
              <w:left w:val="single" w:sz="4" w:space="0" w:color="A6A6A6" w:themeColor="background1" w:themeShade="A6"/>
              <w:bottom w:val="nil"/>
              <w:right w:val="nil"/>
            </w:tcBorders>
            <w:shd w:val="clear" w:color="auto" w:fill="auto"/>
          </w:tcPr>
          <w:p>
            <w:pPr>
              <w:rPr>
                <w:rFonts w:ascii="Times New Roman" w:hAnsi="Times New Roman" w:cs="Times New Roman"/>
                <w:noProof/>
              </w:rPr>
            </w:pPr>
          </w:p>
        </w:tc>
        <w:tc>
          <w:tcPr>
            <w:tcW w:w="1318" w:type="dxa"/>
            <w:gridSpan w:val="2"/>
            <w:tcBorders>
              <w:top w:val="nil"/>
              <w:left w:val="nil"/>
              <w:bottom w:val="nil"/>
              <w:right w:val="nil"/>
            </w:tcBorders>
            <w:shd w:val="clear" w:color="auto" w:fill="auto"/>
          </w:tcPr>
          <w:p>
            <w:pPr>
              <w:rPr>
                <w:rFonts w:ascii="Times New Roman" w:hAnsi="Times New Roman" w:cs="Times New Roman"/>
                <w:noProof/>
              </w:rPr>
            </w:pPr>
          </w:p>
        </w:tc>
        <w:tc>
          <w:tcPr>
            <w:tcW w:w="2947" w:type="dxa"/>
            <w:vMerge w:val="restart"/>
            <w:tcBorders>
              <w:top w:val="nil"/>
              <w:left w:val="nil"/>
              <w:right w:val="single" w:sz="4" w:space="0" w:color="A6A6A6" w:themeColor="background1" w:themeShade="A6"/>
            </w:tcBorders>
            <w:shd w:val="clear" w:color="auto" w:fill="auto"/>
          </w:tcPr>
          <w:p>
            <w:pPr>
              <w:rPr>
                <w:rFonts w:ascii="Times New Roman" w:hAnsi="Times New Roman" w:cs="Times New Roman"/>
                <w:noProof/>
                <w:color w:val="FFFFFF" w:themeColor="background1"/>
              </w:rPr>
            </w:pPr>
            <w:r>
              <w:rPr>
                <w:rFonts w:ascii="Times New Roman" w:hAnsi="Times New Roman" w:cs="Times New Roman"/>
                <w:noProof/>
                <w:color w:val="FFFFFF" w:themeColor="background1"/>
                <w:lang w:val="en-US" w:eastAsia="en-US" w:bidi="ar-SA"/>
              </w:rPr>
              <w:drawing>
                <wp:inline distT="0" distB="0" distL="0" distR="0">
                  <wp:extent cx="1908313" cy="1725433"/>
                  <wp:effectExtent l="0" t="0" r="0" b="825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tc>
      </w:tr>
      <w:tr>
        <w:trPr>
          <w:trHeight w:val="168"/>
        </w:trPr>
        <w:tc>
          <w:tcPr>
            <w:tcW w:w="392" w:type="dxa"/>
            <w:tcBorders>
              <w:top w:val="nil"/>
              <w:left w:val="single" w:sz="4" w:space="0" w:color="A6A6A6" w:themeColor="background1" w:themeShade="A6"/>
              <w:bottom w:val="nil"/>
              <w:right w:val="nil"/>
            </w:tcBorders>
            <w:shd w:val="clear" w:color="auto" w:fill="auto"/>
          </w:tcPr>
          <w:p>
            <w:pPr>
              <w:jc w:val="right"/>
              <w:rPr>
                <w:rFonts w:ascii="Times New Roman" w:hAnsi="Times New Roman" w:cs="Times New Roman"/>
                <w:noProof/>
              </w:rPr>
            </w:pPr>
          </w:p>
        </w:tc>
        <w:tc>
          <w:tcPr>
            <w:tcW w:w="992" w:type="dxa"/>
            <w:vMerge/>
            <w:tcBorders>
              <w:top w:val="nil"/>
              <w:left w:val="nil"/>
              <w:bottom w:val="nil"/>
              <w:right w:val="nil"/>
            </w:tcBorders>
            <w:shd w:val="clear" w:color="auto" w:fill="auto"/>
          </w:tcPr>
          <w:p>
            <w:pPr>
              <w:spacing w:before="40"/>
              <w:rPr>
                <w:rFonts w:ascii="Times New Roman" w:hAnsi="Times New Roman" w:cs="Times New Roman"/>
                <w:noProof/>
                <w:sz w:val="20"/>
                <w:szCs w:val="20"/>
              </w:rPr>
            </w:pPr>
          </w:p>
        </w:tc>
        <w:tc>
          <w:tcPr>
            <w:tcW w:w="3313" w:type="dxa"/>
            <w:vMerge/>
            <w:tcBorders>
              <w:top w:val="nil"/>
              <w:left w:val="nil"/>
              <w:bottom w:val="nil"/>
              <w:right w:val="single" w:sz="4" w:space="0" w:color="A6A6A6" w:themeColor="background1" w:themeShade="A6"/>
            </w:tcBorders>
            <w:shd w:val="clear" w:color="auto" w:fill="auto"/>
          </w:tcPr>
          <w:p>
            <w:pPr>
              <w:jc w:val="right"/>
              <w:rPr>
                <w:rFonts w:ascii="Times New Roman" w:hAnsi="Times New Roman" w:cs="Times New Roman"/>
                <w:noProof/>
              </w:rPr>
            </w:pPr>
          </w:p>
        </w:tc>
        <w:tc>
          <w:tcPr>
            <w:tcW w:w="236" w:type="dxa"/>
            <w:vMerge/>
            <w:tcBorders>
              <w:top w:val="nil"/>
              <w:left w:val="single" w:sz="4" w:space="0" w:color="A6A6A6" w:themeColor="background1" w:themeShade="A6"/>
              <w:bottom w:val="nil"/>
              <w:right w:val="single" w:sz="4" w:space="0" w:color="A6A6A6" w:themeColor="background1" w:themeShade="A6"/>
            </w:tcBorders>
            <w:shd w:val="clear" w:color="auto" w:fill="auto"/>
          </w:tcPr>
          <w:p>
            <w:pPr>
              <w:spacing w:line="276" w:lineRule="auto"/>
              <w:rPr>
                <w:rFonts w:ascii="Times New Roman" w:hAnsi="Times New Roman" w:cs="Times New Roman"/>
                <w:noProof/>
              </w:rPr>
            </w:pPr>
          </w:p>
        </w:tc>
        <w:tc>
          <w:tcPr>
            <w:tcW w:w="420" w:type="dxa"/>
            <w:gridSpan w:val="2"/>
            <w:tcBorders>
              <w:top w:val="nil"/>
              <w:left w:val="single" w:sz="4" w:space="0" w:color="A6A6A6" w:themeColor="background1" w:themeShade="A6"/>
              <w:bottom w:val="nil"/>
              <w:right w:val="nil"/>
            </w:tcBorders>
            <w:shd w:val="clear" w:color="auto" w:fill="632423" w:themeFill="accent2" w:themeFillShade="80"/>
            <w:tcMar>
              <w:left w:w="0" w:type="dxa"/>
              <w:right w:w="0" w:type="dxa"/>
            </w:tcMar>
          </w:tcPr>
          <w:p>
            <w:pPr>
              <w:rPr>
                <w:rFonts w:ascii="Times New Roman" w:hAnsi="Times New Roman" w:cs="Times New Roman"/>
                <w:noProof/>
                <w:sz w:val="18"/>
                <w:szCs w:val="18"/>
              </w:rPr>
            </w:pPr>
          </w:p>
        </w:tc>
        <w:tc>
          <w:tcPr>
            <w:tcW w:w="1134" w:type="dxa"/>
            <w:tcBorders>
              <w:top w:val="nil"/>
              <w:left w:val="nil"/>
              <w:bottom w:val="nil"/>
              <w:right w:val="nil"/>
            </w:tcBorders>
            <w:shd w:val="clear" w:color="auto" w:fill="auto"/>
            <w:tcMar>
              <w:left w:w="28" w:type="dxa"/>
              <w:right w:w="0" w:type="dxa"/>
            </w:tcMar>
            <w:vAlign w:val="bottom"/>
          </w:tcPr>
          <w:p>
            <w:pPr>
              <w:rPr>
                <w:rFonts w:ascii="Times New Roman" w:hAnsi="Times New Roman" w:cs="Times New Roman"/>
                <w:noProof/>
                <w:sz w:val="18"/>
                <w:szCs w:val="18"/>
              </w:rPr>
            </w:pPr>
            <w:r>
              <w:rPr>
                <w:rFonts w:ascii="Times New Roman" w:hAnsi="Times New Roman"/>
                <w:noProof/>
                <w:sz w:val="18"/>
              </w:rPr>
              <w:t>Отправени автоматично</w:t>
            </w:r>
          </w:p>
        </w:tc>
        <w:tc>
          <w:tcPr>
            <w:tcW w:w="2947" w:type="dxa"/>
            <w:vMerge/>
            <w:tcBorders>
              <w:left w:val="nil"/>
              <w:right w:val="single" w:sz="4" w:space="0" w:color="A6A6A6" w:themeColor="background1" w:themeShade="A6"/>
            </w:tcBorders>
            <w:shd w:val="clear" w:color="auto" w:fill="auto"/>
          </w:tcPr>
          <w:p>
            <w:pPr>
              <w:rPr>
                <w:rFonts w:ascii="Times New Roman" w:hAnsi="Times New Roman" w:cs="Times New Roman"/>
                <w:noProof/>
              </w:rPr>
            </w:pPr>
          </w:p>
        </w:tc>
      </w:tr>
      <w:tr>
        <w:trPr>
          <w:trHeight w:val="168"/>
        </w:trPr>
        <w:tc>
          <w:tcPr>
            <w:tcW w:w="392" w:type="dxa"/>
            <w:tcBorders>
              <w:top w:val="nil"/>
              <w:left w:val="single" w:sz="4" w:space="0" w:color="A6A6A6" w:themeColor="background1" w:themeShade="A6"/>
              <w:bottom w:val="nil"/>
              <w:right w:val="nil"/>
            </w:tcBorders>
            <w:shd w:val="clear" w:color="auto" w:fill="365F91" w:themeFill="accent1" w:themeFillShade="BF"/>
          </w:tcPr>
          <w:p>
            <w:pPr>
              <w:jc w:val="right"/>
              <w:rPr>
                <w:rFonts w:ascii="Times New Roman" w:hAnsi="Times New Roman" w:cs="Times New Roman"/>
                <w:noProof/>
                <w:sz w:val="32"/>
                <w:szCs w:val="32"/>
              </w:rPr>
            </w:pPr>
          </w:p>
        </w:tc>
        <w:tc>
          <w:tcPr>
            <w:tcW w:w="992" w:type="dxa"/>
            <w:vMerge w:val="restart"/>
            <w:tcBorders>
              <w:top w:val="nil"/>
              <w:left w:val="nil"/>
              <w:bottom w:val="nil"/>
              <w:right w:val="nil"/>
            </w:tcBorders>
            <w:shd w:val="clear" w:color="auto" w:fill="auto"/>
          </w:tcPr>
          <w:p>
            <w:pPr>
              <w:spacing w:before="40"/>
              <w:rPr>
                <w:rFonts w:ascii="Times New Roman" w:hAnsi="Times New Roman" w:cs="Times New Roman"/>
                <w:noProof/>
                <w:sz w:val="18"/>
                <w:szCs w:val="18"/>
              </w:rPr>
            </w:pPr>
            <w:r>
              <w:rPr>
                <w:rFonts w:ascii="Times New Roman" w:hAnsi="Times New Roman"/>
                <w:noProof/>
                <w:sz w:val="18"/>
              </w:rPr>
              <w:t xml:space="preserve">На разположение  </w:t>
            </w:r>
          </w:p>
        </w:tc>
        <w:tc>
          <w:tcPr>
            <w:tcW w:w="3313" w:type="dxa"/>
            <w:vMerge/>
            <w:tcBorders>
              <w:top w:val="nil"/>
              <w:left w:val="nil"/>
              <w:bottom w:val="nil"/>
              <w:right w:val="single" w:sz="4" w:space="0" w:color="A6A6A6" w:themeColor="background1" w:themeShade="A6"/>
            </w:tcBorders>
            <w:shd w:val="clear" w:color="auto" w:fill="auto"/>
          </w:tcPr>
          <w:p>
            <w:pPr>
              <w:jc w:val="right"/>
              <w:rPr>
                <w:rFonts w:ascii="Times New Roman" w:hAnsi="Times New Roman" w:cs="Times New Roman"/>
                <w:noProof/>
              </w:rPr>
            </w:pPr>
          </w:p>
        </w:tc>
        <w:tc>
          <w:tcPr>
            <w:tcW w:w="236" w:type="dxa"/>
            <w:vMerge/>
            <w:tcBorders>
              <w:top w:val="nil"/>
              <w:left w:val="single" w:sz="4" w:space="0" w:color="A6A6A6" w:themeColor="background1" w:themeShade="A6"/>
              <w:bottom w:val="nil"/>
              <w:right w:val="single" w:sz="4" w:space="0" w:color="A6A6A6" w:themeColor="background1" w:themeShade="A6"/>
            </w:tcBorders>
            <w:shd w:val="clear" w:color="auto" w:fill="auto"/>
          </w:tcPr>
          <w:p>
            <w:pPr>
              <w:spacing w:line="276" w:lineRule="auto"/>
              <w:rPr>
                <w:rFonts w:ascii="Times New Roman" w:hAnsi="Times New Roman" w:cs="Times New Roman"/>
                <w:noProof/>
              </w:rPr>
            </w:pPr>
          </w:p>
        </w:tc>
        <w:tc>
          <w:tcPr>
            <w:tcW w:w="420" w:type="dxa"/>
            <w:gridSpan w:val="2"/>
            <w:tcBorders>
              <w:top w:val="nil"/>
              <w:left w:val="single" w:sz="4" w:space="0" w:color="A6A6A6" w:themeColor="background1" w:themeShade="A6"/>
              <w:bottom w:val="nil"/>
              <w:right w:val="nil"/>
            </w:tcBorders>
            <w:shd w:val="clear" w:color="auto" w:fill="auto"/>
            <w:tcMar>
              <w:left w:w="0" w:type="dxa"/>
              <w:right w:w="0" w:type="dxa"/>
            </w:tcMar>
          </w:tcPr>
          <w:p>
            <w:pPr>
              <w:rPr>
                <w:rFonts w:ascii="Times New Roman" w:hAnsi="Times New Roman" w:cs="Times New Roman"/>
                <w:noProof/>
                <w:sz w:val="18"/>
                <w:szCs w:val="18"/>
              </w:rPr>
            </w:pPr>
          </w:p>
        </w:tc>
        <w:tc>
          <w:tcPr>
            <w:tcW w:w="1134" w:type="dxa"/>
            <w:tcBorders>
              <w:top w:val="nil"/>
              <w:left w:val="nil"/>
              <w:bottom w:val="nil"/>
              <w:right w:val="nil"/>
            </w:tcBorders>
            <w:shd w:val="clear" w:color="auto" w:fill="auto"/>
            <w:tcMar>
              <w:left w:w="28" w:type="dxa"/>
              <w:right w:w="0" w:type="dxa"/>
            </w:tcMar>
          </w:tcPr>
          <w:p>
            <w:pPr>
              <w:rPr>
                <w:rFonts w:ascii="Times New Roman" w:hAnsi="Times New Roman" w:cs="Times New Roman"/>
                <w:noProof/>
                <w:sz w:val="18"/>
                <w:szCs w:val="18"/>
              </w:rPr>
            </w:pPr>
          </w:p>
        </w:tc>
        <w:tc>
          <w:tcPr>
            <w:tcW w:w="2947" w:type="dxa"/>
            <w:vMerge/>
            <w:tcBorders>
              <w:left w:val="nil"/>
              <w:right w:val="single" w:sz="4" w:space="0" w:color="A6A6A6" w:themeColor="background1" w:themeShade="A6"/>
            </w:tcBorders>
            <w:shd w:val="clear" w:color="auto" w:fill="auto"/>
          </w:tcPr>
          <w:p>
            <w:pPr>
              <w:rPr>
                <w:rFonts w:ascii="Times New Roman" w:hAnsi="Times New Roman" w:cs="Times New Roman"/>
                <w:noProof/>
              </w:rPr>
            </w:pPr>
          </w:p>
        </w:tc>
      </w:tr>
      <w:tr>
        <w:trPr>
          <w:trHeight w:val="168"/>
        </w:trPr>
        <w:tc>
          <w:tcPr>
            <w:tcW w:w="392" w:type="dxa"/>
            <w:tcBorders>
              <w:top w:val="nil"/>
              <w:left w:val="single" w:sz="4" w:space="0" w:color="A6A6A6" w:themeColor="background1" w:themeShade="A6"/>
              <w:bottom w:val="nil"/>
              <w:right w:val="nil"/>
            </w:tcBorders>
            <w:shd w:val="clear" w:color="auto" w:fill="auto"/>
          </w:tcPr>
          <w:p>
            <w:pPr>
              <w:jc w:val="right"/>
              <w:rPr>
                <w:rFonts w:ascii="Times New Roman" w:hAnsi="Times New Roman" w:cs="Times New Roman"/>
                <w:noProof/>
              </w:rPr>
            </w:pPr>
          </w:p>
        </w:tc>
        <w:tc>
          <w:tcPr>
            <w:tcW w:w="992" w:type="dxa"/>
            <w:vMerge/>
            <w:tcBorders>
              <w:top w:val="nil"/>
              <w:left w:val="nil"/>
              <w:bottom w:val="nil"/>
              <w:right w:val="nil"/>
            </w:tcBorders>
            <w:shd w:val="clear" w:color="auto" w:fill="auto"/>
          </w:tcPr>
          <w:p>
            <w:pPr>
              <w:spacing w:before="40"/>
              <w:rPr>
                <w:rFonts w:ascii="Times New Roman" w:hAnsi="Times New Roman" w:cs="Times New Roman"/>
                <w:noProof/>
                <w:sz w:val="18"/>
                <w:szCs w:val="18"/>
              </w:rPr>
            </w:pPr>
          </w:p>
        </w:tc>
        <w:tc>
          <w:tcPr>
            <w:tcW w:w="3313" w:type="dxa"/>
            <w:vMerge/>
            <w:tcBorders>
              <w:top w:val="nil"/>
              <w:left w:val="nil"/>
              <w:bottom w:val="nil"/>
              <w:right w:val="single" w:sz="4" w:space="0" w:color="A6A6A6" w:themeColor="background1" w:themeShade="A6"/>
            </w:tcBorders>
            <w:shd w:val="clear" w:color="auto" w:fill="auto"/>
          </w:tcPr>
          <w:p>
            <w:pPr>
              <w:jc w:val="right"/>
              <w:rPr>
                <w:rFonts w:ascii="Times New Roman" w:hAnsi="Times New Roman" w:cs="Times New Roman"/>
                <w:noProof/>
              </w:rPr>
            </w:pPr>
          </w:p>
        </w:tc>
        <w:tc>
          <w:tcPr>
            <w:tcW w:w="236" w:type="dxa"/>
            <w:vMerge/>
            <w:tcBorders>
              <w:top w:val="nil"/>
              <w:left w:val="single" w:sz="4" w:space="0" w:color="A6A6A6" w:themeColor="background1" w:themeShade="A6"/>
              <w:bottom w:val="nil"/>
              <w:right w:val="single" w:sz="4" w:space="0" w:color="A6A6A6" w:themeColor="background1" w:themeShade="A6"/>
            </w:tcBorders>
            <w:shd w:val="clear" w:color="auto" w:fill="auto"/>
          </w:tcPr>
          <w:p>
            <w:pPr>
              <w:spacing w:line="276" w:lineRule="auto"/>
              <w:rPr>
                <w:rFonts w:ascii="Times New Roman" w:hAnsi="Times New Roman" w:cs="Times New Roman"/>
                <w:noProof/>
              </w:rPr>
            </w:pPr>
          </w:p>
        </w:tc>
        <w:tc>
          <w:tcPr>
            <w:tcW w:w="420" w:type="dxa"/>
            <w:gridSpan w:val="2"/>
            <w:tcBorders>
              <w:top w:val="nil"/>
              <w:left w:val="single" w:sz="4" w:space="0" w:color="A6A6A6" w:themeColor="background1" w:themeShade="A6"/>
              <w:bottom w:val="nil"/>
              <w:right w:val="nil"/>
            </w:tcBorders>
            <w:shd w:val="clear" w:color="auto" w:fill="943634" w:themeFill="accent2" w:themeFillShade="BF"/>
            <w:tcMar>
              <w:left w:w="0" w:type="dxa"/>
              <w:right w:w="0" w:type="dxa"/>
            </w:tcMar>
          </w:tcPr>
          <w:p>
            <w:pPr>
              <w:rPr>
                <w:rFonts w:ascii="Times New Roman" w:hAnsi="Times New Roman" w:cs="Times New Roman"/>
                <w:noProof/>
                <w:sz w:val="18"/>
                <w:szCs w:val="18"/>
              </w:rPr>
            </w:pPr>
          </w:p>
        </w:tc>
        <w:tc>
          <w:tcPr>
            <w:tcW w:w="1134" w:type="dxa"/>
            <w:tcBorders>
              <w:top w:val="nil"/>
              <w:left w:val="nil"/>
              <w:bottom w:val="nil"/>
              <w:right w:val="nil"/>
            </w:tcBorders>
            <w:shd w:val="clear" w:color="auto" w:fill="auto"/>
            <w:tcMar>
              <w:left w:w="28" w:type="dxa"/>
              <w:right w:w="0" w:type="dxa"/>
            </w:tcMar>
            <w:vAlign w:val="center"/>
          </w:tcPr>
          <w:p>
            <w:pPr>
              <w:rPr>
                <w:rFonts w:ascii="Times New Roman" w:hAnsi="Times New Roman" w:cs="Times New Roman"/>
                <w:noProof/>
                <w:sz w:val="18"/>
                <w:szCs w:val="18"/>
              </w:rPr>
            </w:pPr>
            <w:r>
              <w:rPr>
                <w:rFonts w:ascii="Times New Roman" w:hAnsi="Times New Roman"/>
                <w:noProof/>
                <w:sz w:val="18"/>
              </w:rPr>
              <w:t>Отправени</w:t>
            </w:r>
          </w:p>
          <w:p>
            <w:pPr>
              <w:rPr>
                <w:rFonts w:ascii="Times New Roman" w:hAnsi="Times New Roman" w:cs="Times New Roman"/>
                <w:noProof/>
                <w:sz w:val="18"/>
                <w:szCs w:val="18"/>
              </w:rPr>
            </w:pPr>
            <w:r>
              <w:rPr>
                <w:rFonts w:ascii="Times New Roman" w:hAnsi="Times New Roman"/>
                <w:noProof/>
                <w:sz w:val="18"/>
              </w:rPr>
              <w:t>на принципа „аd hoc“</w:t>
            </w:r>
          </w:p>
        </w:tc>
        <w:tc>
          <w:tcPr>
            <w:tcW w:w="2947" w:type="dxa"/>
            <w:vMerge/>
            <w:tcBorders>
              <w:left w:val="nil"/>
              <w:right w:val="single" w:sz="4" w:space="0" w:color="A6A6A6" w:themeColor="background1" w:themeShade="A6"/>
            </w:tcBorders>
            <w:shd w:val="clear" w:color="auto" w:fill="auto"/>
          </w:tcPr>
          <w:p>
            <w:pPr>
              <w:rPr>
                <w:rFonts w:ascii="Times New Roman" w:hAnsi="Times New Roman" w:cs="Times New Roman"/>
                <w:noProof/>
              </w:rPr>
            </w:pPr>
          </w:p>
        </w:tc>
      </w:tr>
      <w:tr>
        <w:trPr>
          <w:trHeight w:val="168"/>
        </w:trPr>
        <w:tc>
          <w:tcPr>
            <w:tcW w:w="392" w:type="dxa"/>
            <w:tcBorders>
              <w:top w:val="nil"/>
              <w:left w:val="single" w:sz="4" w:space="0" w:color="A6A6A6" w:themeColor="background1" w:themeShade="A6"/>
              <w:bottom w:val="nil"/>
              <w:right w:val="nil"/>
            </w:tcBorders>
            <w:shd w:val="clear" w:color="auto" w:fill="B8CCE4" w:themeFill="accent1" w:themeFillTint="66"/>
          </w:tcPr>
          <w:p>
            <w:pPr>
              <w:jc w:val="right"/>
              <w:rPr>
                <w:rFonts w:ascii="Times New Roman" w:hAnsi="Times New Roman" w:cs="Times New Roman"/>
                <w:noProof/>
                <w:sz w:val="32"/>
                <w:szCs w:val="32"/>
              </w:rPr>
            </w:pPr>
          </w:p>
        </w:tc>
        <w:tc>
          <w:tcPr>
            <w:tcW w:w="992" w:type="dxa"/>
            <w:vMerge w:val="restart"/>
            <w:tcBorders>
              <w:top w:val="nil"/>
              <w:left w:val="nil"/>
              <w:bottom w:val="nil"/>
              <w:right w:val="nil"/>
            </w:tcBorders>
            <w:shd w:val="clear" w:color="auto" w:fill="auto"/>
          </w:tcPr>
          <w:p>
            <w:pPr>
              <w:spacing w:before="40"/>
              <w:rPr>
                <w:rFonts w:ascii="Times New Roman" w:hAnsi="Times New Roman" w:cs="Times New Roman"/>
                <w:noProof/>
                <w:sz w:val="18"/>
                <w:szCs w:val="18"/>
              </w:rPr>
            </w:pPr>
            <w:r>
              <w:rPr>
                <w:rFonts w:ascii="Times New Roman" w:hAnsi="Times New Roman"/>
                <w:noProof/>
                <w:sz w:val="18"/>
              </w:rPr>
              <w:t>Няма такава</w:t>
            </w:r>
          </w:p>
        </w:tc>
        <w:tc>
          <w:tcPr>
            <w:tcW w:w="3313" w:type="dxa"/>
            <w:vMerge/>
            <w:tcBorders>
              <w:top w:val="nil"/>
              <w:left w:val="nil"/>
              <w:bottom w:val="nil"/>
              <w:right w:val="single" w:sz="4" w:space="0" w:color="A6A6A6" w:themeColor="background1" w:themeShade="A6"/>
            </w:tcBorders>
            <w:shd w:val="clear" w:color="auto" w:fill="auto"/>
          </w:tcPr>
          <w:p>
            <w:pPr>
              <w:jc w:val="right"/>
              <w:rPr>
                <w:rFonts w:ascii="Times New Roman" w:hAnsi="Times New Roman" w:cs="Times New Roman"/>
                <w:noProof/>
              </w:rPr>
            </w:pPr>
          </w:p>
        </w:tc>
        <w:tc>
          <w:tcPr>
            <w:tcW w:w="236" w:type="dxa"/>
            <w:vMerge/>
            <w:tcBorders>
              <w:top w:val="nil"/>
              <w:left w:val="single" w:sz="4" w:space="0" w:color="A6A6A6" w:themeColor="background1" w:themeShade="A6"/>
              <w:bottom w:val="nil"/>
              <w:right w:val="single" w:sz="4" w:space="0" w:color="A6A6A6" w:themeColor="background1" w:themeShade="A6"/>
            </w:tcBorders>
            <w:shd w:val="clear" w:color="auto" w:fill="auto"/>
          </w:tcPr>
          <w:p>
            <w:pPr>
              <w:spacing w:line="276" w:lineRule="auto"/>
              <w:rPr>
                <w:rFonts w:ascii="Times New Roman" w:hAnsi="Times New Roman" w:cs="Times New Roman"/>
                <w:noProof/>
              </w:rPr>
            </w:pPr>
          </w:p>
        </w:tc>
        <w:tc>
          <w:tcPr>
            <w:tcW w:w="420" w:type="dxa"/>
            <w:gridSpan w:val="2"/>
            <w:tcBorders>
              <w:top w:val="nil"/>
              <w:left w:val="single" w:sz="4" w:space="0" w:color="A6A6A6" w:themeColor="background1" w:themeShade="A6"/>
              <w:bottom w:val="nil"/>
              <w:right w:val="nil"/>
            </w:tcBorders>
            <w:shd w:val="clear" w:color="auto" w:fill="auto"/>
            <w:tcMar>
              <w:left w:w="0" w:type="dxa"/>
              <w:right w:w="0" w:type="dxa"/>
            </w:tcMar>
          </w:tcPr>
          <w:p>
            <w:pPr>
              <w:rPr>
                <w:rFonts w:ascii="Times New Roman" w:hAnsi="Times New Roman" w:cs="Times New Roman"/>
                <w:noProof/>
                <w:sz w:val="18"/>
                <w:szCs w:val="18"/>
              </w:rPr>
            </w:pPr>
          </w:p>
        </w:tc>
        <w:tc>
          <w:tcPr>
            <w:tcW w:w="1134" w:type="dxa"/>
            <w:tcBorders>
              <w:top w:val="nil"/>
              <w:left w:val="nil"/>
              <w:bottom w:val="nil"/>
              <w:right w:val="nil"/>
            </w:tcBorders>
            <w:shd w:val="clear" w:color="auto" w:fill="auto"/>
            <w:tcMar>
              <w:left w:w="28" w:type="dxa"/>
              <w:right w:w="0" w:type="dxa"/>
            </w:tcMar>
          </w:tcPr>
          <w:p>
            <w:pPr>
              <w:rPr>
                <w:rFonts w:ascii="Times New Roman" w:hAnsi="Times New Roman" w:cs="Times New Roman"/>
                <w:noProof/>
                <w:sz w:val="18"/>
                <w:szCs w:val="18"/>
              </w:rPr>
            </w:pPr>
          </w:p>
        </w:tc>
        <w:tc>
          <w:tcPr>
            <w:tcW w:w="2947" w:type="dxa"/>
            <w:vMerge/>
            <w:tcBorders>
              <w:left w:val="nil"/>
              <w:right w:val="single" w:sz="4" w:space="0" w:color="A6A6A6" w:themeColor="background1" w:themeShade="A6"/>
            </w:tcBorders>
            <w:shd w:val="clear" w:color="auto" w:fill="auto"/>
          </w:tcPr>
          <w:p>
            <w:pPr>
              <w:rPr>
                <w:rFonts w:ascii="Times New Roman" w:hAnsi="Times New Roman" w:cs="Times New Roman"/>
                <w:noProof/>
              </w:rPr>
            </w:pPr>
          </w:p>
        </w:tc>
      </w:tr>
      <w:tr>
        <w:trPr>
          <w:trHeight w:val="168"/>
        </w:trPr>
        <w:tc>
          <w:tcPr>
            <w:tcW w:w="392" w:type="dxa"/>
            <w:tcBorders>
              <w:top w:val="nil"/>
              <w:left w:val="single" w:sz="4" w:space="0" w:color="A6A6A6" w:themeColor="background1" w:themeShade="A6"/>
              <w:bottom w:val="nil"/>
              <w:right w:val="nil"/>
            </w:tcBorders>
            <w:shd w:val="clear" w:color="auto" w:fill="auto"/>
          </w:tcPr>
          <w:p>
            <w:pPr>
              <w:jc w:val="right"/>
              <w:rPr>
                <w:rFonts w:ascii="Times New Roman" w:hAnsi="Times New Roman" w:cs="Times New Roman"/>
                <w:noProof/>
              </w:rPr>
            </w:pPr>
          </w:p>
        </w:tc>
        <w:tc>
          <w:tcPr>
            <w:tcW w:w="992" w:type="dxa"/>
            <w:vMerge/>
            <w:tcBorders>
              <w:top w:val="nil"/>
              <w:left w:val="nil"/>
              <w:bottom w:val="nil"/>
              <w:right w:val="nil"/>
            </w:tcBorders>
            <w:shd w:val="clear" w:color="auto" w:fill="auto"/>
          </w:tcPr>
          <w:p>
            <w:pPr>
              <w:spacing w:before="40"/>
              <w:rPr>
                <w:rFonts w:ascii="Times New Roman" w:hAnsi="Times New Roman" w:cs="Times New Roman"/>
                <w:noProof/>
                <w:sz w:val="20"/>
                <w:szCs w:val="20"/>
              </w:rPr>
            </w:pPr>
          </w:p>
        </w:tc>
        <w:tc>
          <w:tcPr>
            <w:tcW w:w="3313" w:type="dxa"/>
            <w:vMerge/>
            <w:tcBorders>
              <w:top w:val="nil"/>
              <w:left w:val="nil"/>
              <w:bottom w:val="nil"/>
              <w:right w:val="single" w:sz="4" w:space="0" w:color="A6A6A6" w:themeColor="background1" w:themeShade="A6"/>
            </w:tcBorders>
            <w:shd w:val="clear" w:color="auto" w:fill="auto"/>
          </w:tcPr>
          <w:p>
            <w:pPr>
              <w:jc w:val="right"/>
              <w:rPr>
                <w:rFonts w:ascii="Times New Roman" w:hAnsi="Times New Roman" w:cs="Times New Roman"/>
                <w:noProof/>
              </w:rPr>
            </w:pPr>
          </w:p>
        </w:tc>
        <w:tc>
          <w:tcPr>
            <w:tcW w:w="236" w:type="dxa"/>
            <w:vMerge/>
            <w:tcBorders>
              <w:top w:val="nil"/>
              <w:left w:val="single" w:sz="4" w:space="0" w:color="A6A6A6" w:themeColor="background1" w:themeShade="A6"/>
              <w:bottom w:val="nil"/>
              <w:right w:val="single" w:sz="4" w:space="0" w:color="A6A6A6" w:themeColor="background1" w:themeShade="A6"/>
            </w:tcBorders>
            <w:shd w:val="clear" w:color="auto" w:fill="auto"/>
          </w:tcPr>
          <w:p>
            <w:pPr>
              <w:spacing w:line="276" w:lineRule="auto"/>
              <w:rPr>
                <w:rFonts w:ascii="Times New Roman" w:hAnsi="Times New Roman" w:cs="Times New Roman"/>
                <w:noProof/>
              </w:rPr>
            </w:pPr>
          </w:p>
        </w:tc>
        <w:tc>
          <w:tcPr>
            <w:tcW w:w="420" w:type="dxa"/>
            <w:gridSpan w:val="2"/>
            <w:tcBorders>
              <w:top w:val="nil"/>
              <w:left w:val="single" w:sz="4" w:space="0" w:color="A6A6A6" w:themeColor="background1" w:themeShade="A6"/>
              <w:bottom w:val="nil"/>
              <w:right w:val="nil"/>
            </w:tcBorders>
            <w:shd w:val="clear" w:color="auto" w:fill="E5B8B7" w:themeFill="accent2" w:themeFillTint="66"/>
            <w:tcMar>
              <w:left w:w="0" w:type="dxa"/>
              <w:right w:w="0" w:type="dxa"/>
            </w:tcMar>
          </w:tcPr>
          <w:p>
            <w:pPr>
              <w:rPr>
                <w:rFonts w:ascii="Times New Roman" w:hAnsi="Times New Roman" w:cs="Times New Roman"/>
                <w:noProof/>
                <w:sz w:val="18"/>
                <w:szCs w:val="18"/>
              </w:rPr>
            </w:pPr>
          </w:p>
        </w:tc>
        <w:tc>
          <w:tcPr>
            <w:tcW w:w="1134" w:type="dxa"/>
            <w:tcBorders>
              <w:top w:val="nil"/>
              <w:left w:val="nil"/>
              <w:bottom w:val="nil"/>
              <w:right w:val="nil"/>
            </w:tcBorders>
            <w:shd w:val="clear" w:color="auto" w:fill="auto"/>
            <w:tcMar>
              <w:left w:w="28" w:type="dxa"/>
              <w:right w:w="0" w:type="dxa"/>
            </w:tcMar>
            <w:vAlign w:val="bottom"/>
          </w:tcPr>
          <w:p>
            <w:pPr>
              <w:rPr>
                <w:rFonts w:ascii="Times New Roman" w:hAnsi="Times New Roman" w:cs="Times New Roman"/>
                <w:noProof/>
                <w:sz w:val="18"/>
                <w:szCs w:val="18"/>
              </w:rPr>
            </w:pPr>
            <w:r>
              <w:rPr>
                <w:rFonts w:ascii="Times New Roman" w:hAnsi="Times New Roman"/>
                <w:noProof/>
                <w:sz w:val="18"/>
              </w:rPr>
              <w:t>Не са</w:t>
            </w:r>
          </w:p>
          <w:p>
            <w:pPr>
              <w:rPr>
                <w:rFonts w:ascii="Times New Roman" w:hAnsi="Times New Roman" w:cs="Times New Roman"/>
                <w:noProof/>
                <w:sz w:val="18"/>
                <w:szCs w:val="18"/>
              </w:rPr>
            </w:pPr>
            <w:r>
              <w:rPr>
                <w:rFonts w:ascii="Times New Roman" w:hAnsi="Times New Roman"/>
                <w:noProof/>
                <w:sz w:val="18"/>
              </w:rPr>
              <w:t>отправени</w:t>
            </w:r>
          </w:p>
        </w:tc>
        <w:tc>
          <w:tcPr>
            <w:tcW w:w="2947" w:type="dxa"/>
            <w:vMerge/>
            <w:tcBorders>
              <w:left w:val="nil"/>
              <w:right w:val="single" w:sz="4" w:space="0" w:color="A6A6A6" w:themeColor="background1" w:themeShade="A6"/>
            </w:tcBorders>
            <w:shd w:val="clear" w:color="auto" w:fill="auto"/>
          </w:tcPr>
          <w:p>
            <w:pPr>
              <w:rPr>
                <w:rFonts w:ascii="Times New Roman" w:hAnsi="Times New Roman" w:cs="Times New Roman"/>
                <w:noProof/>
              </w:rPr>
            </w:pPr>
          </w:p>
        </w:tc>
      </w:tr>
      <w:tr>
        <w:trPr>
          <w:trHeight w:val="168"/>
        </w:trPr>
        <w:tc>
          <w:tcPr>
            <w:tcW w:w="392" w:type="dxa"/>
            <w:tcBorders>
              <w:top w:val="nil"/>
              <w:left w:val="single" w:sz="4" w:space="0" w:color="A6A6A6" w:themeColor="background1" w:themeShade="A6"/>
              <w:bottom w:val="nil"/>
              <w:right w:val="nil"/>
            </w:tcBorders>
            <w:shd w:val="clear" w:color="auto" w:fill="auto"/>
          </w:tcPr>
          <w:p>
            <w:pPr>
              <w:jc w:val="right"/>
              <w:rPr>
                <w:rFonts w:ascii="Times New Roman" w:hAnsi="Times New Roman" w:cs="Times New Roman"/>
                <w:noProof/>
              </w:rPr>
            </w:pPr>
          </w:p>
        </w:tc>
        <w:tc>
          <w:tcPr>
            <w:tcW w:w="992" w:type="dxa"/>
            <w:vMerge w:val="restart"/>
            <w:tcBorders>
              <w:top w:val="nil"/>
              <w:left w:val="nil"/>
              <w:bottom w:val="nil"/>
              <w:right w:val="nil"/>
            </w:tcBorders>
            <w:shd w:val="clear" w:color="auto" w:fill="auto"/>
          </w:tcPr>
          <w:p>
            <w:pPr>
              <w:spacing w:before="40"/>
              <w:rPr>
                <w:rFonts w:ascii="Times New Roman" w:hAnsi="Times New Roman" w:cs="Times New Roman"/>
                <w:noProof/>
                <w:sz w:val="20"/>
                <w:szCs w:val="20"/>
              </w:rPr>
            </w:pPr>
          </w:p>
        </w:tc>
        <w:tc>
          <w:tcPr>
            <w:tcW w:w="3313" w:type="dxa"/>
            <w:vMerge/>
            <w:tcBorders>
              <w:top w:val="nil"/>
              <w:left w:val="nil"/>
              <w:bottom w:val="nil"/>
              <w:right w:val="single" w:sz="4" w:space="0" w:color="A6A6A6" w:themeColor="background1" w:themeShade="A6"/>
            </w:tcBorders>
            <w:shd w:val="clear" w:color="auto" w:fill="auto"/>
          </w:tcPr>
          <w:p>
            <w:pPr>
              <w:jc w:val="right"/>
              <w:rPr>
                <w:rFonts w:ascii="Times New Roman" w:hAnsi="Times New Roman" w:cs="Times New Roman"/>
                <w:noProof/>
              </w:rPr>
            </w:pPr>
          </w:p>
        </w:tc>
        <w:tc>
          <w:tcPr>
            <w:tcW w:w="236" w:type="dxa"/>
            <w:vMerge/>
            <w:tcBorders>
              <w:top w:val="nil"/>
              <w:left w:val="single" w:sz="4" w:space="0" w:color="A6A6A6" w:themeColor="background1" w:themeShade="A6"/>
              <w:bottom w:val="nil"/>
              <w:right w:val="single" w:sz="4" w:space="0" w:color="A6A6A6" w:themeColor="background1" w:themeShade="A6"/>
            </w:tcBorders>
            <w:shd w:val="clear" w:color="auto" w:fill="auto"/>
          </w:tcPr>
          <w:p>
            <w:pPr>
              <w:spacing w:line="276" w:lineRule="auto"/>
              <w:rPr>
                <w:rFonts w:ascii="Times New Roman" w:hAnsi="Times New Roman" w:cs="Times New Roman"/>
                <w:noProof/>
              </w:rPr>
            </w:pPr>
          </w:p>
        </w:tc>
        <w:tc>
          <w:tcPr>
            <w:tcW w:w="420" w:type="dxa"/>
            <w:gridSpan w:val="2"/>
            <w:vMerge w:val="restart"/>
            <w:tcBorders>
              <w:top w:val="nil"/>
              <w:left w:val="single" w:sz="4" w:space="0" w:color="A6A6A6" w:themeColor="background1" w:themeShade="A6"/>
              <w:right w:val="nil"/>
            </w:tcBorders>
            <w:shd w:val="clear" w:color="auto" w:fill="auto"/>
            <w:tcMar>
              <w:left w:w="0" w:type="dxa"/>
              <w:right w:w="0" w:type="dxa"/>
            </w:tcMar>
          </w:tcPr>
          <w:p>
            <w:pPr>
              <w:rPr>
                <w:rFonts w:ascii="Times New Roman" w:hAnsi="Times New Roman" w:cs="Times New Roman"/>
                <w:noProof/>
                <w:sz w:val="18"/>
                <w:szCs w:val="18"/>
              </w:rPr>
            </w:pPr>
          </w:p>
        </w:tc>
        <w:tc>
          <w:tcPr>
            <w:tcW w:w="1134" w:type="dxa"/>
            <w:vMerge w:val="restart"/>
            <w:tcBorders>
              <w:top w:val="nil"/>
              <w:left w:val="nil"/>
              <w:right w:val="nil"/>
            </w:tcBorders>
            <w:shd w:val="clear" w:color="auto" w:fill="auto"/>
            <w:tcMar>
              <w:left w:w="28" w:type="dxa"/>
              <w:right w:w="0" w:type="dxa"/>
            </w:tcMar>
            <w:vAlign w:val="center"/>
          </w:tcPr>
          <w:p>
            <w:pPr>
              <w:rPr>
                <w:rFonts w:ascii="Times New Roman" w:hAnsi="Times New Roman" w:cs="Times New Roman"/>
                <w:noProof/>
                <w:sz w:val="18"/>
                <w:szCs w:val="18"/>
              </w:rPr>
            </w:pPr>
          </w:p>
        </w:tc>
        <w:tc>
          <w:tcPr>
            <w:tcW w:w="2947" w:type="dxa"/>
            <w:vMerge/>
            <w:tcBorders>
              <w:left w:val="nil"/>
              <w:right w:val="single" w:sz="4" w:space="0" w:color="A6A6A6" w:themeColor="background1" w:themeShade="A6"/>
            </w:tcBorders>
            <w:shd w:val="clear" w:color="auto" w:fill="auto"/>
          </w:tcPr>
          <w:p>
            <w:pPr>
              <w:rPr>
                <w:rFonts w:ascii="Times New Roman" w:hAnsi="Times New Roman" w:cs="Times New Roman"/>
                <w:noProof/>
              </w:rPr>
            </w:pPr>
          </w:p>
        </w:tc>
      </w:tr>
      <w:tr>
        <w:trPr>
          <w:trHeight w:val="108"/>
        </w:trPr>
        <w:tc>
          <w:tcPr>
            <w:tcW w:w="392" w:type="dxa"/>
            <w:tcBorders>
              <w:top w:val="nil"/>
              <w:left w:val="single" w:sz="4" w:space="0" w:color="A6A6A6" w:themeColor="background1" w:themeShade="A6"/>
              <w:bottom w:val="single" w:sz="4" w:space="0" w:color="A6A6A6" w:themeColor="background1" w:themeShade="A6"/>
              <w:right w:val="nil"/>
            </w:tcBorders>
            <w:shd w:val="clear" w:color="auto" w:fill="auto"/>
          </w:tcPr>
          <w:p>
            <w:pPr>
              <w:jc w:val="right"/>
              <w:rPr>
                <w:rFonts w:ascii="Times New Roman" w:hAnsi="Times New Roman" w:cs="Times New Roman"/>
                <w:noProof/>
              </w:rPr>
            </w:pPr>
          </w:p>
        </w:tc>
        <w:tc>
          <w:tcPr>
            <w:tcW w:w="992" w:type="dxa"/>
            <w:vMerge/>
            <w:tcBorders>
              <w:top w:val="nil"/>
              <w:left w:val="nil"/>
              <w:bottom w:val="single" w:sz="4" w:space="0" w:color="A6A6A6" w:themeColor="background1" w:themeShade="A6"/>
              <w:right w:val="nil"/>
            </w:tcBorders>
            <w:shd w:val="clear" w:color="auto" w:fill="auto"/>
          </w:tcPr>
          <w:p>
            <w:pPr>
              <w:rPr>
                <w:rFonts w:ascii="Times New Roman" w:hAnsi="Times New Roman" w:cs="Times New Roman"/>
                <w:noProof/>
              </w:rPr>
            </w:pPr>
          </w:p>
        </w:tc>
        <w:tc>
          <w:tcPr>
            <w:tcW w:w="3313" w:type="dxa"/>
            <w:vMerge/>
            <w:tcBorders>
              <w:top w:val="nil"/>
              <w:left w:val="nil"/>
              <w:bottom w:val="single" w:sz="4" w:space="0" w:color="A6A6A6" w:themeColor="background1" w:themeShade="A6"/>
              <w:right w:val="single" w:sz="4" w:space="0" w:color="A6A6A6" w:themeColor="background1" w:themeShade="A6"/>
            </w:tcBorders>
            <w:shd w:val="clear" w:color="auto" w:fill="auto"/>
          </w:tcPr>
          <w:p>
            <w:pPr>
              <w:jc w:val="right"/>
              <w:rPr>
                <w:rFonts w:ascii="Times New Roman" w:hAnsi="Times New Roman" w:cs="Times New Roman"/>
                <w:noProof/>
              </w:rPr>
            </w:pPr>
          </w:p>
        </w:tc>
        <w:tc>
          <w:tcPr>
            <w:tcW w:w="236" w:type="dxa"/>
            <w:vMerge/>
            <w:tcBorders>
              <w:top w:val="nil"/>
              <w:left w:val="single" w:sz="4" w:space="0" w:color="A6A6A6" w:themeColor="background1" w:themeShade="A6"/>
              <w:bottom w:val="nil"/>
              <w:right w:val="single" w:sz="4" w:space="0" w:color="A6A6A6" w:themeColor="background1" w:themeShade="A6"/>
            </w:tcBorders>
            <w:shd w:val="clear" w:color="auto" w:fill="auto"/>
          </w:tcPr>
          <w:p>
            <w:pPr>
              <w:spacing w:line="276" w:lineRule="auto"/>
              <w:rPr>
                <w:rFonts w:ascii="Times New Roman" w:hAnsi="Times New Roman" w:cs="Times New Roman"/>
                <w:noProof/>
              </w:rPr>
            </w:pPr>
          </w:p>
        </w:tc>
        <w:tc>
          <w:tcPr>
            <w:tcW w:w="420" w:type="dxa"/>
            <w:gridSpan w:val="2"/>
            <w:vMerge/>
            <w:tcBorders>
              <w:left w:val="single" w:sz="4" w:space="0" w:color="A6A6A6" w:themeColor="background1" w:themeShade="A6"/>
              <w:bottom w:val="single" w:sz="4" w:space="0" w:color="A6A6A6" w:themeColor="background1" w:themeShade="A6"/>
              <w:right w:val="nil"/>
            </w:tcBorders>
            <w:shd w:val="clear" w:color="auto" w:fill="auto"/>
            <w:tcMar>
              <w:left w:w="0" w:type="dxa"/>
              <w:right w:w="0" w:type="dxa"/>
            </w:tcMar>
          </w:tcPr>
          <w:p>
            <w:pPr>
              <w:rPr>
                <w:rFonts w:ascii="Times New Roman" w:hAnsi="Times New Roman" w:cs="Times New Roman"/>
                <w:noProof/>
                <w:sz w:val="18"/>
                <w:szCs w:val="18"/>
              </w:rPr>
            </w:pPr>
          </w:p>
        </w:tc>
        <w:tc>
          <w:tcPr>
            <w:tcW w:w="1134" w:type="dxa"/>
            <w:vMerge/>
            <w:tcBorders>
              <w:left w:val="nil"/>
              <w:bottom w:val="single" w:sz="4" w:space="0" w:color="A6A6A6" w:themeColor="background1" w:themeShade="A6"/>
              <w:right w:val="nil"/>
            </w:tcBorders>
            <w:shd w:val="clear" w:color="auto" w:fill="auto"/>
            <w:tcMar>
              <w:left w:w="28" w:type="dxa"/>
              <w:right w:w="0" w:type="dxa"/>
            </w:tcMar>
          </w:tcPr>
          <w:p>
            <w:pPr>
              <w:rPr>
                <w:rFonts w:ascii="Times New Roman" w:hAnsi="Times New Roman" w:cs="Times New Roman"/>
                <w:noProof/>
                <w:sz w:val="18"/>
                <w:szCs w:val="18"/>
              </w:rPr>
            </w:pPr>
          </w:p>
        </w:tc>
        <w:tc>
          <w:tcPr>
            <w:tcW w:w="2947" w:type="dxa"/>
            <w:vMerge/>
            <w:tcBorders>
              <w:left w:val="nil"/>
              <w:bottom w:val="single" w:sz="4" w:space="0" w:color="A6A6A6" w:themeColor="background1" w:themeShade="A6"/>
              <w:right w:val="single" w:sz="4" w:space="0" w:color="A6A6A6" w:themeColor="background1" w:themeShade="A6"/>
            </w:tcBorders>
            <w:shd w:val="clear" w:color="auto" w:fill="auto"/>
          </w:tcPr>
          <w:p>
            <w:pPr>
              <w:rPr>
                <w:rFonts w:ascii="Times New Roman" w:hAnsi="Times New Roman" w:cs="Times New Roman"/>
                <w:noProof/>
              </w:rPr>
            </w:pPr>
          </w:p>
        </w:tc>
      </w:tr>
    </w:tbl>
    <w:p>
      <w:pPr>
        <w:pStyle w:val="NORMAL0"/>
        <w:spacing w:after="240" w:line="276" w:lineRule="auto"/>
        <w:rPr>
          <w:rFonts w:ascii="Times New Roman" w:eastAsiaTheme="minorHAnsi" w:hAnsi="Times New Roman" w:cs="Times New Roman"/>
          <w:i/>
          <w:noProof/>
          <w:sz w:val="18"/>
          <w:szCs w:val="18"/>
        </w:rPr>
      </w:pPr>
      <w:r>
        <w:rPr>
          <w:rFonts w:ascii="Times New Roman" w:eastAsiaTheme="minorHAnsi" w:hAnsi="Times New Roman"/>
          <w:i/>
          <w:noProof/>
          <w:sz w:val="18"/>
        </w:rPr>
        <w:t xml:space="preserve">Източник: Отговори на държави членки на въпросника от 2017 г. </w:t>
      </w:r>
      <w:r>
        <w:rPr>
          <w:noProof/>
        </w:rPr>
        <w:tab/>
      </w:r>
      <w:r>
        <w:rPr>
          <w:rFonts w:ascii="Times New Roman" w:eastAsiaTheme="minorHAnsi" w:hAnsi="Times New Roman"/>
          <w:i/>
          <w:noProof/>
          <w:sz w:val="18"/>
        </w:rPr>
        <w:t xml:space="preserve">             Източник: Отговори на държави членки на въпросника от 2017 г. </w:t>
      </w:r>
    </w:p>
    <w:p>
      <w:pPr>
        <w:spacing w:after="240"/>
        <w:jc w:val="both"/>
        <w:rPr>
          <w:rFonts w:ascii="Times New Roman" w:hAnsi="Times New Roman" w:cs="Times New Roman"/>
          <w:noProof/>
          <w:sz w:val="24"/>
          <w:szCs w:val="24"/>
        </w:rPr>
      </w:pPr>
      <w:r>
        <w:rPr>
          <w:rFonts w:ascii="Times New Roman" w:hAnsi="Times New Roman"/>
          <w:noProof/>
          <w:sz w:val="24"/>
        </w:rPr>
        <w:t xml:space="preserve">В случай на забавено плащане всички държави членки прилагат система за санкции и лихва. </w:t>
      </w:r>
      <w:r>
        <w:rPr>
          <w:rFonts w:ascii="Times New Roman" w:hAnsi="Times New Roman"/>
          <w:b/>
          <w:noProof/>
          <w:sz w:val="24"/>
        </w:rPr>
        <w:t>Понастоящем Комисията е в процес на идентифициране на практиките на държавите членки в областта на налагането на санкции, за да може да извърши анализ на правните ограничения и въздействието на санкциите върху спазването на изискванията</w:t>
      </w:r>
      <w:r>
        <w:rPr>
          <w:rFonts w:ascii="Times New Roman" w:hAnsi="Times New Roman"/>
          <w:b/>
          <w:noProof/>
          <w:sz w:val="24"/>
          <w:vertAlign w:val="superscript"/>
        </w:rPr>
        <w:footnoteReference w:id="19"/>
      </w:r>
      <w:r>
        <w:rPr>
          <w:rFonts w:ascii="Times New Roman" w:hAnsi="Times New Roman"/>
          <w:b/>
          <w:noProof/>
          <w:sz w:val="24"/>
        </w:rPr>
        <w:t>.</w:t>
      </w:r>
    </w:p>
    <w:p>
      <w:pPr>
        <w:pStyle w:val="ManualHeading2"/>
        <w:rPr>
          <w:noProof/>
          <w:szCs w:val="24"/>
        </w:rPr>
      </w:pPr>
      <w:bookmarkStart w:id="33" w:name="_Toc500948771"/>
      <w:r>
        <w:t>3.4.</w:t>
      </w:r>
      <w:r>
        <w:tab/>
      </w:r>
      <w:r>
        <w:rPr>
          <w:noProof/>
        </w:rPr>
        <w:t>Събиране на дължимия ДДС</w:t>
      </w:r>
      <w:bookmarkEnd w:id="33"/>
    </w:p>
    <w:p>
      <w:pPr>
        <w:jc w:val="both"/>
        <w:rPr>
          <w:rFonts w:ascii="Times New Roman" w:hAnsi="Times New Roman" w:cs="Times New Roman"/>
          <w:noProof/>
          <w:sz w:val="24"/>
          <w:szCs w:val="24"/>
        </w:rPr>
      </w:pPr>
      <w:r>
        <w:rPr>
          <w:rFonts w:ascii="Times New Roman" w:hAnsi="Times New Roman"/>
          <w:noProof/>
          <w:sz w:val="24"/>
        </w:rPr>
        <w:t>Събирането на ДДС се основава на самооценка и доброволно плащане. Данъчните администрации имат за цел да постигнат високи равнища на доброволно плащане в срок и малък брой просрочени задължения по данъка. За постигане на тази цел голям процент от справки-декларациите за ДДС трябва да бъдат подавани в срок, така че да се установи размерът на дължимия ДДС, а в случай на просрочено плащане  трябва да се предприемат бързи последващи действия. По принцип тези действия се състоят в налагане на санкции и лихва и изпълнение на план за събиране на вземанията.</w:t>
      </w:r>
    </w:p>
    <w:p>
      <w:pPr>
        <w:jc w:val="both"/>
        <w:rPr>
          <w:rFonts w:ascii="Times New Roman" w:hAnsi="Times New Roman" w:cs="Times New Roman"/>
          <w:noProof/>
          <w:color w:val="000000"/>
          <w:sz w:val="24"/>
          <w:szCs w:val="24"/>
        </w:rPr>
      </w:pPr>
      <w:r>
        <w:rPr>
          <w:rFonts w:ascii="Times New Roman" w:hAnsi="Times New Roman"/>
          <w:noProof/>
          <w:sz w:val="24"/>
        </w:rPr>
        <w:t>С цел да се подобри ефективността всички държави членки са създали специализирани звена за събиране на вземания са обучили специалисти по събиране на вземания в данъчните си администрации, или пък са възложили събирането на вземания на външен полуправителствен орган. В случая с „вътрешни“ дейности по събиране, същите се провеждат основно на национално равнище.</w:t>
      </w:r>
      <w:r>
        <w:rPr>
          <w:rFonts w:ascii="Times New Roman" w:hAnsi="Times New Roman"/>
          <w:noProof/>
          <w:color w:val="000000"/>
          <w:sz w:val="24"/>
        </w:rPr>
        <w:t xml:space="preserve"> </w:t>
      </w:r>
    </w:p>
    <w:p>
      <w:pPr>
        <w:jc w:val="both"/>
        <w:rPr>
          <w:rFonts w:ascii="Times New Roman" w:hAnsi="Times New Roman" w:cs="Times New Roman"/>
          <w:noProof/>
          <w:sz w:val="24"/>
          <w:szCs w:val="24"/>
        </w:rPr>
      </w:pPr>
      <w:r>
        <w:rPr>
          <w:rFonts w:ascii="Times New Roman" w:hAnsi="Times New Roman"/>
          <w:noProof/>
          <w:sz w:val="24"/>
        </w:rPr>
        <w:t xml:space="preserve">Голямото мнозинство от данъчните администрации разполагат с точен преглед на просрочените задължения по ДДС, класифицирани често по години, суми или произход (т.е. по самооценка или в резултат на ревизия). За някои държави членки този преглед е достъпен в реално време. </w:t>
      </w:r>
    </w:p>
    <w:p>
      <w:pPr>
        <w:pStyle w:val="Caption"/>
        <w:rPr>
          <w:i/>
          <w:noProof/>
          <w:sz w:val="24"/>
          <w:szCs w:val="24"/>
        </w:rPr>
      </w:pPr>
      <w:bookmarkStart w:id="34" w:name="_Toc500948799"/>
      <w:r>
        <w:rPr>
          <w:i/>
          <w:noProof/>
          <w:sz w:val="24"/>
          <w:u w:val="single"/>
        </w:rPr>
        <w:t xml:space="preserve">Фигура </w:t>
      </w:r>
      <w:r>
        <w:rPr>
          <w:i/>
          <w:noProof/>
          <w:sz w:val="24"/>
          <w:szCs w:val="24"/>
          <w:u w:val="single"/>
        </w:rPr>
        <w:fldChar w:fldCharType="begin"/>
      </w:r>
      <w:r>
        <w:rPr>
          <w:i/>
          <w:noProof/>
          <w:sz w:val="24"/>
          <w:szCs w:val="24"/>
          <w:u w:val="single"/>
        </w:rPr>
        <w:instrText xml:space="preserve"> SEQ Figure \* ARABIC </w:instrText>
      </w:r>
      <w:r>
        <w:rPr>
          <w:i/>
          <w:noProof/>
          <w:sz w:val="24"/>
          <w:szCs w:val="24"/>
          <w:u w:val="single"/>
        </w:rPr>
        <w:fldChar w:fldCharType="separate"/>
      </w:r>
      <w:r>
        <w:rPr>
          <w:i/>
          <w:noProof/>
          <w:sz w:val="24"/>
          <w:szCs w:val="24"/>
          <w:u w:val="single"/>
        </w:rPr>
        <w:t>9</w:t>
      </w:r>
      <w:r>
        <w:rPr>
          <w:i/>
          <w:noProof/>
          <w:sz w:val="24"/>
          <w:szCs w:val="24"/>
          <w:u w:val="single"/>
        </w:rPr>
        <w:fldChar w:fldCharType="end"/>
      </w:r>
      <w:r>
        <w:rPr>
          <w:i/>
          <w:noProof/>
          <w:sz w:val="24"/>
          <w:u w:val="single"/>
        </w:rPr>
        <w:t>:</w:t>
      </w:r>
      <w:r>
        <w:rPr>
          <w:i/>
          <w:noProof/>
          <w:sz w:val="24"/>
        </w:rPr>
        <w:t xml:space="preserve">  </w:t>
      </w:r>
      <w:r>
        <w:rPr>
          <w:b w:val="0"/>
          <w:i/>
          <w:noProof/>
          <w:sz w:val="24"/>
        </w:rPr>
        <w:t>Събиране на дължимия ДДС — преглед на основните инструменти и практики, използвани в 28-те държави — членки на ЕС (2016 г.)</w:t>
      </w:r>
      <w:bookmarkEnd w:id="34"/>
      <w:r>
        <w:rPr>
          <w:i/>
          <w:noProof/>
          <w:sz w:val="24"/>
        </w:rPr>
        <w:t xml:space="preserve"> </w:t>
      </w:r>
    </w:p>
    <w:tbl>
      <w:tblPr>
        <w:tblW w:w="9546" w:type="dxa"/>
        <w:tblLayout w:type="fixed"/>
        <w:tblLook w:val="04A0" w:firstRow="1" w:lastRow="0" w:firstColumn="1" w:lastColumn="0" w:noHBand="0" w:noVBand="1"/>
      </w:tblPr>
      <w:tblGrid>
        <w:gridCol w:w="76"/>
        <w:gridCol w:w="1992"/>
        <w:gridCol w:w="7478"/>
      </w:tblGrid>
      <w:tr>
        <w:trPr>
          <w:trHeight w:val="1509"/>
        </w:trPr>
        <w:tc>
          <w:tcPr>
            <w:tcW w:w="76" w:type="dxa"/>
            <w:tcMar>
              <w:left w:w="28" w:type="dxa"/>
              <w:right w:w="28" w:type="dxa"/>
            </w:tcMar>
            <w:vAlign w:val="center"/>
          </w:tcPr>
          <w:p>
            <w:pPr>
              <w:ind w:left="849"/>
              <w:contextualSpacing/>
              <w:rPr>
                <w:rFonts w:ascii="Times New Roman" w:hAnsi="Times New Roman" w:cs="Times New Roman"/>
                <w:noProof/>
                <w:color w:val="7F7F7F" w:themeColor="text1" w:themeTint="80"/>
                <w:sz w:val="16"/>
                <w:szCs w:val="16"/>
              </w:rPr>
            </w:pPr>
          </w:p>
        </w:tc>
        <w:tc>
          <w:tcPr>
            <w:tcW w:w="1992" w:type="dxa"/>
            <w:vAlign w:val="center"/>
          </w:tcPr>
          <w:p>
            <w:pPr>
              <w:spacing w:before="180" w:after="60"/>
              <w:ind w:right="-73"/>
              <w:rPr>
                <w:rFonts w:ascii="Times New Roman" w:hAnsi="Times New Roman" w:cs="Times New Roman"/>
                <w:noProof/>
                <w:sz w:val="14"/>
                <w:szCs w:val="14"/>
              </w:rPr>
            </w:pPr>
            <w:r>
              <w:rPr>
                <w:rFonts w:ascii="Times New Roman" w:hAnsi="Times New Roman"/>
                <w:noProof/>
                <w:sz w:val="14"/>
                <w:szCs w:val="14"/>
              </w:rPr>
              <w:t>Нови длъжници: процедура за установяване на ранен контакт</w:t>
            </w:r>
          </w:p>
          <w:p>
            <w:pPr>
              <w:spacing w:before="180" w:after="60"/>
              <w:rPr>
                <w:rFonts w:ascii="Times New Roman" w:hAnsi="Times New Roman" w:cs="Times New Roman"/>
                <w:noProof/>
                <w:sz w:val="14"/>
                <w:szCs w:val="14"/>
              </w:rPr>
            </w:pPr>
            <w:r>
              <w:rPr>
                <w:rFonts w:ascii="Times New Roman" w:hAnsi="Times New Roman"/>
                <w:noProof/>
                <w:sz w:val="14"/>
                <w:szCs w:val="14"/>
              </w:rPr>
              <w:t xml:space="preserve">Процедура за приспадане на данъчен кредит </w:t>
            </w:r>
          </w:p>
          <w:p>
            <w:pPr>
              <w:spacing w:before="240"/>
              <w:rPr>
                <w:rFonts w:ascii="Times New Roman" w:hAnsi="Times New Roman" w:cs="Times New Roman"/>
                <w:noProof/>
                <w:sz w:val="14"/>
                <w:szCs w:val="14"/>
              </w:rPr>
            </w:pPr>
            <w:r>
              <w:rPr>
                <w:rFonts w:ascii="Times New Roman" w:hAnsi="Times New Roman"/>
                <w:noProof/>
                <w:sz w:val="14"/>
                <w:szCs w:val="14"/>
              </w:rPr>
              <w:t>Използване на планове за изплащане на вноски</w:t>
            </w:r>
          </w:p>
          <w:p>
            <w:pPr>
              <w:spacing w:before="180"/>
              <w:rPr>
                <w:rFonts w:ascii="Times New Roman" w:hAnsi="Times New Roman" w:cs="Times New Roman"/>
                <w:noProof/>
                <w:sz w:val="14"/>
                <w:szCs w:val="14"/>
              </w:rPr>
            </w:pPr>
            <w:r>
              <w:rPr>
                <w:rFonts w:ascii="Times New Roman" w:hAnsi="Times New Roman"/>
                <w:noProof/>
                <w:sz w:val="14"/>
                <w:szCs w:val="14"/>
              </w:rPr>
              <w:t>Възможност за отписване на несъбираеми вземания</w:t>
            </w:r>
          </w:p>
          <w:p>
            <w:pPr>
              <w:rPr>
                <w:rFonts w:ascii="Times New Roman" w:hAnsi="Times New Roman" w:cs="Times New Roman"/>
                <w:noProof/>
                <w:sz w:val="14"/>
                <w:szCs w:val="14"/>
              </w:rPr>
            </w:pPr>
            <w:r>
              <w:rPr>
                <w:rFonts w:ascii="Times New Roman" w:hAnsi="Times New Roman"/>
                <w:noProof/>
                <w:sz w:val="14"/>
                <w:szCs w:val="14"/>
              </w:rPr>
              <w:t>Отговорност на ръководството на дружеството за плащане на ДДС</w:t>
            </w:r>
          </w:p>
          <w:p>
            <w:pPr>
              <w:rPr>
                <w:rFonts w:ascii="Times New Roman" w:hAnsi="Times New Roman" w:cs="Times New Roman"/>
                <w:noProof/>
                <w:sz w:val="16"/>
                <w:szCs w:val="16"/>
              </w:rPr>
            </w:pPr>
            <w:r>
              <w:rPr>
                <w:rFonts w:ascii="Times New Roman" w:hAnsi="Times New Roman"/>
                <w:noProof/>
                <w:sz w:val="14"/>
                <w:szCs w:val="14"/>
              </w:rPr>
              <w:t xml:space="preserve">ДДС може да бъде платен от купувача (извън обратното начисляване) </w:t>
            </w:r>
          </w:p>
        </w:tc>
        <w:tc>
          <w:tcPr>
            <w:tcW w:w="7478" w:type="dxa"/>
          </w:tcPr>
          <w:p>
            <w:pPr>
              <w:ind w:left="217"/>
              <w:rPr>
                <w:rFonts w:ascii="Times New Roman" w:hAnsi="Times New Roman" w:cs="Times New Roman"/>
                <w:noProof/>
              </w:rPr>
            </w:pPr>
            <w:r>
              <w:rPr>
                <w:rFonts w:ascii="Times New Roman" w:hAnsi="Times New Roman" w:cs="Times New Roman"/>
                <w:i/>
                <w:noProof/>
                <w:lang w:val="en-US" w:eastAsia="en-US" w:bidi="ar-SA"/>
              </w:rPr>
              <w:drawing>
                <wp:inline distT="0" distB="0" distL="0" distR="0">
                  <wp:extent cx="4708478" cy="2518012"/>
                  <wp:effectExtent l="0" t="0" r="16510" b="15875"/>
                  <wp:docPr id="21"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tc>
      </w:tr>
    </w:tbl>
    <w:p>
      <w:pPr>
        <w:pStyle w:val="NORMAL0"/>
        <w:spacing w:after="240" w:line="276" w:lineRule="auto"/>
        <w:rPr>
          <w:rFonts w:ascii="Times New Roman" w:eastAsiaTheme="minorHAnsi" w:hAnsi="Times New Roman" w:cs="Times New Roman"/>
          <w:i/>
          <w:noProof/>
          <w:sz w:val="18"/>
          <w:szCs w:val="18"/>
        </w:rPr>
      </w:pPr>
      <w:r>
        <w:rPr>
          <w:rFonts w:ascii="Times New Roman" w:eastAsiaTheme="minorHAnsi" w:hAnsi="Times New Roman"/>
          <w:i/>
          <w:noProof/>
          <w:sz w:val="18"/>
        </w:rPr>
        <w:t xml:space="preserve">Източник: Отговори на държави членки на въпросника от 2017 г. </w:t>
      </w:r>
    </w:p>
    <w:p>
      <w:pPr>
        <w:spacing w:after="240"/>
        <w:jc w:val="both"/>
        <w:rPr>
          <w:rFonts w:ascii="Times New Roman" w:hAnsi="Times New Roman" w:cs="Times New Roman"/>
          <w:noProof/>
          <w:sz w:val="24"/>
          <w:szCs w:val="24"/>
        </w:rPr>
      </w:pPr>
      <w:r>
        <w:rPr>
          <w:rFonts w:ascii="Times New Roman" w:hAnsi="Times New Roman"/>
          <w:noProof/>
          <w:color w:val="000000"/>
          <w:sz w:val="24"/>
        </w:rPr>
        <w:t xml:space="preserve">Правните инструменти и подходите за събиране на вземания варират между държавите членки. </w:t>
      </w:r>
      <w:r>
        <w:rPr>
          <w:rFonts w:ascii="Times New Roman" w:hAnsi="Times New Roman"/>
          <w:noProof/>
          <w:sz w:val="24"/>
        </w:rPr>
        <w:t>Общият подход при събирането на дължимия данък е да се вложат ресурси там, където има изгледи за събиране на сумите.  Много държави членки са въвели процедура, която предвижда установяване на ранен контакт с новите длъжници</w:t>
      </w:r>
      <w:r>
        <w:rPr>
          <w:rStyle w:val="FootnoteReference"/>
          <w:rFonts w:ascii="Times New Roman" w:hAnsi="Times New Roman"/>
          <w:noProof/>
          <w:sz w:val="24"/>
        </w:rPr>
        <w:footnoteReference w:id="20"/>
      </w:r>
      <w:r>
        <w:rPr>
          <w:rFonts w:ascii="Times New Roman" w:hAnsi="Times New Roman"/>
          <w:noProof/>
          <w:sz w:val="24"/>
        </w:rPr>
        <w:t xml:space="preserve"> (по телефона или електронната поща), било систематично, или в отделни случаи. Освен това ударението се поставя върху по-новите вземания, за които са установени активи. Практиката всъщност показва, че процентът на успешно събиране на стари вземания е по-малък</w:t>
      </w:r>
      <w:r>
        <w:rPr>
          <w:rStyle w:val="FootnoteReference"/>
          <w:rFonts w:ascii="Times New Roman" w:hAnsi="Times New Roman"/>
          <w:noProof/>
          <w:sz w:val="24"/>
        </w:rPr>
        <w:footnoteReference w:id="21"/>
      </w:r>
      <w:r>
        <w:rPr>
          <w:noProof/>
        </w:rPr>
        <w:t>.</w:t>
      </w:r>
      <w:r>
        <w:rPr>
          <w:rFonts w:ascii="Times New Roman" w:hAnsi="Times New Roman"/>
          <w:noProof/>
          <w:sz w:val="24"/>
        </w:rPr>
        <w:t xml:space="preserve"> Някои данъчни администрации обаче са задължени по закон да събират принудително вземанията си, като събраните суми се приспадат първо от най-старите задължения на длъжниците. </w:t>
      </w:r>
    </w:p>
    <w:p>
      <w:pPr>
        <w:jc w:val="both"/>
        <w:rPr>
          <w:rFonts w:ascii="Times New Roman" w:hAnsi="Times New Roman" w:cs="Times New Roman"/>
          <w:noProof/>
          <w:color w:val="000000"/>
          <w:sz w:val="24"/>
          <w:szCs w:val="24"/>
        </w:rPr>
      </w:pPr>
      <w:r>
        <w:rPr>
          <w:rFonts w:ascii="Times New Roman" w:hAnsi="Times New Roman"/>
          <w:noProof/>
          <w:sz w:val="24"/>
        </w:rPr>
        <w:t>Споразуменията за плащане на вноски и приспадането на данъчен кредит (напр. възстановяване на ДДС) от неуредени задължения по ДДС са честа практика.</w:t>
      </w:r>
      <w:r>
        <w:rPr>
          <w:rFonts w:ascii="Times New Roman" w:hAnsi="Times New Roman"/>
          <w:noProof/>
          <w:color w:val="000000"/>
          <w:sz w:val="24"/>
        </w:rPr>
        <w:t xml:space="preserve"> </w:t>
      </w:r>
      <w:r>
        <w:rPr>
          <w:rFonts w:ascii="Times New Roman" w:hAnsi="Times New Roman"/>
          <w:b/>
          <w:noProof/>
          <w:color w:val="000000"/>
          <w:sz w:val="24"/>
        </w:rPr>
        <w:t>Не толкова обичайно и все още обсъждано е приспадането на дължим чуждестранен ДДС от възстановяване на чуждестранен ДДС.</w:t>
      </w:r>
      <w:r>
        <w:rPr>
          <w:rFonts w:ascii="Times New Roman" w:hAnsi="Times New Roman"/>
          <w:noProof/>
          <w:color w:val="000000"/>
          <w:sz w:val="24"/>
        </w:rPr>
        <w:t xml:space="preserve"> </w:t>
      </w:r>
    </w:p>
    <w:p>
      <w:pPr>
        <w:jc w:val="both"/>
        <w:rPr>
          <w:rFonts w:ascii="Times New Roman" w:hAnsi="Times New Roman" w:cs="Times New Roman"/>
          <w:noProof/>
          <w:sz w:val="24"/>
          <w:szCs w:val="24"/>
        </w:rPr>
      </w:pPr>
      <w:r>
        <w:rPr>
          <w:rFonts w:ascii="Times New Roman" w:hAnsi="Times New Roman"/>
          <w:noProof/>
          <w:sz w:val="24"/>
        </w:rPr>
        <w:t>В случай на несъбираеми данъчни задължения голям брой данъчни администрации могат да прилагат процедури за отписване като част от дейността си по управление на публични данъчни задължения. Въпреки че няколко държави членки имат законова възможност да събират принудително просрочени задължения по ДДС от ръководството на дружеството или от купувач (солидарна отговорност), този инструмент се прилага трудно, тъй като тежестта на доказване лежи върху данъчната администрация.</w:t>
      </w:r>
    </w:p>
    <w:p>
      <w:pPr>
        <w:spacing w:after="240"/>
        <w:jc w:val="both"/>
        <w:rPr>
          <w:rFonts w:ascii="Times New Roman" w:eastAsiaTheme="minorEastAsia" w:hAnsi="Times New Roman" w:cs="Times New Roman"/>
          <w:noProof/>
          <w:sz w:val="24"/>
          <w:szCs w:val="24"/>
        </w:rPr>
      </w:pPr>
      <w:r>
        <w:rPr>
          <w:rFonts w:ascii="Times New Roman" w:eastAsiaTheme="minorEastAsia" w:hAnsi="Times New Roman"/>
          <w:noProof/>
          <w:sz w:val="24"/>
        </w:rPr>
        <w:t>Комисията публикува оценка на Директивата относно взаимната помощ при събиране на вземания. Държавите членки се приканват да вземат под внимание този доклад.</w:t>
      </w:r>
    </w:p>
    <w:p>
      <w:pPr>
        <w:pStyle w:val="Caption"/>
        <w:spacing w:line="276" w:lineRule="auto"/>
        <w:rPr>
          <w:noProof/>
          <w:sz w:val="24"/>
          <w:szCs w:val="24"/>
        </w:rPr>
      </w:pPr>
      <w:bookmarkStart w:id="35" w:name="_Toc500948810"/>
      <w:r>
        <w:rPr>
          <w:noProof/>
          <w:sz w:val="24"/>
        </w:rPr>
        <w:t xml:space="preserve">Препоръка </w:t>
      </w:r>
      <w:r>
        <w:rPr>
          <w:noProof/>
          <w:sz w:val="24"/>
          <w:szCs w:val="24"/>
        </w:rPr>
        <w:fldChar w:fldCharType="begin"/>
      </w:r>
      <w:r>
        <w:rPr>
          <w:noProof/>
          <w:sz w:val="24"/>
          <w:szCs w:val="24"/>
        </w:rPr>
        <w:instrText xml:space="preserve"> SEQ Recommendation \* ARABIC </w:instrText>
      </w:r>
      <w:r>
        <w:rPr>
          <w:noProof/>
          <w:sz w:val="24"/>
          <w:szCs w:val="24"/>
        </w:rPr>
        <w:fldChar w:fldCharType="separate"/>
      </w:r>
      <w:r>
        <w:rPr>
          <w:noProof/>
          <w:sz w:val="24"/>
          <w:szCs w:val="24"/>
        </w:rPr>
        <w:t>8</w:t>
      </w:r>
      <w:r>
        <w:rPr>
          <w:noProof/>
          <w:sz w:val="24"/>
          <w:szCs w:val="24"/>
        </w:rPr>
        <w:fldChar w:fldCharType="end"/>
      </w:r>
      <w:r>
        <w:rPr>
          <w:noProof/>
          <w:sz w:val="24"/>
        </w:rPr>
        <w:t>: Проверки след регистрацията</w:t>
      </w:r>
      <w:bookmarkEnd w:id="35"/>
    </w:p>
    <w:p>
      <w:pPr>
        <w:pBdr>
          <w:top w:val="single" w:sz="4" w:space="1" w:color="auto"/>
          <w:left w:val="single" w:sz="4" w:space="4" w:color="auto"/>
          <w:bottom w:val="single" w:sz="4" w:space="1" w:color="auto"/>
          <w:right w:val="single" w:sz="4" w:space="4" w:color="auto"/>
        </w:pBdr>
        <w:spacing w:after="240"/>
        <w:rPr>
          <w:rFonts w:ascii="Times New Roman" w:hAnsi="Times New Roman" w:cs="Times New Roman"/>
          <w:i/>
          <w:noProof/>
          <w:sz w:val="24"/>
          <w:szCs w:val="24"/>
        </w:rPr>
      </w:pPr>
      <w:r>
        <w:rPr>
          <w:rFonts w:ascii="Times New Roman" w:eastAsiaTheme="minorEastAsia" w:hAnsi="Times New Roman"/>
          <w:i/>
          <w:noProof/>
          <w:sz w:val="24"/>
        </w:rPr>
        <w:t>Тъй като събирането на вземания допринася за справедливост на данъчната система, държавите членки следва да разширят използването на всички налични инструменти за събиране на вземания, включително на механизма за взаимна помощ.</w:t>
      </w:r>
    </w:p>
    <w:p>
      <w:pPr>
        <w:pStyle w:val="ManualHeading2"/>
        <w:rPr>
          <w:noProof/>
          <w:szCs w:val="24"/>
        </w:rPr>
      </w:pPr>
      <w:bookmarkStart w:id="36" w:name="_Toc500948772"/>
      <w:r>
        <w:t>3.5.</w:t>
      </w:r>
      <w:r>
        <w:tab/>
      </w:r>
      <w:r>
        <w:rPr>
          <w:noProof/>
        </w:rPr>
        <w:t>Възстановяване на ДДС</w:t>
      </w:r>
      <w:bookmarkEnd w:id="36"/>
      <w:r>
        <w:rPr>
          <w:noProof/>
        </w:rPr>
        <w:t xml:space="preserve"> </w:t>
      </w:r>
    </w:p>
    <w:p>
      <w:pPr>
        <w:spacing w:after="120"/>
        <w:jc w:val="both"/>
        <w:rPr>
          <w:rFonts w:ascii="Times New Roman" w:hAnsi="Times New Roman" w:cs="Times New Roman"/>
          <w:noProof/>
          <w:sz w:val="24"/>
          <w:szCs w:val="24"/>
        </w:rPr>
      </w:pPr>
      <w:r>
        <w:rPr>
          <w:rFonts w:ascii="Times New Roman" w:hAnsi="Times New Roman"/>
          <w:noProof/>
          <w:sz w:val="24"/>
        </w:rPr>
        <w:t xml:space="preserve">Ограничените ресурси, с които разполага данъчната администрация, и нуждата на предприятията да получават парите в срок изискват от данъчните органи да постигнат точния баланс между бързото изплащане на ДДС на законните стопански субекти и щателния контрол в случай на грешки и измами. </w:t>
      </w:r>
    </w:p>
    <w:p>
      <w:pPr>
        <w:spacing w:after="120"/>
        <w:jc w:val="both"/>
        <w:rPr>
          <w:rFonts w:ascii="Times New Roman" w:hAnsi="Times New Roman" w:cs="Times New Roman"/>
          <w:b/>
          <w:noProof/>
          <w:sz w:val="24"/>
          <w:szCs w:val="24"/>
        </w:rPr>
      </w:pPr>
      <w:r>
        <w:rPr>
          <w:rFonts w:ascii="Times New Roman" w:hAnsi="Times New Roman"/>
          <w:noProof/>
          <w:sz w:val="24"/>
        </w:rPr>
        <w:t xml:space="preserve">Данъчните администрации на почти всички държави членки имат въведени процедури, основаващи се на методи за оценка на риска, които гарантират бързо обработване на значителна част от исканията за възстановяване на ДДС с малък риск, докато рискованите искания се подлагат на стриктен контрол. В повечето държави членки тези процедури са автоматизирани чрез електронни процеси. В малък брой държави членки всички искания за възстановяване на ДДС трябва да бъдат проверени, преди да може да се извърши плащане (систематични предварителни проверки), което може да доведе до забавяне на процедурата за възстановяване. Бюджетните ограничения също могат да повлияят на графика за възстановяване на ДДС. </w:t>
      </w:r>
      <w:r>
        <w:rPr>
          <w:rFonts w:ascii="Times New Roman" w:hAnsi="Times New Roman"/>
          <w:b/>
          <w:noProof/>
          <w:sz w:val="24"/>
        </w:rPr>
        <w:t xml:space="preserve">И двете ситуации (систематични предварителни проверки и забавено възстановяване поради бюджетни ограничения) поставят под финансов натиск законните стопански субекти и създават пречка за презграничната търговия. </w:t>
      </w:r>
    </w:p>
    <w:p>
      <w:pPr>
        <w:pStyle w:val="Caption"/>
        <w:spacing w:line="276" w:lineRule="auto"/>
        <w:rPr>
          <w:noProof/>
          <w:sz w:val="24"/>
        </w:rPr>
      </w:pPr>
      <w:bookmarkStart w:id="37" w:name="_Toc500948811"/>
      <w:r>
        <w:rPr>
          <w:noProof/>
          <w:sz w:val="24"/>
        </w:rPr>
        <w:t xml:space="preserve">Препоръка </w:t>
      </w:r>
      <w:r>
        <w:rPr>
          <w:noProof/>
          <w:sz w:val="24"/>
        </w:rPr>
        <w:fldChar w:fldCharType="begin"/>
      </w:r>
      <w:r>
        <w:rPr>
          <w:noProof/>
          <w:sz w:val="24"/>
        </w:rPr>
        <w:instrText xml:space="preserve"> SEQ Recommendation \* ARABIC </w:instrText>
      </w:r>
      <w:r>
        <w:rPr>
          <w:noProof/>
          <w:sz w:val="24"/>
        </w:rPr>
        <w:fldChar w:fldCharType="separate"/>
      </w:r>
      <w:r>
        <w:rPr>
          <w:noProof/>
          <w:sz w:val="24"/>
        </w:rPr>
        <w:t>9</w:t>
      </w:r>
      <w:r>
        <w:rPr>
          <w:noProof/>
          <w:sz w:val="24"/>
        </w:rPr>
        <w:fldChar w:fldCharType="end"/>
      </w:r>
      <w:r>
        <w:rPr>
          <w:noProof/>
          <w:sz w:val="24"/>
        </w:rPr>
        <w:t>: Забавено възстановяване на ДДС</w:t>
      </w:r>
      <w:bookmarkEnd w:id="37"/>
    </w:p>
    <w:p>
      <w:pPr>
        <w:pStyle w:val="Text1"/>
        <w:pBdr>
          <w:top w:val="single" w:sz="4" w:space="1" w:color="auto"/>
          <w:left w:val="single" w:sz="4" w:space="4" w:color="auto"/>
          <w:bottom w:val="single" w:sz="4" w:space="1" w:color="auto"/>
          <w:right w:val="single" w:sz="4" w:space="4" w:color="auto"/>
        </w:pBdr>
        <w:spacing w:after="240" w:line="276" w:lineRule="auto"/>
        <w:ind w:left="0"/>
        <w:rPr>
          <w:i/>
          <w:noProof/>
        </w:rPr>
      </w:pPr>
      <w:r>
        <w:rPr>
          <w:rFonts w:eastAsiaTheme="minorEastAsia"/>
          <w:i/>
          <w:noProof/>
        </w:rPr>
        <w:t>Комисията инициира проучване на националното и презграничното възстановяване на ДДС. В контекста на това проучване и съвместно с държавите членки тя ще изследва начини за подобряване и ускоряване на този процес.</w:t>
      </w:r>
    </w:p>
    <w:p>
      <w:pPr>
        <w:pStyle w:val="ManualHeading2"/>
        <w:rPr>
          <w:noProof/>
        </w:rPr>
      </w:pPr>
      <w:bookmarkStart w:id="38" w:name="_Toc500948773"/>
      <w:r>
        <w:t>3.6.</w:t>
      </w:r>
      <w:r>
        <w:tab/>
      </w:r>
      <w:r>
        <w:rPr>
          <w:noProof/>
        </w:rPr>
        <w:t>Ревизии и разследване във връзка с ДДС</w:t>
      </w:r>
      <w:bookmarkEnd w:id="38"/>
    </w:p>
    <w:p>
      <w:pPr>
        <w:spacing w:after="240"/>
        <w:jc w:val="both"/>
        <w:rPr>
          <w:rFonts w:ascii="Times New Roman" w:hAnsi="Times New Roman" w:cs="Times New Roman"/>
          <w:noProof/>
          <w:sz w:val="24"/>
          <w:szCs w:val="24"/>
        </w:rPr>
      </w:pPr>
      <w:r>
        <w:rPr>
          <w:rFonts w:ascii="Times New Roman" w:hAnsi="Times New Roman"/>
          <w:noProof/>
          <w:sz w:val="24"/>
        </w:rPr>
        <w:t>Всички данъчни администрации имат отдели за ревизия в своята организация, които в много случаи включват и специализирани звена за борба с измамите. Освен това в допълнение на традиционния начин на извършване на ревизия всички данъчни администрации са прилагали техники за електронна ревизия</w:t>
      </w:r>
      <w:r>
        <w:rPr>
          <w:rStyle w:val="FootnoteReference"/>
          <w:rFonts w:ascii="Times New Roman" w:hAnsi="Times New Roman"/>
          <w:noProof/>
          <w:sz w:val="24"/>
        </w:rPr>
        <w:footnoteReference w:id="22"/>
      </w:r>
      <w:r>
        <w:rPr>
          <w:noProof/>
        </w:rPr>
        <w:t>.</w:t>
      </w:r>
      <w:r>
        <w:rPr>
          <w:rFonts w:ascii="Times New Roman" w:hAnsi="Times New Roman"/>
          <w:noProof/>
          <w:sz w:val="24"/>
        </w:rPr>
        <w:t xml:space="preserve"> </w:t>
      </w:r>
    </w:p>
    <w:p>
      <w:pPr>
        <w:jc w:val="both"/>
        <w:rPr>
          <w:rFonts w:ascii="Times New Roman" w:hAnsi="Times New Roman" w:cs="Times New Roman"/>
          <w:noProof/>
          <w:sz w:val="24"/>
          <w:szCs w:val="24"/>
        </w:rPr>
      </w:pPr>
      <w:r>
        <w:rPr>
          <w:rFonts w:ascii="Times New Roman" w:hAnsi="Times New Roman"/>
          <w:noProof/>
          <w:sz w:val="24"/>
        </w:rPr>
        <w:t>Изготвени са общи стратегии и/или програми за ревизия, като често се добавят и целеви програми за ДДС. Извършват се различни ревизии във връзка с ДДС (всеобхватни ревизии на място, ревизии по определени въпроси, ревизии по документи и пр.) за проверка на точността на данните, заявени в справки-декларациите за ДДС. Ревизията обаче е скъп инструмент, тъй като отнема много време и изисква голям брой човешки ресурси. Освен това приносът на ревизията към общото събиране на ДДС е ограничен.</w:t>
      </w:r>
    </w:p>
    <w:p>
      <w:pPr>
        <w:jc w:val="both"/>
        <w:rPr>
          <w:rFonts w:ascii="Times New Roman" w:hAnsi="Times New Roman" w:cs="Times New Roman"/>
          <w:noProof/>
          <w:sz w:val="24"/>
          <w:szCs w:val="24"/>
        </w:rPr>
      </w:pPr>
      <w:r>
        <w:rPr>
          <w:rFonts w:ascii="Times New Roman" w:hAnsi="Times New Roman"/>
          <w:noProof/>
          <w:sz w:val="24"/>
        </w:rPr>
        <w:t xml:space="preserve">Днес </w:t>
      </w:r>
      <w:r>
        <w:rPr>
          <w:rFonts w:ascii="Times New Roman" w:hAnsi="Times New Roman"/>
          <w:b/>
          <w:noProof/>
          <w:sz w:val="24"/>
        </w:rPr>
        <w:t>много данъчни администрации признават, че вече не се очаква (пълният) ревизионен обхват да е най-ефикасният и най-ефективният начин за възпиране на незаконосъобразните действия</w:t>
      </w:r>
      <w:r>
        <w:rPr>
          <w:rFonts w:ascii="Times New Roman" w:hAnsi="Times New Roman"/>
          <w:noProof/>
          <w:sz w:val="24"/>
        </w:rPr>
        <w:t>.</w:t>
      </w:r>
      <w:r>
        <w:rPr>
          <w:rFonts w:ascii="Times New Roman" w:hAnsi="Times New Roman"/>
          <w:b/>
          <w:noProof/>
          <w:sz w:val="24"/>
        </w:rPr>
        <w:t xml:space="preserve"> </w:t>
      </w:r>
      <w:r>
        <w:rPr>
          <w:rFonts w:ascii="Times New Roman" w:hAnsi="Times New Roman"/>
          <w:noProof/>
          <w:sz w:val="24"/>
        </w:rPr>
        <w:t xml:space="preserve">Вместо това тези администрации разглеждат ревизията като крайна мярка за принудително изпълнение, която да се прилага, когато другите проактивни инициативи, насочени към повишаване на доброволното спазване на изискванията на данъчните закони и задължения, не са или са престанали да бъдат ефективни. Постигането на равновесие между инициативите за повишаване на спазването на изискванията и контрола в областта на ДДС е едно от най-големите предизвикателства пред данъчните администрации. </w:t>
      </w:r>
    </w:p>
    <w:p>
      <w:pPr>
        <w:spacing w:after="0"/>
        <w:rPr>
          <w:rFonts w:ascii="Times New Roman" w:hAnsi="Times New Roman" w:cs="Times New Roman"/>
          <w:i/>
          <w:noProof/>
          <w:sz w:val="24"/>
          <w:szCs w:val="24"/>
        </w:rPr>
      </w:pPr>
      <w:bookmarkStart w:id="39" w:name="_Toc500948800"/>
      <w:r>
        <w:rPr>
          <w:rFonts w:ascii="Times New Roman" w:hAnsi="Times New Roman"/>
          <w:b/>
          <w:i/>
          <w:noProof/>
          <w:sz w:val="24"/>
          <w:u w:val="single"/>
        </w:rPr>
        <w:t xml:space="preserve">Фигура </w:t>
      </w:r>
      <w:r>
        <w:rPr>
          <w:rFonts w:ascii="Times New Roman" w:hAnsi="Times New Roman" w:cs="Times New Roman"/>
          <w:b/>
          <w:i/>
          <w:noProof/>
          <w:sz w:val="24"/>
          <w:szCs w:val="24"/>
          <w:u w:val="single"/>
        </w:rPr>
        <w:fldChar w:fldCharType="begin"/>
      </w:r>
      <w:r>
        <w:rPr>
          <w:rFonts w:ascii="Times New Roman" w:hAnsi="Times New Roman" w:cs="Times New Roman"/>
          <w:b/>
          <w:i/>
          <w:noProof/>
          <w:sz w:val="24"/>
          <w:szCs w:val="24"/>
          <w:u w:val="single"/>
        </w:rPr>
        <w:instrText xml:space="preserve"> SEQ Figure \* ARABIC </w:instrText>
      </w:r>
      <w:r>
        <w:rPr>
          <w:rFonts w:ascii="Times New Roman" w:hAnsi="Times New Roman" w:cs="Times New Roman"/>
          <w:b/>
          <w:i/>
          <w:noProof/>
          <w:sz w:val="24"/>
          <w:szCs w:val="24"/>
          <w:u w:val="single"/>
        </w:rPr>
        <w:fldChar w:fldCharType="separate"/>
      </w:r>
      <w:r>
        <w:rPr>
          <w:rFonts w:ascii="Times New Roman" w:hAnsi="Times New Roman" w:cs="Times New Roman"/>
          <w:b/>
          <w:i/>
          <w:noProof/>
          <w:sz w:val="24"/>
          <w:szCs w:val="24"/>
          <w:u w:val="single"/>
        </w:rPr>
        <w:t>10</w:t>
      </w:r>
      <w:r>
        <w:rPr>
          <w:rFonts w:ascii="Times New Roman" w:hAnsi="Times New Roman" w:cs="Times New Roman"/>
          <w:b/>
          <w:i/>
          <w:noProof/>
          <w:sz w:val="24"/>
          <w:szCs w:val="24"/>
          <w:u w:val="single"/>
        </w:rPr>
        <w:fldChar w:fldCharType="end"/>
      </w:r>
      <w:r>
        <w:rPr>
          <w:rFonts w:ascii="Times New Roman" w:hAnsi="Times New Roman"/>
          <w:i/>
          <w:noProof/>
          <w:sz w:val="24"/>
          <w:u w:val="single"/>
        </w:rPr>
        <w:t>:</w:t>
      </w:r>
      <w:r>
        <w:rPr>
          <w:rFonts w:ascii="Times New Roman" w:hAnsi="Times New Roman"/>
          <w:i/>
          <w:noProof/>
          <w:sz w:val="24"/>
        </w:rPr>
        <w:t xml:space="preserve"> Събиране на ДДС и изчислен ДДС след извършване на ревизия в 22 държави — членки на ЕС</w:t>
      </w:r>
      <w:r>
        <w:rPr>
          <w:rStyle w:val="FootnoteReference"/>
          <w:rFonts w:ascii="Times New Roman" w:hAnsi="Times New Roman"/>
          <w:i/>
          <w:noProof/>
          <w:sz w:val="24"/>
        </w:rPr>
        <w:footnoteReference w:id="23"/>
      </w:r>
      <w:r>
        <w:rPr>
          <w:rFonts w:ascii="Times New Roman" w:hAnsi="Times New Roman"/>
          <w:i/>
          <w:noProof/>
          <w:sz w:val="24"/>
        </w:rPr>
        <w:t xml:space="preserve"> (2013 — 2015 г.)</w:t>
      </w:r>
      <w:bookmarkEnd w:id="39"/>
    </w:p>
    <w:p>
      <w:pPr>
        <w:spacing w:after="60"/>
        <w:rPr>
          <w:rFonts w:ascii="Times New Roman" w:hAnsi="Times New Roman" w:cs="Times New Roman"/>
          <w:noProof/>
        </w:rPr>
      </w:pPr>
      <w:r>
        <w:rPr>
          <w:rFonts w:ascii="Times New Roman" w:hAnsi="Times New Roman" w:cs="Times New Roman"/>
          <w:noProof/>
          <w:lang w:val="en-US" w:eastAsia="en-US" w:bidi="ar-SA"/>
        </w:rPr>
        <w:drawing>
          <wp:inline distT="0" distB="0" distL="0" distR="0">
            <wp:extent cx="5486400" cy="3172691"/>
            <wp:effectExtent l="0" t="0" r="19050" b="2794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pPr>
        <w:pStyle w:val="NORMAL0"/>
        <w:spacing w:before="120" w:after="240" w:line="276" w:lineRule="auto"/>
        <w:rPr>
          <w:rFonts w:ascii="Times New Roman" w:eastAsiaTheme="minorHAnsi" w:hAnsi="Times New Roman" w:cs="Times New Roman"/>
          <w:i/>
          <w:noProof/>
          <w:sz w:val="18"/>
          <w:szCs w:val="18"/>
        </w:rPr>
      </w:pPr>
      <w:r>
        <w:rPr>
          <w:rFonts w:ascii="Times New Roman" w:eastAsiaTheme="minorHAnsi" w:hAnsi="Times New Roman"/>
          <w:i/>
          <w:noProof/>
          <w:sz w:val="18"/>
        </w:rPr>
        <w:t xml:space="preserve">Източник: Отговори на държави членки на въпросника от 2017 г. </w:t>
      </w:r>
    </w:p>
    <w:p>
      <w:pPr>
        <w:jc w:val="both"/>
        <w:rPr>
          <w:rFonts w:ascii="Times New Roman" w:hAnsi="Times New Roman" w:cs="Times New Roman"/>
          <w:noProof/>
          <w:sz w:val="24"/>
          <w:szCs w:val="24"/>
        </w:rPr>
      </w:pPr>
      <w:r>
        <w:rPr>
          <w:rFonts w:ascii="Times New Roman" w:hAnsi="Times New Roman"/>
          <w:noProof/>
          <w:sz w:val="24"/>
        </w:rPr>
        <w:t>Други данъчни администрации основават своя подход за спазване на изискванията (в областта на ДДС) главно на мониторинг и контрол. При този подход стандартна практика е да се използват техники за управление на риска за подобряване на ефективността на ревизиите, и по-специално при подбора на случаите за ревизия. Вземат се мерки в подкрепа на анализа на риска, например чрез въвеждане на декларации за контрол, които дават възможност на данъчните органи за кръстосана проверка на продажбите и покупките на национално равнище. Освен това по-широкото използване на информация от трети страни допринася за по-целенасочен подход към ревизията. Информацията, събрана чрез такъв подход, се оказа важен елемент за откриването на измами.</w:t>
      </w:r>
    </w:p>
    <w:p>
      <w:pPr>
        <w:spacing w:after="240"/>
        <w:jc w:val="both"/>
        <w:rPr>
          <w:rFonts w:ascii="Times New Roman" w:hAnsi="Times New Roman" w:cs="Times New Roman"/>
          <w:bCs/>
          <w:noProof/>
          <w:sz w:val="24"/>
          <w:szCs w:val="24"/>
        </w:rPr>
      </w:pPr>
      <w:r>
        <w:rPr>
          <w:rFonts w:ascii="Times New Roman" w:hAnsi="Times New Roman"/>
          <w:noProof/>
          <w:sz w:val="24"/>
        </w:rPr>
        <w:t xml:space="preserve">Пречка пред преминаване от подход, основан на ревизии, към превантивни мерки е начинът, по който се измерва ефективността на данъчната администрация. Ако ефективността се измерва на базата на статистически данни за ревизия/събиране, преминаването към подход, основан на спазване на изискванията, изисква използването на други показатели за измерване, като неизпълнението на потенциалните приходи от ДДС и оценката от стопанските субекти на справедливостта на отношението към тях от страна на данъчната администрация в конкурентна среда. </w:t>
      </w:r>
    </w:p>
    <w:p>
      <w:pPr>
        <w:pStyle w:val="Caption"/>
        <w:spacing w:line="276" w:lineRule="auto"/>
        <w:rPr>
          <w:noProof/>
          <w:sz w:val="24"/>
        </w:rPr>
      </w:pPr>
      <w:bookmarkStart w:id="40" w:name="_Toc500948812"/>
      <w:r>
        <w:rPr>
          <w:noProof/>
          <w:sz w:val="24"/>
        </w:rPr>
        <w:t xml:space="preserve">Препоръка </w:t>
      </w:r>
      <w:r>
        <w:rPr>
          <w:noProof/>
          <w:sz w:val="24"/>
        </w:rPr>
        <w:fldChar w:fldCharType="begin"/>
      </w:r>
      <w:r>
        <w:rPr>
          <w:noProof/>
          <w:sz w:val="24"/>
        </w:rPr>
        <w:instrText xml:space="preserve"> SEQ Recommendation \* ARABIC </w:instrText>
      </w:r>
      <w:r>
        <w:rPr>
          <w:noProof/>
          <w:sz w:val="24"/>
        </w:rPr>
        <w:fldChar w:fldCharType="separate"/>
      </w:r>
      <w:r>
        <w:rPr>
          <w:noProof/>
          <w:sz w:val="24"/>
        </w:rPr>
        <w:t>10</w:t>
      </w:r>
      <w:r>
        <w:rPr>
          <w:noProof/>
          <w:sz w:val="24"/>
        </w:rPr>
        <w:fldChar w:fldCharType="end"/>
      </w:r>
      <w:r>
        <w:rPr>
          <w:noProof/>
          <w:sz w:val="24"/>
        </w:rPr>
        <w:t>: Стратегия за ревизия и спазване на изискванията</w:t>
      </w:r>
      <w:bookmarkEnd w:id="40"/>
    </w:p>
    <w:p>
      <w:pPr>
        <w:pStyle w:val="Text1"/>
        <w:pBdr>
          <w:top w:val="single" w:sz="4" w:space="1" w:color="auto"/>
          <w:left w:val="single" w:sz="4" w:space="4" w:color="auto"/>
          <w:bottom w:val="single" w:sz="4" w:space="1" w:color="auto"/>
          <w:right w:val="single" w:sz="4" w:space="4" w:color="auto"/>
        </w:pBdr>
        <w:spacing w:after="240" w:line="276" w:lineRule="auto"/>
        <w:ind w:left="0"/>
        <w:rPr>
          <w:i/>
          <w:noProof/>
        </w:rPr>
      </w:pPr>
      <w:r>
        <w:rPr>
          <w:rFonts w:eastAsiaTheme="minorEastAsia"/>
          <w:i/>
          <w:noProof/>
        </w:rPr>
        <w:t>Държавите членки следва да гарантират, че тяхната стратегия за извършване на ревизии е част от една обща стратегия за спазване на изискванията (в областта на ДДС), а не е самостоятелен подход.</w:t>
      </w:r>
    </w:p>
    <w:p>
      <w:pPr>
        <w:spacing w:after="240"/>
        <w:jc w:val="both"/>
        <w:rPr>
          <w:rFonts w:ascii="Times New Roman" w:hAnsi="Times New Roman" w:cs="Times New Roman"/>
          <w:bCs/>
          <w:noProof/>
          <w:sz w:val="24"/>
          <w:szCs w:val="24"/>
        </w:rPr>
      </w:pPr>
      <w:r>
        <w:rPr>
          <w:rFonts w:ascii="Times New Roman" w:hAnsi="Times New Roman"/>
          <w:noProof/>
          <w:sz w:val="24"/>
        </w:rPr>
        <w:t>И накрая, борбата с измамите с ДДС продължава да е един от приоритетите на данъчните администрации и на Комисията</w:t>
      </w:r>
      <w:r>
        <w:rPr>
          <w:rStyle w:val="FootnoteReference"/>
          <w:rFonts w:ascii="Times New Roman" w:hAnsi="Times New Roman"/>
          <w:noProof/>
          <w:sz w:val="24"/>
        </w:rPr>
        <w:footnoteReference w:id="24"/>
      </w:r>
      <w:r>
        <w:rPr>
          <w:noProof/>
        </w:rPr>
        <w:t>.</w:t>
      </w:r>
      <w:r>
        <w:rPr>
          <w:rFonts w:ascii="Times New Roman" w:hAnsi="Times New Roman"/>
          <w:noProof/>
          <w:sz w:val="24"/>
        </w:rPr>
        <w:t xml:space="preserve"> По-специално в случая с борбата с презграничните измами с ДДС трябва да се засили административното сътрудничество между данъчните органи на държавите членки. Ето защо </w:t>
      </w:r>
      <w:r>
        <w:rPr>
          <w:rFonts w:ascii="Times New Roman" w:hAnsi="Times New Roman"/>
          <w:b/>
          <w:noProof/>
          <w:sz w:val="24"/>
        </w:rPr>
        <w:t>Комисията извърши оценка на действащите споразумения за административно сътрудничество и внася предложение за изменение на Регламента относно административното сътрудничество в областта на ДДС</w:t>
      </w:r>
      <w:r>
        <w:rPr>
          <w:rFonts w:ascii="Times New Roman" w:hAnsi="Times New Roman"/>
          <w:noProof/>
          <w:sz w:val="24"/>
        </w:rPr>
        <w:t>.</w:t>
      </w:r>
    </w:p>
    <w:p>
      <w:pPr>
        <w:spacing w:after="240"/>
        <w:jc w:val="both"/>
        <w:rPr>
          <w:rFonts w:ascii="Times New Roman" w:hAnsi="Times New Roman" w:cs="Times New Roman"/>
          <w:bCs/>
          <w:noProof/>
          <w:sz w:val="24"/>
          <w:szCs w:val="24"/>
        </w:rPr>
      </w:pPr>
    </w:p>
    <w:p>
      <w:pPr>
        <w:pStyle w:val="ManualHeading1"/>
        <w:rPr>
          <w:noProof/>
          <w:szCs w:val="24"/>
        </w:rPr>
      </w:pPr>
      <w:bookmarkStart w:id="41" w:name="_Toc500948774"/>
      <w:r>
        <w:t>4.</w:t>
      </w:r>
      <w:r>
        <w:tab/>
      </w:r>
      <w:r>
        <w:rPr>
          <w:noProof/>
        </w:rPr>
        <w:t>Изпълнение на препоръките от Седмия доклад по член 12 и от работния документ на службите на Комисията</w:t>
      </w:r>
      <w:r>
        <w:rPr>
          <w:rStyle w:val="FootnoteReference"/>
          <w:noProof/>
        </w:rPr>
        <w:footnoteReference w:id="25"/>
      </w:r>
      <w:bookmarkEnd w:id="41"/>
    </w:p>
    <w:p>
      <w:pPr>
        <w:spacing w:after="240"/>
        <w:jc w:val="both"/>
        <w:rPr>
          <w:rFonts w:ascii="Times New Roman" w:hAnsi="Times New Roman" w:cs="Times New Roman"/>
          <w:noProof/>
          <w:sz w:val="24"/>
          <w:szCs w:val="24"/>
        </w:rPr>
      </w:pPr>
      <w:r>
        <w:rPr>
          <w:rFonts w:ascii="Times New Roman" w:hAnsi="Times New Roman"/>
          <w:noProof/>
          <w:sz w:val="24"/>
        </w:rPr>
        <w:t>Седмият доклад по член 12 и съпътстващият го работен документ на службите на Комисията включват 32 препоръки, отправени към двадесет и седем държави членки</w:t>
      </w:r>
      <w:r>
        <w:rPr>
          <w:rStyle w:val="FootnoteReference"/>
          <w:rFonts w:ascii="Times New Roman" w:hAnsi="Times New Roman"/>
          <w:noProof/>
          <w:sz w:val="24"/>
        </w:rPr>
        <w:footnoteReference w:id="26"/>
      </w:r>
      <w:r>
        <w:rPr>
          <w:noProof/>
        </w:rPr>
        <w:t>.</w:t>
      </w:r>
      <w:r>
        <w:rPr>
          <w:rFonts w:ascii="Times New Roman" w:hAnsi="Times New Roman"/>
          <w:noProof/>
          <w:sz w:val="24"/>
        </w:rPr>
        <w:t xml:space="preserve"> Препоръките бяха групирани в седем раздела: а) идентификационни номера за целите на ДДС, регистрация и дерегистрация  целите на ДДС; б) митнически режим 42; в) подаване на справки-декларации за ДДС и плащане на данъка; г) събиране на ДДС и събиране на вземания; д) ревизия и разследване във връзка с ДДС; е) разрешаване на данъчни спорове и ж) спазване на изискванията за ДДС. Всяка препоръка беше приложима за най-малко две до двадесет и седем държави членки. </w:t>
      </w:r>
    </w:p>
    <w:p>
      <w:pPr>
        <w:pStyle w:val="Caption"/>
        <w:rPr>
          <w:b w:val="0"/>
          <w:i/>
          <w:noProof/>
          <w:sz w:val="24"/>
          <w:szCs w:val="24"/>
        </w:rPr>
      </w:pPr>
      <w:bookmarkStart w:id="42" w:name="_Toc500948801"/>
      <w:r>
        <w:rPr>
          <w:i/>
          <w:noProof/>
          <w:sz w:val="24"/>
          <w:u w:val="single"/>
        </w:rPr>
        <w:t xml:space="preserve">Фигура </w:t>
      </w:r>
      <w:r>
        <w:rPr>
          <w:i/>
          <w:noProof/>
          <w:sz w:val="24"/>
          <w:szCs w:val="24"/>
          <w:u w:val="single"/>
        </w:rPr>
        <w:fldChar w:fldCharType="begin"/>
      </w:r>
      <w:r>
        <w:rPr>
          <w:i/>
          <w:noProof/>
          <w:sz w:val="24"/>
          <w:szCs w:val="24"/>
          <w:u w:val="single"/>
        </w:rPr>
        <w:instrText xml:space="preserve"> SEQ Figure \* ARABIC </w:instrText>
      </w:r>
      <w:r>
        <w:rPr>
          <w:i/>
          <w:noProof/>
          <w:sz w:val="24"/>
          <w:szCs w:val="24"/>
          <w:u w:val="single"/>
        </w:rPr>
        <w:fldChar w:fldCharType="separate"/>
      </w:r>
      <w:r>
        <w:rPr>
          <w:i/>
          <w:noProof/>
          <w:sz w:val="24"/>
          <w:szCs w:val="24"/>
          <w:u w:val="single"/>
        </w:rPr>
        <w:t>11</w:t>
      </w:r>
      <w:r>
        <w:rPr>
          <w:i/>
          <w:noProof/>
          <w:sz w:val="24"/>
          <w:szCs w:val="24"/>
          <w:u w:val="single"/>
        </w:rPr>
        <w:fldChar w:fldCharType="end"/>
      </w:r>
      <w:r>
        <w:rPr>
          <w:i/>
          <w:noProof/>
          <w:sz w:val="24"/>
          <w:u w:val="single"/>
        </w:rPr>
        <w:t>:</w:t>
      </w:r>
      <w:r>
        <w:rPr>
          <w:i/>
          <w:noProof/>
          <w:sz w:val="24"/>
        </w:rPr>
        <w:t xml:space="preserve"> </w:t>
      </w:r>
      <w:r>
        <w:rPr>
          <w:b w:val="0"/>
          <w:i/>
          <w:noProof/>
          <w:sz w:val="24"/>
        </w:rPr>
        <w:t>Процент на изпълнение на препоръките по раздели за 27 държави членки</w:t>
      </w:r>
      <w:r>
        <w:rPr>
          <w:rStyle w:val="FootnoteReference"/>
          <w:b w:val="0"/>
          <w:i/>
          <w:noProof/>
          <w:sz w:val="24"/>
        </w:rPr>
        <w:footnoteReference w:id="27"/>
      </w:r>
      <w:bookmarkEnd w:id="42"/>
    </w:p>
    <w:p>
      <w:pPr>
        <w:spacing w:after="240"/>
        <w:rPr>
          <w:rFonts w:ascii="Times New Roman" w:hAnsi="Times New Roman" w:cs="Times New Roman"/>
          <w:i/>
          <w:noProof/>
          <w:sz w:val="18"/>
          <w:szCs w:val="18"/>
        </w:rPr>
      </w:pPr>
      <w:r>
        <w:rPr>
          <w:rFonts w:ascii="Times New Roman" w:hAnsi="Times New Roman" w:cs="Times New Roman"/>
          <w:noProof/>
          <w:sz w:val="24"/>
          <w:szCs w:val="24"/>
          <w:lang w:val="en-US" w:eastAsia="en-US" w:bidi="ar-SA"/>
        </w:rPr>
        <w:drawing>
          <wp:inline distT="0" distB="0" distL="0" distR="0">
            <wp:extent cx="5759355" cy="2251880"/>
            <wp:effectExtent l="0" t="0" r="13335" b="15240"/>
            <wp:docPr id="10"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r>
        <w:rPr>
          <w:rFonts w:ascii="Times New Roman" w:hAnsi="Times New Roman"/>
          <w:i/>
          <w:noProof/>
          <w:sz w:val="18"/>
        </w:rPr>
        <w:t xml:space="preserve">Източник: Седми доклад по член 12 (предходни препоръки); отговори на държави членки на въпросника от 2017 г. </w:t>
      </w:r>
    </w:p>
    <w:p>
      <w:pPr>
        <w:spacing w:after="240"/>
        <w:jc w:val="both"/>
        <w:rPr>
          <w:rFonts w:ascii="Times New Roman" w:hAnsi="Times New Roman" w:cs="Times New Roman"/>
          <w:noProof/>
          <w:sz w:val="24"/>
          <w:szCs w:val="24"/>
        </w:rPr>
      </w:pPr>
      <w:r>
        <w:rPr>
          <w:rFonts w:ascii="Times New Roman" w:hAnsi="Times New Roman"/>
          <w:noProof/>
          <w:sz w:val="24"/>
        </w:rPr>
        <w:t>Въз основа на отговорите на държавите членки изглежда, че над две трети от препоръките са били изцяло или частично възприети. Поглед отблизо показва обаче, че при индивидуалните проценти на изпълнение по държави членки и по препоръки има съществени разлики. Някои държави членки не са възприели почти никакви препоръки, докато други са изпълнили повечето предложения. Някои препоръки са били добре посрещнати (например относно регистрация и ревизия във връзка с ДДС), докато други почти не са били изпълнени (например в сферата на разрешаване на спорове).</w:t>
      </w:r>
    </w:p>
    <w:p>
      <w:pPr>
        <w:pStyle w:val="NORMAL0"/>
        <w:spacing w:before="120" w:after="120" w:line="276" w:lineRule="auto"/>
        <w:rPr>
          <w:rFonts w:ascii="Times New Roman" w:eastAsia="Times New Roman" w:hAnsi="Times New Roman" w:cs="Times New Roman"/>
          <w:noProof/>
          <w:sz w:val="24"/>
        </w:rPr>
      </w:pPr>
      <w:r>
        <w:rPr>
          <w:rFonts w:ascii="Times New Roman" w:hAnsi="Times New Roman"/>
          <w:noProof/>
          <w:sz w:val="24"/>
        </w:rPr>
        <w:t xml:space="preserve">По-конкретно </w:t>
      </w:r>
      <w:r>
        <w:rPr>
          <w:rFonts w:ascii="Times New Roman" w:hAnsi="Times New Roman"/>
          <w:b/>
          <w:noProof/>
          <w:sz w:val="24"/>
        </w:rPr>
        <w:t>сериозен проблем остава поддържането на точността и актуалността на системата VІЕS</w:t>
      </w:r>
      <w:r>
        <w:rPr>
          <w:rFonts w:ascii="Times New Roman" w:hAnsi="Times New Roman"/>
          <w:noProof/>
          <w:sz w:val="24"/>
        </w:rPr>
        <w:t xml:space="preserve">. И до днес в определен брой държави членки валидността на данните в системата на VІЕS не се проверява редовно, което създава значителни трудности за стопанските субекти, действащи на вътрешния пазар (вж. също точка 2.2.3). </w:t>
      </w:r>
    </w:p>
    <w:p>
      <w:pPr>
        <w:pStyle w:val="Caption"/>
        <w:rPr>
          <w:b w:val="0"/>
          <w:i/>
          <w:noProof/>
          <w:sz w:val="24"/>
          <w:szCs w:val="24"/>
        </w:rPr>
      </w:pPr>
      <w:bookmarkStart w:id="43" w:name="_Toc500948802"/>
      <w:r>
        <w:rPr>
          <w:i/>
          <w:noProof/>
          <w:sz w:val="24"/>
          <w:u w:val="single"/>
        </w:rPr>
        <w:t xml:space="preserve">Фигура </w:t>
      </w:r>
      <w:r>
        <w:rPr>
          <w:i/>
          <w:noProof/>
          <w:sz w:val="24"/>
          <w:szCs w:val="24"/>
          <w:u w:val="single"/>
        </w:rPr>
        <w:fldChar w:fldCharType="begin"/>
      </w:r>
      <w:r>
        <w:rPr>
          <w:i/>
          <w:noProof/>
          <w:sz w:val="24"/>
          <w:szCs w:val="24"/>
          <w:u w:val="single"/>
        </w:rPr>
        <w:instrText xml:space="preserve"> SEQ Figure \* ARABIC </w:instrText>
      </w:r>
      <w:r>
        <w:rPr>
          <w:i/>
          <w:noProof/>
          <w:sz w:val="24"/>
          <w:szCs w:val="24"/>
          <w:u w:val="single"/>
        </w:rPr>
        <w:fldChar w:fldCharType="separate"/>
      </w:r>
      <w:r>
        <w:rPr>
          <w:i/>
          <w:noProof/>
          <w:sz w:val="24"/>
          <w:szCs w:val="24"/>
          <w:u w:val="single"/>
        </w:rPr>
        <w:t>12</w:t>
      </w:r>
      <w:r>
        <w:rPr>
          <w:i/>
          <w:noProof/>
          <w:sz w:val="24"/>
          <w:szCs w:val="24"/>
          <w:u w:val="single"/>
        </w:rPr>
        <w:fldChar w:fldCharType="end"/>
      </w:r>
      <w:r>
        <w:rPr>
          <w:i/>
          <w:noProof/>
          <w:sz w:val="24"/>
          <w:u w:val="single"/>
        </w:rPr>
        <w:t>:</w:t>
      </w:r>
      <w:r>
        <w:rPr>
          <w:b w:val="0"/>
          <w:noProof/>
          <w:sz w:val="24"/>
        </w:rPr>
        <w:t xml:space="preserve"> </w:t>
      </w:r>
      <w:r>
        <w:rPr>
          <w:b w:val="0"/>
          <w:i/>
          <w:noProof/>
          <w:sz w:val="24"/>
        </w:rPr>
        <w:t>Общ процент на изпълнение</w:t>
      </w:r>
      <w:r>
        <w:rPr>
          <w:rStyle w:val="FootnoteReference"/>
          <w:b w:val="0"/>
          <w:i/>
          <w:noProof/>
          <w:sz w:val="24"/>
        </w:rPr>
        <w:footnoteReference w:id="28"/>
      </w:r>
      <w:r>
        <w:rPr>
          <w:b w:val="0"/>
          <w:i/>
          <w:noProof/>
          <w:sz w:val="24"/>
        </w:rPr>
        <w:t xml:space="preserve"> на предходните препоръки</w:t>
      </w:r>
      <w:bookmarkEnd w:id="43"/>
      <w:r>
        <w:rPr>
          <w:b w:val="0"/>
          <w:i/>
          <w:noProof/>
          <w:sz w:val="24"/>
        </w:rPr>
        <w:t xml:space="preserve"> </w:t>
      </w:r>
    </w:p>
    <w:tbl>
      <w:tblPr>
        <w:tblStyle w:val="TableGrid"/>
        <w:tblW w:w="0" w:type="auto"/>
        <w:tblLayout w:type="fixed"/>
        <w:tblLook w:val="04A0" w:firstRow="1" w:lastRow="0" w:firstColumn="1" w:lastColumn="0" w:noHBand="0" w:noVBand="1"/>
      </w:tblPr>
      <w:tblGrid>
        <w:gridCol w:w="6912"/>
        <w:gridCol w:w="425"/>
        <w:gridCol w:w="1843"/>
      </w:tblGrid>
      <w:tr>
        <w:trPr>
          <w:trHeight w:val="452"/>
        </w:trPr>
        <w:tc>
          <w:tcPr>
            <w:tcW w:w="6912" w:type="dxa"/>
            <w:vMerge w:val="restart"/>
            <w:tcBorders>
              <w:top w:val="nil"/>
              <w:left w:val="nil"/>
              <w:bottom w:val="nil"/>
              <w:right w:val="single" w:sz="4" w:space="0" w:color="BFBFBF" w:themeColor="background1" w:themeShade="BF"/>
            </w:tcBorders>
          </w:tcPr>
          <w:p>
            <w:pPr>
              <w:spacing w:before="60" w:after="60" w:line="276" w:lineRule="auto"/>
              <w:rPr>
                <w:rFonts w:ascii="Times New Roman" w:hAnsi="Times New Roman" w:cs="Times New Roman"/>
                <w:i/>
                <w:noProof/>
                <w:color w:val="FFFFFF" w:themeColor="background1"/>
              </w:rPr>
            </w:pPr>
            <w:r>
              <w:rPr>
                <w:rFonts w:ascii="Times New Roman" w:hAnsi="Times New Roman" w:cs="Times New Roman"/>
                <w:i/>
                <w:noProof/>
                <w:color w:val="FFFFFF" w:themeColor="background1"/>
                <w:lang w:val="en-US" w:eastAsia="en-US" w:bidi="ar-SA"/>
              </w:rPr>
              <w:drawing>
                <wp:inline distT="0" distB="0" distL="0" distR="0">
                  <wp:extent cx="4242816" cy="1404518"/>
                  <wp:effectExtent l="0" t="0" r="5715" b="5715"/>
                  <wp:docPr id="4"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tc>
        <w:tc>
          <w:tcPr>
            <w:tcW w:w="425"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FEA34F"/>
          </w:tcPr>
          <w:p>
            <w:pPr>
              <w:spacing w:line="276" w:lineRule="auto"/>
              <w:rPr>
                <w:rFonts w:ascii="Times New Roman" w:hAnsi="Times New Roman" w:cs="Times New Roman"/>
                <w:i/>
                <w:noProof/>
                <w:sz w:val="16"/>
                <w:szCs w:val="16"/>
              </w:rPr>
            </w:pPr>
          </w:p>
        </w:tc>
        <w:tc>
          <w:tcPr>
            <w:tcW w:w="1843"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vAlign w:val="center"/>
          </w:tcPr>
          <w:p>
            <w:pPr>
              <w:spacing w:line="276" w:lineRule="auto"/>
              <w:rPr>
                <w:rFonts w:ascii="Times New Roman" w:hAnsi="Times New Roman" w:cs="Times New Roman"/>
                <w:i/>
                <w:noProof/>
                <w:sz w:val="18"/>
                <w:szCs w:val="18"/>
              </w:rPr>
            </w:pPr>
            <w:r>
              <w:rPr>
                <w:rFonts w:ascii="Times New Roman" w:hAnsi="Times New Roman"/>
                <w:i/>
                <w:noProof/>
                <w:sz w:val="18"/>
              </w:rPr>
              <w:t>Неизпълнени</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
        </w:trPr>
        <w:tc>
          <w:tcPr>
            <w:tcW w:w="6912" w:type="dxa"/>
            <w:vMerge/>
          </w:tcPr>
          <w:p>
            <w:pPr>
              <w:spacing w:before="60" w:after="60" w:line="276" w:lineRule="auto"/>
              <w:rPr>
                <w:rFonts w:ascii="Times New Roman" w:hAnsi="Times New Roman" w:cs="Times New Roman"/>
                <w:i/>
                <w:noProof/>
              </w:rPr>
            </w:pPr>
          </w:p>
        </w:tc>
        <w:tc>
          <w:tcPr>
            <w:tcW w:w="425" w:type="dxa"/>
            <w:tcBorders>
              <w:top w:val="single" w:sz="4" w:space="0" w:color="BFBFBF" w:themeColor="background1" w:themeShade="BF"/>
              <w:bottom w:val="single" w:sz="4" w:space="0" w:color="BFBFBF" w:themeColor="background1" w:themeShade="BF"/>
            </w:tcBorders>
          </w:tcPr>
          <w:p>
            <w:pPr>
              <w:spacing w:line="276" w:lineRule="auto"/>
              <w:rPr>
                <w:rFonts w:ascii="Times New Roman" w:hAnsi="Times New Roman" w:cs="Times New Roman"/>
                <w:i/>
                <w:noProof/>
                <w:sz w:val="16"/>
                <w:szCs w:val="16"/>
              </w:rPr>
            </w:pPr>
          </w:p>
        </w:tc>
        <w:tc>
          <w:tcPr>
            <w:tcW w:w="1843" w:type="dxa"/>
            <w:tcBorders>
              <w:top w:val="single" w:sz="4" w:space="0" w:color="BFBFBF" w:themeColor="background1" w:themeShade="BF"/>
              <w:bottom w:val="single" w:sz="4" w:space="0" w:color="BFBFBF" w:themeColor="background1" w:themeShade="BF"/>
            </w:tcBorders>
            <w:vAlign w:val="center"/>
          </w:tcPr>
          <w:p>
            <w:pPr>
              <w:spacing w:line="276" w:lineRule="auto"/>
              <w:rPr>
                <w:rFonts w:ascii="Times New Roman" w:hAnsi="Times New Roman" w:cs="Times New Roman"/>
                <w:i/>
                <w:noProof/>
                <w:sz w:val="18"/>
                <w:szCs w:val="18"/>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1"/>
        </w:trPr>
        <w:tc>
          <w:tcPr>
            <w:tcW w:w="6912" w:type="dxa"/>
            <w:vMerge/>
            <w:tcBorders>
              <w:right w:val="single" w:sz="4" w:space="0" w:color="BFBFBF" w:themeColor="background1" w:themeShade="BF"/>
            </w:tcBorders>
          </w:tcPr>
          <w:p>
            <w:pPr>
              <w:spacing w:before="60" w:after="60" w:line="276" w:lineRule="auto"/>
              <w:rPr>
                <w:rFonts w:ascii="Times New Roman" w:hAnsi="Times New Roman" w:cs="Times New Roman"/>
                <w:i/>
                <w:noProof/>
                <w:color w:val="FFFFFF" w:themeColor="background1"/>
              </w:rPr>
            </w:pPr>
          </w:p>
        </w:tc>
        <w:tc>
          <w:tcPr>
            <w:tcW w:w="425" w:type="dxa"/>
            <w:tcBorders>
              <w:top w:val="single" w:sz="4" w:space="0" w:color="BFBFBF" w:themeColor="background1" w:themeShade="BF"/>
              <w:left w:val="single" w:sz="4" w:space="0" w:color="BFBFBF" w:themeColor="background1" w:themeShade="BF"/>
            </w:tcBorders>
            <w:shd w:val="clear" w:color="auto" w:fill="016AA3"/>
          </w:tcPr>
          <w:p>
            <w:pPr>
              <w:spacing w:line="276" w:lineRule="auto"/>
              <w:rPr>
                <w:rFonts w:ascii="Times New Roman" w:hAnsi="Times New Roman" w:cs="Times New Roman"/>
                <w:i/>
                <w:noProof/>
                <w:sz w:val="16"/>
                <w:szCs w:val="16"/>
              </w:rPr>
            </w:pPr>
          </w:p>
        </w:tc>
        <w:tc>
          <w:tcPr>
            <w:tcW w:w="1843" w:type="dxa"/>
            <w:tcBorders>
              <w:top w:val="single" w:sz="4" w:space="0" w:color="BFBFBF" w:themeColor="background1" w:themeShade="BF"/>
              <w:right w:val="single" w:sz="4" w:space="0" w:color="BFBFBF" w:themeColor="background1" w:themeShade="BF"/>
            </w:tcBorders>
            <w:vAlign w:val="center"/>
          </w:tcPr>
          <w:p>
            <w:pPr>
              <w:spacing w:line="276" w:lineRule="auto"/>
              <w:rPr>
                <w:rFonts w:ascii="Times New Roman" w:hAnsi="Times New Roman" w:cs="Times New Roman"/>
                <w:i/>
                <w:noProof/>
                <w:sz w:val="18"/>
                <w:szCs w:val="18"/>
              </w:rPr>
            </w:pPr>
            <w:r>
              <w:rPr>
                <w:rFonts w:ascii="Times New Roman" w:hAnsi="Times New Roman"/>
                <w:i/>
                <w:noProof/>
                <w:sz w:val="18"/>
              </w:rPr>
              <w:t>Изпълнени,</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6"/>
        </w:trPr>
        <w:tc>
          <w:tcPr>
            <w:tcW w:w="6912" w:type="dxa"/>
            <w:vMerge/>
            <w:tcBorders>
              <w:right w:val="single" w:sz="4" w:space="0" w:color="BFBFBF" w:themeColor="background1" w:themeShade="BF"/>
            </w:tcBorders>
          </w:tcPr>
          <w:p>
            <w:pPr>
              <w:spacing w:before="60" w:after="60" w:line="276" w:lineRule="auto"/>
              <w:rPr>
                <w:rFonts w:ascii="Times New Roman" w:hAnsi="Times New Roman" w:cs="Times New Roman"/>
                <w:i/>
                <w:noProof/>
                <w:color w:val="FFFFFF" w:themeColor="background1"/>
              </w:rPr>
            </w:pPr>
          </w:p>
        </w:tc>
        <w:tc>
          <w:tcPr>
            <w:tcW w:w="425" w:type="dxa"/>
            <w:tcBorders>
              <w:left w:val="single" w:sz="4" w:space="0" w:color="BFBFBF" w:themeColor="background1" w:themeShade="BF"/>
            </w:tcBorders>
          </w:tcPr>
          <w:p>
            <w:pPr>
              <w:spacing w:line="276" w:lineRule="auto"/>
              <w:rPr>
                <w:rFonts w:ascii="Times New Roman" w:hAnsi="Times New Roman" w:cs="Times New Roman"/>
                <w:i/>
                <w:noProof/>
                <w:sz w:val="16"/>
                <w:szCs w:val="16"/>
              </w:rPr>
            </w:pPr>
          </w:p>
        </w:tc>
        <w:tc>
          <w:tcPr>
            <w:tcW w:w="1843" w:type="dxa"/>
            <w:tcBorders>
              <w:right w:val="single" w:sz="4" w:space="0" w:color="BFBFBF" w:themeColor="background1" w:themeShade="BF"/>
            </w:tcBorders>
          </w:tcPr>
          <w:p>
            <w:pPr>
              <w:spacing w:line="276" w:lineRule="auto"/>
              <w:rPr>
                <w:rFonts w:ascii="Times New Roman" w:hAnsi="Times New Roman" w:cs="Times New Roman"/>
                <w:i/>
                <w:noProof/>
                <w:color w:val="808080" w:themeColor="background1" w:themeShade="80"/>
                <w:sz w:val="18"/>
                <w:szCs w:val="18"/>
              </w:rPr>
            </w:pPr>
            <w:r>
              <w:rPr>
                <w:rFonts w:ascii="Times New Roman" w:hAnsi="Times New Roman"/>
                <w:i/>
                <w:noProof/>
                <w:color w:val="808080" w:themeColor="background1" w:themeShade="80"/>
                <w:sz w:val="18"/>
              </w:rPr>
              <w:t xml:space="preserve">от които: </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2"/>
        </w:trPr>
        <w:tc>
          <w:tcPr>
            <w:tcW w:w="6912" w:type="dxa"/>
            <w:vMerge/>
            <w:tcBorders>
              <w:right w:val="single" w:sz="4" w:space="0" w:color="BFBFBF" w:themeColor="background1" w:themeShade="BF"/>
            </w:tcBorders>
          </w:tcPr>
          <w:p>
            <w:pPr>
              <w:spacing w:before="60" w:after="60" w:line="276" w:lineRule="auto"/>
              <w:rPr>
                <w:rFonts w:ascii="Times New Roman" w:hAnsi="Times New Roman" w:cs="Times New Roman"/>
                <w:i/>
                <w:noProof/>
                <w:color w:val="FFFFFF" w:themeColor="background1"/>
              </w:rPr>
            </w:pPr>
          </w:p>
        </w:tc>
        <w:tc>
          <w:tcPr>
            <w:tcW w:w="425" w:type="dxa"/>
            <w:tcBorders>
              <w:left w:val="single" w:sz="4" w:space="0" w:color="BFBFBF" w:themeColor="background1" w:themeShade="BF"/>
            </w:tcBorders>
            <w:shd w:val="clear" w:color="auto" w:fill="38906C"/>
          </w:tcPr>
          <w:p>
            <w:pPr>
              <w:rPr>
                <w:rFonts w:ascii="Times New Roman" w:hAnsi="Times New Roman" w:cs="Times New Roman"/>
                <w:i/>
                <w:noProof/>
                <w:sz w:val="16"/>
                <w:szCs w:val="16"/>
              </w:rPr>
            </w:pPr>
          </w:p>
        </w:tc>
        <w:tc>
          <w:tcPr>
            <w:tcW w:w="1843" w:type="dxa"/>
            <w:tcBorders>
              <w:right w:val="single" w:sz="4" w:space="0" w:color="BFBFBF" w:themeColor="background1" w:themeShade="BF"/>
            </w:tcBorders>
            <w:vAlign w:val="center"/>
          </w:tcPr>
          <w:p>
            <w:pPr>
              <w:rPr>
                <w:rFonts w:ascii="Times New Roman" w:hAnsi="Times New Roman" w:cs="Times New Roman"/>
                <w:i/>
                <w:noProof/>
                <w:sz w:val="18"/>
                <w:szCs w:val="18"/>
              </w:rPr>
            </w:pPr>
            <w:r>
              <w:rPr>
                <w:rFonts w:ascii="Times New Roman" w:hAnsi="Times New Roman"/>
                <w:i/>
                <w:noProof/>
                <w:sz w:val="18"/>
              </w:rPr>
              <w:t>Изцяло изпълнени</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6"/>
        </w:trPr>
        <w:tc>
          <w:tcPr>
            <w:tcW w:w="6912" w:type="dxa"/>
            <w:vMerge/>
            <w:tcBorders>
              <w:right w:val="single" w:sz="4" w:space="0" w:color="BFBFBF" w:themeColor="background1" w:themeShade="BF"/>
            </w:tcBorders>
          </w:tcPr>
          <w:p>
            <w:pPr>
              <w:spacing w:before="60" w:after="60" w:line="276" w:lineRule="auto"/>
              <w:rPr>
                <w:rFonts w:ascii="Times New Roman" w:hAnsi="Times New Roman" w:cs="Times New Roman"/>
                <w:i/>
                <w:noProof/>
                <w:color w:val="FFFFFF" w:themeColor="background1"/>
              </w:rPr>
            </w:pPr>
          </w:p>
        </w:tc>
        <w:tc>
          <w:tcPr>
            <w:tcW w:w="425" w:type="dxa"/>
            <w:tcBorders>
              <w:left w:val="single" w:sz="4" w:space="0" w:color="BFBFBF" w:themeColor="background1" w:themeShade="BF"/>
            </w:tcBorders>
            <w:shd w:val="clear" w:color="auto" w:fill="FFFFFF" w:themeFill="background1"/>
          </w:tcPr>
          <w:p>
            <w:pPr>
              <w:spacing w:line="276" w:lineRule="auto"/>
              <w:rPr>
                <w:rFonts w:ascii="Times New Roman" w:hAnsi="Times New Roman" w:cs="Times New Roman"/>
                <w:i/>
                <w:noProof/>
                <w:sz w:val="16"/>
                <w:szCs w:val="16"/>
              </w:rPr>
            </w:pPr>
          </w:p>
        </w:tc>
        <w:tc>
          <w:tcPr>
            <w:tcW w:w="1843" w:type="dxa"/>
            <w:tcBorders>
              <w:right w:val="single" w:sz="4" w:space="0" w:color="BFBFBF" w:themeColor="background1" w:themeShade="BF"/>
            </w:tcBorders>
            <w:vAlign w:val="center"/>
          </w:tcPr>
          <w:p>
            <w:pPr>
              <w:spacing w:line="276" w:lineRule="auto"/>
              <w:rPr>
                <w:rFonts w:ascii="Times New Roman" w:hAnsi="Times New Roman" w:cs="Times New Roman"/>
                <w:i/>
                <w:noProof/>
                <w:sz w:val="18"/>
                <w:szCs w:val="18"/>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2"/>
        </w:trPr>
        <w:tc>
          <w:tcPr>
            <w:tcW w:w="6912" w:type="dxa"/>
            <w:vMerge/>
            <w:tcBorders>
              <w:right w:val="single" w:sz="4" w:space="0" w:color="BFBFBF" w:themeColor="background1" w:themeShade="BF"/>
            </w:tcBorders>
          </w:tcPr>
          <w:p>
            <w:pPr>
              <w:spacing w:before="60" w:after="60" w:line="276" w:lineRule="auto"/>
              <w:rPr>
                <w:rFonts w:ascii="Times New Roman" w:hAnsi="Times New Roman" w:cs="Times New Roman"/>
                <w:i/>
                <w:noProof/>
                <w:color w:val="FFFFFF" w:themeColor="background1"/>
              </w:rPr>
            </w:pPr>
          </w:p>
        </w:tc>
        <w:tc>
          <w:tcPr>
            <w:tcW w:w="425" w:type="dxa"/>
            <w:tcBorders>
              <w:left w:val="single" w:sz="4" w:space="0" w:color="BFBFBF" w:themeColor="background1" w:themeShade="BF"/>
              <w:bottom w:val="single" w:sz="4" w:space="0" w:color="BFBFBF" w:themeColor="background1" w:themeShade="BF"/>
            </w:tcBorders>
            <w:shd w:val="clear" w:color="auto" w:fill="7ACCAB"/>
          </w:tcPr>
          <w:p>
            <w:pPr>
              <w:spacing w:line="276" w:lineRule="auto"/>
              <w:rPr>
                <w:rFonts w:ascii="Times New Roman" w:hAnsi="Times New Roman" w:cs="Times New Roman"/>
                <w:i/>
                <w:noProof/>
                <w:sz w:val="16"/>
                <w:szCs w:val="16"/>
              </w:rPr>
            </w:pPr>
          </w:p>
        </w:tc>
        <w:tc>
          <w:tcPr>
            <w:tcW w:w="1843" w:type="dxa"/>
            <w:tcBorders>
              <w:bottom w:val="single" w:sz="4" w:space="0" w:color="BFBFBF" w:themeColor="background1" w:themeShade="BF"/>
              <w:right w:val="single" w:sz="4" w:space="0" w:color="BFBFBF" w:themeColor="background1" w:themeShade="BF"/>
            </w:tcBorders>
            <w:vAlign w:val="center"/>
          </w:tcPr>
          <w:p>
            <w:pPr>
              <w:spacing w:line="276" w:lineRule="auto"/>
              <w:rPr>
                <w:rFonts w:ascii="Times New Roman" w:hAnsi="Times New Roman" w:cs="Times New Roman"/>
                <w:i/>
                <w:noProof/>
                <w:sz w:val="18"/>
                <w:szCs w:val="18"/>
              </w:rPr>
            </w:pPr>
            <w:r>
              <w:rPr>
                <w:rFonts w:ascii="Times New Roman" w:hAnsi="Times New Roman"/>
                <w:i/>
                <w:noProof/>
                <w:sz w:val="18"/>
              </w:rPr>
              <w:t>Частично изпълнени</w:t>
            </w:r>
          </w:p>
        </w:tc>
      </w:tr>
    </w:tbl>
    <w:p>
      <w:pPr>
        <w:pStyle w:val="NORMAL0"/>
        <w:spacing w:before="120" w:after="240" w:line="276" w:lineRule="auto"/>
        <w:rPr>
          <w:rFonts w:ascii="Times New Roman" w:eastAsiaTheme="minorHAnsi" w:hAnsi="Times New Roman" w:cs="Times New Roman"/>
          <w:i/>
          <w:noProof/>
          <w:sz w:val="18"/>
          <w:szCs w:val="18"/>
        </w:rPr>
      </w:pPr>
      <w:r>
        <w:rPr>
          <w:rFonts w:ascii="Times New Roman" w:eastAsiaTheme="minorHAnsi" w:hAnsi="Times New Roman"/>
          <w:i/>
          <w:noProof/>
          <w:sz w:val="18"/>
        </w:rPr>
        <w:t>Източник: 7-ми доклад по член 12 (предходни препоръки) Отговори на държави членки на въпросника от 2017 г.</w:t>
      </w:r>
    </w:p>
    <w:p>
      <w:pPr>
        <w:pStyle w:val="NORMAL0"/>
        <w:spacing w:before="120" w:after="120" w:line="276" w:lineRule="auto"/>
        <w:rPr>
          <w:rFonts w:ascii="Times New Roman" w:eastAsia="Times New Roman" w:hAnsi="Times New Roman" w:cs="Times New Roman"/>
          <w:noProof/>
          <w:sz w:val="24"/>
        </w:rPr>
      </w:pPr>
      <w:r>
        <w:rPr>
          <w:rFonts w:ascii="Times New Roman" w:hAnsi="Times New Roman"/>
          <w:noProof/>
          <w:sz w:val="24"/>
        </w:rPr>
        <w:t>Освен това, както се изтъква и от Европейската сметна палата</w:t>
      </w:r>
      <w:r>
        <w:rPr>
          <w:rStyle w:val="FootnoteReference"/>
          <w:rFonts w:ascii="Times New Roman" w:hAnsi="Times New Roman"/>
          <w:noProof/>
          <w:sz w:val="24"/>
        </w:rPr>
        <w:footnoteReference w:id="29"/>
      </w:r>
      <w:r>
        <w:rPr>
          <w:rFonts w:ascii="Times New Roman" w:hAnsi="Times New Roman"/>
          <w:noProof/>
          <w:sz w:val="24"/>
        </w:rPr>
        <w:t xml:space="preserve">, </w:t>
      </w:r>
      <w:r>
        <w:rPr>
          <w:rFonts w:ascii="Times New Roman" w:hAnsi="Times New Roman"/>
          <w:b/>
          <w:noProof/>
          <w:sz w:val="24"/>
        </w:rPr>
        <w:t>прилагането на митнически режим 42</w:t>
      </w:r>
      <w:r>
        <w:rPr>
          <w:rStyle w:val="FootnoteReference"/>
          <w:rFonts w:ascii="Times New Roman" w:hAnsi="Times New Roman"/>
          <w:b/>
          <w:noProof/>
          <w:sz w:val="24"/>
        </w:rPr>
        <w:footnoteReference w:id="30"/>
      </w:r>
      <w:r>
        <w:rPr>
          <w:rFonts w:ascii="Times New Roman" w:hAnsi="Times New Roman"/>
          <w:b/>
          <w:noProof/>
          <w:sz w:val="24"/>
        </w:rPr>
        <w:t xml:space="preserve"> остава проблематично</w:t>
      </w:r>
      <w:r>
        <w:rPr>
          <w:rFonts w:ascii="Times New Roman" w:hAnsi="Times New Roman"/>
          <w:noProof/>
          <w:sz w:val="24"/>
        </w:rPr>
        <w:t>.</w:t>
      </w:r>
      <w:r>
        <w:rPr>
          <w:rFonts w:ascii="Times New Roman" w:hAnsi="Times New Roman"/>
          <w:b/>
          <w:noProof/>
          <w:sz w:val="24"/>
        </w:rPr>
        <w:t xml:space="preserve"> </w:t>
      </w:r>
      <w:r>
        <w:rPr>
          <w:rFonts w:ascii="Times New Roman" w:hAnsi="Times New Roman"/>
          <w:noProof/>
          <w:sz w:val="24"/>
        </w:rPr>
        <w:t>Митниците все още не извършват системна проверка на ДДС номерата във VІЕS ; няма предаване на данни до националните митнически органи, нито включване на критерии за риск и пр.</w:t>
      </w:r>
    </w:p>
    <w:p>
      <w:pPr>
        <w:pStyle w:val="NORMAL0"/>
        <w:spacing w:before="120" w:after="120" w:line="276" w:lineRule="auto"/>
        <w:rPr>
          <w:rFonts w:ascii="Times New Roman" w:eastAsia="Times New Roman" w:hAnsi="Times New Roman" w:cs="Times New Roman"/>
          <w:noProof/>
          <w:sz w:val="24"/>
        </w:rPr>
      </w:pPr>
      <w:r>
        <w:rPr>
          <w:rFonts w:ascii="Times New Roman" w:hAnsi="Times New Roman"/>
          <w:b/>
          <w:noProof/>
          <w:sz w:val="24"/>
        </w:rPr>
        <w:t>Слабостите, свързани с функционирането на VІЕS и митнически режим 42, имат сериозни последствия и засягат функционирането на вътрешния пазар.</w:t>
      </w:r>
      <w:r>
        <w:rPr>
          <w:rFonts w:ascii="Times New Roman" w:hAnsi="Times New Roman"/>
          <w:noProof/>
          <w:sz w:val="24"/>
        </w:rPr>
        <w:t xml:space="preserve"> Всъщност измамниците се възползват от тези слабости, като остават в системата на ДДС и по този начин причиняват загуби на ДДС за бюджетите на държавите членки, оказвайки отрицателно въздействие върху собствените ресурси от ДДС. </w:t>
      </w:r>
    </w:p>
    <w:p>
      <w:pPr>
        <w:spacing w:after="240"/>
        <w:jc w:val="both"/>
        <w:rPr>
          <w:rFonts w:ascii="Times New Roman" w:eastAsiaTheme="minorEastAsia" w:hAnsi="Times New Roman" w:cs="Times New Roman"/>
          <w:noProof/>
          <w:sz w:val="24"/>
          <w:szCs w:val="24"/>
        </w:rPr>
      </w:pPr>
      <w:r>
        <w:rPr>
          <w:rFonts w:ascii="Times New Roman" w:hAnsi="Times New Roman"/>
          <w:noProof/>
          <w:sz w:val="24"/>
        </w:rPr>
        <w:t>Това показва, че общият процент на изпълнение на препоръките, който е 70,8 % (на базата на отговорите, получени от държавите членки), не дава реална представа за подобряването на ефективността на данъчните администрации при събирането на ДДС. Други инструменти за самооценка биха могли да помогнат на държавите членки да извършват по-систематична и по-надеждна оценка на резултатите от дейността на своите данъчни администрации. Инструменти, като т.н. „фискални планове“ (Fiscal Blueprints)</w:t>
      </w:r>
      <w:r>
        <w:rPr>
          <w:rStyle w:val="FootnoteReference"/>
          <w:rFonts w:ascii="Times New Roman" w:eastAsiaTheme="minorEastAsia" w:hAnsi="Times New Roman"/>
          <w:noProof/>
          <w:sz w:val="24"/>
        </w:rPr>
        <w:footnoteReference w:id="31"/>
      </w:r>
      <w:r>
        <w:rPr>
          <w:rFonts w:ascii="Times New Roman" w:hAnsi="Times New Roman"/>
          <w:noProof/>
          <w:sz w:val="24"/>
        </w:rPr>
        <w:t xml:space="preserve"> и диагностичния инструмент за оценка на данъчната администрация (Tax Administration Diagnostic Assessment Tool)</w:t>
      </w:r>
      <w:r>
        <w:rPr>
          <w:rStyle w:val="FootnoteReference"/>
          <w:rFonts w:ascii="Times New Roman" w:eastAsiaTheme="minorEastAsia" w:hAnsi="Times New Roman"/>
          <w:noProof/>
          <w:sz w:val="24"/>
        </w:rPr>
        <w:footnoteReference w:id="32"/>
      </w:r>
      <w:r>
        <w:rPr>
          <w:rFonts w:ascii="Times New Roman" w:hAnsi="Times New Roman"/>
          <w:noProof/>
          <w:sz w:val="24"/>
        </w:rPr>
        <w:t xml:space="preserve">, са публично достъпни в помощ на държавите членки в това начинание. </w:t>
      </w:r>
    </w:p>
    <w:p>
      <w:pPr>
        <w:pStyle w:val="Caption"/>
        <w:spacing w:line="276" w:lineRule="auto"/>
        <w:rPr>
          <w:noProof/>
          <w:sz w:val="24"/>
        </w:rPr>
      </w:pPr>
      <w:bookmarkStart w:id="44" w:name="_Toc500948813"/>
      <w:r>
        <w:rPr>
          <w:noProof/>
          <w:sz w:val="24"/>
        </w:rPr>
        <w:t xml:space="preserve">Препоръка </w:t>
      </w:r>
      <w:r>
        <w:rPr>
          <w:noProof/>
          <w:sz w:val="24"/>
        </w:rPr>
        <w:fldChar w:fldCharType="begin"/>
      </w:r>
      <w:r>
        <w:rPr>
          <w:noProof/>
          <w:sz w:val="24"/>
        </w:rPr>
        <w:instrText xml:space="preserve"> SEQ Recommendation \* ARABIC </w:instrText>
      </w:r>
      <w:r>
        <w:rPr>
          <w:noProof/>
          <w:sz w:val="24"/>
        </w:rPr>
        <w:fldChar w:fldCharType="separate"/>
      </w:r>
      <w:r>
        <w:rPr>
          <w:noProof/>
          <w:sz w:val="24"/>
        </w:rPr>
        <w:t>11</w:t>
      </w:r>
      <w:r>
        <w:rPr>
          <w:noProof/>
          <w:sz w:val="24"/>
        </w:rPr>
        <w:fldChar w:fldCharType="end"/>
      </w:r>
      <w:r>
        <w:rPr>
          <w:noProof/>
          <w:sz w:val="24"/>
        </w:rPr>
        <w:t>: Митнически режим 42</w:t>
      </w:r>
      <w:bookmarkEnd w:id="44"/>
    </w:p>
    <w:p>
      <w:pPr>
        <w:pBdr>
          <w:top w:val="single" w:sz="4" w:space="1" w:color="auto"/>
          <w:left w:val="single" w:sz="4" w:space="4" w:color="auto"/>
          <w:bottom w:val="single" w:sz="4" w:space="1" w:color="auto"/>
          <w:right w:val="single" w:sz="4" w:space="4" w:color="auto"/>
        </w:pBdr>
        <w:spacing w:after="240"/>
        <w:rPr>
          <w:rFonts w:ascii="Times New Roman" w:eastAsiaTheme="minorEastAsia" w:hAnsi="Times New Roman" w:cs="Times New Roman"/>
          <w:noProof/>
          <w:sz w:val="24"/>
          <w:szCs w:val="24"/>
        </w:rPr>
      </w:pPr>
      <w:r>
        <w:rPr>
          <w:rFonts w:ascii="Times New Roman" w:eastAsiaTheme="minorEastAsia" w:hAnsi="Times New Roman"/>
          <w:i/>
          <w:noProof/>
          <w:sz w:val="24"/>
        </w:rPr>
        <w:t>Като имат предвид препоръката в предходния доклад, държавите членки трябва и занапред да гарантират, че митническите органи проверяват VІЕS номера и обменят информацията с данъчните органи.</w:t>
      </w:r>
    </w:p>
    <w:p>
      <w:pPr>
        <w:pStyle w:val="ManualHeading1"/>
        <w:rPr>
          <w:bCs/>
          <w:noProof/>
        </w:rPr>
      </w:pPr>
      <w:bookmarkStart w:id="45" w:name="_Toc500948775"/>
      <w:r>
        <w:t>5.</w:t>
      </w:r>
      <w:r>
        <w:tab/>
      </w:r>
      <w:r>
        <w:rPr>
          <w:noProof/>
        </w:rPr>
        <w:t>Към по-добро администриране на ДДС чрез сътрудничество</w:t>
      </w:r>
      <w:bookmarkEnd w:id="45"/>
    </w:p>
    <w:p>
      <w:pPr>
        <w:jc w:val="both"/>
        <w:rPr>
          <w:rFonts w:ascii="Times New Roman" w:hAnsi="Times New Roman" w:cs="Times New Roman"/>
          <w:noProof/>
          <w:sz w:val="24"/>
          <w:szCs w:val="24"/>
        </w:rPr>
      </w:pPr>
      <w:r>
        <w:rPr>
          <w:rFonts w:ascii="Times New Roman" w:hAnsi="Times New Roman"/>
          <w:b/>
          <w:noProof/>
          <w:sz w:val="24"/>
        </w:rPr>
        <w:t>В една постоянно променяща се среда събирането на данъци става все по-голямо предизвикателство.</w:t>
      </w:r>
      <w:r>
        <w:rPr>
          <w:rFonts w:ascii="Times New Roman" w:hAnsi="Times New Roman"/>
          <w:noProof/>
          <w:sz w:val="24"/>
        </w:rPr>
        <w:t xml:space="preserve"> Цифровизацията, глобализацията, новите бизнес модели, данъчните измами и избягването на данъците и ограниченията от гледна точка на ресурсите принуждават данъчните администрации да преразгледат практиките си и да откриват допълнителни или алтернативни начини за събиране на данъците. Освен това те следва да осигурят качествено — т.е. ефикасно и ефективно администриране на данъците, за да се избегнат отрицателни последици върху събирането на приходите от ДДС в собствената им държава и в други държави членки.</w:t>
      </w:r>
    </w:p>
    <w:p>
      <w:pPr>
        <w:pStyle w:val="Text1"/>
        <w:spacing w:line="276" w:lineRule="auto"/>
        <w:ind w:left="0"/>
        <w:rPr>
          <w:noProof/>
        </w:rPr>
      </w:pPr>
      <w:r>
        <w:rPr>
          <w:b/>
          <w:noProof/>
        </w:rPr>
        <w:t xml:space="preserve">Време е следователно да се действа и работи съвместно. </w:t>
      </w:r>
      <w:r>
        <w:rPr>
          <w:noProof/>
        </w:rPr>
        <w:t>Много данъчни администрации си дават сметка, че не могат да продължат да действат в изолация. Към днешния ден данъчните органи на по-малките държави членки работят съвместно в тясно сътрудничество по общи въпроси с оглед постигане на икономии от мащаба (Бенелюкс, скандинавските и балтийските държави). В техния дневен ред са теми в областта на информационните технологии, подходи за спазване на изискванията, управление на риска, борба с данъчните измами и изграждане на административен капацитет. Бенефициерите на тези регионални инициативи трябва обаче да се справят с ограниченията на своя географски обхват в един по-голям Съюз и често се опитват да разширят инициативите си до равнището на ЕС. Понякога държавите членки не успяват да осигурят адекватни последващи действия по поетите от тях задължения поради липса на ресурси или отсъствие на политически ангажименти. Освен това някои данъчни администрации извършват структурни реформи и биха желали да споделят своя опит. С подкрепата на Комисията тези държави членки могат да информират и подпомагат други администрации в реформирането на тяхната организация. Вече има инструменти като програмата „Фискалис 2020“</w:t>
      </w:r>
      <w:r>
        <w:rPr>
          <w:rStyle w:val="FootnoteReference"/>
          <w:noProof/>
        </w:rPr>
        <w:footnoteReference w:id="33"/>
      </w:r>
      <w:r>
        <w:rPr>
          <w:noProof/>
        </w:rPr>
        <w:t xml:space="preserve"> и Програмата за подкрепа на структурните реформи</w:t>
      </w:r>
      <w:r>
        <w:rPr>
          <w:rStyle w:val="FootnoteReference"/>
          <w:noProof/>
        </w:rPr>
        <w:footnoteReference w:id="34"/>
      </w:r>
      <w:r>
        <w:rPr>
          <w:noProof/>
        </w:rPr>
        <w:t xml:space="preserve">, които могат да се използват от държавите членки за повишаване на капацитета на техните данъчни администрации. </w:t>
      </w:r>
    </w:p>
    <w:p>
      <w:pPr>
        <w:pStyle w:val="Text1"/>
        <w:spacing w:line="276" w:lineRule="auto"/>
        <w:ind w:left="0"/>
        <w:rPr>
          <w:noProof/>
        </w:rPr>
      </w:pPr>
      <w:r>
        <w:rPr>
          <w:noProof/>
        </w:rPr>
        <w:t xml:space="preserve">С оглед на гореизложеното държавите членки могат да се възползват от </w:t>
      </w:r>
      <w:r>
        <w:rPr>
          <w:b/>
          <w:noProof/>
        </w:rPr>
        <w:t>стратегически структурен диалог на равнището на ЕС по основните предизвикателства</w:t>
      </w:r>
      <w:r>
        <w:rPr>
          <w:noProof/>
        </w:rPr>
        <w:t>, сред които последствията от цифровата икономика и новите технологии, използването на административно сътрудничество в борбата с измамите с ДДС, инвестирането в инструменти и процеси за анализ на данни и в сътрудничество в областта на информационните технологии, обмен на опит в реформирането на данъчните администрации и оценка на тяхната ефективност, подходите им за спазване на изискванията и управлението на риска.</w:t>
      </w:r>
    </w:p>
    <w:p>
      <w:pPr>
        <w:pStyle w:val="ListParagraph"/>
        <w:spacing w:after="120"/>
        <w:ind w:left="0"/>
        <w:contextualSpacing w:val="0"/>
        <w:jc w:val="both"/>
        <w:rPr>
          <w:rFonts w:ascii="Times New Roman" w:eastAsiaTheme="majorEastAsia" w:hAnsi="Times New Roman" w:cs="Times New Roman"/>
          <w:noProof/>
          <w:sz w:val="24"/>
          <w:szCs w:val="20"/>
        </w:rPr>
      </w:pPr>
      <w:r>
        <w:rPr>
          <w:rFonts w:ascii="Times New Roman" w:eastAsiaTheme="majorEastAsia" w:hAnsi="Times New Roman"/>
          <w:noProof/>
          <w:sz w:val="24"/>
        </w:rPr>
        <w:t xml:space="preserve">Съвместно с държавите членки Комисията ще организира през 2018 г. среща на ръководителите на данъчните администрации за обсъждане на тези предизвикателства и начините за справяне с тях. </w:t>
      </w:r>
    </w:p>
    <w:p>
      <w:pPr>
        <w:pStyle w:val="ListParagraph"/>
        <w:spacing w:after="120"/>
        <w:ind w:left="0"/>
        <w:contextualSpacing w:val="0"/>
        <w:jc w:val="both"/>
        <w:rPr>
          <w:rFonts w:ascii="Times New Roman" w:eastAsiaTheme="majorEastAsia" w:hAnsi="Times New Roman" w:cs="Times New Roman"/>
          <w:noProof/>
          <w:sz w:val="24"/>
          <w:szCs w:val="20"/>
        </w:rPr>
      </w:pPr>
      <w:r>
        <w:rPr>
          <w:rFonts w:ascii="Times New Roman" w:eastAsiaTheme="majorEastAsia" w:hAnsi="Times New Roman"/>
          <w:noProof/>
          <w:sz w:val="24"/>
        </w:rPr>
        <w:t>Освен това информационните системи са от решаващо значение за осъществяването на данъчните политики, борбата с измамите и използването на данните за изготвяне на по-добри политики. Данъчните администрации разчитат все повече на данни, събирани от различни източници (данъкоплатци, други държавни органи и институции, други държави членки и пр.). Обработването на този огромен обем от данни се превърна в голямо предизвикателство, тъй като не може вече да се върши по традиционния начин. Необходими са нови инструменти, които да могат да обработват и анализират данните. Затова държавите членки са принудени да инвестират и занапред в информационно-технологични решения. Продължаването на сътрудничеството, координацията и прозрачността между държавите — членки на ЕС, в тази област ще помогне да се намалят значително разходите благодарение на съвместен подход и икономии от мащаба</w:t>
      </w:r>
      <w:r>
        <w:rPr>
          <w:rStyle w:val="FootnoteReference"/>
          <w:rFonts w:ascii="Times New Roman" w:hAnsi="Times New Roman"/>
          <w:noProof/>
        </w:rPr>
        <w:footnoteReference w:id="35"/>
      </w:r>
      <w:r>
        <w:rPr>
          <w:noProof/>
        </w:rPr>
        <w:t>.</w:t>
      </w:r>
      <w:r>
        <w:rPr>
          <w:rStyle w:val="FootnoteReference"/>
          <w:rFonts w:ascii="Times New Roman" w:hAnsi="Times New Roman"/>
          <w:noProof/>
        </w:rPr>
        <w:t xml:space="preserve"> </w:t>
      </w:r>
    </w:p>
    <w:p>
      <w:pPr>
        <w:pStyle w:val="ListParagraph"/>
        <w:ind w:left="0"/>
        <w:contextualSpacing w:val="0"/>
        <w:jc w:val="both"/>
        <w:rPr>
          <w:rFonts w:ascii="Times New Roman" w:eastAsiaTheme="majorEastAsia" w:hAnsi="Times New Roman" w:cs="Times New Roman"/>
          <w:noProof/>
          <w:sz w:val="24"/>
          <w:szCs w:val="20"/>
        </w:rPr>
      </w:pPr>
      <w:r>
        <w:rPr>
          <w:rFonts w:ascii="Times New Roman" w:eastAsiaTheme="majorEastAsia" w:hAnsi="Times New Roman"/>
          <w:noProof/>
          <w:sz w:val="24"/>
        </w:rPr>
        <w:t>Държавите членки, както и Комисията, проучват използването на нови технологични продукти и цифрови техники за обмен и анализ на данни. Засиленото сътрудничество между Комисията и данъчните администрации на държавите членки, както и между тези администрации, е най-добрият начин за предоставяне на съвместими предимства за всички на единния пазар. Освен това то ще улесни държавите членки да изпълнят задълженията си в сферата на данъчната администрация.</w:t>
      </w:r>
    </w:p>
    <w:sectPr>
      <w:headerReference w:type="even" r:id="rId29"/>
      <w:headerReference w:type="default" r:id="rId30"/>
      <w:footerReference w:type="even" r:id="rId31"/>
      <w:footerReference w:type="default" r:id="rId32"/>
      <w:headerReference w:type="first" r:id="rId33"/>
      <w:footerReference w:type="first" r:id="rId34"/>
      <w:pgSz w:w="11907" w:h="16839" w:code="9"/>
      <w:pgMar w:top="993" w:right="1418" w:bottom="1134" w:left="1418" w:header="709"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86281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 xml:space="preserve"> </w:t>
      </w:r>
      <w:r>
        <w:tab/>
      </w:r>
      <w:hyperlink r:id="rId1">
        <w:r>
          <w:rPr>
            <w:rStyle w:val="Hyperlink"/>
          </w:rPr>
          <w:t>https://ec.europa.eu/taxation_customs/sites/taxation/files/study_and_reports_on_the_vat_gap_2017.pdf</w:t>
        </w:r>
      </w:hyperlink>
      <w:r>
        <w:t xml:space="preserve"> </w:t>
      </w:r>
    </w:p>
  </w:footnote>
  <w:footnote w:id="2">
    <w:p>
      <w:pPr>
        <w:pStyle w:val="FootnoteText"/>
        <w:spacing w:after="120"/>
      </w:pPr>
      <w:r>
        <w:rPr>
          <w:rStyle w:val="FootnoteReference"/>
        </w:rPr>
        <w:footnoteRef/>
      </w:r>
      <w:r>
        <w:t xml:space="preserve"> </w:t>
      </w:r>
      <w:r>
        <w:tab/>
        <w:t>Данъчната администрация може да бъде описана като набор от мерки, процедури и инструменти, използвани от данъчните органи за администриране и управление на решения от областта на данъчната политика с цел законосъобразно събиране на правилния размер на приходите по най-ефективния начин и при минимални административни разходи.</w:t>
      </w:r>
    </w:p>
  </w:footnote>
  <w:footnote w:id="3">
    <w:p>
      <w:pPr>
        <w:pStyle w:val="FootnoteText"/>
        <w:pageBreakBefore w:val="0"/>
      </w:pPr>
      <w:r>
        <w:rPr>
          <w:rStyle w:val="FootnoteReference"/>
        </w:rPr>
        <w:footnoteRef/>
      </w:r>
      <w:r>
        <w:t xml:space="preserve"> </w:t>
      </w:r>
      <w:r>
        <w:tab/>
        <w:t xml:space="preserve">Законодателството относно режима за съкратено обслужване на едно гише е в сила от 1 януари 2015 г. То се отнася до мястото за доставка на телекомуникационни услуги, радио- и телевизионни услуги и услуги, предоставяни по електронен път. Регламент (ЕС) № 967/2012 на Съвета от 9 октомври 2012 г. за изменение на Регламент за изпълнение (ЕС) № 282/2011 по отношение на специалните режими за неустановени данъчно задължени лица, предоставящи телекомуникационни услуги, услуги за радио- и телевизионно излъчване или електронни услуги на данъчно незадължени лица. </w:t>
      </w:r>
    </w:p>
  </w:footnote>
  <w:footnote w:id="4">
    <w:p>
      <w:pPr>
        <w:pStyle w:val="FootnoteText"/>
        <w:pageBreakBefore w:val="0"/>
      </w:pPr>
      <w:r>
        <w:rPr>
          <w:rStyle w:val="FootnoteReference"/>
        </w:rPr>
        <w:footnoteRef/>
      </w:r>
      <w:r>
        <w:t xml:space="preserve"> </w:t>
      </w:r>
      <w:r>
        <w:tab/>
        <w:t>Този режим дава възможност на данъкоплатците да се отчитат за ДДС на базата на получени плащания, а не на издадени фактури.</w:t>
      </w:r>
    </w:p>
  </w:footnote>
  <w:footnote w:id="5">
    <w:p>
      <w:pPr>
        <w:pStyle w:val="FootnoteText"/>
      </w:pPr>
      <w:r>
        <w:rPr>
          <w:rStyle w:val="FootnoteReference"/>
        </w:rPr>
        <w:footnoteRef/>
      </w:r>
      <w:r>
        <w:t xml:space="preserve"> </w:t>
      </w:r>
      <w:r>
        <w:tab/>
        <w:t xml:space="preserve">Декларациите за контрол обхващат фактурите с ДДС и дават възможност на данъчните органи за кръстосана проверка на сделките.  </w:t>
      </w:r>
    </w:p>
  </w:footnote>
  <w:footnote w:id="6">
    <w:p>
      <w:pPr>
        <w:pStyle w:val="FootnoteText"/>
        <w:spacing w:after="120"/>
      </w:pPr>
      <w:r>
        <w:rPr>
          <w:rStyle w:val="FootnoteReference"/>
        </w:rPr>
        <w:footnoteRef/>
      </w:r>
      <w:r>
        <w:t xml:space="preserve"> </w:t>
      </w:r>
      <w:r>
        <w:tab/>
        <w:t xml:space="preserve">Целта на софтуера за анализ на операциите в мрежа е да се приложи техника за извличане на данни към данните, свързани с ДДС, с цел да бъдат проследени мрежи за измами. Този инструмент трябва да подобри настоящите работни практики на Еurofisc.  </w:t>
      </w:r>
    </w:p>
  </w:footnote>
  <w:footnote w:id="7">
    <w:p>
      <w:pPr>
        <w:pStyle w:val="FootnoteText"/>
        <w:spacing w:after="120"/>
      </w:pPr>
      <w:r>
        <w:rPr>
          <w:rStyle w:val="FootnoteReference"/>
        </w:rPr>
        <w:footnoteRef/>
      </w:r>
      <w:r>
        <w:t xml:space="preserve"> </w:t>
      </w:r>
      <w:r>
        <w:tab/>
        <w:t>Примери: България, Естония и Словашката Република — национални декларации за контрол; Белгия — анализ на операциите в мрежа за откриване на измами с ДДС.</w:t>
      </w:r>
    </w:p>
  </w:footnote>
  <w:footnote w:id="8">
    <w:p>
      <w:pPr>
        <w:pStyle w:val="FootnoteText"/>
        <w:spacing w:after="120"/>
      </w:pPr>
      <w:r>
        <w:rPr>
          <w:rStyle w:val="FootnoteReference"/>
        </w:rPr>
        <w:footnoteRef/>
      </w:r>
      <w:r>
        <w:t xml:space="preserve"> </w:t>
      </w:r>
      <w:r>
        <w:tab/>
        <w:t>Член 214 от Директива 2006/112/ЕО на Съвета от 28 ноември 2006 г. относно общата система на данъка върху добавената стойност.</w:t>
      </w:r>
    </w:p>
  </w:footnote>
  <w:footnote w:id="9">
    <w:p>
      <w:pPr>
        <w:pStyle w:val="FootnoteText"/>
        <w:spacing w:after="120"/>
      </w:pPr>
      <w:r>
        <w:rPr>
          <w:rStyle w:val="FootnoteReference"/>
        </w:rPr>
        <w:footnoteRef/>
      </w:r>
      <w:r>
        <w:t xml:space="preserve"> </w:t>
      </w:r>
      <w:r>
        <w:tab/>
        <w:t>VІЕS е системата за обмен на информация за ДДС. Информацията, предоставяна чрез VІЕS, и използването на системата са регламентирани в глава V от Регламент (ЕС) № 904/2010.</w:t>
      </w:r>
    </w:p>
  </w:footnote>
  <w:footnote w:id="10">
    <w:p>
      <w:pPr>
        <w:pStyle w:val="FootnoteText"/>
      </w:pPr>
      <w:r>
        <w:rPr>
          <w:rStyle w:val="FootnoteReference"/>
        </w:rPr>
        <w:footnoteRef/>
      </w:r>
      <w:r>
        <w:t xml:space="preserve"> </w:t>
      </w:r>
      <w:r>
        <w:tab/>
        <w:t>Данни има само за 21 от 28-те държави членки (липсват данни за Австрия, Хърватия, Финландия, Франция, Германия, Люксембург и Швеция).</w:t>
      </w:r>
    </w:p>
    <w:p>
      <w:pPr>
        <w:pStyle w:val="FootnoteText"/>
      </w:pPr>
    </w:p>
  </w:footnote>
  <w:footnote w:id="11">
    <w:p>
      <w:pPr>
        <w:pStyle w:val="FootnoteText"/>
        <w:spacing w:after="120"/>
      </w:pPr>
      <w:r>
        <w:rPr>
          <w:rStyle w:val="FootnoteReference"/>
        </w:rPr>
        <w:footnoteRef/>
      </w:r>
      <w:r>
        <w:t xml:space="preserve"> </w:t>
      </w:r>
      <w:r>
        <w:tab/>
        <w:t>В 25 държави членки е възможна онлайн регистрация за целите на ДДС (към настоящия момент Хърватия, Кипър и Румъния не предлагат онлайн регистрация за целите на ДДС).</w:t>
      </w:r>
    </w:p>
  </w:footnote>
  <w:footnote w:id="12">
    <w:p>
      <w:pPr>
        <w:pStyle w:val="FootnoteText"/>
        <w:spacing w:after="120"/>
      </w:pPr>
      <w:r>
        <w:rPr>
          <w:rStyle w:val="FootnoteReference"/>
        </w:rPr>
        <w:footnoteRef/>
      </w:r>
      <w:r>
        <w:t xml:space="preserve"> </w:t>
      </w:r>
      <w:r>
        <w:tab/>
        <w:t>Например като разделят исканията за регистрация по зелена линия (няма риск — незабавна регистрация) и по червена линия (потенциален риск — необходими са допълнителни проверки преди регистриране).</w:t>
      </w:r>
    </w:p>
  </w:footnote>
  <w:footnote w:id="13">
    <w:p>
      <w:pPr>
        <w:pStyle w:val="FootnoteText"/>
        <w:spacing w:after="120"/>
      </w:pPr>
      <w:r>
        <w:rPr>
          <w:rStyle w:val="FootnoteReference"/>
        </w:rPr>
        <w:footnoteRef/>
      </w:r>
      <w:r>
        <w:t xml:space="preserve"> </w:t>
      </w:r>
      <w:r>
        <w:tab/>
        <w:t>Има данни за 22 от 28-те държави членки (липсват данни за Кипър, Естония, Финландия, Франция, Ирландия и Испания).</w:t>
      </w:r>
    </w:p>
  </w:footnote>
  <w:footnote w:id="14">
    <w:p>
      <w:pPr>
        <w:pStyle w:val="FootnoteText"/>
        <w:spacing w:after="120"/>
      </w:pPr>
      <w:r>
        <w:rPr>
          <w:rStyle w:val="FootnoteReference"/>
        </w:rPr>
        <w:footnoteRef/>
      </w:r>
      <w:r>
        <w:t xml:space="preserve"> </w:t>
      </w:r>
      <w:r>
        <w:tab/>
        <w:t>В туристическия сектор например данъкоплатците се уведомяват чрез медиите за необходимостта да се регистрират, когато отдават под наем апартаментите си през почивния сезон.</w:t>
      </w:r>
    </w:p>
  </w:footnote>
  <w:footnote w:id="15">
    <w:p>
      <w:pPr>
        <w:pStyle w:val="FootnoteText"/>
      </w:pPr>
      <w:r>
        <w:rPr>
          <w:rStyle w:val="FootnoteReference"/>
        </w:rPr>
        <w:footnoteRef/>
      </w:r>
      <w:r>
        <w:t xml:space="preserve"> </w:t>
      </w:r>
      <w:r>
        <w:tab/>
        <w:t xml:space="preserve">Национални декларации за контрол се подават от платци на ДДС за продажби и покупки на територията на регистрацията. </w:t>
      </w:r>
    </w:p>
  </w:footnote>
  <w:footnote w:id="16">
    <w:p>
      <w:pPr>
        <w:pStyle w:val="FootnoteText"/>
      </w:pPr>
      <w:r>
        <w:rPr>
          <w:rStyle w:val="FootnoteReference"/>
        </w:rPr>
        <w:footnoteRef/>
      </w:r>
      <w:r>
        <w:t xml:space="preserve"> </w:t>
      </w:r>
      <w:r>
        <w:tab/>
        <w:t>В съответствие с член 22 от Регламент (ЕС) № 904/2010 държавите членки са задължени да извършват проверки след регистрацията, ако преди регистрацията извършват само предварителни проверки.</w:t>
      </w:r>
    </w:p>
  </w:footnote>
  <w:footnote w:id="17">
    <w:p>
      <w:pPr>
        <w:pStyle w:val="FootnoteText"/>
      </w:pPr>
      <w:r>
        <w:rPr>
          <w:rStyle w:val="FootnoteReference"/>
        </w:rPr>
        <w:footnoteRef/>
      </w:r>
      <w:r>
        <w:t xml:space="preserve"> </w:t>
      </w:r>
      <w:r>
        <w:tab/>
        <w:t xml:space="preserve">Въз основа на пълни набори от данни от 21 държави членки и 6 частични набора от данни; липсват набори от данни за Хърватия. Данните бяха събрани през 2017 г. за периода 2013 — 2015 г. За цифровите данни на равнище ЕС са използвани </w:t>
      </w:r>
      <w:r>
        <w:rPr>
          <w:i/>
          <w:u w:val="single"/>
        </w:rPr>
        <w:t>медианни стойности</w:t>
      </w:r>
      <w:r>
        <w:t>.</w:t>
      </w:r>
    </w:p>
  </w:footnote>
  <w:footnote w:id="18">
    <w:p>
      <w:pPr>
        <w:pStyle w:val="FootnoteText"/>
        <w:spacing w:after="120"/>
      </w:pPr>
      <w:r>
        <w:rPr>
          <w:rStyle w:val="FootnoteReference"/>
        </w:rPr>
        <w:footnoteRef/>
      </w:r>
      <w:r>
        <w:t xml:space="preserve"> </w:t>
      </w:r>
      <w:r>
        <w:tab/>
        <w:t>Пример за това е режимът на касова отчетност на ДДС, който дава възможност на малките предприятия да плащат своя ДДС, когато получат парите от купувачите си (което на практика е по-късно, отколкото при стандартната практика, когато трябва да плащат при издаване на фактурата).</w:t>
      </w:r>
    </w:p>
  </w:footnote>
  <w:footnote w:id="19">
    <w:p>
      <w:pPr>
        <w:pStyle w:val="FootnoteText"/>
      </w:pPr>
      <w:r>
        <w:rPr>
          <w:rStyle w:val="FootnoteReference"/>
        </w:rPr>
        <w:footnoteRef/>
      </w:r>
      <w:r>
        <w:t xml:space="preserve"> </w:t>
      </w:r>
      <w:r>
        <w:tab/>
        <w:t xml:space="preserve">Вж.: </w:t>
      </w:r>
      <w:r>
        <w:rPr>
          <w:i/>
        </w:rPr>
        <w:t xml:space="preserve">Двадесет мерки за справяне с </w:t>
      </w:r>
      <w:r>
        <w:rPr>
          <w:b/>
          <w:i/>
        </w:rPr>
        <w:t>н</w:t>
      </w:r>
      <w:r>
        <w:rPr>
          <w:i/>
        </w:rPr>
        <w:t>еизпълнението на потенциалните приходи от ДДС.</w:t>
      </w:r>
      <w:r>
        <w:t xml:space="preserve"> </w:t>
      </w:r>
    </w:p>
    <w:p>
      <w:pPr>
        <w:pStyle w:val="FootnoteText"/>
        <w:spacing w:after="120"/>
        <w:ind w:firstLine="0"/>
      </w:pPr>
      <w:hyperlink r:id="rId2">
        <w:r>
          <w:rPr>
            <w:rStyle w:val="Hyperlink"/>
          </w:rPr>
          <w:t>https://ec.europa.eu/taxation_customs/sites/taxation/files/resources/documents/taxation/tax_cooperation/vat_gap/2016-03_20_measures_en.pdf</w:t>
        </w:r>
      </w:hyperlink>
      <w:r>
        <w:rPr>
          <w:rStyle w:val="Hyperlink"/>
        </w:rPr>
        <w:t xml:space="preserve">. </w:t>
      </w:r>
    </w:p>
  </w:footnote>
  <w:footnote w:id="20">
    <w:p>
      <w:pPr>
        <w:pStyle w:val="FootnoteText"/>
        <w:spacing w:after="60"/>
      </w:pPr>
      <w:r>
        <w:rPr>
          <w:rStyle w:val="FootnoteReference"/>
        </w:rPr>
        <w:footnoteRef/>
      </w:r>
      <w:r>
        <w:t xml:space="preserve"> </w:t>
      </w:r>
      <w:r>
        <w:tab/>
        <w:t>Нови длъжници са платците на ДДС, които влизат за първи път в базата данни за събиране на вземания.</w:t>
      </w:r>
    </w:p>
  </w:footnote>
  <w:footnote w:id="21">
    <w:p>
      <w:pPr>
        <w:pStyle w:val="FootnoteText"/>
        <w:spacing w:after="60"/>
      </w:pPr>
      <w:r>
        <w:rPr>
          <w:rStyle w:val="FootnoteReference"/>
        </w:rPr>
        <w:footnoteRef/>
      </w:r>
      <w:r>
        <w:t xml:space="preserve"> </w:t>
      </w:r>
      <w:r>
        <w:tab/>
        <w:t>Вж.: ОИСР, Форум по данъчна администрация, „По-интелигентен подход при управлението на данъчни задължения“, септември 2013 г.</w:t>
      </w:r>
    </w:p>
    <w:p>
      <w:pPr>
        <w:pStyle w:val="FootnoteText"/>
      </w:pPr>
    </w:p>
  </w:footnote>
  <w:footnote w:id="22">
    <w:p>
      <w:pPr>
        <w:pStyle w:val="FootnoteText"/>
        <w:spacing w:after="60"/>
      </w:pPr>
      <w:r>
        <w:rPr>
          <w:rStyle w:val="FootnoteReference"/>
        </w:rPr>
        <w:footnoteRef/>
      </w:r>
      <w:r>
        <w:t xml:space="preserve"> </w:t>
      </w:r>
      <w:r>
        <w:tab/>
        <w:t>При традиционната ревизия ревизорът посещава помещенията на данъкоплатеца или неговия счетоводител за проверка на счетоводството.  Електронният одит е методология за ревизия, при която данните се получават чрез свързани с интернет приложения, така че ревизорите могат да извършват оценка на финансовите и нефинансовите данни от своя офис в реално време.</w:t>
      </w:r>
    </w:p>
  </w:footnote>
  <w:footnote w:id="23">
    <w:p>
      <w:pPr>
        <w:pStyle w:val="FootnoteText"/>
        <w:spacing w:after="60"/>
      </w:pPr>
      <w:r>
        <w:rPr>
          <w:rStyle w:val="FootnoteReference"/>
        </w:rPr>
        <w:footnoteRef/>
      </w:r>
      <w:r>
        <w:t xml:space="preserve"> </w:t>
      </w:r>
      <w:r>
        <w:tab/>
        <w:t>Данни има за 22 от 28-те държави членки (липсват данни за Белгия, Германия, Франция, Нидерландия, Швеция и Обединеното кралство).</w:t>
      </w:r>
    </w:p>
  </w:footnote>
  <w:footnote w:id="24">
    <w:p>
      <w:pPr>
        <w:pStyle w:val="FootnoteText"/>
        <w:spacing w:after="60"/>
      </w:pPr>
      <w:r>
        <w:rPr>
          <w:rStyle w:val="FootnoteReference"/>
        </w:rPr>
        <w:footnoteRef/>
      </w:r>
      <w:r>
        <w:t xml:space="preserve"> </w:t>
      </w:r>
      <w:r>
        <w:tab/>
        <w:t xml:space="preserve">Неотдавна Комисията разпространи видеоматериал за верижните измами с ДДС с цел да се повиши осведомеността на гражданите на ЕС. </w:t>
      </w:r>
      <w:hyperlink r:id="rId3">
        <w:r>
          <w:rPr>
            <w:rStyle w:val="Hyperlink"/>
          </w:rPr>
          <w:t>https://www.youtube.com/watch?v=7rPzXzCoxkI.</w:t>
        </w:r>
      </w:hyperlink>
    </w:p>
  </w:footnote>
  <w:footnote w:id="25">
    <w:p>
      <w:pPr>
        <w:pStyle w:val="FootnoteText"/>
        <w:spacing w:after="60"/>
      </w:pPr>
      <w:r>
        <w:rPr>
          <w:rStyle w:val="FootnoteReference"/>
        </w:rPr>
        <w:footnoteRef/>
      </w:r>
      <w:r>
        <w:t xml:space="preserve"> </w:t>
      </w:r>
      <w:r>
        <w:tab/>
        <w:t>Доклад на Комисията до Съвета и Европейския парламент — „Седми доклад относно процедурите за събиране и контрол на ДДС, изготвен по силата на член 12 от Регламент (ЕИО, Евратом) № 1553/89“ — относно събирането на ДДС и процедурите за контрол, COM(2014) 69 final; Работен документ на службите на Комисията, съпътстващ документа „Седми доклад относно процедурите за събиране и контрол на ДДС, изготвен по силата на член 12 от Регламент (ЕИО, Евратом) № 1553/89“, SWD (2014) 38 final.</w:t>
      </w:r>
    </w:p>
  </w:footnote>
  <w:footnote w:id="26">
    <w:p>
      <w:pPr>
        <w:pStyle w:val="FootnoteText"/>
        <w:spacing w:after="60"/>
      </w:pPr>
      <w:r>
        <w:rPr>
          <w:rStyle w:val="FootnoteReference"/>
        </w:rPr>
        <w:footnoteRef/>
      </w:r>
      <w:r>
        <w:t xml:space="preserve"> </w:t>
      </w:r>
      <w:r>
        <w:tab/>
        <w:t>Към този момент Хърватия не беше част от ЕС.</w:t>
      </w:r>
    </w:p>
  </w:footnote>
  <w:footnote w:id="27">
    <w:p>
      <w:pPr>
        <w:pStyle w:val="CommentText"/>
        <w:spacing w:before="0" w:after="60"/>
        <w:ind w:left="709" w:hanging="709"/>
      </w:pPr>
      <w:r>
        <w:rPr>
          <w:rStyle w:val="FootnoteReference"/>
        </w:rPr>
        <w:footnoteRef/>
      </w:r>
      <w:r>
        <w:t xml:space="preserve"> </w:t>
      </w:r>
      <w:r>
        <w:tab/>
        <w:t>За изчисляване на „процента на изпълнение“ (%) се използват общият брой на предходните препоръки и броят на препоръките, отбелязани като изпълнени. Изчислението е извършено въз основа на отговорите на държавите членки (самооценка) и взема предвид само държавите членки, до които се отнасят съответните препоръки.</w:t>
      </w:r>
    </w:p>
  </w:footnote>
  <w:footnote w:id="28">
    <w:p>
      <w:pPr>
        <w:pStyle w:val="FootnoteText"/>
        <w:spacing w:after="60"/>
      </w:pPr>
      <w:r>
        <w:rPr>
          <w:rStyle w:val="FootnoteReference"/>
        </w:rPr>
        <w:footnoteRef/>
      </w:r>
      <w:r>
        <w:t xml:space="preserve"> </w:t>
      </w:r>
      <w:r>
        <w:tab/>
        <w:t>Разграничението между „неизпълнени“ и „частично изпълнени“ не е много ясно, като степента на частично изпълнение варира в отделните държави членки. Данните са в резултат на самооценка на държавите членки, предоставящи отговорите.</w:t>
      </w:r>
    </w:p>
  </w:footnote>
  <w:footnote w:id="29">
    <w:p>
      <w:pPr>
        <w:pStyle w:val="FootnoteText"/>
        <w:spacing w:after="60"/>
      </w:pPr>
      <w:r>
        <w:rPr>
          <w:rStyle w:val="FootnoteReference"/>
        </w:rPr>
        <w:footnoteRef/>
      </w:r>
      <w:r>
        <w:t xml:space="preserve"> </w:t>
      </w:r>
      <w:r>
        <w:tab/>
        <w:t>Специален доклад № 24/2015 на Европейската сметна палата „Борба с измамите с ДДС в рамките на Общността — необходими са допълнителни действия“, точка 83.</w:t>
      </w:r>
    </w:p>
  </w:footnote>
  <w:footnote w:id="30">
    <w:p>
      <w:pPr>
        <w:pStyle w:val="FootnoteText"/>
        <w:spacing w:after="60"/>
        <w:rPr>
          <w:lang w:eastAsia="ja-JP"/>
        </w:rPr>
      </w:pPr>
      <w:r>
        <w:rPr>
          <w:rStyle w:val="FootnoteReference"/>
        </w:rPr>
        <w:footnoteRef/>
      </w:r>
      <w:r>
        <w:t xml:space="preserve"> </w:t>
      </w:r>
      <w:r>
        <w:tab/>
        <w:t xml:space="preserve">Митнически режим 42 е механизъм, използван от вносителите от ЕС с цел да получат освобождаване от ДДС. Той се прилага, когато стоки, внесени в държава членка от място извън ЕС, ще бъдат транспортирани в друга държава членка. В такъв случай ДДС е дължим във втората държава, т.е. в държавата — членка на местоназначението. </w:t>
      </w:r>
    </w:p>
  </w:footnote>
  <w:footnote w:id="31">
    <w:p>
      <w:pPr>
        <w:pStyle w:val="FootnoteText"/>
        <w:keepNext w:val="0"/>
        <w:keepLines w:val="0"/>
        <w:widowControl w:val="0"/>
        <w:spacing w:after="60"/>
        <w:rPr>
          <w:lang w:eastAsia="ja-JP"/>
        </w:rPr>
      </w:pPr>
      <w:r>
        <w:rPr>
          <w:rStyle w:val="FootnoteReference"/>
        </w:rPr>
        <w:footnoteRef/>
      </w:r>
      <w:r>
        <w:t xml:space="preserve"> </w:t>
      </w:r>
      <w:r>
        <w:tab/>
        <w:t xml:space="preserve">Вж.: </w:t>
      </w:r>
      <w:hyperlink r:id="rId4">
        <w:r>
          <w:rPr>
            <w:rStyle w:val="Hyperlink"/>
          </w:rPr>
          <w:t>https://ec.europa.eu/taxation_customs/sites/taxation/files/resources/documents/common/publications/info_docs/taxation/fiscal_blueprint_en.pdf</w:t>
        </w:r>
      </w:hyperlink>
    </w:p>
  </w:footnote>
  <w:footnote w:id="32">
    <w:p>
      <w:pPr>
        <w:pStyle w:val="FootnoteText"/>
        <w:spacing w:after="60"/>
      </w:pPr>
      <w:r>
        <w:rPr>
          <w:rStyle w:val="FootnoteReference"/>
        </w:rPr>
        <w:footnoteRef/>
      </w:r>
      <w:r>
        <w:rPr>
          <w:rStyle w:val="FootnoteReference"/>
        </w:rPr>
        <w:t xml:space="preserve"> </w:t>
      </w:r>
      <w:r>
        <w:tab/>
        <w:t xml:space="preserve">Вж.: </w:t>
      </w:r>
      <w:hyperlink r:id="rId5">
        <w:r>
          <w:rPr>
            <w:rStyle w:val="Hyperlink"/>
          </w:rPr>
          <w:t>http://www.tadat.org/</w:t>
        </w:r>
      </w:hyperlink>
    </w:p>
  </w:footnote>
  <w:footnote w:id="33">
    <w:p>
      <w:pPr>
        <w:pStyle w:val="FootnoteText"/>
        <w:spacing w:after="60"/>
      </w:pPr>
      <w:r>
        <w:rPr>
          <w:rStyle w:val="FootnoteReference"/>
        </w:rPr>
        <w:footnoteRef/>
      </w:r>
      <w:r>
        <w:t xml:space="preserve"> </w:t>
      </w:r>
      <w:r>
        <w:tab/>
        <w:t>„Фискалис 2020“ е програма за сътрудничество на ЕС, която дава възможност на националните данъчни администрации да създават и обменят информация и експертен опит. Тя създава условия за разработване и експлоатация в партньорство на крупни трансевропейски информационно-технологични системи, както и за създаване на различни междуличностни мрежи, като свързва национални длъжностни лица от цяла Европа.</w:t>
      </w:r>
    </w:p>
  </w:footnote>
  <w:footnote w:id="34">
    <w:p>
      <w:pPr>
        <w:pStyle w:val="FootnoteText"/>
        <w:spacing w:after="60"/>
      </w:pPr>
      <w:r>
        <w:rPr>
          <w:rStyle w:val="FootnoteReference"/>
        </w:rPr>
        <w:footnoteRef/>
      </w:r>
      <w:r>
        <w:t xml:space="preserve"> </w:t>
      </w:r>
      <w:r>
        <w:tab/>
        <w:t>Програмата на ЕС за подкрепа на структурните реформи има за цел да помогне на държавите членки да разработват и изпълняват институционални, административни и структурни реформи и да използват по-ефикасно и по-ефективно финансовите средства на ЕС, предоставяни за тези цели.</w:t>
      </w:r>
    </w:p>
  </w:footnote>
  <w:footnote w:id="35">
    <w:p>
      <w:pPr>
        <w:pStyle w:val="FootnoteText"/>
        <w:spacing w:after="60"/>
      </w:pPr>
      <w:r>
        <w:rPr>
          <w:rStyle w:val="FootnoteReference"/>
        </w:rPr>
        <w:footnoteRef/>
      </w:r>
      <w:r>
        <w:t xml:space="preserve"> </w:t>
      </w:r>
      <w:r>
        <w:tab/>
        <w:t>Пример за такова сътрудничество е експертната група на Комисията за насърчаване на ИТ решенията (IT Catalyst Group).</w:t>
      </w:r>
    </w:p>
    <w:p>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754BE"/>
    <w:multiLevelType w:val="hybridMultilevel"/>
    <w:tmpl w:val="A8A2D5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195C23DE"/>
    <w:multiLevelType w:val="hybridMultilevel"/>
    <w:tmpl w:val="76C840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1B3C78B8"/>
    <w:multiLevelType w:val="multilevel"/>
    <w:tmpl w:val="2ED4F4D0"/>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3">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2AF76E7A"/>
    <w:multiLevelType w:val="singleLevel"/>
    <w:tmpl w:val="C74C5A32"/>
    <w:name w:val="Bullet 1"/>
    <w:lvl w:ilvl="0">
      <w:start w:val="1"/>
      <w:numFmt w:val="bullet"/>
      <w:lvlRestart w:val="0"/>
      <w:pStyle w:val="ListNumber4"/>
      <w:lvlText w:val=""/>
      <w:lvlJc w:val="left"/>
      <w:pPr>
        <w:tabs>
          <w:tab w:val="num" w:pos="1417"/>
        </w:tabs>
        <w:ind w:left="1417" w:hanging="567"/>
      </w:pPr>
      <w:rPr>
        <w:rFonts w:ascii="Symbol" w:hAnsi="Symbol" w:hint="default"/>
      </w:rPr>
    </w:lvl>
  </w:abstractNum>
  <w:abstractNum w:abstractNumId="5">
    <w:nsid w:val="2CB72C6E"/>
    <w:multiLevelType w:val="singleLevel"/>
    <w:tmpl w:val="10ACD464"/>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6">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7">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8">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9">
    <w:nsid w:val="4552127F"/>
    <w:multiLevelType w:val="singleLevel"/>
    <w:tmpl w:val="057A5296"/>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0">
    <w:nsid w:val="48842C30"/>
    <w:multiLevelType w:val="singleLevel"/>
    <w:tmpl w:val="4FA60B90"/>
    <w:name w:val="Bullet 4"/>
    <w:lvl w:ilvl="0">
      <w:start w:val="1"/>
      <w:numFmt w:val="bullet"/>
      <w:lvlRestart w:val="0"/>
      <w:pStyle w:val="ListBullet3"/>
      <w:lvlText w:val=""/>
      <w:lvlJc w:val="left"/>
      <w:pPr>
        <w:tabs>
          <w:tab w:val="num" w:pos="3118"/>
        </w:tabs>
        <w:ind w:left="3118" w:hanging="567"/>
      </w:pPr>
      <w:rPr>
        <w:rFonts w:ascii="Symbol" w:hAnsi="Symbol" w:hint="default"/>
      </w:rPr>
    </w:lvl>
  </w:abstractNum>
  <w:abstractNum w:abstractNumId="11">
    <w:nsid w:val="50FE6EDF"/>
    <w:multiLevelType w:val="hybridMultilevel"/>
    <w:tmpl w:val="3C7EF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4593082"/>
    <w:multiLevelType w:val="singleLevel"/>
    <w:tmpl w:val="EDE069AC"/>
    <w:name w:val="Bullet 0"/>
    <w:lvl w:ilvl="0">
      <w:start w:val="1"/>
      <w:numFmt w:val="bullet"/>
      <w:lvlRestart w:val="0"/>
      <w:pStyle w:val="ListNumber3"/>
      <w:lvlText w:val=""/>
      <w:lvlJc w:val="left"/>
      <w:pPr>
        <w:tabs>
          <w:tab w:val="num" w:pos="850"/>
        </w:tabs>
        <w:ind w:left="850" w:hanging="850"/>
      </w:pPr>
      <w:rPr>
        <w:rFonts w:ascii="Symbol" w:hAnsi="Symbol" w:hint="default"/>
      </w:rPr>
    </w:lvl>
  </w:abstractNum>
  <w:abstractNum w:abstractNumId="13">
    <w:nsid w:val="555F5F0A"/>
    <w:multiLevelType w:val="multilevel"/>
    <w:tmpl w:val="646E578A"/>
    <w:lvl w:ilvl="0">
      <w:start w:val="1"/>
      <w:numFmt w:val="decimal"/>
      <w:lvlText w:val="%1"/>
      <w:lvlJc w:val="left"/>
      <w:pPr>
        <w:ind w:left="432" w:hanging="432"/>
      </w:pPr>
      <w:rPr>
        <w:rFonts w:ascii="Times New Roman" w:hAnsi="Times New Roman" w:cs="Times New Roman" w:hint="default"/>
        <w:b/>
        <w:sz w:val="24"/>
        <w:szCs w:val="24"/>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nsid w:val="556E1D63"/>
    <w:multiLevelType w:val="singleLevel"/>
    <w:tmpl w:val="493AAFF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5">
    <w:nsid w:val="5B395AAA"/>
    <w:multiLevelType w:val="singleLevel"/>
    <w:tmpl w:val="96D02E8A"/>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6">
    <w:nsid w:val="5C056EE5"/>
    <w:multiLevelType w:val="singleLevel"/>
    <w:tmpl w:val="3378D27C"/>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7">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8">
    <w:nsid w:val="5F342530"/>
    <w:multiLevelType w:val="singleLevel"/>
    <w:tmpl w:val="D5444702"/>
    <w:name w:val="Bullet 3"/>
    <w:lvl w:ilvl="0">
      <w:start w:val="1"/>
      <w:numFmt w:val="bullet"/>
      <w:lvlRestart w:val="0"/>
      <w:pStyle w:val="ListBullet2"/>
      <w:lvlText w:val=""/>
      <w:lvlJc w:val="left"/>
      <w:pPr>
        <w:tabs>
          <w:tab w:val="num" w:pos="2551"/>
        </w:tabs>
        <w:ind w:left="2551" w:hanging="567"/>
      </w:pPr>
      <w:rPr>
        <w:rFonts w:ascii="Symbol" w:hAnsi="Symbol" w:hint="default"/>
      </w:rPr>
    </w:lvl>
  </w:abstractNum>
  <w:abstractNum w:abstractNumId="19">
    <w:nsid w:val="5F9C40AA"/>
    <w:multiLevelType w:val="singleLevel"/>
    <w:tmpl w:val="B89CB5A2"/>
    <w:name w:val="Bullet 2"/>
    <w:lvl w:ilvl="0">
      <w:start w:val="1"/>
      <w:numFmt w:val="bullet"/>
      <w:lvlRestart w:val="0"/>
      <w:pStyle w:val="ListBullet"/>
      <w:lvlText w:val=""/>
      <w:lvlJc w:val="left"/>
      <w:pPr>
        <w:tabs>
          <w:tab w:val="num" w:pos="1984"/>
        </w:tabs>
        <w:ind w:left="1984" w:hanging="567"/>
      </w:pPr>
      <w:rPr>
        <w:rFonts w:ascii="Symbol" w:hAnsi="Symbol" w:hint="default"/>
      </w:rPr>
    </w:lvl>
  </w:abstractNum>
  <w:abstractNum w:abstractNumId="20">
    <w:nsid w:val="64A12FA4"/>
    <w:multiLevelType w:val="multilevel"/>
    <w:tmpl w:val="E0FCC288"/>
    <w:lvl w:ilvl="0">
      <w:start w:val="1"/>
      <w:numFmt w:val="decimal"/>
      <w:lvlRestart w:val="0"/>
      <w:pStyle w:val="Heading1"/>
      <w:lvlText w:val="%1."/>
      <w:lvlJc w:val="left"/>
      <w:pPr>
        <w:tabs>
          <w:tab w:val="num" w:pos="850"/>
        </w:tabs>
        <w:ind w:left="850" w:hanging="850"/>
      </w:pPr>
      <w:rPr>
        <w:b/>
      </w:r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69995580"/>
    <w:multiLevelType w:val="singleLevel"/>
    <w:tmpl w:val="75CC7CBA"/>
    <w:name w:val="Considérant"/>
    <w:lvl w:ilvl="0">
      <w:start w:val="1"/>
      <w:numFmt w:val="decimal"/>
      <w:lvlRestart w:val="0"/>
      <w:pStyle w:val="ListBullet4"/>
      <w:lvlText w:val="(%1)"/>
      <w:lvlJc w:val="left"/>
      <w:pPr>
        <w:tabs>
          <w:tab w:val="num" w:pos="709"/>
        </w:tabs>
        <w:ind w:left="709" w:hanging="709"/>
      </w:pPr>
      <w:rPr>
        <w:rFonts w:cs="Times New Roman"/>
      </w:rPr>
    </w:lvl>
  </w:abstractNum>
  <w:abstractNum w:abstractNumId="23">
    <w:nsid w:val="6E9B7988"/>
    <w:multiLevelType w:val="multilevel"/>
    <w:tmpl w:val="646E578A"/>
    <w:lvl w:ilvl="0">
      <w:start w:val="1"/>
      <w:numFmt w:val="decimal"/>
      <w:lvlText w:val="%1"/>
      <w:lvlJc w:val="left"/>
      <w:pPr>
        <w:ind w:left="432" w:hanging="432"/>
      </w:pPr>
      <w:rPr>
        <w:rFonts w:ascii="Times New Roman" w:hAnsi="Times New Roman" w:cs="Times New Roman" w:hint="default"/>
        <w:b/>
        <w:sz w:val="24"/>
        <w:szCs w:val="24"/>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nsid w:val="70BD45F7"/>
    <w:multiLevelType w:val="hybridMultilevel"/>
    <w:tmpl w:val="6D943D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72796D4C"/>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nsid w:val="75C26F71"/>
    <w:multiLevelType w:val="multilevel"/>
    <w:tmpl w:val="E01E7708"/>
    <w:name w:val="Heading"/>
    <w:lvl w:ilvl="0">
      <w:start w:val="1"/>
      <w:numFmt w:val="decimal"/>
      <w:lvlRestart w:val="0"/>
      <w:pStyle w:val="ListNumber"/>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7">
    <w:nsid w:val="75D41756"/>
    <w:multiLevelType w:val="hybridMultilevel"/>
    <w:tmpl w:val="D3BAF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BE95D7F"/>
    <w:multiLevelType w:val="multilevel"/>
    <w:tmpl w:val="F126F780"/>
    <w:name w:val="Point"/>
    <w:lvl w:ilvl="0">
      <w:start w:val="1"/>
      <w:numFmt w:val="decimal"/>
      <w:lvlRestart w:val="0"/>
      <w:pStyle w:val="ListNumber2"/>
      <w:lvlText w:val="(%1)"/>
      <w:lvlJc w:val="left"/>
      <w:pPr>
        <w:tabs>
          <w:tab w:val="num" w:pos="850"/>
        </w:tabs>
        <w:ind w:left="850" w:hanging="850"/>
      </w:pPr>
      <w:rPr>
        <w:rFonts w:cs="Times New Roman"/>
      </w:rPr>
    </w:lvl>
    <w:lvl w:ilvl="1">
      <w:start w:val="1"/>
      <w:numFmt w:val="lowerLetter"/>
      <w:lvlText w:val="(%2)"/>
      <w:lvlJc w:val="left"/>
      <w:pPr>
        <w:tabs>
          <w:tab w:val="num" w:pos="850"/>
        </w:tabs>
        <w:ind w:left="850" w:hanging="850"/>
      </w:pPr>
      <w:rPr>
        <w:rFonts w:cs="Times New Roman"/>
      </w:rPr>
    </w:lvl>
    <w:lvl w:ilvl="2">
      <w:start w:val="1"/>
      <w:numFmt w:val="decimal"/>
      <w:lvlText w:val="(%3)"/>
      <w:lvlJc w:val="left"/>
      <w:pPr>
        <w:tabs>
          <w:tab w:val="num" w:pos="1417"/>
        </w:tabs>
        <w:ind w:left="1417" w:hanging="567"/>
      </w:pPr>
      <w:rPr>
        <w:rFonts w:cs="Times New Roman"/>
      </w:rPr>
    </w:lvl>
    <w:lvl w:ilvl="3">
      <w:start w:val="1"/>
      <w:numFmt w:val="lowerLetter"/>
      <w:lvlText w:val="(%4)"/>
      <w:lvlJc w:val="left"/>
      <w:pPr>
        <w:tabs>
          <w:tab w:val="num" w:pos="1417"/>
        </w:tabs>
        <w:ind w:left="1417" w:hanging="567"/>
      </w:pPr>
      <w:rPr>
        <w:rFonts w:cs="Times New Roman"/>
      </w:rPr>
    </w:lvl>
    <w:lvl w:ilvl="4">
      <w:start w:val="1"/>
      <w:numFmt w:val="decimal"/>
      <w:lvlText w:val="(%5)"/>
      <w:lvlJc w:val="left"/>
      <w:pPr>
        <w:tabs>
          <w:tab w:val="num" w:pos="1984"/>
        </w:tabs>
        <w:ind w:left="1984" w:hanging="567"/>
      </w:pPr>
      <w:rPr>
        <w:rFonts w:cs="Times New Roman"/>
      </w:rPr>
    </w:lvl>
    <w:lvl w:ilvl="5">
      <w:start w:val="1"/>
      <w:numFmt w:val="lowerLetter"/>
      <w:lvlText w:val="(%6)"/>
      <w:lvlJc w:val="left"/>
      <w:pPr>
        <w:tabs>
          <w:tab w:val="num" w:pos="1984"/>
        </w:tabs>
        <w:ind w:left="1984" w:hanging="567"/>
      </w:pPr>
      <w:rPr>
        <w:rFonts w:cs="Times New Roman"/>
      </w:rPr>
    </w:lvl>
    <w:lvl w:ilvl="6">
      <w:start w:val="1"/>
      <w:numFmt w:val="decimal"/>
      <w:lvlText w:val="(%7)"/>
      <w:lvlJc w:val="left"/>
      <w:pPr>
        <w:tabs>
          <w:tab w:val="num" w:pos="2551"/>
        </w:tabs>
        <w:ind w:left="2551" w:hanging="567"/>
      </w:pPr>
      <w:rPr>
        <w:rFonts w:cs="Times New Roman"/>
      </w:rPr>
    </w:lvl>
    <w:lvl w:ilvl="7">
      <w:start w:val="1"/>
      <w:numFmt w:val="lowerLetter"/>
      <w:lvlText w:val="(%8)"/>
      <w:lvlJc w:val="left"/>
      <w:pPr>
        <w:tabs>
          <w:tab w:val="num" w:pos="2551"/>
        </w:tabs>
        <w:ind w:left="2551" w:hanging="567"/>
      </w:pPr>
      <w:rPr>
        <w:rFonts w:cs="Times New Roman"/>
      </w:rPr>
    </w:lvl>
    <w:lvl w:ilvl="8">
      <w:start w:val="1"/>
      <w:numFmt w:val="lowerLetter"/>
      <w:lvlText w:val="(%9)"/>
      <w:lvlJc w:val="left"/>
      <w:pPr>
        <w:tabs>
          <w:tab w:val="num" w:pos="3118"/>
        </w:tabs>
        <w:ind w:left="3118" w:hanging="567"/>
      </w:pPr>
      <w:rPr>
        <w:rFonts w:cs="Times New Roman"/>
      </w:rPr>
    </w:lvl>
  </w:abstractNum>
  <w:abstractNum w:abstractNumId="29">
    <w:nsid w:val="7CBE4812"/>
    <w:multiLevelType w:val="singleLevel"/>
    <w:tmpl w:val="23C821E4"/>
    <w:lvl w:ilvl="0">
      <w:start w:val="1"/>
      <w:numFmt w:val="decimal"/>
      <w:lvlRestart w:val="0"/>
      <w:pStyle w:val="Considrant"/>
      <w:lvlText w:val="(%1)"/>
      <w:lvlJc w:val="left"/>
      <w:pPr>
        <w:tabs>
          <w:tab w:val="num" w:pos="709"/>
        </w:tabs>
        <w:ind w:left="709" w:hanging="709"/>
      </w:pPr>
    </w:lvl>
  </w:abstractNum>
  <w:num w:numId="1">
    <w:abstractNumId w:val="26"/>
  </w:num>
  <w:num w:numId="2">
    <w:abstractNumId w:val="28"/>
  </w:num>
  <w:num w:numId="3">
    <w:abstractNumId w:val="12"/>
  </w:num>
  <w:num w:numId="4">
    <w:abstractNumId w:val="4"/>
  </w:num>
  <w:num w:numId="5">
    <w:abstractNumId w:val="19"/>
  </w:num>
  <w:num w:numId="6">
    <w:abstractNumId w:val="18"/>
  </w:num>
  <w:num w:numId="7">
    <w:abstractNumId w:val="10"/>
  </w:num>
  <w:num w:numId="8">
    <w:abstractNumId w:val="22"/>
  </w:num>
  <w:num w:numId="9">
    <w:abstractNumId w:val="20"/>
  </w:num>
  <w:num w:numId="10">
    <w:abstractNumId w:val="17"/>
  </w:num>
  <w:num w:numId="11">
    <w:abstractNumId w:val="7"/>
  </w:num>
  <w:num w:numId="12">
    <w:abstractNumId w:val="21"/>
  </w:num>
  <w:num w:numId="13">
    <w:abstractNumId w:val="6"/>
  </w:num>
  <w:num w:numId="14">
    <w:abstractNumId w:val="8"/>
  </w:num>
  <w:num w:numId="15">
    <w:abstractNumId w:val="3"/>
  </w:num>
  <w:num w:numId="16">
    <w:abstractNumId w:val="2"/>
  </w:num>
  <w:num w:numId="17">
    <w:abstractNumId w:val="9"/>
  </w:num>
  <w:num w:numId="18">
    <w:abstractNumId w:val="15"/>
  </w:num>
  <w:num w:numId="19">
    <w:abstractNumId w:val="16"/>
  </w:num>
  <w:num w:numId="20">
    <w:abstractNumId w:val="5"/>
  </w:num>
  <w:num w:numId="21">
    <w:abstractNumId w:val="14"/>
  </w:num>
  <w:num w:numId="22">
    <w:abstractNumId w:val="29"/>
  </w:num>
  <w:num w:numId="23">
    <w:abstractNumId w:val="1"/>
  </w:num>
  <w:num w:numId="24">
    <w:abstractNumId w:val="24"/>
  </w:num>
  <w:num w:numId="25">
    <w:abstractNumId w:val="13"/>
  </w:num>
  <w:num w:numId="26">
    <w:abstractNumId w:val="0"/>
  </w:num>
  <w:num w:numId="27">
    <w:abstractNumId w:val="25"/>
  </w:num>
  <w:num w:numId="28">
    <w:abstractNumId w:val="27"/>
  </w:num>
  <w:num w:numId="29">
    <w:abstractNumId w:val="11"/>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3ECDA04C-0C40-4269-9740-E4E665A92253"/>
    <w:docVar w:name="LW_COVERPAGE_TYPE" w:val="1"/>
    <w:docVar w:name="LW_CROSSREFERENCE" w:val="&lt;UNUSED&gt;"/>
    <w:docVar w:name="LW_DocType" w:val="NORMAL"/>
    <w:docVar w:name="LW_EMISSION" w:val="18.12.2017"/>
    <w:docVar w:name="LW_EMISSION_ISODATE" w:val="2017-12-18"/>
    <w:docVar w:name="LW_EMISSION_LOCATION" w:val="BRX"/>
    <w:docVar w:name="LW_EMISSION_PREFIX" w:val="Брюксел, "/>
    <w:docVar w:name="LW_EMISSION_SUFFIX" w:val="\u1075?."/>
    <w:docVar w:name="LW_ID_DOCTYPE_NONLW" w:val="CP-005"/>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7) 78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lt;FMT:Bold&gt;\u1054?\u1089?\u1084?\u1080? \u1076?\u1086?\u1082?\u1083?\u1072?\u1076? \u1087?\u1086? \u1095?\u1083?\u1077?\u1085? 12 \u1086?\u1090? \u1056?\u1077?\u1075?\u1083?\u1072?\u1084?\u1077?\u1085?\u1090? (\u1045?\u1048?\u1054?, \u1045?\u1074?\u1088?\u1072?\u1090?\u1086?\u1084?) \u8470? 1553/89 \u1086?\u1090?\u1085?\u1086?\u1089?\u1085?\u1086? \u1089?\u1098?\u1073?\u1080?\u1088?\u1072?\u1085?\u1077?\u1090?\u1086? \u1085?\u1072? \u1044?\u1044?\u1057? \u1080? \u1087?\u1088?\u1086?\u1094?\u1077?\u1076?\u1091?\u1088?\u1080?\u1090?\u1077? \u1079?\u1072? \u1082?\u1086?\u1085?\u1090?\u1088?\u1086?\u1083?&lt;/FMT&gt;_x000b_"/>
    <w:docVar w:name="LW_TYPE.DOC.CP" w:val="\u1044?\u1054?\u1050?\u1051?\u1040?\u1044? \u1053?\u1040? \u1050?\u1054?\u1052?\u1048?\u1057?\u1048?\u1071?\u1058?\u1040? \u1044?\u1054? \u1057?\u1066?\u1042?\u1045?\u1058?\u1040? \u1048? \u1045?\u1042?\u1056?\u1054?\u1055?\u1045?\u1049?\u1057?\u1050?\u1048?\u1071? \u1055?\u1040?\u1056?\u1051?\u1040?\u1052?\u1045?\u1053?\u1058?"/>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caption" w:uiPriority="0" w:qFormat="1"/>
    <w:lsdException w:name="footnote reference"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uiPriority w:val="9"/>
    <w:qFormat/>
    <w:pPr>
      <w:keepNext/>
      <w:numPr>
        <w:numId w:val="9"/>
      </w:numPr>
      <w:spacing w:before="360" w:after="120" w:line="240" w:lineRule="auto"/>
      <w:jc w:val="both"/>
      <w:outlineLvl w:val="0"/>
    </w:pPr>
    <w:rPr>
      <w:rFonts w:ascii="Times New Roman" w:eastAsia="Times New Roman" w:hAnsi="Times New Roman" w:cs="Times New Roman"/>
      <w:b/>
      <w:bCs/>
      <w:caps/>
      <w:sz w:val="24"/>
      <w:szCs w:val="28"/>
    </w:rPr>
  </w:style>
  <w:style w:type="paragraph" w:styleId="Heading2">
    <w:name w:val="heading 2"/>
    <w:basedOn w:val="Normal"/>
    <w:next w:val="Text1"/>
    <w:link w:val="Heading2Char"/>
    <w:uiPriority w:val="9"/>
    <w:unhideWhenUsed/>
    <w:qFormat/>
    <w:pPr>
      <w:keepNext/>
      <w:numPr>
        <w:ilvl w:val="1"/>
        <w:numId w:val="9"/>
      </w:numPr>
      <w:spacing w:before="120" w:after="120" w:line="240" w:lineRule="auto"/>
      <w:jc w:val="both"/>
      <w:outlineLvl w:val="1"/>
    </w:pPr>
    <w:rPr>
      <w:rFonts w:ascii="Times New Roman" w:eastAsia="Times New Roman" w:hAnsi="Times New Roman" w:cs="Times New Roman"/>
      <w:b/>
      <w:bCs/>
      <w:sz w:val="24"/>
    </w:rPr>
  </w:style>
  <w:style w:type="paragraph" w:styleId="Heading3">
    <w:name w:val="heading 3"/>
    <w:basedOn w:val="Normal"/>
    <w:next w:val="Text1"/>
    <w:link w:val="Heading3Char"/>
    <w:uiPriority w:val="9"/>
    <w:unhideWhenUsed/>
    <w:qFormat/>
    <w:pPr>
      <w:keepNext/>
      <w:numPr>
        <w:ilvl w:val="2"/>
        <w:numId w:val="9"/>
      </w:numPr>
      <w:spacing w:before="120" w:after="120" w:line="240" w:lineRule="auto"/>
      <w:jc w:val="both"/>
      <w:outlineLvl w:val="2"/>
    </w:pPr>
    <w:rPr>
      <w:rFonts w:ascii="Times New Roman" w:eastAsia="Times New Roman" w:hAnsi="Times New Roman" w:cs="Times New Roman"/>
      <w:bCs/>
      <w:i/>
      <w:sz w:val="24"/>
      <w:szCs w:val="20"/>
    </w:rPr>
  </w:style>
  <w:style w:type="paragraph" w:styleId="Heading4">
    <w:name w:val="heading 4"/>
    <w:basedOn w:val="Normal"/>
    <w:next w:val="Text1"/>
    <w:link w:val="Heading4Char"/>
    <w:uiPriority w:val="9"/>
    <w:semiHidden/>
    <w:unhideWhenUsed/>
    <w:qFormat/>
    <w:pPr>
      <w:keepNext/>
      <w:numPr>
        <w:ilvl w:val="3"/>
        <w:numId w:val="9"/>
      </w:numPr>
      <w:spacing w:before="120" w:after="120" w:line="240" w:lineRule="auto"/>
      <w:jc w:val="both"/>
      <w:outlineLvl w:val="3"/>
    </w:pPr>
    <w:rPr>
      <w:rFonts w:ascii="Times New Roman" w:eastAsia="Times New Roman" w:hAnsi="Times New Roman" w:cs="Times New Roman"/>
      <w:bCs/>
      <w:iCs/>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eastAsia="Times New Roman" w:hAnsi="Times New Roman" w:cs="Times New Roman"/>
      <w:b/>
      <w:bCs/>
      <w:caps/>
      <w:sz w:val="24"/>
      <w:szCs w:val="28"/>
      <w:lang w:eastAsia="bg-BG"/>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lang w:eastAsia="bg-BG"/>
    </w:rPr>
  </w:style>
  <w:style w:type="character" w:customStyle="1" w:styleId="Heading3Char">
    <w:name w:val="Heading 3 Char"/>
    <w:basedOn w:val="DefaultParagraphFont"/>
    <w:link w:val="Heading3"/>
    <w:uiPriority w:val="9"/>
    <w:rPr>
      <w:rFonts w:ascii="Times New Roman" w:eastAsia="Times New Roman" w:hAnsi="Times New Roman" w:cs="Times New Roman"/>
      <w:bCs/>
      <w:i/>
      <w:sz w:val="24"/>
      <w:szCs w:val="20"/>
      <w:lang w:eastAsia="bg-BG"/>
    </w:rPr>
  </w:style>
  <w:style w:type="character" w:customStyle="1" w:styleId="Heading4Char">
    <w:name w:val="Heading 4 Char"/>
    <w:basedOn w:val="DefaultParagraphFont"/>
    <w:link w:val="Heading4"/>
    <w:uiPriority w:val="9"/>
    <w:semiHidden/>
    <w:rPr>
      <w:rFonts w:ascii="Times New Roman" w:eastAsia="Times New Roman" w:hAnsi="Times New Roman" w:cs="Times New Roman"/>
      <w:bCs/>
      <w:iCs/>
      <w:sz w:val="24"/>
      <w:szCs w:val="20"/>
      <w:lang w:eastAsia="bg-BG"/>
    </w:rPr>
  </w:style>
  <w:style w:type="character" w:styleId="Hyperlink">
    <w:name w:val="Hyperlink"/>
    <w:uiPriority w:val="99"/>
    <w:rPr>
      <w:color w:val="0000FF"/>
      <w:u w:val="single"/>
    </w:rPr>
  </w:style>
  <w:style w:type="paragraph" w:customStyle="1" w:styleId="ZCom">
    <w:name w:val="Z_Com"/>
    <w:basedOn w:val="Normal"/>
    <w:next w:val="ZDGName"/>
    <w:pPr>
      <w:widowControl w:val="0"/>
      <w:spacing w:after="0" w:line="240" w:lineRule="auto"/>
      <w:ind w:right="85"/>
      <w:jc w:val="both"/>
    </w:pPr>
    <w:rPr>
      <w:rFonts w:ascii="Arial" w:eastAsia="Times New Roman" w:hAnsi="Arial" w:cs="Times New Roman"/>
      <w:sz w:val="24"/>
      <w:szCs w:val="20"/>
    </w:rPr>
  </w:style>
  <w:style w:type="paragraph" w:customStyle="1" w:styleId="ZDGName">
    <w:name w:val="Z_DGName"/>
    <w:basedOn w:val="Normal"/>
    <w:pPr>
      <w:widowControl w:val="0"/>
      <w:spacing w:after="0" w:line="240" w:lineRule="auto"/>
      <w:ind w:right="85"/>
      <w:jc w:val="both"/>
    </w:pPr>
    <w:rPr>
      <w:rFonts w:ascii="Arial" w:eastAsia="Times New Roman" w:hAnsi="Arial" w:cs="Times New Roman"/>
      <w:sz w:val="16"/>
      <w:szCs w:val="20"/>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Number">
    <w:name w:val="List Number"/>
    <w:basedOn w:val="Normal"/>
    <w:uiPriority w:val="99"/>
    <w:pPr>
      <w:numPr>
        <w:numId w:val="1"/>
      </w:numPr>
      <w:spacing w:before="120" w:after="120" w:line="240" w:lineRule="auto"/>
      <w:ind w:left="360" w:hanging="360"/>
      <w:contextualSpacing/>
      <w:jc w:val="both"/>
    </w:pPr>
    <w:rPr>
      <w:rFonts w:ascii="Times New Roman" w:eastAsia="Times New Roman" w:hAnsi="Times New Roman" w:cs="Times New Roman"/>
      <w:sz w:val="24"/>
      <w:szCs w:val="20"/>
    </w:rPr>
  </w:style>
  <w:style w:type="paragraph" w:styleId="ListNumber2">
    <w:name w:val="List Number 2"/>
    <w:basedOn w:val="Normal"/>
    <w:uiPriority w:val="99"/>
    <w:pPr>
      <w:numPr>
        <w:numId w:val="2"/>
      </w:numPr>
      <w:tabs>
        <w:tab w:val="num" w:pos="643"/>
      </w:tabs>
      <w:spacing w:before="120" w:after="120" w:line="240" w:lineRule="auto"/>
      <w:ind w:left="643" w:hanging="360"/>
      <w:contextualSpacing/>
      <w:jc w:val="both"/>
    </w:pPr>
    <w:rPr>
      <w:rFonts w:ascii="Times New Roman" w:eastAsia="Times New Roman" w:hAnsi="Times New Roman" w:cs="Times New Roman"/>
      <w:sz w:val="24"/>
      <w:szCs w:val="20"/>
    </w:rPr>
  </w:style>
  <w:style w:type="paragraph" w:styleId="ListNumber3">
    <w:name w:val="List Number 3"/>
    <w:basedOn w:val="Normal"/>
    <w:uiPriority w:val="99"/>
    <w:pPr>
      <w:numPr>
        <w:numId w:val="3"/>
      </w:numPr>
      <w:tabs>
        <w:tab w:val="num" w:pos="926"/>
      </w:tabs>
      <w:spacing w:before="120" w:after="120" w:line="240" w:lineRule="auto"/>
      <w:ind w:left="926" w:hanging="360"/>
      <w:contextualSpacing/>
      <w:jc w:val="both"/>
    </w:pPr>
    <w:rPr>
      <w:rFonts w:ascii="Times New Roman" w:eastAsia="Times New Roman" w:hAnsi="Times New Roman" w:cs="Times New Roman"/>
      <w:sz w:val="24"/>
      <w:szCs w:val="20"/>
    </w:rPr>
  </w:style>
  <w:style w:type="paragraph" w:styleId="ListNumber4">
    <w:name w:val="List Number 4"/>
    <w:basedOn w:val="Normal"/>
    <w:uiPriority w:val="99"/>
    <w:pPr>
      <w:numPr>
        <w:numId w:val="4"/>
      </w:numPr>
      <w:tabs>
        <w:tab w:val="num" w:pos="1209"/>
      </w:tabs>
      <w:spacing w:before="120" w:after="120" w:line="240" w:lineRule="auto"/>
      <w:ind w:left="1209" w:hanging="360"/>
      <w:contextualSpacing/>
      <w:jc w:val="both"/>
    </w:pPr>
    <w:rPr>
      <w:rFonts w:ascii="Times New Roman" w:eastAsia="Times New Roman" w:hAnsi="Times New Roman" w:cs="Times New Roman"/>
      <w:sz w:val="24"/>
      <w:szCs w:val="20"/>
    </w:rPr>
  </w:style>
  <w:style w:type="paragraph" w:styleId="ListBullet">
    <w:name w:val="List Bullet"/>
    <w:basedOn w:val="Normal"/>
    <w:uiPriority w:val="99"/>
    <w:pPr>
      <w:numPr>
        <w:numId w:val="5"/>
      </w:numPr>
      <w:spacing w:before="120" w:after="120" w:line="240" w:lineRule="auto"/>
      <w:ind w:left="360" w:hanging="360"/>
      <w:contextualSpacing/>
      <w:jc w:val="both"/>
    </w:pPr>
    <w:rPr>
      <w:rFonts w:ascii="Times New Roman" w:eastAsia="Times New Roman" w:hAnsi="Times New Roman" w:cs="Times New Roman"/>
      <w:sz w:val="24"/>
      <w:szCs w:val="20"/>
    </w:rPr>
  </w:style>
  <w:style w:type="paragraph" w:styleId="ListBullet2">
    <w:name w:val="List Bullet 2"/>
    <w:basedOn w:val="Normal"/>
    <w:uiPriority w:val="99"/>
    <w:pPr>
      <w:numPr>
        <w:numId w:val="6"/>
      </w:numPr>
      <w:tabs>
        <w:tab w:val="num" w:pos="643"/>
      </w:tabs>
      <w:spacing w:before="120" w:after="120" w:line="240" w:lineRule="auto"/>
      <w:ind w:left="643" w:hanging="360"/>
      <w:contextualSpacing/>
      <w:jc w:val="both"/>
    </w:pPr>
    <w:rPr>
      <w:rFonts w:ascii="Times New Roman" w:eastAsia="Times New Roman" w:hAnsi="Times New Roman" w:cs="Times New Roman"/>
      <w:sz w:val="24"/>
      <w:szCs w:val="20"/>
    </w:rPr>
  </w:style>
  <w:style w:type="paragraph" w:styleId="ListBullet3">
    <w:name w:val="List Bullet 3"/>
    <w:basedOn w:val="Normal"/>
    <w:uiPriority w:val="99"/>
    <w:pPr>
      <w:numPr>
        <w:numId w:val="7"/>
      </w:numPr>
      <w:tabs>
        <w:tab w:val="num" w:pos="926"/>
      </w:tabs>
      <w:spacing w:before="120" w:after="120" w:line="240" w:lineRule="auto"/>
      <w:ind w:left="926" w:hanging="360"/>
      <w:contextualSpacing/>
      <w:jc w:val="both"/>
    </w:pPr>
    <w:rPr>
      <w:rFonts w:ascii="Times New Roman" w:eastAsia="Times New Roman" w:hAnsi="Times New Roman" w:cs="Times New Roman"/>
      <w:sz w:val="24"/>
      <w:szCs w:val="20"/>
    </w:rPr>
  </w:style>
  <w:style w:type="paragraph" w:styleId="ListBullet4">
    <w:name w:val="List Bullet 4"/>
    <w:basedOn w:val="Normal"/>
    <w:uiPriority w:val="99"/>
    <w:pPr>
      <w:numPr>
        <w:numId w:val="8"/>
      </w:numPr>
      <w:tabs>
        <w:tab w:val="num" w:pos="1209"/>
      </w:tabs>
      <w:spacing w:before="120" w:after="120" w:line="240" w:lineRule="auto"/>
      <w:ind w:left="1209" w:hanging="360"/>
      <w:contextualSpacing/>
      <w:jc w:val="both"/>
    </w:pPr>
    <w:rPr>
      <w:rFonts w:ascii="Times New Roman" w:eastAsia="Times New Roman" w:hAnsi="Times New Roman" w:cs="Times New Roman"/>
      <w:sz w:val="24"/>
      <w:szCs w:val="20"/>
    </w:rPr>
  </w:style>
  <w:style w:type="paragraph" w:styleId="BalloonText">
    <w:name w:val="Balloon Text"/>
    <w:basedOn w:val="Normal"/>
    <w:link w:val="BalloonTextChar"/>
    <w:uiPriority w:val="99"/>
    <w:pPr>
      <w:spacing w:after="0" w:line="240" w:lineRule="auto"/>
      <w:jc w:val="both"/>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Pr>
      <w:rFonts w:ascii="Tahoma" w:eastAsia="Times New Roman" w:hAnsi="Tahoma" w:cs="Tahoma"/>
      <w:sz w:val="16"/>
      <w:szCs w:val="16"/>
      <w:lang w:eastAsia="bg-BG"/>
    </w:rPr>
  </w:style>
  <w:style w:type="paragraph" w:styleId="EndnoteText">
    <w:name w:val="endnote text"/>
    <w:basedOn w:val="Normal"/>
    <w:link w:val="EndnoteTextChar"/>
    <w:uiPriority w:val="99"/>
    <w:pPr>
      <w:spacing w:before="120" w:after="120" w:line="240" w:lineRule="auto"/>
      <w:jc w:val="both"/>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rPr>
      <w:rFonts w:ascii="Times New Roman" w:eastAsia="Times New Roman" w:hAnsi="Times New Roman" w:cs="Times New Roman"/>
      <w:sz w:val="20"/>
      <w:szCs w:val="20"/>
      <w:lang w:eastAsia="bg-BG"/>
    </w:rPr>
  </w:style>
  <w:style w:type="character" w:styleId="EndnoteReference">
    <w:name w:val="endnote reference"/>
    <w:uiPriority w:val="99"/>
    <w:rPr>
      <w:vertAlign w:val="superscript"/>
    </w:rPr>
  </w:style>
  <w:style w:type="paragraph" w:styleId="Caption">
    <w:name w:val="caption"/>
    <w:basedOn w:val="Normal"/>
    <w:next w:val="Normal"/>
    <w:unhideWhenUsed/>
    <w:qFormat/>
    <w:pPr>
      <w:spacing w:before="120" w:after="120" w:line="240" w:lineRule="auto"/>
      <w:jc w:val="both"/>
    </w:pPr>
    <w:rPr>
      <w:rFonts w:ascii="Times New Roman" w:eastAsia="Times New Roman" w:hAnsi="Times New Roman" w:cs="Times New Roman"/>
      <w:b/>
      <w:bCs/>
      <w:sz w:val="20"/>
      <w:szCs w:val="20"/>
    </w:rPr>
  </w:style>
  <w:style w:type="paragraph" w:styleId="TableofFigures">
    <w:name w:val="table of figures"/>
    <w:basedOn w:val="Normal"/>
    <w:next w:val="Normal"/>
    <w:uiPriority w:val="99"/>
    <w:pPr>
      <w:spacing w:before="120" w:after="120" w:line="240" w:lineRule="auto"/>
      <w:jc w:val="both"/>
    </w:pPr>
    <w:rPr>
      <w:rFonts w:ascii="Times New Roman" w:eastAsia="Times New Roman" w:hAnsi="Times New Roman" w:cs="Times New Roman"/>
      <w:sz w:val="24"/>
      <w:szCs w:val="20"/>
    </w:rPr>
  </w:style>
  <w:style w:type="character" w:styleId="CommentReference">
    <w:name w:val="annotation reference"/>
    <w:uiPriority w:val="99"/>
    <w:qFormat/>
    <w:rPr>
      <w:sz w:val="16"/>
      <w:szCs w:val="16"/>
    </w:rPr>
  </w:style>
  <w:style w:type="paragraph" w:styleId="CommentText">
    <w:name w:val="annotation text"/>
    <w:basedOn w:val="Normal"/>
    <w:link w:val="CommentTextChar"/>
    <w:uiPriority w:val="99"/>
    <w:qFormat/>
    <w:pPr>
      <w:spacing w:before="120" w:after="120" w:line="240" w:lineRule="auto"/>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sz w:val="20"/>
      <w:szCs w:val="20"/>
      <w:lang w:eastAsia="bg-BG"/>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eastAsia="bg-BG"/>
    </w:rPr>
  </w:style>
  <w:style w:type="paragraph" w:styleId="FootnoteText">
    <w:name w:val="footnote text"/>
    <w:aliases w:val="fn,footnote text,Footnotes,Footnote ak,fn Char,footnote text Char,Footnotes Char,Footnote ak Char,ft,fn cafc,Footnotes Char Char,Footnote Text Char Char,fn Char Char,footnote text Char Char Char Ch,fn1,footnote text1,ft1,Car,Fußnotentextf"/>
    <w:basedOn w:val="Normal"/>
    <w:link w:val="FootnoteTextChar"/>
    <w:uiPriority w:val="99"/>
    <w:unhideWhenUsed/>
    <w:qFormat/>
    <w:pPr>
      <w:keepNext/>
      <w:keepLines/>
      <w:pageBreakBefore/>
      <w:spacing w:after="0" w:line="240" w:lineRule="auto"/>
      <w:ind w:left="720" w:hanging="720"/>
      <w:jc w:val="both"/>
    </w:pPr>
    <w:rPr>
      <w:rFonts w:ascii="Times New Roman" w:eastAsia="Times New Roman" w:hAnsi="Times New Roman" w:cs="Times New Roman"/>
      <w:sz w:val="20"/>
      <w:szCs w:val="20"/>
    </w:rPr>
  </w:style>
  <w:style w:type="character" w:customStyle="1" w:styleId="FootnoteTextChar">
    <w:name w:val="Footnote Text Char"/>
    <w:aliases w:val="fn Char1,footnote text Char1,Footnotes Char1,Footnote ak Char1,fn Char Char1,footnote text Char Char,Footnotes Char Char1,Footnote ak Char Char,ft Char,fn cafc Char,Footnotes Char Char Char,Footnote Text Char Char Char,fn1 Char"/>
    <w:basedOn w:val="DefaultParagraphFont"/>
    <w:link w:val="FootnoteText"/>
    <w:uiPriority w:val="99"/>
    <w:rPr>
      <w:rFonts w:ascii="Times New Roman" w:eastAsia="Times New Roman" w:hAnsi="Times New Roman" w:cs="Times New Roman"/>
      <w:sz w:val="20"/>
      <w:szCs w:val="20"/>
      <w:lang w:eastAsia="bg-BG"/>
    </w:rPr>
  </w:style>
  <w:style w:type="paragraph" w:styleId="TOCHeading">
    <w:name w:val="TOC Heading"/>
    <w:basedOn w:val="Normal"/>
    <w:next w:val="Normal"/>
    <w:uiPriority w:val="39"/>
    <w:semiHidden/>
    <w:unhideWhenUsed/>
    <w:qFormat/>
    <w:pPr>
      <w:spacing w:before="120" w:after="240" w:line="240" w:lineRule="auto"/>
      <w:jc w:val="center"/>
    </w:pPr>
    <w:rPr>
      <w:rFonts w:ascii="Times New Roman" w:eastAsia="Times New Roman" w:hAnsi="Times New Roman" w:cs="Times New Roman"/>
      <w:b/>
      <w:sz w:val="28"/>
      <w:szCs w:val="20"/>
    </w:rPr>
  </w:style>
  <w:style w:type="paragraph" w:styleId="TOC1">
    <w:name w:val="toc 1"/>
    <w:basedOn w:val="Normal"/>
    <w:next w:val="Normal"/>
    <w:uiPriority w:val="39"/>
    <w:unhideWhenUsed/>
    <w:qFormat/>
    <w:pPr>
      <w:tabs>
        <w:tab w:val="right" w:leader="dot" w:pos="9071"/>
      </w:tabs>
      <w:spacing w:before="60" w:after="120" w:line="240" w:lineRule="auto"/>
      <w:ind w:left="850" w:hanging="850"/>
    </w:pPr>
    <w:rPr>
      <w:rFonts w:ascii="Times New Roman" w:eastAsia="Times New Roman" w:hAnsi="Times New Roman" w:cs="Times New Roman"/>
      <w:sz w:val="24"/>
      <w:szCs w:val="20"/>
    </w:rPr>
  </w:style>
  <w:style w:type="paragraph" w:styleId="TOC2">
    <w:name w:val="toc 2"/>
    <w:basedOn w:val="Normal"/>
    <w:next w:val="Normal"/>
    <w:uiPriority w:val="39"/>
    <w:unhideWhenUsed/>
    <w:qFormat/>
    <w:pPr>
      <w:tabs>
        <w:tab w:val="right" w:leader="dot" w:pos="9071"/>
      </w:tabs>
      <w:spacing w:before="60" w:after="120" w:line="240" w:lineRule="auto"/>
      <w:ind w:left="850" w:hanging="850"/>
    </w:pPr>
    <w:rPr>
      <w:rFonts w:ascii="Times New Roman" w:eastAsia="Times New Roman" w:hAnsi="Times New Roman" w:cs="Times New Roman"/>
      <w:sz w:val="24"/>
      <w:szCs w:val="20"/>
    </w:rPr>
  </w:style>
  <w:style w:type="paragraph" w:styleId="TOC3">
    <w:name w:val="toc 3"/>
    <w:basedOn w:val="Normal"/>
    <w:next w:val="Normal"/>
    <w:uiPriority w:val="39"/>
    <w:unhideWhenUsed/>
    <w:qFormat/>
    <w:pPr>
      <w:tabs>
        <w:tab w:val="right" w:leader="dot" w:pos="9071"/>
      </w:tabs>
      <w:spacing w:before="60" w:after="120" w:line="240" w:lineRule="auto"/>
      <w:ind w:left="850" w:hanging="850"/>
    </w:pPr>
    <w:rPr>
      <w:rFonts w:ascii="Times New Roman" w:eastAsia="Times New Roman" w:hAnsi="Times New Roman" w:cs="Times New Roman"/>
      <w:sz w:val="24"/>
      <w:szCs w:val="20"/>
    </w:rPr>
  </w:style>
  <w:style w:type="paragraph" w:styleId="TOC4">
    <w:name w:val="toc 4"/>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szCs w:val="20"/>
    </w:rPr>
  </w:style>
  <w:style w:type="paragraph" w:styleId="TOC5">
    <w:name w:val="toc 5"/>
    <w:basedOn w:val="Normal"/>
    <w:next w:val="Normal"/>
    <w:uiPriority w:val="39"/>
    <w:semiHidden/>
    <w:unhideWhenUsed/>
    <w:pPr>
      <w:tabs>
        <w:tab w:val="right" w:leader="dot" w:pos="9071"/>
      </w:tabs>
      <w:spacing w:before="300" w:after="120" w:line="240" w:lineRule="auto"/>
    </w:pPr>
    <w:rPr>
      <w:rFonts w:ascii="Times New Roman" w:eastAsia="Times New Roman" w:hAnsi="Times New Roman" w:cs="Times New Roman"/>
      <w:sz w:val="24"/>
      <w:szCs w:val="20"/>
    </w:rPr>
  </w:style>
  <w:style w:type="paragraph" w:styleId="TOC6">
    <w:name w:val="toc 6"/>
    <w:basedOn w:val="Normal"/>
    <w:next w:val="Normal"/>
    <w:uiPriority w:val="39"/>
    <w:semiHidden/>
    <w:unhideWhenUsed/>
    <w:pPr>
      <w:tabs>
        <w:tab w:val="right" w:leader="dot" w:pos="9071"/>
      </w:tabs>
      <w:spacing w:before="240" w:after="120" w:line="240" w:lineRule="auto"/>
    </w:pPr>
    <w:rPr>
      <w:rFonts w:ascii="Times New Roman" w:eastAsia="Times New Roman" w:hAnsi="Times New Roman" w:cs="Times New Roman"/>
      <w:sz w:val="24"/>
      <w:szCs w:val="20"/>
    </w:rPr>
  </w:style>
  <w:style w:type="paragraph" w:styleId="TOC7">
    <w:name w:val="toc 7"/>
    <w:basedOn w:val="Normal"/>
    <w:next w:val="Normal"/>
    <w:uiPriority w:val="39"/>
    <w:semiHidden/>
    <w:unhideWhenUsed/>
    <w:pPr>
      <w:tabs>
        <w:tab w:val="right" w:leader="dot" w:pos="9071"/>
      </w:tabs>
      <w:spacing w:before="180" w:after="120" w:line="240" w:lineRule="auto"/>
    </w:pPr>
    <w:rPr>
      <w:rFonts w:ascii="Times New Roman" w:eastAsia="Times New Roman" w:hAnsi="Times New Roman" w:cs="Times New Roman"/>
      <w:sz w:val="24"/>
      <w:szCs w:val="20"/>
    </w:rPr>
  </w:style>
  <w:style w:type="paragraph" w:styleId="TOC8">
    <w:name w:val="toc 8"/>
    <w:basedOn w:val="Normal"/>
    <w:next w:val="Normal"/>
    <w:uiPriority w:val="39"/>
    <w:semiHidden/>
    <w:unhideWhenUsed/>
    <w:pPr>
      <w:tabs>
        <w:tab w:val="right" w:leader="dot" w:pos="9071"/>
      </w:tabs>
      <w:spacing w:before="120" w:after="120" w:line="240" w:lineRule="auto"/>
    </w:pPr>
    <w:rPr>
      <w:rFonts w:ascii="Times New Roman" w:eastAsia="Times New Roman" w:hAnsi="Times New Roman" w:cs="Times New Roman"/>
      <w:sz w:val="24"/>
      <w:szCs w:val="20"/>
    </w:rPr>
  </w:style>
  <w:style w:type="paragraph" w:styleId="TOC9">
    <w:name w:val="toc 9"/>
    <w:basedOn w:val="Normal"/>
    <w:next w:val="Normal"/>
    <w:uiPriority w:val="39"/>
    <w:semiHidden/>
    <w:unhideWhenUsed/>
    <w:pPr>
      <w:tabs>
        <w:tab w:val="right" w:leader="dot" w:pos="9071"/>
      </w:tabs>
      <w:spacing w:before="120" w:after="120" w:line="240" w:lineRule="auto"/>
      <w:jc w:val="both"/>
    </w:pPr>
    <w:rPr>
      <w:rFonts w:ascii="Times New Roman" w:eastAsia="Times New Roman" w:hAnsi="Times New Roman" w:cs="Times New Roman"/>
      <w:sz w:val="24"/>
      <w:szCs w:val="20"/>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character" w:styleId="FootnoteReference">
    <w:name w:val="footnote reference"/>
    <w:aliases w:val="Ref,de nota al pie,Ref1,de nota al pie1,Ref2,de nota al pie2,Ref11,de nota al pie11, BVI fnr,BVI fnr,Footnote symbol,Footnote reference number,Times 10 Point,Exposant 3 Point,note TESI,SUPERS,EN Footnote text,number,E F,Nota,styl"/>
    <w:uiPriority w:val="99"/>
    <w:unhideWhenUsed/>
    <w:qFormat/>
    <w:rPr>
      <w:shd w:val="clear" w:color="auto" w:fill="auto"/>
      <w:vertAlign w:val="superscript"/>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0"/>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szCs w:val="20"/>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szCs w:val="20"/>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szCs w:val="20"/>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szCs w:val="20"/>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szCs w:val="20"/>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szCs w:val="20"/>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szCs w:val="20"/>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szCs w:val="20"/>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szCs w:val="20"/>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szCs w:val="20"/>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szCs w:val="20"/>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szCs w:val="20"/>
    </w:r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tabs>
        <w:tab w:val="clear" w:pos="2551"/>
        <w:tab w:val="num" w:pos="360"/>
      </w:tabs>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szCs w:val="20"/>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szCs w:val="20"/>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szCs w:val="20"/>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szCs w:val="20"/>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szCs w:val="20"/>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szCs w:val="20"/>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szCs w:val="20"/>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szCs w:val="20"/>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szCs w:val="20"/>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szCs w:val="20"/>
    </w:rPr>
  </w:style>
  <w:style w:type="paragraph" w:customStyle="1" w:styleId="NumPar1">
    <w:name w:val="NumPar 1"/>
    <w:basedOn w:val="Normal"/>
    <w:next w:val="Text1"/>
    <w:pPr>
      <w:numPr>
        <w:numId w:val="15"/>
      </w:numPr>
      <w:spacing w:before="120" w:after="120" w:line="240" w:lineRule="auto"/>
      <w:jc w:val="both"/>
    </w:pPr>
    <w:rPr>
      <w:rFonts w:ascii="Times New Roman" w:eastAsia="Times New Roman" w:hAnsi="Times New Roman" w:cs="Times New Roman"/>
      <w:sz w:val="24"/>
      <w:szCs w:val="20"/>
    </w:rPr>
  </w:style>
  <w:style w:type="paragraph" w:customStyle="1" w:styleId="NumPar2">
    <w:name w:val="NumPar 2"/>
    <w:basedOn w:val="Normal"/>
    <w:next w:val="Text1"/>
    <w:pPr>
      <w:numPr>
        <w:ilvl w:val="1"/>
        <w:numId w:val="15"/>
      </w:numPr>
      <w:spacing w:before="120" w:after="120" w:line="240" w:lineRule="auto"/>
      <w:jc w:val="both"/>
    </w:pPr>
    <w:rPr>
      <w:rFonts w:ascii="Times New Roman" w:eastAsia="Times New Roman" w:hAnsi="Times New Roman" w:cs="Times New Roman"/>
      <w:sz w:val="24"/>
      <w:szCs w:val="20"/>
    </w:rPr>
  </w:style>
  <w:style w:type="paragraph" w:customStyle="1" w:styleId="NumPar3">
    <w:name w:val="NumPar 3"/>
    <w:basedOn w:val="Normal"/>
    <w:next w:val="Text1"/>
    <w:pPr>
      <w:numPr>
        <w:ilvl w:val="2"/>
        <w:numId w:val="15"/>
      </w:numPr>
      <w:spacing w:before="120" w:after="120" w:line="240" w:lineRule="auto"/>
      <w:jc w:val="both"/>
    </w:pPr>
    <w:rPr>
      <w:rFonts w:ascii="Times New Roman" w:eastAsia="Times New Roman" w:hAnsi="Times New Roman" w:cs="Times New Roman"/>
      <w:sz w:val="24"/>
      <w:szCs w:val="20"/>
    </w:rPr>
  </w:style>
  <w:style w:type="paragraph" w:customStyle="1" w:styleId="NumPar4">
    <w:name w:val="NumPar 4"/>
    <w:basedOn w:val="Normal"/>
    <w:next w:val="Text1"/>
    <w:pPr>
      <w:numPr>
        <w:ilvl w:val="3"/>
        <w:numId w:val="15"/>
      </w:numPr>
      <w:spacing w:before="120" w:after="120" w:line="240" w:lineRule="auto"/>
      <w:jc w:val="both"/>
    </w:pPr>
    <w:rPr>
      <w:rFonts w:ascii="Times New Roman" w:eastAsia="Times New Roman" w:hAnsi="Times New Roman" w:cs="Times New Roman"/>
      <w:sz w:val="24"/>
      <w:szCs w:val="20"/>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szCs w:val="20"/>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szCs w:val="20"/>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szCs w:val="20"/>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szCs w:val="20"/>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szCs w:val="20"/>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0"/>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szCs w:val="20"/>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szCs w:val="20"/>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szCs w:val="20"/>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szCs w:val="20"/>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szCs w:val="20"/>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szCs w:val="20"/>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szCs w:val="20"/>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16"/>
      </w:numPr>
      <w:spacing w:before="120" w:after="120" w:line="240" w:lineRule="auto"/>
      <w:jc w:val="both"/>
    </w:pPr>
    <w:rPr>
      <w:rFonts w:ascii="Times New Roman" w:eastAsia="Times New Roman" w:hAnsi="Times New Roman" w:cs="Times New Roman"/>
      <w:sz w:val="24"/>
      <w:szCs w:val="20"/>
    </w:rPr>
  </w:style>
  <w:style w:type="paragraph" w:customStyle="1" w:styleId="Point1number">
    <w:name w:val="Point 1 (number)"/>
    <w:basedOn w:val="Normal"/>
    <w:pPr>
      <w:numPr>
        <w:ilvl w:val="2"/>
        <w:numId w:val="16"/>
      </w:numPr>
      <w:spacing w:before="120" w:after="120" w:line="240" w:lineRule="auto"/>
      <w:jc w:val="both"/>
    </w:pPr>
    <w:rPr>
      <w:rFonts w:ascii="Times New Roman" w:eastAsia="Times New Roman" w:hAnsi="Times New Roman" w:cs="Times New Roman"/>
      <w:sz w:val="24"/>
      <w:szCs w:val="20"/>
    </w:rPr>
  </w:style>
  <w:style w:type="paragraph" w:customStyle="1" w:styleId="Point2number">
    <w:name w:val="Point 2 (number)"/>
    <w:basedOn w:val="Normal"/>
    <w:pPr>
      <w:numPr>
        <w:ilvl w:val="4"/>
        <w:numId w:val="16"/>
      </w:numPr>
      <w:spacing w:before="120" w:after="120" w:line="240" w:lineRule="auto"/>
      <w:jc w:val="both"/>
    </w:pPr>
    <w:rPr>
      <w:rFonts w:ascii="Times New Roman" w:eastAsia="Times New Roman" w:hAnsi="Times New Roman" w:cs="Times New Roman"/>
      <w:sz w:val="24"/>
      <w:szCs w:val="20"/>
    </w:rPr>
  </w:style>
  <w:style w:type="paragraph" w:customStyle="1" w:styleId="Point3number">
    <w:name w:val="Point 3 (number)"/>
    <w:basedOn w:val="Normal"/>
    <w:pPr>
      <w:numPr>
        <w:ilvl w:val="6"/>
        <w:numId w:val="16"/>
      </w:numPr>
      <w:spacing w:before="120" w:after="120" w:line="240" w:lineRule="auto"/>
      <w:jc w:val="both"/>
    </w:pPr>
    <w:rPr>
      <w:rFonts w:ascii="Times New Roman" w:eastAsia="Times New Roman" w:hAnsi="Times New Roman" w:cs="Times New Roman"/>
      <w:sz w:val="24"/>
      <w:szCs w:val="20"/>
    </w:rPr>
  </w:style>
  <w:style w:type="paragraph" w:customStyle="1" w:styleId="Point0letter">
    <w:name w:val="Point 0 (letter)"/>
    <w:basedOn w:val="Normal"/>
    <w:pPr>
      <w:numPr>
        <w:ilvl w:val="1"/>
        <w:numId w:val="16"/>
      </w:numPr>
      <w:spacing w:before="120" w:after="120" w:line="240" w:lineRule="auto"/>
      <w:jc w:val="both"/>
    </w:pPr>
    <w:rPr>
      <w:rFonts w:ascii="Times New Roman" w:eastAsia="Times New Roman" w:hAnsi="Times New Roman" w:cs="Times New Roman"/>
      <w:sz w:val="24"/>
      <w:szCs w:val="20"/>
    </w:rPr>
  </w:style>
  <w:style w:type="paragraph" w:customStyle="1" w:styleId="Point1letter">
    <w:name w:val="Point 1 (letter)"/>
    <w:basedOn w:val="Normal"/>
    <w:pPr>
      <w:numPr>
        <w:ilvl w:val="3"/>
        <w:numId w:val="16"/>
      </w:numPr>
      <w:spacing w:before="120" w:after="120" w:line="240" w:lineRule="auto"/>
      <w:jc w:val="both"/>
    </w:pPr>
    <w:rPr>
      <w:rFonts w:ascii="Times New Roman" w:eastAsia="Times New Roman" w:hAnsi="Times New Roman" w:cs="Times New Roman"/>
      <w:sz w:val="24"/>
      <w:szCs w:val="20"/>
    </w:rPr>
  </w:style>
  <w:style w:type="paragraph" w:customStyle="1" w:styleId="Point2letter">
    <w:name w:val="Point 2 (letter)"/>
    <w:basedOn w:val="Normal"/>
    <w:pPr>
      <w:numPr>
        <w:ilvl w:val="5"/>
        <w:numId w:val="16"/>
      </w:numPr>
      <w:spacing w:before="120" w:after="120" w:line="240" w:lineRule="auto"/>
      <w:jc w:val="both"/>
    </w:pPr>
    <w:rPr>
      <w:rFonts w:ascii="Times New Roman" w:eastAsia="Times New Roman" w:hAnsi="Times New Roman" w:cs="Times New Roman"/>
      <w:sz w:val="24"/>
      <w:szCs w:val="20"/>
    </w:rPr>
  </w:style>
  <w:style w:type="paragraph" w:customStyle="1" w:styleId="Point3letter">
    <w:name w:val="Point 3 (letter)"/>
    <w:basedOn w:val="Normal"/>
    <w:pPr>
      <w:numPr>
        <w:ilvl w:val="7"/>
        <w:numId w:val="16"/>
      </w:numPr>
      <w:spacing w:before="120" w:after="120" w:line="240" w:lineRule="auto"/>
      <w:jc w:val="both"/>
    </w:pPr>
    <w:rPr>
      <w:rFonts w:ascii="Times New Roman" w:eastAsia="Times New Roman" w:hAnsi="Times New Roman" w:cs="Times New Roman"/>
      <w:sz w:val="24"/>
      <w:szCs w:val="20"/>
    </w:rPr>
  </w:style>
  <w:style w:type="paragraph" w:customStyle="1" w:styleId="Point4letter">
    <w:name w:val="Point 4 (letter)"/>
    <w:basedOn w:val="Normal"/>
    <w:pPr>
      <w:numPr>
        <w:ilvl w:val="8"/>
        <w:numId w:val="16"/>
      </w:numPr>
      <w:spacing w:before="120" w:after="120" w:line="240" w:lineRule="auto"/>
      <w:jc w:val="both"/>
    </w:pPr>
    <w:rPr>
      <w:rFonts w:ascii="Times New Roman" w:eastAsia="Times New Roman" w:hAnsi="Times New Roman" w:cs="Times New Roman"/>
      <w:sz w:val="24"/>
      <w:szCs w:val="20"/>
    </w:rPr>
  </w:style>
  <w:style w:type="paragraph" w:customStyle="1" w:styleId="Bullet0">
    <w:name w:val="Bullet 0"/>
    <w:basedOn w:val="Normal"/>
    <w:pPr>
      <w:numPr>
        <w:numId w:val="17"/>
      </w:numPr>
      <w:spacing w:before="120" w:after="120" w:line="240" w:lineRule="auto"/>
      <w:jc w:val="both"/>
    </w:pPr>
    <w:rPr>
      <w:rFonts w:ascii="Times New Roman" w:eastAsia="Times New Roman" w:hAnsi="Times New Roman" w:cs="Times New Roman"/>
      <w:sz w:val="24"/>
      <w:szCs w:val="20"/>
    </w:rPr>
  </w:style>
  <w:style w:type="paragraph" w:customStyle="1" w:styleId="Bullet1">
    <w:name w:val="Bullet 1"/>
    <w:basedOn w:val="Normal"/>
    <w:pPr>
      <w:numPr>
        <w:numId w:val="18"/>
      </w:numPr>
      <w:spacing w:before="120" w:after="120" w:line="240" w:lineRule="auto"/>
      <w:jc w:val="both"/>
    </w:pPr>
    <w:rPr>
      <w:rFonts w:ascii="Times New Roman" w:eastAsia="Times New Roman" w:hAnsi="Times New Roman" w:cs="Times New Roman"/>
      <w:sz w:val="24"/>
      <w:szCs w:val="20"/>
    </w:rPr>
  </w:style>
  <w:style w:type="paragraph" w:customStyle="1" w:styleId="Bullet2">
    <w:name w:val="Bullet 2"/>
    <w:basedOn w:val="Normal"/>
    <w:pPr>
      <w:numPr>
        <w:numId w:val="19"/>
      </w:numPr>
      <w:spacing w:before="120" w:after="120" w:line="240" w:lineRule="auto"/>
      <w:jc w:val="both"/>
    </w:pPr>
    <w:rPr>
      <w:rFonts w:ascii="Times New Roman" w:eastAsia="Times New Roman" w:hAnsi="Times New Roman" w:cs="Times New Roman"/>
      <w:sz w:val="24"/>
      <w:szCs w:val="20"/>
    </w:rPr>
  </w:style>
  <w:style w:type="paragraph" w:customStyle="1" w:styleId="Bullet3">
    <w:name w:val="Bullet 3"/>
    <w:basedOn w:val="Normal"/>
    <w:pPr>
      <w:numPr>
        <w:numId w:val="20"/>
      </w:numPr>
      <w:spacing w:before="120" w:after="120" w:line="240" w:lineRule="auto"/>
      <w:jc w:val="both"/>
    </w:pPr>
    <w:rPr>
      <w:rFonts w:ascii="Times New Roman" w:eastAsia="Times New Roman" w:hAnsi="Times New Roman" w:cs="Times New Roman"/>
      <w:sz w:val="24"/>
      <w:szCs w:val="20"/>
    </w:rPr>
  </w:style>
  <w:style w:type="paragraph" w:customStyle="1" w:styleId="Bullet4">
    <w:name w:val="Bullet 4"/>
    <w:basedOn w:val="Normal"/>
    <w:pPr>
      <w:numPr>
        <w:numId w:val="21"/>
      </w:numPr>
      <w:spacing w:before="120" w:after="120" w:line="240" w:lineRule="auto"/>
      <w:jc w:val="both"/>
    </w:pPr>
    <w:rPr>
      <w:rFonts w:ascii="Times New Roman" w:eastAsia="Times New Roman" w:hAnsi="Times New Roman" w:cs="Times New Roman"/>
      <w:sz w:val="24"/>
      <w:szCs w:val="20"/>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szCs w:val="20"/>
      <w:u w:val="single"/>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szCs w:val="20"/>
      <w:u w:val="single"/>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szCs w:val="20"/>
      <w:u w:val="single"/>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szCs w:val="20"/>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szCs w:val="20"/>
      <w:u w:val="single"/>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szCs w:val="20"/>
    </w:rPr>
  </w:style>
  <w:style w:type="paragraph" w:customStyle="1" w:styleId="Confidentialit">
    <w:name w:val="Confidentialité"/>
    <w:basedOn w:val="Normal"/>
    <w:next w:val="TypedudocumentPagedecouverture"/>
    <w:pPr>
      <w:spacing w:before="240" w:after="240" w:line="240" w:lineRule="auto"/>
      <w:ind w:left="5103"/>
    </w:pPr>
    <w:rPr>
      <w:rFonts w:ascii="Times New Roman" w:eastAsia="Times New Roman" w:hAnsi="Times New Roman" w:cs="Times New Roman"/>
      <w:i/>
      <w:sz w:val="32"/>
      <w:szCs w:val="20"/>
    </w:rPr>
  </w:style>
  <w:style w:type="paragraph" w:customStyle="1" w:styleId="Considrant">
    <w:name w:val="Considérant"/>
    <w:basedOn w:val="Normal"/>
    <w:pPr>
      <w:numPr>
        <w:numId w:val="22"/>
      </w:numPr>
      <w:spacing w:before="120" w:after="120" w:line="240" w:lineRule="auto"/>
      <w:jc w:val="both"/>
    </w:pPr>
    <w:rPr>
      <w:rFonts w:ascii="Times New Roman" w:eastAsia="Times New Roman" w:hAnsi="Times New Roman" w:cs="Times New Roman"/>
      <w:sz w:val="24"/>
      <w:szCs w:val="20"/>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szCs w:val="20"/>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szCs w:val="20"/>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szCs w:val="20"/>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szCs w:val="20"/>
      <w:u w:val="single"/>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szCs w:val="20"/>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szCs w:val="20"/>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szCs w:val="20"/>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szCs w:val="20"/>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szCs w:val="20"/>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szCs w:val="20"/>
    </w:rPr>
  </w:style>
  <w:style w:type="paragraph" w:customStyle="1" w:styleId="Nomdelinstitution">
    <w:name w:val="Nom de l'institution"/>
    <w:basedOn w:val="Normal"/>
    <w:next w:val="Emission"/>
    <w:pPr>
      <w:spacing w:after="0" w:line="240" w:lineRule="auto"/>
    </w:pPr>
    <w:rPr>
      <w:rFonts w:ascii="Arial" w:eastAsia="Times New Roman" w:hAnsi="Arial" w:cs="Arial"/>
      <w:sz w:val="24"/>
      <w:szCs w:val="20"/>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szCs w:val="20"/>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szCs w:val="20"/>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szCs w:val="20"/>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szCs w:val="20"/>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szCs w:val="20"/>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szCs w:val="20"/>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szCs w:val="20"/>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cs="Times New Roman"/>
      <w:b/>
      <w:sz w:val="24"/>
      <w:szCs w:val="20"/>
    </w:rPr>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cs="Times New Roman"/>
      <w:b/>
      <w:sz w:val="24"/>
      <w:szCs w:val="20"/>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szCs w:val="20"/>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szCs w:val="20"/>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szCs w:val="20"/>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szCs w:val="20"/>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szCs w:val="20"/>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szCs w:val="20"/>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szCs w:val="20"/>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szCs w:val="20"/>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szCs w:val="20"/>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szCs w:val="20"/>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szCs w:val="20"/>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odernPaper">
    <w:name w:val="Modern Paper"/>
    <w:basedOn w:val="TableNormal"/>
    <w:uiPriority w:val="99"/>
    <w:pPr>
      <w:spacing w:before="200" w:line="240" w:lineRule="auto"/>
    </w:pPr>
    <w:rPr>
      <w:color w:val="1F497D" w:themeColor="text2"/>
    </w:rPr>
    <w:tblPr>
      <w:tblInd w:w="0" w:type="dxa"/>
      <w:tblBorders>
        <w:insideH w:val="single" w:sz="8" w:space="0" w:color="1F497D" w:themeColor="text2"/>
      </w:tblBorders>
      <w:tblCellMar>
        <w:top w:w="0" w:type="dxa"/>
        <w:left w:w="144" w:type="dxa"/>
        <w:bottom w:w="0" w:type="dxa"/>
        <w:right w:w="144" w:type="dxa"/>
      </w:tblCellMar>
    </w:tblPr>
    <w:tcPr>
      <w:vAlign w:val="center"/>
    </w:tcPr>
    <w:tblStylePr w:type="firstRow">
      <w:pPr>
        <w:wordWrap/>
        <w:spacing w:beforeLines="0" w:beforeAutospacing="0" w:afterLines="0" w:afterAutospacing="0" w:line="216" w:lineRule="auto"/>
        <w:contextualSpacing w:val="0"/>
      </w:pPr>
      <w:rPr>
        <w:rFonts w:asciiTheme="majorHAnsi" w:hAnsiTheme="majorHAnsi"/>
        <w:b/>
        <w:i w:val="0"/>
        <w:color w:val="244061" w:themeColor="accent1" w:themeShade="80"/>
        <w:sz w:val="28"/>
      </w:rPr>
      <w:tblPr/>
      <w:trPr>
        <w:tblHeader/>
      </w:trPr>
      <w:tcPr>
        <w:tcBorders>
          <w:top w:val="nil"/>
          <w:left w:val="nil"/>
          <w:bottom w:val="single" w:sz="24" w:space="0" w:color="1F497D" w:themeColor="text2"/>
          <w:right w:val="nil"/>
          <w:insideH w:val="nil"/>
          <w:insideV w:val="nil"/>
          <w:tl2br w:val="nil"/>
          <w:tr2bl w:val="nil"/>
        </w:tcBorders>
      </w:tcPr>
    </w:tblStylePr>
    <w:tblStylePr w:type="firstCol">
      <w:pPr>
        <w:wordWrap/>
        <w:jc w:val="right"/>
      </w:pPr>
      <w:rPr>
        <w:b/>
      </w:rPr>
      <w:tblPr/>
      <w:tcPr>
        <w:tcMar>
          <w:top w:w="0" w:type="nil"/>
          <w:left w:w="0" w:type="nil"/>
          <w:bottom w:w="0" w:type="nil"/>
          <w:right w:w="432" w:type="dxa"/>
        </w:tcMar>
      </w:tcPr>
    </w:tblStylePr>
    <w:tblStylePr w:type="nwCell">
      <w:pPr>
        <w:wordWrap/>
        <w:jc w:val="left"/>
      </w:pPr>
    </w:tblStyle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0">
    <w:name w:val="_NORMAL"/>
    <w:basedOn w:val="Normal"/>
    <w:qFormat/>
    <w:pPr>
      <w:spacing w:after="160" w:line="300" w:lineRule="exact"/>
      <w:jc w:val="both"/>
    </w:pPr>
    <w:rPr>
      <w:rFonts w:ascii="Calibri" w:eastAsiaTheme="minorEastAsia" w:hAnsi="Calibri" w:cs="Tahoma"/>
      <w:szCs w:val="20"/>
    </w:rPr>
  </w:style>
  <w:style w:type="paragraph" w:styleId="ListParagraph">
    <w:name w:val="List Paragraph"/>
    <w:aliases w:val="Dot pt,F5 List Paragraph,List Paragraph1,No Spacing1,List Paragraph Char Char Char,Indicator Text,Colorful List - Accent 11,Numbered Para 1,Bullet Points,MAIN CONTENT,List Paragraph11,List Paragraph12,List Paragraph2,OBC Bullet,L"/>
    <w:basedOn w:val="Normal"/>
    <w:link w:val="ListParagraphChar"/>
    <w:uiPriority w:val="34"/>
    <w:qFormat/>
    <w:pPr>
      <w:ind w:left="720"/>
      <w:contextualSpacing/>
    </w:pPr>
  </w:style>
  <w:style w:type="character" w:styleId="Strong">
    <w:name w:val="Strong"/>
    <w:basedOn w:val="DefaultParagraphFont"/>
    <w:uiPriority w:val="22"/>
    <w:qFormat/>
    <w:rPr>
      <w:b/>
      <w:bCs/>
    </w:rPr>
  </w:style>
  <w:style w:type="table" w:styleId="LightShading-Accent1">
    <w:name w:val="Light Shading Accent 1"/>
    <w:basedOn w:val="TableNormal"/>
    <w:uiPriority w:val="60"/>
    <w:pPr>
      <w:spacing w:after="0" w:line="240" w:lineRule="auto"/>
    </w:pPr>
    <w:rPr>
      <w:rFonts w:ascii="Times New Roman" w:eastAsia="Times New Roman" w:hAnsi="Times New Roman" w:cs="Times New Roman"/>
      <w:color w:val="365F91" w:themeColor="accent1" w:themeShade="BF"/>
      <w:sz w:val="20"/>
      <w:szCs w:val="20"/>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0"/>
    </w:rPr>
  </w:style>
  <w:style w:type="character" w:styleId="FollowedHyperlink">
    <w:name w:val="FollowedHyperlink"/>
    <w:basedOn w:val="DefaultParagraphFont"/>
    <w:semiHidden/>
    <w:unhideWhenUsed/>
    <w:rPr>
      <w:color w:val="800080" w:themeColor="followedHyperlink"/>
      <w:u w:val="single"/>
    </w:rPr>
  </w:style>
  <w:style w:type="table" w:customStyle="1" w:styleId="TableGrid1">
    <w:name w:val="Table Grid1"/>
    <w:basedOn w:val="TableNormal"/>
    <w:next w:val="TableGrid"/>
    <w:uiPriority w:val="59"/>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Points Char,MAIN CONTENT Char,OBC Bullet Char"/>
    <w:basedOn w:val="DefaultParagraphFont"/>
    <w:link w:val="ListParagraph"/>
    <w:uiPriority w:val="34"/>
    <w:qFormat/>
    <w:rPr>
      <w:lang w:val="bg-BG"/>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caption" w:uiPriority="0" w:qFormat="1"/>
    <w:lsdException w:name="footnote reference"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uiPriority w:val="9"/>
    <w:qFormat/>
    <w:pPr>
      <w:keepNext/>
      <w:numPr>
        <w:numId w:val="9"/>
      </w:numPr>
      <w:spacing w:before="360" w:after="120" w:line="240" w:lineRule="auto"/>
      <w:jc w:val="both"/>
      <w:outlineLvl w:val="0"/>
    </w:pPr>
    <w:rPr>
      <w:rFonts w:ascii="Times New Roman" w:eastAsia="Times New Roman" w:hAnsi="Times New Roman" w:cs="Times New Roman"/>
      <w:b/>
      <w:bCs/>
      <w:caps/>
      <w:sz w:val="24"/>
      <w:szCs w:val="28"/>
    </w:rPr>
  </w:style>
  <w:style w:type="paragraph" w:styleId="Heading2">
    <w:name w:val="heading 2"/>
    <w:basedOn w:val="Normal"/>
    <w:next w:val="Text1"/>
    <w:link w:val="Heading2Char"/>
    <w:uiPriority w:val="9"/>
    <w:unhideWhenUsed/>
    <w:qFormat/>
    <w:pPr>
      <w:keepNext/>
      <w:numPr>
        <w:ilvl w:val="1"/>
        <w:numId w:val="9"/>
      </w:numPr>
      <w:spacing w:before="120" w:after="120" w:line="240" w:lineRule="auto"/>
      <w:jc w:val="both"/>
      <w:outlineLvl w:val="1"/>
    </w:pPr>
    <w:rPr>
      <w:rFonts w:ascii="Times New Roman" w:eastAsia="Times New Roman" w:hAnsi="Times New Roman" w:cs="Times New Roman"/>
      <w:b/>
      <w:bCs/>
      <w:sz w:val="24"/>
    </w:rPr>
  </w:style>
  <w:style w:type="paragraph" w:styleId="Heading3">
    <w:name w:val="heading 3"/>
    <w:basedOn w:val="Normal"/>
    <w:next w:val="Text1"/>
    <w:link w:val="Heading3Char"/>
    <w:uiPriority w:val="9"/>
    <w:unhideWhenUsed/>
    <w:qFormat/>
    <w:pPr>
      <w:keepNext/>
      <w:numPr>
        <w:ilvl w:val="2"/>
        <w:numId w:val="9"/>
      </w:numPr>
      <w:spacing w:before="120" w:after="120" w:line="240" w:lineRule="auto"/>
      <w:jc w:val="both"/>
      <w:outlineLvl w:val="2"/>
    </w:pPr>
    <w:rPr>
      <w:rFonts w:ascii="Times New Roman" w:eastAsia="Times New Roman" w:hAnsi="Times New Roman" w:cs="Times New Roman"/>
      <w:bCs/>
      <w:i/>
      <w:sz w:val="24"/>
      <w:szCs w:val="20"/>
    </w:rPr>
  </w:style>
  <w:style w:type="paragraph" w:styleId="Heading4">
    <w:name w:val="heading 4"/>
    <w:basedOn w:val="Normal"/>
    <w:next w:val="Text1"/>
    <w:link w:val="Heading4Char"/>
    <w:uiPriority w:val="9"/>
    <w:semiHidden/>
    <w:unhideWhenUsed/>
    <w:qFormat/>
    <w:pPr>
      <w:keepNext/>
      <w:numPr>
        <w:ilvl w:val="3"/>
        <w:numId w:val="9"/>
      </w:numPr>
      <w:spacing w:before="120" w:after="120" w:line="240" w:lineRule="auto"/>
      <w:jc w:val="both"/>
      <w:outlineLvl w:val="3"/>
    </w:pPr>
    <w:rPr>
      <w:rFonts w:ascii="Times New Roman" w:eastAsia="Times New Roman" w:hAnsi="Times New Roman" w:cs="Times New Roman"/>
      <w:bCs/>
      <w:iCs/>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eastAsia="Times New Roman" w:hAnsi="Times New Roman" w:cs="Times New Roman"/>
      <w:b/>
      <w:bCs/>
      <w:caps/>
      <w:sz w:val="24"/>
      <w:szCs w:val="28"/>
      <w:lang w:eastAsia="bg-BG"/>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lang w:eastAsia="bg-BG"/>
    </w:rPr>
  </w:style>
  <w:style w:type="character" w:customStyle="1" w:styleId="Heading3Char">
    <w:name w:val="Heading 3 Char"/>
    <w:basedOn w:val="DefaultParagraphFont"/>
    <w:link w:val="Heading3"/>
    <w:uiPriority w:val="9"/>
    <w:rPr>
      <w:rFonts w:ascii="Times New Roman" w:eastAsia="Times New Roman" w:hAnsi="Times New Roman" w:cs="Times New Roman"/>
      <w:bCs/>
      <w:i/>
      <w:sz w:val="24"/>
      <w:szCs w:val="20"/>
      <w:lang w:eastAsia="bg-BG"/>
    </w:rPr>
  </w:style>
  <w:style w:type="character" w:customStyle="1" w:styleId="Heading4Char">
    <w:name w:val="Heading 4 Char"/>
    <w:basedOn w:val="DefaultParagraphFont"/>
    <w:link w:val="Heading4"/>
    <w:uiPriority w:val="9"/>
    <w:semiHidden/>
    <w:rPr>
      <w:rFonts w:ascii="Times New Roman" w:eastAsia="Times New Roman" w:hAnsi="Times New Roman" w:cs="Times New Roman"/>
      <w:bCs/>
      <w:iCs/>
      <w:sz w:val="24"/>
      <w:szCs w:val="20"/>
      <w:lang w:eastAsia="bg-BG"/>
    </w:rPr>
  </w:style>
  <w:style w:type="character" w:styleId="Hyperlink">
    <w:name w:val="Hyperlink"/>
    <w:uiPriority w:val="99"/>
    <w:rPr>
      <w:color w:val="0000FF"/>
      <w:u w:val="single"/>
    </w:rPr>
  </w:style>
  <w:style w:type="paragraph" w:customStyle="1" w:styleId="ZCom">
    <w:name w:val="Z_Com"/>
    <w:basedOn w:val="Normal"/>
    <w:next w:val="ZDGName"/>
    <w:pPr>
      <w:widowControl w:val="0"/>
      <w:spacing w:after="0" w:line="240" w:lineRule="auto"/>
      <w:ind w:right="85"/>
      <w:jc w:val="both"/>
    </w:pPr>
    <w:rPr>
      <w:rFonts w:ascii="Arial" w:eastAsia="Times New Roman" w:hAnsi="Arial" w:cs="Times New Roman"/>
      <w:sz w:val="24"/>
      <w:szCs w:val="20"/>
    </w:rPr>
  </w:style>
  <w:style w:type="paragraph" w:customStyle="1" w:styleId="ZDGName">
    <w:name w:val="Z_DGName"/>
    <w:basedOn w:val="Normal"/>
    <w:pPr>
      <w:widowControl w:val="0"/>
      <w:spacing w:after="0" w:line="240" w:lineRule="auto"/>
      <w:ind w:right="85"/>
      <w:jc w:val="both"/>
    </w:pPr>
    <w:rPr>
      <w:rFonts w:ascii="Arial" w:eastAsia="Times New Roman" w:hAnsi="Arial" w:cs="Times New Roman"/>
      <w:sz w:val="16"/>
      <w:szCs w:val="20"/>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Number">
    <w:name w:val="List Number"/>
    <w:basedOn w:val="Normal"/>
    <w:uiPriority w:val="99"/>
    <w:pPr>
      <w:numPr>
        <w:numId w:val="1"/>
      </w:numPr>
      <w:spacing w:before="120" w:after="120" w:line="240" w:lineRule="auto"/>
      <w:ind w:left="360" w:hanging="360"/>
      <w:contextualSpacing/>
      <w:jc w:val="both"/>
    </w:pPr>
    <w:rPr>
      <w:rFonts w:ascii="Times New Roman" w:eastAsia="Times New Roman" w:hAnsi="Times New Roman" w:cs="Times New Roman"/>
      <w:sz w:val="24"/>
      <w:szCs w:val="20"/>
    </w:rPr>
  </w:style>
  <w:style w:type="paragraph" w:styleId="ListNumber2">
    <w:name w:val="List Number 2"/>
    <w:basedOn w:val="Normal"/>
    <w:uiPriority w:val="99"/>
    <w:pPr>
      <w:numPr>
        <w:numId w:val="2"/>
      </w:numPr>
      <w:tabs>
        <w:tab w:val="num" w:pos="643"/>
      </w:tabs>
      <w:spacing w:before="120" w:after="120" w:line="240" w:lineRule="auto"/>
      <w:ind w:left="643" w:hanging="360"/>
      <w:contextualSpacing/>
      <w:jc w:val="both"/>
    </w:pPr>
    <w:rPr>
      <w:rFonts w:ascii="Times New Roman" w:eastAsia="Times New Roman" w:hAnsi="Times New Roman" w:cs="Times New Roman"/>
      <w:sz w:val="24"/>
      <w:szCs w:val="20"/>
    </w:rPr>
  </w:style>
  <w:style w:type="paragraph" w:styleId="ListNumber3">
    <w:name w:val="List Number 3"/>
    <w:basedOn w:val="Normal"/>
    <w:uiPriority w:val="99"/>
    <w:pPr>
      <w:numPr>
        <w:numId w:val="3"/>
      </w:numPr>
      <w:tabs>
        <w:tab w:val="num" w:pos="926"/>
      </w:tabs>
      <w:spacing w:before="120" w:after="120" w:line="240" w:lineRule="auto"/>
      <w:ind w:left="926" w:hanging="360"/>
      <w:contextualSpacing/>
      <w:jc w:val="both"/>
    </w:pPr>
    <w:rPr>
      <w:rFonts w:ascii="Times New Roman" w:eastAsia="Times New Roman" w:hAnsi="Times New Roman" w:cs="Times New Roman"/>
      <w:sz w:val="24"/>
      <w:szCs w:val="20"/>
    </w:rPr>
  </w:style>
  <w:style w:type="paragraph" w:styleId="ListNumber4">
    <w:name w:val="List Number 4"/>
    <w:basedOn w:val="Normal"/>
    <w:uiPriority w:val="99"/>
    <w:pPr>
      <w:numPr>
        <w:numId w:val="4"/>
      </w:numPr>
      <w:tabs>
        <w:tab w:val="num" w:pos="1209"/>
      </w:tabs>
      <w:spacing w:before="120" w:after="120" w:line="240" w:lineRule="auto"/>
      <w:ind w:left="1209" w:hanging="360"/>
      <w:contextualSpacing/>
      <w:jc w:val="both"/>
    </w:pPr>
    <w:rPr>
      <w:rFonts w:ascii="Times New Roman" w:eastAsia="Times New Roman" w:hAnsi="Times New Roman" w:cs="Times New Roman"/>
      <w:sz w:val="24"/>
      <w:szCs w:val="20"/>
    </w:rPr>
  </w:style>
  <w:style w:type="paragraph" w:styleId="ListBullet">
    <w:name w:val="List Bullet"/>
    <w:basedOn w:val="Normal"/>
    <w:uiPriority w:val="99"/>
    <w:pPr>
      <w:numPr>
        <w:numId w:val="5"/>
      </w:numPr>
      <w:spacing w:before="120" w:after="120" w:line="240" w:lineRule="auto"/>
      <w:ind w:left="360" w:hanging="360"/>
      <w:contextualSpacing/>
      <w:jc w:val="both"/>
    </w:pPr>
    <w:rPr>
      <w:rFonts w:ascii="Times New Roman" w:eastAsia="Times New Roman" w:hAnsi="Times New Roman" w:cs="Times New Roman"/>
      <w:sz w:val="24"/>
      <w:szCs w:val="20"/>
    </w:rPr>
  </w:style>
  <w:style w:type="paragraph" w:styleId="ListBullet2">
    <w:name w:val="List Bullet 2"/>
    <w:basedOn w:val="Normal"/>
    <w:uiPriority w:val="99"/>
    <w:pPr>
      <w:numPr>
        <w:numId w:val="6"/>
      </w:numPr>
      <w:tabs>
        <w:tab w:val="num" w:pos="643"/>
      </w:tabs>
      <w:spacing w:before="120" w:after="120" w:line="240" w:lineRule="auto"/>
      <w:ind w:left="643" w:hanging="360"/>
      <w:contextualSpacing/>
      <w:jc w:val="both"/>
    </w:pPr>
    <w:rPr>
      <w:rFonts w:ascii="Times New Roman" w:eastAsia="Times New Roman" w:hAnsi="Times New Roman" w:cs="Times New Roman"/>
      <w:sz w:val="24"/>
      <w:szCs w:val="20"/>
    </w:rPr>
  </w:style>
  <w:style w:type="paragraph" w:styleId="ListBullet3">
    <w:name w:val="List Bullet 3"/>
    <w:basedOn w:val="Normal"/>
    <w:uiPriority w:val="99"/>
    <w:pPr>
      <w:numPr>
        <w:numId w:val="7"/>
      </w:numPr>
      <w:tabs>
        <w:tab w:val="num" w:pos="926"/>
      </w:tabs>
      <w:spacing w:before="120" w:after="120" w:line="240" w:lineRule="auto"/>
      <w:ind w:left="926" w:hanging="360"/>
      <w:contextualSpacing/>
      <w:jc w:val="both"/>
    </w:pPr>
    <w:rPr>
      <w:rFonts w:ascii="Times New Roman" w:eastAsia="Times New Roman" w:hAnsi="Times New Roman" w:cs="Times New Roman"/>
      <w:sz w:val="24"/>
      <w:szCs w:val="20"/>
    </w:rPr>
  </w:style>
  <w:style w:type="paragraph" w:styleId="ListBullet4">
    <w:name w:val="List Bullet 4"/>
    <w:basedOn w:val="Normal"/>
    <w:uiPriority w:val="99"/>
    <w:pPr>
      <w:numPr>
        <w:numId w:val="8"/>
      </w:numPr>
      <w:tabs>
        <w:tab w:val="num" w:pos="1209"/>
      </w:tabs>
      <w:spacing w:before="120" w:after="120" w:line="240" w:lineRule="auto"/>
      <w:ind w:left="1209" w:hanging="360"/>
      <w:contextualSpacing/>
      <w:jc w:val="both"/>
    </w:pPr>
    <w:rPr>
      <w:rFonts w:ascii="Times New Roman" w:eastAsia="Times New Roman" w:hAnsi="Times New Roman" w:cs="Times New Roman"/>
      <w:sz w:val="24"/>
      <w:szCs w:val="20"/>
    </w:rPr>
  </w:style>
  <w:style w:type="paragraph" w:styleId="BalloonText">
    <w:name w:val="Balloon Text"/>
    <w:basedOn w:val="Normal"/>
    <w:link w:val="BalloonTextChar"/>
    <w:uiPriority w:val="99"/>
    <w:pPr>
      <w:spacing w:after="0" w:line="240" w:lineRule="auto"/>
      <w:jc w:val="both"/>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Pr>
      <w:rFonts w:ascii="Tahoma" w:eastAsia="Times New Roman" w:hAnsi="Tahoma" w:cs="Tahoma"/>
      <w:sz w:val="16"/>
      <w:szCs w:val="16"/>
      <w:lang w:eastAsia="bg-BG"/>
    </w:rPr>
  </w:style>
  <w:style w:type="paragraph" w:styleId="EndnoteText">
    <w:name w:val="endnote text"/>
    <w:basedOn w:val="Normal"/>
    <w:link w:val="EndnoteTextChar"/>
    <w:uiPriority w:val="99"/>
    <w:pPr>
      <w:spacing w:before="120" w:after="120" w:line="240" w:lineRule="auto"/>
      <w:jc w:val="both"/>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rPr>
      <w:rFonts w:ascii="Times New Roman" w:eastAsia="Times New Roman" w:hAnsi="Times New Roman" w:cs="Times New Roman"/>
      <w:sz w:val="20"/>
      <w:szCs w:val="20"/>
      <w:lang w:eastAsia="bg-BG"/>
    </w:rPr>
  </w:style>
  <w:style w:type="character" w:styleId="EndnoteReference">
    <w:name w:val="endnote reference"/>
    <w:uiPriority w:val="99"/>
    <w:rPr>
      <w:vertAlign w:val="superscript"/>
    </w:rPr>
  </w:style>
  <w:style w:type="paragraph" w:styleId="Caption">
    <w:name w:val="caption"/>
    <w:basedOn w:val="Normal"/>
    <w:next w:val="Normal"/>
    <w:unhideWhenUsed/>
    <w:qFormat/>
    <w:pPr>
      <w:spacing w:before="120" w:after="120" w:line="240" w:lineRule="auto"/>
      <w:jc w:val="both"/>
    </w:pPr>
    <w:rPr>
      <w:rFonts w:ascii="Times New Roman" w:eastAsia="Times New Roman" w:hAnsi="Times New Roman" w:cs="Times New Roman"/>
      <w:b/>
      <w:bCs/>
      <w:sz w:val="20"/>
      <w:szCs w:val="20"/>
    </w:rPr>
  </w:style>
  <w:style w:type="paragraph" w:styleId="TableofFigures">
    <w:name w:val="table of figures"/>
    <w:basedOn w:val="Normal"/>
    <w:next w:val="Normal"/>
    <w:uiPriority w:val="99"/>
    <w:pPr>
      <w:spacing w:before="120" w:after="120" w:line="240" w:lineRule="auto"/>
      <w:jc w:val="both"/>
    </w:pPr>
    <w:rPr>
      <w:rFonts w:ascii="Times New Roman" w:eastAsia="Times New Roman" w:hAnsi="Times New Roman" w:cs="Times New Roman"/>
      <w:sz w:val="24"/>
      <w:szCs w:val="20"/>
    </w:rPr>
  </w:style>
  <w:style w:type="character" w:styleId="CommentReference">
    <w:name w:val="annotation reference"/>
    <w:uiPriority w:val="99"/>
    <w:qFormat/>
    <w:rPr>
      <w:sz w:val="16"/>
      <w:szCs w:val="16"/>
    </w:rPr>
  </w:style>
  <w:style w:type="paragraph" w:styleId="CommentText">
    <w:name w:val="annotation text"/>
    <w:basedOn w:val="Normal"/>
    <w:link w:val="CommentTextChar"/>
    <w:uiPriority w:val="99"/>
    <w:qFormat/>
    <w:pPr>
      <w:spacing w:before="120" w:after="120" w:line="240" w:lineRule="auto"/>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sz w:val="20"/>
      <w:szCs w:val="20"/>
      <w:lang w:eastAsia="bg-BG"/>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eastAsia="bg-BG"/>
    </w:rPr>
  </w:style>
  <w:style w:type="paragraph" w:styleId="FootnoteText">
    <w:name w:val="footnote text"/>
    <w:aliases w:val="fn,footnote text,Footnotes,Footnote ak,fn Char,footnote text Char,Footnotes Char,Footnote ak Char,ft,fn cafc,Footnotes Char Char,Footnote Text Char Char,fn Char Char,footnote text Char Char Char Ch,fn1,footnote text1,ft1,Car,Fußnotentextf"/>
    <w:basedOn w:val="Normal"/>
    <w:link w:val="FootnoteTextChar"/>
    <w:uiPriority w:val="99"/>
    <w:unhideWhenUsed/>
    <w:qFormat/>
    <w:pPr>
      <w:keepNext/>
      <w:keepLines/>
      <w:pageBreakBefore/>
      <w:spacing w:after="0" w:line="240" w:lineRule="auto"/>
      <w:ind w:left="720" w:hanging="720"/>
      <w:jc w:val="both"/>
    </w:pPr>
    <w:rPr>
      <w:rFonts w:ascii="Times New Roman" w:eastAsia="Times New Roman" w:hAnsi="Times New Roman" w:cs="Times New Roman"/>
      <w:sz w:val="20"/>
      <w:szCs w:val="20"/>
    </w:rPr>
  </w:style>
  <w:style w:type="character" w:customStyle="1" w:styleId="FootnoteTextChar">
    <w:name w:val="Footnote Text Char"/>
    <w:aliases w:val="fn Char1,footnote text Char1,Footnotes Char1,Footnote ak Char1,fn Char Char1,footnote text Char Char,Footnotes Char Char1,Footnote ak Char Char,ft Char,fn cafc Char,Footnotes Char Char Char,Footnote Text Char Char Char,fn1 Char"/>
    <w:basedOn w:val="DefaultParagraphFont"/>
    <w:link w:val="FootnoteText"/>
    <w:uiPriority w:val="99"/>
    <w:rPr>
      <w:rFonts w:ascii="Times New Roman" w:eastAsia="Times New Roman" w:hAnsi="Times New Roman" w:cs="Times New Roman"/>
      <w:sz w:val="20"/>
      <w:szCs w:val="20"/>
      <w:lang w:eastAsia="bg-BG"/>
    </w:rPr>
  </w:style>
  <w:style w:type="paragraph" w:styleId="TOCHeading">
    <w:name w:val="TOC Heading"/>
    <w:basedOn w:val="Normal"/>
    <w:next w:val="Normal"/>
    <w:uiPriority w:val="39"/>
    <w:semiHidden/>
    <w:unhideWhenUsed/>
    <w:qFormat/>
    <w:pPr>
      <w:spacing w:before="120" w:after="240" w:line="240" w:lineRule="auto"/>
      <w:jc w:val="center"/>
    </w:pPr>
    <w:rPr>
      <w:rFonts w:ascii="Times New Roman" w:eastAsia="Times New Roman" w:hAnsi="Times New Roman" w:cs="Times New Roman"/>
      <w:b/>
      <w:sz w:val="28"/>
      <w:szCs w:val="20"/>
    </w:rPr>
  </w:style>
  <w:style w:type="paragraph" w:styleId="TOC1">
    <w:name w:val="toc 1"/>
    <w:basedOn w:val="Normal"/>
    <w:next w:val="Normal"/>
    <w:uiPriority w:val="39"/>
    <w:unhideWhenUsed/>
    <w:qFormat/>
    <w:pPr>
      <w:tabs>
        <w:tab w:val="right" w:leader="dot" w:pos="9071"/>
      </w:tabs>
      <w:spacing w:before="60" w:after="120" w:line="240" w:lineRule="auto"/>
      <w:ind w:left="850" w:hanging="850"/>
    </w:pPr>
    <w:rPr>
      <w:rFonts w:ascii="Times New Roman" w:eastAsia="Times New Roman" w:hAnsi="Times New Roman" w:cs="Times New Roman"/>
      <w:sz w:val="24"/>
      <w:szCs w:val="20"/>
    </w:rPr>
  </w:style>
  <w:style w:type="paragraph" w:styleId="TOC2">
    <w:name w:val="toc 2"/>
    <w:basedOn w:val="Normal"/>
    <w:next w:val="Normal"/>
    <w:uiPriority w:val="39"/>
    <w:unhideWhenUsed/>
    <w:qFormat/>
    <w:pPr>
      <w:tabs>
        <w:tab w:val="right" w:leader="dot" w:pos="9071"/>
      </w:tabs>
      <w:spacing w:before="60" w:after="120" w:line="240" w:lineRule="auto"/>
      <w:ind w:left="850" w:hanging="850"/>
    </w:pPr>
    <w:rPr>
      <w:rFonts w:ascii="Times New Roman" w:eastAsia="Times New Roman" w:hAnsi="Times New Roman" w:cs="Times New Roman"/>
      <w:sz w:val="24"/>
      <w:szCs w:val="20"/>
    </w:rPr>
  </w:style>
  <w:style w:type="paragraph" w:styleId="TOC3">
    <w:name w:val="toc 3"/>
    <w:basedOn w:val="Normal"/>
    <w:next w:val="Normal"/>
    <w:uiPriority w:val="39"/>
    <w:unhideWhenUsed/>
    <w:qFormat/>
    <w:pPr>
      <w:tabs>
        <w:tab w:val="right" w:leader="dot" w:pos="9071"/>
      </w:tabs>
      <w:spacing w:before="60" w:after="120" w:line="240" w:lineRule="auto"/>
      <w:ind w:left="850" w:hanging="850"/>
    </w:pPr>
    <w:rPr>
      <w:rFonts w:ascii="Times New Roman" w:eastAsia="Times New Roman" w:hAnsi="Times New Roman" w:cs="Times New Roman"/>
      <w:sz w:val="24"/>
      <w:szCs w:val="20"/>
    </w:rPr>
  </w:style>
  <w:style w:type="paragraph" w:styleId="TOC4">
    <w:name w:val="toc 4"/>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szCs w:val="20"/>
    </w:rPr>
  </w:style>
  <w:style w:type="paragraph" w:styleId="TOC5">
    <w:name w:val="toc 5"/>
    <w:basedOn w:val="Normal"/>
    <w:next w:val="Normal"/>
    <w:uiPriority w:val="39"/>
    <w:semiHidden/>
    <w:unhideWhenUsed/>
    <w:pPr>
      <w:tabs>
        <w:tab w:val="right" w:leader="dot" w:pos="9071"/>
      </w:tabs>
      <w:spacing w:before="300" w:after="120" w:line="240" w:lineRule="auto"/>
    </w:pPr>
    <w:rPr>
      <w:rFonts w:ascii="Times New Roman" w:eastAsia="Times New Roman" w:hAnsi="Times New Roman" w:cs="Times New Roman"/>
      <w:sz w:val="24"/>
      <w:szCs w:val="20"/>
    </w:rPr>
  </w:style>
  <w:style w:type="paragraph" w:styleId="TOC6">
    <w:name w:val="toc 6"/>
    <w:basedOn w:val="Normal"/>
    <w:next w:val="Normal"/>
    <w:uiPriority w:val="39"/>
    <w:semiHidden/>
    <w:unhideWhenUsed/>
    <w:pPr>
      <w:tabs>
        <w:tab w:val="right" w:leader="dot" w:pos="9071"/>
      </w:tabs>
      <w:spacing w:before="240" w:after="120" w:line="240" w:lineRule="auto"/>
    </w:pPr>
    <w:rPr>
      <w:rFonts w:ascii="Times New Roman" w:eastAsia="Times New Roman" w:hAnsi="Times New Roman" w:cs="Times New Roman"/>
      <w:sz w:val="24"/>
      <w:szCs w:val="20"/>
    </w:rPr>
  </w:style>
  <w:style w:type="paragraph" w:styleId="TOC7">
    <w:name w:val="toc 7"/>
    <w:basedOn w:val="Normal"/>
    <w:next w:val="Normal"/>
    <w:uiPriority w:val="39"/>
    <w:semiHidden/>
    <w:unhideWhenUsed/>
    <w:pPr>
      <w:tabs>
        <w:tab w:val="right" w:leader="dot" w:pos="9071"/>
      </w:tabs>
      <w:spacing w:before="180" w:after="120" w:line="240" w:lineRule="auto"/>
    </w:pPr>
    <w:rPr>
      <w:rFonts w:ascii="Times New Roman" w:eastAsia="Times New Roman" w:hAnsi="Times New Roman" w:cs="Times New Roman"/>
      <w:sz w:val="24"/>
      <w:szCs w:val="20"/>
    </w:rPr>
  </w:style>
  <w:style w:type="paragraph" w:styleId="TOC8">
    <w:name w:val="toc 8"/>
    <w:basedOn w:val="Normal"/>
    <w:next w:val="Normal"/>
    <w:uiPriority w:val="39"/>
    <w:semiHidden/>
    <w:unhideWhenUsed/>
    <w:pPr>
      <w:tabs>
        <w:tab w:val="right" w:leader="dot" w:pos="9071"/>
      </w:tabs>
      <w:spacing w:before="120" w:after="120" w:line="240" w:lineRule="auto"/>
    </w:pPr>
    <w:rPr>
      <w:rFonts w:ascii="Times New Roman" w:eastAsia="Times New Roman" w:hAnsi="Times New Roman" w:cs="Times New Roman"/>
      <w:sz w:val="24"/>
      <w:szCs w:val="20"/>
    </w:rPr>
  </w:style>
  <w:style w:type="paragraph" w:styleId="TOC9">
    <w:name w:val="toc 9"/>
    <w:basedOn w:val="Normal"/>
    <w:next w:val="Normal"/>
    <w:uiPriority w:val="39"/>
    <w:semiHidden/>
    <w:unhideWhenUsed/>
    <w:pPr>
      <w:tabs>
        <w:tab w:val="right" w:leader="dot" w:pos="9071"/>
      </w:tabs>
      <w:spacing w:before="120" w:after="120" w:line="240" w:lineRule="auto"/>
      <w:jc w:val="both"/>
    </w:pPr>
    <w:rPr>
      <w:rFonts w:ascii="Times New Roman" w:eastAsia="Times New Roman" w:hAnsi="Times New Roman" w:cs="Times New Roman"/>
      <w:sz w:val="24"/>
      <w:szCs w:val="20"/>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character" w:styleId="FootnoteReference">
    <w:name w:val="footnote reference"/>
    <w:aliases w:val="Ref,de nota al pie,Ref1,de nota al pie1,Ref2,de nota al pie2,Ref11,de nota al pie11, BVI fnr,BVI fnr,Footnote symbol,Footnote reference number,Times 10 Point,Exposant 3 Point,note TESI,SUPERS,EN Footnote text,number,E F,Nota,styl"/>
    <w:uiPriority w:val="99"/>
    <w:unhideWhenUsed/>
    <w:qFormat/>
    <w:rPr>
      <w:shd w:val="clear" w:color="auto" w:fill="auto"/>
      <w:vertAlign w:val="superscript"/>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0"/>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szCs w:val="20"/>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szCs w:val="20"/>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szCs w:val="20"/>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szCs w:val="20"/>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szCs w:val="20"/>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szCs w:val="20"/>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szCs w:val="20"/>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szCs w:val="20"/>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szCs w:val="20"/>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szCs w:val="20"/>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szCs w:val="20"/>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szCs w:val="20"/>
    </w:r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tabs>
        <w:tab w:val="clear" w:pos="2551"/>
        <w:tab w:val="num" w:pos="360"/>
      </w:tabs>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szCs w:val="20"/>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szCs w:val="20"/>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szCs w:val="20"/>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szCs w:val="20"/>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szCs w:val="20"/>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szCs w:val="20"/>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szCs w:val="20"/>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szCs w:val="20"/>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szCs w:val="20"/>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szCs w:val="20"/>
    </w:rPr>
  </w:style>
  <w:style w:type="paragraph" w:customStyle="1" w:styleId="NumPar1">
    <w:name w:val="NumPar 1"/>
    <w:basedOn w:val="Normal"/>
    <w:next w:val="Text1"/>
    <w:pPr>
      <w:numPr>
        <w:numId w:val="15"/>
      </w:numPr>
      <w:spacing w:before="120" w:after="120" w:line="240" w:lineRule="auto"/>
      <w:jc w:val="both"/>
    </w:pPr>
    <w:rPr>
      <w:rFonts w:ascii="Times New Roman" w:eastAsia="Times New Roman" w:hAnsi="Times New Roman" w:cs="Times New Roman"/>
      <w:sz w:val="24"/>
      <w:szCs w:val="20"/>
    </w:rPr>
  </w:style>
  <w:style w:type="paragraph" w:customStyle="1" w:styleId="NumPar2">
    <w:name w:val="NumPar 2"/>
    <w:basedOn w:val="Normal"/>
    <w:next w:val="Text1"/>
    <w:pPr>
      <w:numPr>
        <w:ilvl w:val="1"/>
        <w:numId w:val="15"/>
      </w:numPr>
      <w:spacing w:before="120" w:after="120" w:line="240" w:lineRule="auto"/>
      <w:jc w:val="both"/>
    </w:pPr>
    <w:rPr>
      <w:rFonts w:ascii="Times New Roman" w:eastAsia="Times New Roman" w:hAnsi="Times New Roman" w:cs="Times New Roman"/>
      <w:sz w:val="24"/>
      <w:szCs w:val="20"/>
    </w:rPr>
  </w:style>
  <w:style w:type="paragraph" w:customStyle="1" w:styleId="NumPar3">
    <w:name w:val="NumPar 3"/>
    <w:basedOn w:val="Normal"/>
    <w:next w:val="Text1"/>
    <w:pPr>
      <w:numPr>
        <w:ilvl w:val="2"/>
        <w:numId w:val="15"/>
      </w:numPr>
      <w:spacing w:before="120" w:after="120" w:line="240" w:lineRule="auto"/>
      <w:jc w:val="both"/>
    </w:pPr>
    <w:rPr>
      <w:rFonts w:ascii="Times New Roman" w:eastAsia="Times New Roman" w:hAnsi="Times New Roman" w:cs="Times New Roman"/>
      <w:sz w:val="24"/>
      <w:szCs w:val="20"/>
    </w:rPr>
  </w:style>
  <w:style w:type="paragraph" w:customStyle="1" w:styleId="NumPar4">
    <w:name w:val="NumPar 4"/>
    <w:basedOn w:val="Normal"/>
    <w:next w:val="Text1"/>
    <w:pPr>
      <w:numPr>
        <w:ilvl w:val="3"/>
        <w:numId w:val="15"/>
      </w:numPr>
      <w:spacing w:before="120" w:after="120" w:line="240" w:lineRule="auto"/>
      <w:jc w:val="both"/>
    </w:pPr>
    <w:rPr>
      <w:rFonts w:ascii="Times New Roman" w:eastAsia="Times New Roman" w:hAnsi="Times New Roman" w:cs="Times New Roman"/>
      <w:sz w:val="24"/>
      <w:szCs w:val="20"/>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szCs w:val="20"/>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szCs w:val="20"/>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szCs w:val="20"/>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szCs w:val="20"/>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szCs w:val="20"/>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0"/>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szCs w:val="20"/>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szCs w:val="20"/>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szCs w:val="20"/>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szCs w:val="20"/>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szCs w:val="20"/>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szCs w:val="20"/>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szCs w:val="20"/>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16"/>
      </w:numPr>
      <w:spacing w:before="120" w:after="120" w:line="240" w:lineRule="auto"/>
      <w:jc w:val="both"/>
    </w:pPr>
    <w:rPr>
      <w:rFonts w:ascii="Times New Roman" w:eastAsia="Times New Roman" w:hAnsi="Times New Roman" w:cs="Times New Roman"/>
      <w:sz w:val="24"/>
      <w:szCs w:val="20"/>
    </w:rPr>
  </w:style>
  <w:style w:type="paragraph" w:customStyle="1" w:styleId="Point1number">
    <w:name w:val="Point 1 (number)"/>
    <w:basedOn w:val="Normal"/>
    <w:pPr>
      <w:numPr>
        <w:ilvl w:val="2"/>
        <w:numId w:val="16"/>
      </w:numPr>
      <w:spacing w:before="120" w:after="120" w:line="240" w:lineRule="auto"/>
      <w:jc w:val="both"/>
    </w:pPr>
    <w:rPr>
      <w:rFonts w:ascii="Times New Roman" w:eastAsia="Times New Roman" w:hAnsi="Times New Roman" w:cs="Times New Roman"/>
      <w:sz w:val="24"/>
      <w:szCs w:val="20"/>
    </w:rPr>
  </w:style>
  <w:style w:type="paragraph" w:customStyle="1" w:styleId="Point2number">
    <w:name w:val="Point 2 (number)"/>
    <w:basedOn w:val="Normal"/>
    <w:pPr>
      <w:numPr>
        <w:ilvl w:val="4"/>
        <w:numId w:val="16"/>
      </w:numPr>
      <w:spacing w:before="120" w:after="120" w:line="240" w:lineRule="auto"/>
      <w:jc w:val="both"/>
    </w:pPr>
    <w:rPr>
      <w:rFonts w:ascii="Times New Roman" w:eastAsia="Times New Roman" w:hAnsi="Times New Roman" w:cs="Times New Roman"/>
      <w:sz w:val="24"/>
      <w:szCs w:val="20"/>
    </w:rPr>
  </w:style>
  <w:style w:type="paragraph" w:customStyle="1" w:styleId="Point3number">
    <w:name w:val="Point 3 (number)"/>
    <w:basedOn w:val="Normal"/>
    <w:pPr>
      <w:numPr>
        <w:ilvl w:val="6"/>
        <w:numId w:val="16"/>
      </w:numPr>
      <w:spacing w:before="120" w:after="120" w:line="240" w:lineRule="auto"/>
      <w:jc w:val="both"/>
    </w:pPr>
    <w:rPr>
      <w:rFonts w:ascii="Times New Roman" w:eastAsia="Times New Roman" w:hAnsi="Times New Roman" w:cs="Times New Roman"/>
      <w:sz w:val="24"/>
      <w:szCs w:val="20"/>
    </w:rPr>
  </w:style>
  <w:style w:type="paragraph" w:customStyle="1" w:styleId="Point0letter">
    <w:name w:val="Point 0 (letter)"/>
    <w:basedOn w:val="Normal"/>
    <w:pPr>
      <w:numPr>
        <w:ilvl w:val="1"/>
        <w:numId w:val="16"/>
      </w:numPr>
      <w:spacing w:before="120" w:after="120" w:line="240" w:lineRule="auto"/>
      <w:jc w:val="both"/>
    </w:pPr>
    <w:rPr>
      <w:rFonts w:ascii="Times New Roman" w:eastAsia="Times New Roman" w:hAnsi="Times New Roman" w:cs="Times New Roman"/>
      <w:sz w:val="24"/>
      <w:szCs w:val="20"/>
    </w:rPr>
  </w:style>
  <w:style w:type="paragraph" w:customStyle="1" w:styleId="Point1letter">
    <w:name w:val="Point 1 (letter)"/>
    <w:basedOn w:val="Normal"/>
    <w:pPr>
      <w:numPr>
        <w:ilvl w:val="3"/>
        <w:numId w:val="16"/>
      </w:numPr>
      <w:spacing w:before="120" w:after="120" w:line="240" w:lineRule="auto"/>
      <w:jc w:val="both"/>
    </w:pPr>
    <w:rPr>
      <w:rFonts w:ascii="Times New Roman" w:eastAsia="Times New Roman" w:hAnsi="Times New Roman" w:cs="Times New Roman"/>
      <w:sz w:val="24"/>
      <w:szCs w:val="20"/>
    </w:rPr>
  </w:style>
  <w:style w:type="paragraph" w:customStyle="1" w:styleId="Point2letter">
    <w:name w:val="Point 2 (letter)"/>
    <w:basedOn w:val="Normal"/>
    <w:pPr>
      <w:numPr>
        <w:ilvl w:val="5"/>
        <w:numId w:val="16"/>
      </w:numPr>
      <w:spacing w:before="120" w:after="120" w:line="240" w:lineRule="auto"/>
      <w:jc w:val="both"/>
    </w:pPr>
    <w:rPr>
      <w:rFonts w:ascii="Times New Roman" w:eastAsia="Times New Roman" w:hAnsi="Times New Roman" w:cs="Times New Roman"/>
      <w:sz w:val="24"/>
      <w:szCs w:val="20"/>
    </w:rPr>
  </w:style>
  <w:style w:type="paragraph" w:customStyle="1" w:styleId="Point3letter">
    <w:name w:val="Point 3 (letter)"/>
    <w:basedOn w:val="Normal"/>
    <w:pPr>
      <w:numPr>
        <w:ilvl w:val="7"/>
        <w:numId w:val="16"/>
      </w:numPr>
      <w:spacing w:before="120" w:after="120" w:line="240" w:lineRule="auto"/>
      <w:jc w:val="both"/>
    </w:pPr>
    <w:rPr>
      <w:rFonts w:ascii="Times New Roman" w:eastAsia="Times New Roman" w:hAnsi="Times New Roman" w:cs="Times New Roman"/>
      <w:sz w:val="24"/>
      <w:szCs w:val="20"/>
    </w:rPr>
  </w:style>
  <w:style w:type="paragraph" w:customStyle="1" w:styleId="Point4letter">
    <w:name w:val="Point 4 (letter)"/>
    <w:basedOn w:val="Normal"/>
    <w:pPr>
      <w:numPr>
        <w:ilvl w:val="8"/>
        <w:numId w:val="16"/>
      </w:numPr>
      <w:spacing w:before="120" w:after="120" w:line="240" w:lineRule="auto"/>
      <w:jc w:val="both"/>
    </w:pPr>
    <w:rPr>
      <w:rFonts w:ascii="Times New Roman" w:eastAsia="Times New Roman" w:hAnsi="Times New Roman" w:cs="Times New Roman"/>
      <w:sz w:val="24"/>
      <w:szCs w:val="20"/>
    </w:rPr>
  </w:style>
  <w:style w:type="paragraph" w:customStyle="1" w:styleId="Bullet0">
    <w:name w:val="Bullet 0"/>
    <w:basedOn w:val="Normal"/>
    <w:pPr>
      <w:numPr>
        <w:numId w:val="17"/>
      </w:numPr>
      <w:spacing w:before="120" w:after="120" w:line="240" w:lineRule="auto"/>
      <w:jc w:val="both"/>
    </w:pPr>
    <w:rPr>
      <w:rFonts w:ascii="Times New Roman" w:eastAsia="Times New Roman" w:hAnsi="Times New Roman" w:cs="Times New Roman"/>
      <w:sz w:val="24"/>
      <w:szCs w:val="20"/>
    </w:rPr>
  </w:style>
  <w:style w:type="paragraph" w:customStyle="1" w:styleId="Bullet1">
    <w:name w:val="Bullet 1"/>
    <w:basedOn w:val="Normal"/>
    <w:pPr>
      <w:numPr>
        <w:numId w:val="18"/>
      </w:numPr>
      <w:spacing w:before="120" w:after="120" w:line="240" w:lineRule="auto"/>
      <w:jc w:val="both"/>
    </w:pPr>
    <w:rPr>
      <w:rFonts w:ascii="Times New Roman" w:eastAsia="Times New Roman" w:hAnsi="Times New Roman" w:cs="Times New Roman"/>
      <w:sz w:val="24"/>
      <w:szCs w:val="20"/>
    </w:rPr>
  </w:style>
  <w:style w:type="paragraph" w:customStyle="1" w:styleId="Bullet2">
    <w:name w:val="Bullet 2"/>
    <w:basedOn w:val="Normal"/>
    <w:pPr>
      <w:numPr>
        <w:numId w:val="19"/>
      </w:numPr>
      <w:spacing w:before="120" w:after="120" w:line="240" w:lineRule="auto"/>
      <w:jc w:val="both"/>
    </w:pPr>
    <w:rPr>
      <w:rFonts w:ascii="Times New Roman" w:eastAsia="Times New Roman" w:hAnsi="Times New Roman" w:cs="Times New Roman"/>
      <w:sz w:val="24"/>
      <w:szCs w:val="20"/>
    </w:rPr>
  </w:style>
  <w:style w:type="paragraph" w:customStyle="1" w:styleId="Bullet3">
    <w:name w:val="Bullet 3"/>
    <w:basedOn w:val="Normal"/>
    <w:pPr>
      <w:numPr>
        <w:numId w:val="20"/>
      </w:numPr>
      <w:spacing w:before="120" w:after="120" w:line="240" w:lineRule="auto"/>
      <w:jc w:val="both"/>
    </w:pPr>
    <w:rPr>
      <w:rFonts w:ascii="Times New Roman" w:eastAsia="Times New Roman" w:hAnsi="Times New Roman" w:cs="Times New Roman"/>
      <w:sz w:val="24"/>
      <w:szCs w:val="20"/>
    </w:rPr>
  </w:style>
  <w:style w:type="paragraph" w:customStyle="1" w:styleId="Bullet4">
    <w:name w:val="Bullet 4"/>
    <w:basedOn w:val="Normal"/>
    <w:pPr>
      <w:numPr>
        <w:numId w:val="21"/>
      </w:numPr>
      <w:spacing w:before="120" w:after="120" w:line="240" w:lineRule="auto"/>
      <w:jc w:val="both"/>
    </w:pPr>
    <w:rPr>
      <w:rFonts w:ascii="Times New Roman" w:eastAsia="Times New Roman" w:hAnsi="Times New Roman" w:cs="Times New Roman"/>
      <w:sz w:val="24"/>
      <w:szCs w:val="20"/>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szCs w:val="20"/>
      <w:u w:val="single"/>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szCs w:val="20"/>
      <w:u w:val="single"/>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szCs w:val="20"/>
      <w:u w:val="single"/>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szCs w:val="20"/>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szCs w:val="20"/>
      <w:u w:val="single"/>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szCs w:val="20"/>
    </w:rPr>
  </w:style>
  <w:style w:type="paragraph" w:customStyle="1" w:styleId="Confidentialit">
    <w:name w:val="Confidentialité"/>
    <w:basedOn w:val="Normal"/>
    <w:next w:val="TypedudocumentPagedecouverture"/>
    <w:pPr>
      <w:spacing w:before="240" w:after="240" w:line="240" w:lineRule="auto"/>
      <w:ind w:left="5103"/>
    </w:pPr>
    <w:rPr>
      <w:rFonts w:ascii="Times New Roman" w:eastAsia="Times New Roman" w:hAnsi="Times New Roman" w:cs="Times New Roman"/>
      <w:i/>
      <w:sz w:val="32"/>
      <w:szCs w:val="20"/>
    </w:rPr>
  </w:style>
  <w:style w:type="paragraph" w:customStyle="1" w:styleId="Considrant">
    <w:name w:val="Considérant"/>
    <w:basedOn w:val="Normal"/>
    <w:pPr>
      <w:numPr>
        <w:numId w:val="22"/>
      </w:numPr>
      <w:spacing w:before="120" w:after="120" w:line="240" w:lineRule="auto"/>
      <w:jc w:val="both"/>
    </w:pPr>
    <w:rPr>
      <w:rFonts w:ascii="Times New Roman" w:eastAsia="Times New Roman" w:hAnsi="Times New Roman" w:cs="Times New Roman"/>
      <w:sz w:val="24"/>
      <w:szCs w:val="20"/>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szCs w:val="20"/>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szCs w:val="20"/>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szCs w:val="20"/>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szCs w:val="20"/>
      <w:u w:val="single"/>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szCs w:val="20"/>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szCs w:val="20"/>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szCs w:val="20"/>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szCs w:val="20"/>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szCs w:val="20"/>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szCs w:val="20"/>
    </w:rPr>
  </w:style>
  <w:style w:type="paragraph" w:customStyle="1" w:styleId="Nomdelinstitution">
    <w:name w:val="Nom de l'institution"/>
    <w:basedOn w:val="Normal"/>
    <w:next w:val="Emission"/>
    <w:pPr>
      <w:spacing w:after="0" w:line="240" w:lineRule="auto"/>
    </w:pPr>
    <w:rPr>
      <w:rFonts w:ascii="Arial" w:eastAsia="Times New Roman" w:hAnsi="Arial" w:cs="Arial"/>
      <w:sz w:val="24"/>
      <w:szCs w:val="20"/>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szCs w:val="20"/>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szCs w:val="20"/>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szCs w:val="20"/>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szCs w:val="20"/>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szCs w:val="20"/>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szCs w:val="20"/>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szCs w:val="20"/>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cs="Times New Roman"/>
      <w:b/>
      <w:sz w:val="24"/>
      <w:szCs w:val="20"/>
    </w:rPr>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cs="Times New Roman"/>
      <w:b/>
      <w:sz w:val="24"/>
      <w:szCs w:val="20"/>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szCs w:val="20"/>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szCs w:val="20"/>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szCs w:val="20"/>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szCs w:val="20"/>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szCs w:val="20"/>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szCs w:val="20"/>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szCs w:val="20"/>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szCs w:val="20"/>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szCs w:val="20"/>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szCs w:val="20"/>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szCs w:val="20"/>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odernPaper">
    <w:name w:val="Modern Paper"/>
    <w:basedOn w:val="TableNormal"/>
    <w:uiPriority w:val="99"/>
    <w:pPr>
      <w:spacing w:before="200" w:line="240" w:lineRule="auto"/>
    </w:pPr>
    <w:rPr>
      <w:color w:val="1F497D" w:themeColor="text2"/>
    </w:rPr>
    <w:tblPr>
      <w:tblInd w:w="0" w:type="dxa"/>
      <w:tblBorders>
        <w:insideH w:val="single" w:sz="8" w:space="0" w:color="1F497D" w:themeColor="text2"/>
      </w:tblBorders>
      <w:tblCellMar>
        <w:top w:w="0" w:type="dxa"/>
        <w:left w:w="144" w:type="dxa"/>
        <w:bottom w:w="0" w:type="dxa"/>
        <w:right w:w="144" w:type="dxa"/>
      </w:tblCellMar>
    </w:tblPr>
    <w:tcPr>
      <w:vAlign w:val="center"/>
    </w:tcPr>
    <w:tblStylePr w:type="firstRow">
      <w:pPr>
        <w:wordWrap/>
        <w:spacing w:beforeLines="0" w:beforeAutospacing="0" w:afterLines="0" w:afterAutospacing="0" w:line="216" w:lineRule="auto"/>
        <w:contextualSpacing w:val="0"/>
      </w:pPr>
      <w:rPr>
        <w:rFonts w:asciiTheme="majorHAnsi" w:hAnsiTheme="majorHAnsi"/>
        <w:b/>
        <w:i w:val="0"/>
        <w:color w:val="244061" w:themeColor="accent1" w:themeShade="80"/>
        <w:sz w:val="28"/>
      </w:rPr>
      <w:tblPr/>
      <w:trPr>
        <w:tblHeader/>
      </w:trPr>
      <w:tcPr>
        <w:tcBorders>
          <w:top w:val="nil"/>
          <w:left w:val="nil"/>
          <w:bottom w:val="single" w:sz="24" w:space="0" w:color="1F497D" w:themeColor="text2"/>
          <w:right w:val="nil"/>
          <w:insideH w:val="nil"/>
          <w:insideV w:val="nil"/>
          <w:tl2br w:val="nil"/>
          <w:tr2bl w:val="nil"/>
        </w:tcBorders>
      </w:tcPr>
    </w:tblStylePr>
    <w:tblStylePr w:type="firstCol">
      <w:pPr>
        <w:wordWrap/>
        <w:jc w:val="right"/>
      </w:pPr>
      <w:rPr>
        <w:b/>
      </w:rPr>
      <w:tblPr/>
      <w:tcPr>
        <w:tcMar>
          <w:top w:w="0" w:type="nil"/>
          <w:left w:w="0" w:type="nil"/>
          <w:bottom w:w="0" w:type="nil"/>
          <w:right w:w="432" w:type="dxa"/>
        </w:tcMar>
      </w:tcPr>
    </w:tblStylePr>
    <w:tblStylePr w:type="nwCell">
      <w:pPr>
        <w:wordWrap/>
        <w:jc w:val="left"/>
      </w:pPr>
    </w:tblStyle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0">
    <w:name w:val="_NORMAL"/>
    <w:basedOn w:val="Normal"/>
    <w:qFormat/>
    <w:pPr>
      <w:spacing w:after="160" w:line="300" w:lineRule="exact"/>
      <w:jc w:val="both"/>
    </w:pPr>
    <w:rPr>
      <w:rFonts w:ascii="Calibri" w:eastAsiaTheme="minorEastAsia" w:hAnsi="Calibri" w:cs="Tahoma"/>
      <w:szCs w:val="20"/>
    </w:rPr>
  </w:style>
  <w:style w:type="paragraph" w:styleId="ListParagraph">
    <w:name w:val="List Paragraph"/>
    <w:aliases w:val="Dot pt,F5 List Paragraph,List Paragraph1,No Spacing1,List Paragraph Char Char Char,Indicator Text,Colorful List - Accent 11,Numbered Para 1,Bullet Points,MAIN CONTENT,List Paragraph11,List Paragraph12,List Paragraph2,OBC Bullet,L"/>
    <w:basedOn w:val="Normal"/>
    <w:link w:val="ListParagraphChar"/>
    <w:uiPriority w:val="34"/>
    <w:qFormat/>
    <w:pPr>
      <w:ind w:left="720"/>
      <w:contextualSpacing/>
    </w:pPr>
  </w:style>
  <w:style w:type="character" w:styleId="Strong">
    <w:name w:val="Strong"/>
    <w:basedOn w:val="DefaultParagraphFont"/>
    <w:uiPriority w:val="22"/>
    <w:qFormat/>
    <w:rPr>
      <w:b/>
      <w:bCs/>
    </w:rPr>
  </w:style>
  <w:style w:type="table" w:styleId="LightShading-Accent1">
    <w:name w:val="Light Shading Accent 1"/>
    <w:basedOn w:val="TableNormal"/>
    <w:uiPriority w:val="60"/>
    <w:pPr>
      <w:spacing w:after="0" w:line="240" w:lineRule="auto"/>
    </w:pPr>
    <w:rPr>
      <w:rFonts w:ascii="Times New Roman" w:eastAsia="Times New Roman" w:hAnsi="Times New Roman" w:cs="Times New Roman"/>
      <w:color w:val="365F91" w:themeColor="accent1" w:themeShade="BF"/>
      <w:sz w:val="20"/>
      <w:szCs w:val="20"/>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0"/>
    </w:rPr>
  </w:style>
  <w:style w:type="character" w:styleId="FollowedHyperlink">
    <w:name w:val="FollowedHyperlink"/>
    <w:basedOn w:val="DefaultParagraphFont"/>
    <w:semiHidden/>
    <w:unhideWhenUsed/>
    <w:rPr>
      <w:color w:val="800080" w:themeColor="followedHyperlink"/>
      <w:u w:val="single"/>
    </w:rPr>
  </w:style>
  <w:style w:type="table" w:customStyle="1" w:styleId="TableGrid1">
    <w:name w:val="Table Grid1"/>
    <w:basedOn w:val="TableNormal"/>
    <w:next w:val="TableGrid"/>
    <w:uiPriority w:val="59"/>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Points Char,MAIN CONTENT Char,OBC Bullet Char"/>
    <w:basedOn w:val="DefaultParagraphFont"/>
    <w:link w:val="ListParagraph"/>
    <w:uiPriority w:val="34"/>
    <w:qFormat/>
    <w:rPr>
      <w:lang w:val="bg-BG"/>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hart" Target="charts/chart3.xml"/><Relationship Id="rId26" Type="http://schemas.openxmlformats.org/officeDocument/2006/relationships/chart" Target="charts/chart11.xml"/><Relationship Id="rId3" Type="http://schemas.openxmlformats.org/officeDocument/2006/relationships/styles" Target="styles.xml"/><Relationship Id="rId21" Type="http://schemas.openxmlformats.org/officeDocument/2006/relationships/chart" Target="charts/chart6.xml"/><Relationship Id="rId34"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hart" Target="charts/chart2.xml"/><Relationship Id="rId25" Type="http://schemas.openxmlformats.org/officeDocument/2006/relationships/chart" Target="charts/chart10.xml"/><Relationship Id="rId33"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chart" Target="charts/chart5.xm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chart" Target="charts/chart9.xml"/><Relationship Id="rId32"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chart" Target="charts/chart8.xml"/><Relationship Id="rId28" Type="http://schemas.openxmlformats.org/officeDocument/2006/relationships/chart" Target="charts/chart13.xm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chart" Target="charts/chart4.xml"/><Relationship Id="rId31"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chart" Target="charts/chart7.xml"/><Relationship Id="rId27" Type="http://schemas.openxmlformats.org/officeDocument/2006/relationships/chart" Target="charts/chart12.xml"/><Relationship Id="rId30" Type="http://schemas.openxmlformats.org/officeDocument/2006/relationships/header" Target="header5.xm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youtube.com/watch?v=7rPzXzCoxkI" TargetMode="External"/><Relationship Id="rId2" Type="http://schemas.openxmlformats.org/officeDocument/2006/relationships/hyperlink" Target="https://ec.europa.eu/taxation_customs/sites/taxation/files/resources/documents/taxation/tax_cooperation/vat_gap/2016-03_20_measures_en.pdf" TargetMode="External"/><Relationship Id="rId1" Type="http://schemas.openxmlformats.org/officeDocument/2006/relationships/hyperlink" Target="https://ec.europa.eu/taxation_customs/sites/taxation/files/study_and_reports_on_the_vat_gap_2017.pdf" TargetMode="External"/><Relationship Id="rId5" Type="http://schemas.openxmlformats.org/officeDocument/2006/relationships/hyperlink" Target="http://www.tadat.org/" TargetMode="External"/><Relationship Id="rId4" Type="http://schemas.openxmlformats.org/officeDocument/2006/relationships/hyperlink" Target="https://ec.europa.eu/taxation_customs/sites/taxation/files/resources/documents/common/publications/info_docs/taxation/fiscal_blueprint_en.pdf"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7.xml"/></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Excel_Worksheet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Excel_Worksheet13.xlsx"/></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3.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4.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8.xlsx"/><Relationship Id="rId1" Type="http://schemas.openxmlformats.org/officeDocument/2006/relationships/themeOverride" Target="../theme/themeOverride5.xm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6.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5835338291046971E-2"/>
          <c:y val="4.4057617797775318E-2"/>
          <c:w val="0.77579579356794248"/>
          <c:h val="0.66047399507845905"/>
        </c:manualLayout>
      </c:layout>
      <c:lineChart>
        <c:grouping val="standard"/>
        <c:varyColors val="0"/>
        <c:ser>
          <c:idx val="0"/>
          <c:order val="0"/>
          <c:tx>
            <c:strRef>
              <c:f>Sheet1!$B$1</c:f>
              <c:strCache>
                <c:ptCount val="1"/>
                <c:pt idx="0">
                  <c:v>(%)</c:v>
                </c:pt>
              </c:strCache>
            </c:strRef>
          </c:tx>
          <c:spPr>
            <a:ln w="19050">
              <a:solidFill>
                <a:schemeClr val="accent1">
                  <a:lumMod val="50000"/>
                </a:schemeClr>
              </a:solidFill>
            </a:ln>
          </c:spPr>
          <c:marker>
            <c:symbol val="diamond"/>
            <c:size val="5"/>
            <c:spPr>
              <a:solidFill>
                <a:schemeClr val="accent1">
                  <a:lumMod val="50000"/>
                </a:schemeClr>
              </a:solidFill>
              <a:ln>
                <a:solidFill>
                  <a:schemeClr val="accent1">
                    <a:lumMod val="50000"/>
                  </a:schemeClr>
                </a:solidFill>
              </a:ln>
            </c:spPr>
          </c:marker>
          <c:dLbls>
            <c:dLbl>
              <c:idx val="0"/>
              <c:layout/>
              <c:tx>
                <c:rich>
                  <a:bodyPr/>
                  <a:lstStyle/>
                  <a:p>
                    <a:r>
                      <a:rPr lang="en-US"/>
                      <a:t>13,98 %</a:t>
                    </a:r>
                  </a:p>
                </c:rich>
              </c:tx>
              <c:showLegendKey val="0"/>
              <c:showVal val="1"/>
              <c:showCatName val="0"/>
              <c:showSerName val="0"/>
              <c:showPercent val="0"/>
              <c:showBubbleSize val="0"/>
            </c:dLbl>
            <c:dLbl>
              <c:idx val="1"/>
              <c:layout>
                <c:manualLayout>
                  <c:x val="-4.9352360664366851E-2"/>
                  <c:y val="4.8894546910531959E-2"/>
                </c:manualLayout>
              </c:layout>
              <c:tx>
                <c:rich>
                  <a:bodyPr/>
                  <a:lstStyle/>
                  <a:p>
                    <a:r>
                      <a:rPr lang="en-US"/>
                      <a:t>14,73 %</a:t>
                    </a:r>
                  </a:p>
                </c:rich>
              </c:tx>
              <c:showLegendKey val="0"/>
              <c:showVal val="1"/>
              <c:showCatName val="0"/>
              <c:showSerName val="0"/>
              <c:showPercent val="0"/>
              <c:showBubbleSize val="0"/>
            </c:dLbl>
            <c:dLbl>
              <c:idx val="2"/>
              <c:layout/>
              <c:tx>
                <c:rich>
                  <a:bodyPr/>
                  <a:lstStyle/>
                  <a:p>
                    <a:r>
                      <a:rPr lang="en-US"/>
                      <a:t>14,78 %</a:t>
                    </a:r>
                  </a:p>
                </c:rich>
              </c:tx>
              <c:showLegendKey val="0"/>
              <c:showVal val="1"/>
              <c:showCatName val="0"/>
              <c:showSerName val="0"/>
              <c:showPercent val="0"/>
              <c:showBubbleSize val="0"/>
            </c:dLbl>
            <c:dLbl>
              <c:idx val="3"/>
              <c:layout/>
              <c:tx>
                <c:rich>
                  <a:bodyPr/>
                  <a:lstStyle/>
                  <a:p>
                    <a:r>
                      <a:rPr lang="en-US"/>
                      <a:t>14,09 %</a:t>
                    </a:r>
                  </a:p>
                </c:rich>
              </c:tx>
              <c:showLegendKey val="0"/>
              <c:showVal val="1"/>
              <c:showCatName val="0"/>
              <c:showSerName val="0"/>
              <c:showPercent val="0"/>
              <c:showBubbleSize val="0"/>
            </c:dLbl>
            <c:dLbl>
              <c:idx val="4"/>
              <c:layout/>
              <c:tx>
                <c:rich>
                  <a:bodyPr/>
                  <a:lstStyle/>
                  <a:p>
                    <a:r>
                      <a:rPr lang="en-US"/>
                      <a:t>12,77 %</a:t>
                    </a:r>
                  </a:p>
                </c:rich>
              </c:tx>
              <c:showLegendKey val="0"/>
              <c:showVal val="1"/>
              <c:showCatName val="0"/>
              <c:showSerName val="0"/>
              <c:showPercent val="0"/>
              <c:showBubbleSize val="0"/>
            </c:dLbl>
            <c:txPr>
              <a:bodyPr/>
              <a:lstStyle/>
              <a:p>
                <a:pPr>
                  <a:defRPr sz="900"/>
                </a:pPr>
                <a:endParaRPr lang="en-US"/>
              </a:p>
            </c:txPr>
            <c:showLegendKey val="0"/>
            <c:showVal val="1"/>
            <c:showCatName val="0"/>
            <c:showSerName val="0"/>
            <c:showPercent val="0"/>
            <c:showBubbleSize val="0"/>
            <c:showLeaderLines val="0"/>
          </c:dLbls>
          <c:cat>
            <c:strRef>
              <c:f>Sheet1!$A$2:$A$6</c:f>
              <c:strCache>
                <c:ptCount val="5"/>
                <c:pt idx="0">
                  <c:v>2011 г.</c:v>
                </c:pt>
                <c:pt idx="1">
                  <c:v>2012 г.</c:v>
                </c:pt>
                <c:pt idx="2">
                  <c:v>2013 г.</c:v>
                </c:pt>
                <c:pt idx="3">
                  <c:v>2014 г.</c:v>
                </c:pt>
                <c:pt idx="4">
                  <c:v>2015 г.</c:v>
                </c:pt>
              </c:strCache>
            </c:strRef>
          </c:cat>
          <c:val>
            <c:numRef>
              <c:f>Sheet1!$B$2:$B$6</c:f>
              <c:numCache>
                <c:formatCode>0.00%</c:formatCode>
                <c:ptCount val="5"/>
                <c:pt idx="0">
                  <c:v>0.13980000000000001</c:v>
                </c:pt>
                <c:pt idx="1">
                  <c:v>0.14729999999999999</c:v>
                </c:pt>
                <c:pt idx="2">
                  <c:v>0.14779999999999999</c:v>
                </c:pt>
                <c:pt idx="3">
                  <c:v>0.1409</c:v>
                </c:pt>
                <c:pt idx="4">
                  <c:v>0.12770000000000001</c:v>
                </c:pt>
              </c:numCache>
            </c:numRef>
          </c:val>
          <c:smooth val="0"/>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6="http://schemas.microsoft.com/office/drawing/2014/chart" uri="{C3380CC4-5D6E-409C-BE32-E72D297353CC}">
              <c16:uniqueId val="{00000000-9A7D-42AB-B0A8-46D6FB654812}"/>
            </c:ext>
          </c:extLst>
        </c:ser>
        <c:dLbls>
          <c:showLegendKey val="0"/>
          <c:showVal val="0"/>
          <c:showCatName val="0"/>
          <c:showSerName val="0"/>
          <c:showPercent val="0"/>
          <c:showBubbleSize val="0"/>
        </c:dLbls>
        <c:marker val="1"/>
        <c:smooth val="0"/>
        <c:axId val="32277248"/>
        <c:axId val="32278784"/>
      </c:lineChart>
      <c:catAx>
        <c:axId val="32277248"/>
        <c:scaling>
          <c:orientation val="minMax"/>
        </c:scaling>
        <c:delete val="0"/>
        <c:axPos val="b"/>
        <c:numFmt formatCode="General" sourceLinked="1"/>
        <c:majorTickMark val="out"/>
        <c:minorTickMark val="none"/>
        <c:tickLblPos val="nextTo"/>
        <c:txPr>
          <a:bodyPr/>
          <a:lstStyle/>
          <a:p>
            <a:pPr>
              <a:defRPr sz="800"/>
            </a:pPr>
            <a:endParaRPr lang="en-US"/>
          </a:p>
        </c:txPr>
        <c:crossAx val="32278784"/>
        <c:crosses val="autoZero"/>
        <c:auto val="1"/>
        <c:lblAlgn val="ctr"/>
        <c:lblOffset val="100"/>
        <c:noMultiLvlLbl val="0"/>
      </c:catAx>
      <c:valAx>
        <c:axId val="32278784"/>
        <c:scaling>
          <c:orientation val="minMax"/>
          <c:min val="0.12000000000000001"/>
        </c:scaling>
        <c:delete val="0"/>
        <c:axPos val="l"/>
        <c:majorGridlines/>
        <c:numFmt formatCode="0%" sourceLinked="0"/>
        <c:majorTickMark val="out"/>
        <c:minorTickMark val="none"/>
        <c:tickLblPos val="nextTo"/>
        <c:txPr>
          <a:bodyPr/>
          <a:lstStyle/>
          <a:p>
            <a:pPr>
              <a:defRPr sz="800"/>
            </a:pPr>
            <a:endParaRPr lang="en-US"/>
          </a:p>
        </c:txPr>
        <c:crossAx val="32277248"/>
        <c:crosses val="autoZero"/>
        <c:crossBetween val="between"/>
      </c:valAx>
    </c:plotArea>
    <c:legend>
      <c:legendPos val="b"/>
      <c:layout>
        <c:manualLayout>
          <c:xMode val="edge"/>
          <c:yMode val="edge"/>
          <c:x val="0.39909208613523678"/>
          <c:y val="0.87071661885785057"/>
          <c:w val="0.20181582772952644"/>
          <c:h val="8.0393723270803463E-2"/>
        </c:manualLayout>
      </c:layout>
      <c:overlay val="0"/>
      <c:txPr>
        <a:bodyPr/>
        <a:lstStyle/>
        <a:p>
          <a:pPr>
            <a:defRPr sz="900">
              <a:latin typeface="Times New Roman" panose="02020603050405020304" pitchFamily="18" charset="0"/>
              <a:cs typeface="Times New Roman" panose="02020603050405020304" pitchFamily="18" charset="0"/>
            </a:defRPr>
          </a:pPr>
          <a:endParaRPr lang="en-US"/>
        </a:p>
      </c:txPr>
    </c:legend>
    <c:plotVisOnly val="1"/>
    <c:dispBlanksAs val="gap"/>
    <c:showDLblsOverMax val="0"/>
  </c:chart>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
          <c:y val="1.8047561879877153E-3"/>
          <c:w val="1"/>
          <c:h val="0.9981952438120123"/>
        </c:manualLayout>
      </c:layout>
      <c:barChart>
        <c:barDir val="bar"/>
        <c:grouping val="percentStacked"/>
        <c:varyColors val="0"/>
        <c:ser>
          <c:idx val="0"/>
          <c:order val="0"/>
          <c:tx>
            <c:strRef>
              <c:f>Sheet1!$B$1</c:f>
              <c:strCache>
                <c:ptCount val="1"/>
                <c:pt idx="0">
                  <c:v>Implemented</c:v>
                </c:pt>
              </c:strCache>
            </c:strRef>
          </c:tx>
          <c:invertIfNegative val="0"/>
          <c:dPt>
            <c:idx val="0"/>
            <c:invertIfNegative val="0"/>
            <c:bubble3D val="0"/>
            <c:spPr>
              <a:solidFill>
                <a:schemeClr val="accent1">
                  <a:lumMod val="20000"/>
                  <a:lumOff val="80000"/>
                </a:schemeClr>
              </a:solidFill>
            </c:spPr>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6="http://schemas.microsoft.com/office/drawing/2014/chart" uri="{C3380CC4-5D6E-409C-BE32-E72D297353CC}">
                <c16:uniqueId val="{00000001-C024-4D2B-9CAB-3D1385670E5F}"/>
              </c:ext>
            </c:extLst>
          </c:dPt>
          <c:dPt>
            <c:idx val="1"/>
            <c:invertIfNegative val="0"/>
            <c:bubble3D val="0"/>
            <c:spPr>
              <a:solidFill>
                <a:schemeClr val="accent1">
                  <a:lumMod val="40000"/>
                  <a:lumOff val="60000"/>
                </a:schemeClr>
              </a:solidFill>
            </c:spPr>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6="http://schemas.microsoft.com/office/drawing/2014/chart" uri="{C3380CC4-5D6E-409C-BE32-E72D297353CC}">
                <c16:uniqueId val="{00000003-C024-4D2B-9CAB-3D1385670E5F}"/>
              </c:ext>
            </c:extLst>
          </c:dPt>
          <c:dPt>
            <c:idx val="2"/>
            <c:invertIfNegative val="0"/>
            <c:bubble3D val="0"/>
            <c:spPr>
              <a:solidFill>
                <a:schemeClr val="accent1">
                  <a:lumMod val="75000"/>
                </a:schemeClr>
              </a:solidFill>
            </c:spPr>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6="http://schemas.microsoft.com/office/drawing/2014/chart" uri="{C3380CC4-5D6E-409C-BE32-E72D297353CC}">
                <c16:uniqueId val="{00000005-C024-4D2B-9CAB-3D1385670E5F}"/>
              </c:ext>
            </c:extLst>
          </c:dPt>
          <c:dPt>
            <c:idx val="3"/>
            <c:invertIfNegative val="0"/>
            <c:bubble3D val="0"/>
            <c:spPr>
              <a:solidFill>
                <a:schemeClr val="accent1">
                  <a:lumMod val="50000"/>
                </a:schemeClr>
              </a:solidFill>
            </c:spPr>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6="http://schemas.microsoft.com/office/drawing/2014/chart" uri="{C3380CC4-5D6E-409C-BE32-E72D297353CC}">
                <c16:uniqueId val="{00000007-C024-4D2B-9CAB-3D1385670E5F}"/>
              </c:ext>
            </c:extLst>
          </c:dPt>
          <c:dPt>
            <c:idx val="4"/>
            <c:invertIfNegative val="0"/>
            <c:bubble3D val="0"/>
            <c:spPr>
              <a:solidFill>
                <a:schemeClr val="accent1">
                  <a:lumMod val="50000"/>
                </a:schemeClr>
              </a:solidFill>
            </c:spPr>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6="http://schemas.microsoft.com/office/drawing/2014/chart" uri="{C3380CC4-5D6E-409C-BE32-E72D297353CC}">
                <c16:uniqueId val="{00000009-C024-4D2B-9CAB-3D1385670E5F}"/>
              </c:ext>
            </c:extLst>
          </c:dPt>
          <c:dPt>
            <c:idx val="5"/>
            <c:invertIfNegative val="0"/>
            <c:bubble3D val="0"/>
            <c:spPr>
              <a:solidFill>
                <a:schemeClr val="accent1">
                  <a:lumMod val="60000"/>
                  <a:lumOff val="40000"/>
                </a:schemeClr>
              </a:solidFill>
            </c:spPr>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6="http://schemas.microsoft.com/office/drawing/2014/chart" uri="{C3380CC4-5D6E-409C-BE32-E72D297353CC}">
                <c16:uniqueId val="{0000000B-C024-4D2B-9CAB-3D1385670E5F}"/>
              </c:ext>
            </c:extLst>
          </c:dPt>
          <c:dPt>
            <c:idx val="6"/>
            <c:invertIfNegative val="0"/>
            <c:bubble3D val="0"/>
            <c:spPr>
              <a:solidFill>
                <a:srgbClr val="016AA3"/>
              </a:solidFill>
            </c:spPr>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6="http://schemas.microsoft.com/office/drawing/2014/chart" uri="{C3380CC4-5D6E-409C-BE32-E72D297353CC}">
                <c16:uniqueId val="{0000000D-C024-4D2B-9CAB-3D1385670E5F}"/>
              </c:ext>
            </c:extLst>
          </c:dPt>
          <c:dLbls>
            <c:dLbl>
              <c:idx val="0"/>
              <c:tx>
                <c:rich>
                  <a:bodyPr/>
                  <a:lstStyle/>
                  <a:p>
                    <a:pPr>
                      <a:defRPr sz="800" b="1">
                        <a:solidFill>
                          <a:srgbClr val="002060"/>
                        </a:solidFill>
                        <a:latin typeface="Times New Roman" panose="02020603050405020304" pitchFamily="18" charset="0"/>
                        <a:cs typeface="Times New Roman" panose="02020603050405020304" pitchFamily="18" charset="0"/>
                      </a:defRPr>
                    </a:pPr>
                    <a:r>
                      <a:rPr lang="en-US" sz="800">
                        <a:latin typeface="Times New Roman" panose="02020603050405020304" pitchFamily="18" charset="0"/>
                        <a:cs typeface="Times New Roman" panose="02020603050405020304" pitchFamily="18" charset="0"/>
                      </a:rPr>
                      <a:t>13 </a:t>
                    </a:r>
                    <a:r>
                      <a:rPr lang="bg-BG" sz="800">
                        <a:latin typeface="Times New Roman" panose="02020603050405020304" pitchFamily="18" charset="0"/>
                        <a:cs typeface="Times New Roman" panose="02020603050405020304" pitchFamily="18" charset="0"/>
                      </a:rPr>
                      <a:t>държави членки</a:t>
                    </a:r>
                  </a:p>
                </c:rich>
              </c:tx>
              <c:spPr>
                <a:noFill/>
                <a:ln>
                  <a:noFill/>
                </a:ln>
                <a:effectLst/>
              </c:spPr>
              <c:showLegendKey val="0"/>
              <c:showVal val="1"/>
              <c:showCatName val="0"/>
              <c:showSerName val="0"/>
              <c:showPercent val="0"/>
              <c:showBubbleSize val="0"/>
            </c:dLbl>
            <c:dLbl>
              <c:idx val="1"/>
              <c:layout>
                <c:manualLayout>
                  <c:x val="8.0940318305768311E-3"/>
                  <c:y val="0"/>
                </c:manualLayout>
              </c:layout>
              <c:tx>
                <c:rich>
                  <a:bodyPr/>
                  <a:lstStyle/>
                  <a:p>
                    <a:pPr>
                      <a:defRPr sz="800" b="1">
                        <a:solidFill>
                          <a:srgbClr val="002060"/>
                        </a:solidFill>
                        <a:latin typeface="Times New Roman" panose="02020603050405020304" pitchFamily="18" charset="0"/>
                        <a:cs typeface="Times New Roman" panose="02020603050405020304" pitchFamily="18" charset="0"/>
                      </a:defRPr>
                    </a:pPr>
                    <a:r>
                      <a:rPr lang="en-US" sz="800">
                        <a:latin typeface="Times New Roman" panose="02020603050405020304" pitchFamily="18" charset="0"/>
                        <a:cs typeface="Times New Roman" panose="02020603050405020304" pitchFamily="18" charset="0"/>
                      </a:rPr>
                      <a:t>18 </a:t>
                    </a:r>
                    <a:r>
                      <a:rPr lang="bg-BG" sz="800">
                        <a:latin typeface="Times New Roman" panose="02020603050405020304" pitchFamily="18" charset="0"/>
                        <a:cs typeface="Times New Roman" panose="02020603050405020304" pitchFamily="18" charset="0"/>
                      </a:rPr>
                      <a:t>държави членки</a:t>
                    </a:r>
                  </a:p>
                </c:rich>
              </c:tx>
              <c:spPr>
                <a:noFill/>
                <a:ln>
                  <a:noFill/>
                </a:ln>
                <a:effectLst/>
              </c:spPr>
              <c:showLegendKey val="0"/>
              <c:showVal val="1"/>
              <c:showCatName val="0"/>
              <c:showSerName val="0"/>
              <c:showPercent val="0"/>
              <c:showBubbleSize val="0"/>
            </c:dLbl>
            <c:dLbl>
              <c:idx val="2"/>
              <c:tx>
                <c:rich>
                  <a:bodyPr/>
                  <a:lstStyle/>
                  <a:p>
                    <a:r>
                      <a:rPr lang="en-US" sz="800">
                        <a:latin typeface="Times New Roman" panose="02020603050405020304" pitchFamily="18" charset="0"/>
                        <a:cs typeface="Times New Roman" panose="02020603050405020304" pitchFamily="18" charset="0"/>
                      </a:rPr>
                      <a:t>23 </a:t>
                    </a:r>
                    <a:r>
                      <a:rPr lang="bg-BG" sz="800">
                        <a:latin typeface="Times New Roman" panose="02020603050405020304" pitchFamily="18" charset="0"/>
                        <a:cs typeface="Times New Roman" panose="02020603050405020304" pitchFamily="18" charset="0"/>
                      </a:rPr>
                      <a:t>държави членки</a:t>
                    </a:r>
                  </a:p>
                </c:rich>
              </c:tx>
              <c:showLegendKey val="0"/>
              <c:showVal val="1"/>
              <c:showCatName val="0"/>
              <c:showSerName val="0"/>
              <c:showPercent val="0"/>
              <c:showBubbleSize val="0"/>
            </c:dLbl>
            <c:dLbl>
              <c:idx val="3"/>
              <c:tx>
                <c:rich>
                  <a:bodyPr/>
                  <a:lstStyle/>
                  <a:p>
                    <a:r>
                      <a:rPr lang="en-US" sz="800">
                        <a:latin typeface="Times New Roman" panose="02020603050405020304" pitchFamily="18" charset="0"/>
                        <a:cs typeface="Times New Roman" panose="02020603050405020304" pitchFamily="18" charset="0"/>
                      </a:rPr>
                      <a:t>28 </a:t>
                    </a:r>
                    <a:r>
                      <a:rPr lang="bg-BG" sz="800">
                        <a:latin typeface="Times New Roman" panose="02020603050405020304" pitchFamily="18" charset="0"/>
                        <a:cs typeface="Times New Roman" panose="02020603050405020304" pitchFamily="18" charset="0"/>
                      </a:rPr>
                      <a:t>държави членки</a:t>
                    </a:r>
                  </a:p>
                </c:rich>
              </c:tx>
              <c:showLegendKey val="0"/>
              <c:showVal val="1"/>
              <c:showCatName val="0"/>
              <c:showSerName val="0"/>
              <c:showPercent val="0"/>
              <c:showBubbleSize val="0"/>
            </c:dLbl>
            <c:dLbl>
              <c:idx val="4"/>
              <c:layout>
                <c:manualLayout>
                  <c:x val="-2.1588584760362125E-2"/>
                  <c:y val="2.3551998451731851E-2"/>
                </c:manualLayout>
              </c:layout>
              <c:tx>
                <c:rich>
                  <a:bodyPr/>
                  <a:lstStyle/>
                  <a:p>
                    <a:r>
                      <a:rPr lang="en-US" sz="800" b="1" i="0" baseline="0">
                        <a:effectLst/>
                        <a:latin typeface="Times New Roman" panose="02020603050405020304" pitchFamily="18" charset="0"/>
                        <a:cs typeface="Times New Roman" panose="02020603050405020304" pitchFamily="18" charset="0"/>
                      </a:rPr>
                      <a:t>28 </a:t>
                    </a:r>
                    <a:r>
                      <a:rPr lang="bg-BG" sz="800" b="1" i="0" baseline="0">
                        <a:effectLst/>
                        <a:latin typeface="Times New Roman" panose="02020603050405020304" pitchFamily="18" charset="0"/>
                        <a:cs typeface="Times New Roman" panose="02020603050405020304" pitchFamily="18" charset="0"/>
                      </a:rPr>
                      <a:t>държави членки</a:t>
                    </a:r>
                    <a:endParaRPr lang="en-US" sz="800" b="1" i="0" baseline="0">
                      <a:effectLst/>
                      <a:latin typeface="Times New Roman" panose="02020603050405020304" pitchFamily="18" charset="0"/>
                      <a:cs typeface="Times New Roman" panose="02020603050405020304" pitchFamily="18" charset="0"/>
                    </a:endParaRPr>
                  </a:p>
                  <a:p>
                    <a:endParaRPr lang="en-GB" sz="800">
                      <a:effectLst/>
                    </a:endParaRPr>
                  </a:p>
                </c:rich>
              </c:tx>
              <c:showLegendKey val="0"/>
              <c:showVal val="1"/>
              <c:showCatName val="0"/>
              <c:showSerName val="0"/>
              <c:showPercent val="0"/>
              <c:showBubbleSize val="0"/>
            </c:dLbl>
            <c:dLbl>
              <c:idx val="5"/>
              <c:tx>
                <c:rich>
                  <a:bodyPr/>
                  <a:lstStyle/>
                  <a:p>
                    <a:pPr>
                      <a:defRPr sz="800" b="1">
                        <a:solidFill>
                          <a:srgbClr val="002060"/>
                        </a:solidFill>
                        <a:latin typeface="Times New Roman" panose="02020603050405020304" pitchFamily="18" charset="0"/>
                        <a:cs typeface="Times New Roman" panose="02020603050405020304" pitchFamily="18" charset="0"/>
                      </a:defRPr>
                    </a:pPr>
                    <a:r>
                      <a:rPr lang="en-US" sz="800">
                        <a:latin typeface="Times New Roman" panose="02020603050405020304" pitchFamily="18" charset="0"/>
                        <a:cs typeface="Times New Roman" panose="02020603050405020304" pitchFamily="18" charset="0"/>
                      </a:rPr>
                      <a:t>20 </a:t>
                    </a:r>
                    <a:r>
                      <a:rPr lang="bg-BG" sz="800">
                        <a:latin typeface="Times New Roman" panose="02020603050405020304" pitchFamily="18" charset="0"/>
                        <a:cs typeface="Times New Roman" panose="02020603050405020304" pitchFamily="18" charset="0"/>
                      </a:rPr>
                      <a:t>държави членки</a:t>
                    </a:r>
                    <a:endParaRPr lang="en-US"/>
                  </a:p>
                </c:rich>
              </c:tx>
              <c:spPr>
                <a:noFill/>
                <a:ln>
                  <a:noFill/>
                </a:ln>
                <a:effectLst/>
              </c:spPr>
              <c:showLegendKey val="0"/>
              <c:showVal val="1"/>
              <c:showCatName val="0"/>
              <c:showSerName val="0"/>
              <c:showPercent val="0"/>
              <c:showBubbleSize val="0"/>
            </c:dLbl>
            <c:spPr>
              <a:noFill/>
              <a:ln>
                <a:noFill/>
              </a:ln>
              <a:effectLst/>
            </c:spPr>
            <c:txPr>
              <a:bodyPr/>
              <a:lstStyle/>
              <a:p>
                <a:pPr>
                  <a:defRPr sz="800" b="1">
                    <a:solidFill>
                      <a:schemeClr val="bg1"/>
                    </a:solidFill>
                    <a:latin typeface="Times New Roman" panose="02020603050405020304" pitchFamily="18" charset="0"/>
                    <a:cs typeface="Times New Roman" panose="02020603050405020304" pitchFamily="18" charset="0"/>
                  </a:defRPr>
                </a:pPr>
                <a:endParaRPr lang="en-US"/>
              </a:p>
            </c:txPr>
            <c:showLegendKey val="0"/>
            <c:showVal val="1"/>
            <c:showCatName val="0"/>
            <c:showSerName val="0"/>
            <c:showPercent val="0"/>
            <c:showBubbleSize val="0"/>
            <c:showLeaderLines val="0"/>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5="http://schemas.microsoft.com/office/drawing/2012/chart" uri="{CE6537A1-D6FC-4f65-9D91-7224C49458BB}">
                <c15:layout/>
                <c15:showLeaderLines val="0"/>
              </c:ext>
            </c:extLst>
          </c:dLbls>
          <c:cat>
            <c:strRef>
              <c:f>Sheet1!$A$2:$A$7</c:f>
              <c:strCache>
                <c:ptCount val="6"/>
                <c:pt idx="0">
                  <c:v>6. VAT paid by the buyer (outside the reverse charge)</c:v>
                </c:pt>
                <c:pt idx="1">
                  <c:v>5. Liability of company's management for VAT</c:v>
                </c:pt>
                <c:pt idx="2">
                  <c:v>4. Possibility  to write-off uncollectable debts</c:v>
                </c:pt>
                <c:pt idx="3">
                  <c:v>3. Use of instalments plan</c:v>
                </c:pt>
                <c:pt idx="4">
                  <c:v>2. Procedure for offsetting tax credits </c:v>
                </c:pt>
                <c:pt idx="5">
                  <c:v>1. New debtors: early contacting  procedure</c:v>
                </c:pt>
              </c:strCache>
            </c:strRef>
          </c:cat>
          <c:val>
            <c:numRef>
              <c:f>Sheet1!$B$2:$B$7</c:f>
              <c:numCache>
                <c:formatCode>0%</c:formatCode>
                <c:ptCount val="6"/>
                <c:pt idx="0">
                  <c:v>0.46400000000000002</c:v>
                </c:pt>
                <c:pt idx="1">
                  <c:v>0.64300000000000002</c:v>
                </c:pt>
                <c:pt idx="2">
                  <c:v>0.82099999999999995</c:v>
                </c:pt>
                <c:pt idx="3">
                  <c:v>1</c:v>
                </c:pt>
                <c:pt idx="4">
                  <c:v>1</c:v>
                </c:pt>
                <c:pt idx="5">
                  <c:v>0.71399999999999997</c:v>
                </c:pt>
              </c:numCache>
            </c:numRef>
          </c:val>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6="http://schemas.microsoft.com/office/drawing/2014/chart" uri="{C3380CC4-5D6E-409C-BE32-E72D297353CC}">
              <c16:uniqueId val="{0000000E-C024-4D2B-9CAB-3D1385670E5F}"/>
            </c:ext>
          </c:extLst>
        </c:ser>
        <c:ser>
          <c:idx val="1"/>
          <c:order val="1"/>
          <c:tx>
            <c:strRef>
              <c:f>Sheet1!$C$1</c:f>
              <c:strCache>
                <c:ptCount val="1"/>
                <c:pt idx="0">
                  <c:v>Not implemented</c:v>
                </c:pt>
              </c:strCache>
            </c:strRef>
          </c:tx>
          <c:spPr>
            <a:solidFill>
              <a:schemeClr val="bg1">
                <a:lumMod val="95000"/>
              </a:schemeClr>
            </a:solidFill>
            <a:ln>
              <a:noFill/>
            </a:ln>
          </c:spPr>
          <c:invertIfNegative val="0"/>
          <c:cat>
            <c:strRef>
              <c:f>Sheet1!$A$2:$A$7</c:f>
              <c:strCache>
                <c:ptCount val="6"/>
                <c:pt idx="0">
                  <c:v>6. VAT paid by the buyer (outside the reverse charge)</c:v>
                </c:pt>
                <c:pt idx="1">
                  <c:v>5. Liability of company's management for VAT</c:v>
                </c:pt>
                <c:pt idx="2">
                  <c:v>4. Possibility  to write-off uncollectable debts</c:v>
                </c:pt>
                <c:pt idx="3">
                  <c:v>3. Use of instalments plan</c:v>
                </c:pt>
                <c:pt idx="4">
                  <c:v>2. Procedure for offsetting tax credits </c:v>
                </c:pt>
                <c:pt idx="5">
                  <c:v>1. New debtors: early contacting  procedure</c:v>
                </c:pt>
              </c:strCache>
            </c:strRef>
          </c:cat>
          <c:val>
            <c:numRef>
              <c:f>Sheet1!$C$2:$C$7</c:f>
              <c:numCache>
                <c:formatCode>0%</c:formatCode>
                <c:ptCount val="6"/>
                <c:pt idx="0">
                  <c:v>0.53600000000000003</c:v>
                </c:pt>
                <c:pt idx="1">
                  <c:v>0.377</c:v>
                </c:pt>
                <c:pt idx="2">
                  <c:v>0.17899999999999999</c:v>
                </c:pt>
                <c:pt idx="3">
                  <c:v>0</c:v>
                </c:pt>
                <c:pt idx="4">
                  <c:v>0</c:v>
                </c:pt>
                <c:pt idx="5">
                  <c:v>0.28599999999999998</c:v>
                </c:pt>
              </c:numCache>
            </c:numRef>
          </c:val>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6="http://schemas.microsoft.com/office/drawing/2014/chart" uri="{C3380CC4-5D6E-409C-BE32-E72D297353CC}">
              <c16:uniqueId val="{0000000F-C024-4D2B-9CAB-3D1385670E5F}"/>
            </c:ext>
          </c:extLst>
        </c:ser>
        <c:ser>
          <c:idx val="2"/>
          <c:order val="2"/>
          <c:tx>
            <c:strRef>
              <c:f>Sheet1!$D$1</c:f>
              <c:strCache>
                <c:ptCount val="1"/>
                <c:pt idx="0">
                  <c:v>100%</c:v>
                </c:pt>
              </c:strCache>
            </c:strRef>
          </c:tx>
          <c:invertIfNegative val="0"/>
          <c:cat>
            <c:strRef>
              <c:f>Sheet1!$A$2:$A$7</c:f>
              <c:strCache>
                <c:ptCount val="6"/>
                <c:pt idx="0">
                  <c:v>6. VAT paid by the buyer (outside the reverse charge)</c:v>
                </c:pt>
                <c:pt idx="1">
                  <c:v>5. Liability of company's management for VAT</c:v>
                </c:pt>
                <c:pt idx="2">
                  <c:v>4. Possibility  to write-off uncollectable debts</c:v>
                </c:pt>
                <c:pt idx="3">
                  <c:v>3. Use of instalments plan</c:v>
                </c:pt>
                <c:pt idx="4">
                  <c:v>2. Procedure for offsetting tax credits </c:v>
                </c:pt>
                <c:pt idx="5">
                  <c:v>1. New debtors: early contacting  procedure</c:v>
                </c:pt>
              </c:strCache>
            </c:strRef>
          </c:cat>
          <c:val>
            <c:numRef>
              <c:f>Sheet1!$D$2:$D$7</c:f>
              <c:numCache>
                <c:formatCode>0.0%</c:formatCode>
                <c:ptCount val="6"/>
                <c:pt idx="0">
                  <c:v>0</c:v>
                </c:pt>
                <c:pt idx="1">
                  <c:v>0</c:v>
                </c:pt>
                <c:pt idx="2">
                  <c:v>0</c:v>
                </c:pt>
                <c:pt idx="3">
                  <c:v>0</c:v>
                </c:pt>
                <c:pt idx="4">
                  <c:v>0</c:v>
                </c:pt>
                <c:pt idx="5">
                  <c:v>0</c:v>
                </c:pt>
              </c:numCache>
            </c:numRef>
          </c:val>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6="http://schemas.microsoft.com/office/drawing/2014/chart" uri="{C3380CC4-5D6E-409C-BE32-E72D297353CC}">
              <c16:uniqueId val="{00000010-C024-4D2B-9CAB-3D1385670E5F}"/>
            </c:ext>
          </c:extLst>
        </c:ser>
        <c:dLbls>
          <c:showLegendKey val="0"/>
          <c:showVal val="0"/>
          <c:showCatName val="0"/>
          <c:showSerName val="0"/>
          <c:showPercent val="0"/>
          <c:showBubbleSize val="0"/>
        </c:dLbls>
        <c:gapWidth val="70"/>
        <c:overlap val="100"/>
        <c:axId val="69801472"/>
        <c:axId val="69803008"/>
      </c:barChart>
      <c:catAx>
        <c:axId val="69801472"/>
        <c:scaling>
          <c:orientation val="minMax"/>
        </c:scaling>
        <c:delete val="1"/>
        <c:axPos val="l"/>
        <c:numFmt formatCode="General" sourceLinked="0"/>
        <c:majorTickMark val="out"/>
        <c:minorTickMark val="none"/>
        <c:tickLblPos val="none"/>
        <c:crossAx val="69803008"/>
        <c:crosses val="autoZero"/>
        <c:auto val="1"/>
        <c:lblAlgn val="l"/>
        <c:lblOffset val="100"/>
        <c:noMultiLvlLbl val="0"/>
      </c:catAx>
      <c:valAx>
        <c:axId val="69803008"/>
        <c:scaling>
          <c:orientation val="minMax"/>
        </c:scaling>
        <c:delete val="1"/>
        <c:axPos val="b"/>
        <c:majorGridlines>
          <c:spPr>
            <a:ln>
              <a:solidFill>
                <a:schemeClr val="bg1">
                  <a:lumMod val="85000"/>
                </a:schemeClr>
              </a:solidFill>
            </a:ln>
          </c:spPr>
        </c:majorGridlines>
        <c:numFmt formatCode="0%" sourceLinked="1"/>
        <c:majorTickMark val="out"/>
        <c:minorTickMark val="none"/>
        <c:tickLblPos val="none"/>
        <c:crossAx val="69801472"/>
        <c:crosses val="autoZero"/>
        <c:crossBetween val="between"/>
      </c:valAx>
      <c:spPr>
        <a:ln>
          <a:solidFill>
            <a:schemeClr val="bg1">
              <a:lumMod val="95000"/>
              <a:alpha val="0"/>
            </a:schemeClr>
          </a:solidFill>
        </a:ln>
      </c:spPr>
    </c:plotArea>
    <c:plotVisOnly val="1"/>
    <c:dispBlanksAs val="gap"/>
    <c:showDLblsOverMax val="0"/>
  </c:chart>
  <c:spPr>
    <a:ln>
      <a:solidFill>
        <a:schemeClr val="bg1">
          <a:lumMod val="95000"/>
          <a:alpha val="0"/>
        </a:schemeClr>
      </a:solidFill>
    </a:ln>
  </c:sp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a:pPr>
            <a:r>
              <a:rPr lang="bg-BG"/>
              <a:t>Изчислен ДДС след извършване на ревизия</a:t>
            </a:r>
          </a:p>
        </c:rich>
      </c:tx>
      <c:overlay val="0"/>
      <c:spPr>
        <a:noFill/>
        <a:ln>
          <a:noFill/>
        </a:ln>
        <a:effectLst/>
      </c:spPr>
    </c:title>
    <c:autoTitleDeleted val="0"/>
    <c:plotArea>
      <c:layout>
        <c:manualLayout>
          <c:layoutTarget val="inner"/>
          <c:xMode val="edge"/>
          <c:yMode val="edge"/>
          <c:x val="8.5565215806357522E-2"/>
          <c:y val="0.12161222749364531"/>
          <c:w val="0.88897182123067964"/>
          <c:h val="0.59294633912085914"/>
        </c:manualLayout>
      </c:layout>
      <c:barChart>
        <c:barDir val="col"/>
        <c:grouping val="clustered"/>
        <c:varyColors val="0"/>
        <c:ser>
          <c:idx val="0"/>
          <c:order val="0"/>
          <c:tx>
            <c:strRef>
              <c:f>Sheet1!$B$1</c:f>
              <c:strCache>
                <c:ptCount val="1"/>
                <c:pt idx="0">
                  <c:v>Общо събран ДДС</c:v>
                </c:pt>
              </c:strCache>
            </c:strRef>
          </c:tx>
          <c:spPr>
            <a:solidFill>
              <a:srgbClr val="016AA3"/>
            </a:solidFill>
            <a:ln>
              <a:noFill/>
            </a:ln>
            <a:effectLst/>
          </c:spPr>
          <c:invertIfNegative val="0"/>
          <c:dLbls>
            <c:dLbl>
              <c:idx val="0"/>
              <c:tx>
                <c:rich>
                  <a:bodyPr/>
                  <a:lstStyle/>
                  <a:p>
                    <a:r>
                      <a:rPr lang="en-US"/>
                      <a:t>100 %</a:t>
                    </a:r>
                  </a:p>
                </c:rich>
              </c:tx>
              <c:dLblPos val="outEnd"/>
              <c:showLegendKey val="0"/>
              <c:showVal val="1"/>
              <c:showCatName val="0"/>
              <c:showSerName val="0"/>
              <c:showPercent val="0"/>
              <c:showBubbleSize val="0"/>
            </c:dLbl>
            <c:dLbl>
              <c:idx val="1"/>
              <c:tx>
                <c:rich>
                  <a:bodyPr/>
                  <a:lstStyle/>
                  <a:p>
                    <a:r>
                      <a:rPr lang="en-US"/>
                      <a:t>100 %</a:t>
                    </a:r>
                  </a:p>
                </c:rich>
              </c:tx>
              <c:showLegendKey val="0"/>
              <c:showVal val="1"/>
              <c:showCatName val="0"/>
              <c:showSerName val="0"/>
              <c:showPercent val="0"/>
              <c:showBubbleSize val="0"/>
            </c:dLbl>
            <c:dLbl>
              <c:idx val="2"/>
              <c:tx>
                <c:rich>
                  <a:bodyPr/>
                  <a:lstStyle/>
                  <a:p>
                    <a:r>
                      <a:rPr lang="en-US"/>
                      <a:t>100 %</a:t>
                    </a:r>
                  </a:p>
                </c:rich>
              </c:tx>
              <c:showLegendKey val="0"/>
              <c:showVal val="1"/>
              <c:showCatName val="0"/>
              <c:showSerName val="0"/>
              <c:showPercent val="0"/>
              <c:showBubbleSize val="0"/>
            </c:dLbl>
            <c:spPr>
              <a:noFill/>
              <a:ln>
                <a:noFill/>
              </a:ln>
              <a:effectLst/>
            </c:spPr>
            <c:txPr>
              <a:bodyPr rot="0" vert="horz"/>
              <a:lstStyle/>
              <a:p>
                <a:pPr>
                  <a:defRPr sz="800"/>
                </a:pPr>
                <a:endParaRPr lang="en-US"/>
              </a:p>
            </c:txPr>
            <c:showLegendKey val="0"/>
            <c:showVal val="1"/>
            <c:showCatName val="0"/>
            <c:showSerName val="0"/>
            <c:showPercent val="0"/>
            <c:showBubbleSize val="0"/>
            <c:showLeaderLines val="0"/>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2013 г.</c:v>
                </c:pt>
                <c:pt idx="1">
                  <c:v>2014 г.</c:v>
                </c:pt>
                <c:pt idx="2">
                  <c:v>2015 г.</c:v>
                </c:pt>
              </c:strCache>
            </c:strRef>
          </c:cat>
          <c:val>
            <c:numRef>
              <c:f>Sheet1!$B$2:$B$4</c:f>
              <c:numCache>
                <c:formatCode>#,##0</c:formatCode>
                <c:ptCount val="3"/>
                <c:pt idx="0">
                  <c:v>348750000000</c:v>
                </c:pt>
                <c:pt idx="1">
                  <c:v>360681000000</c:v>
                </c:pt>
                <c:pt idx="2">
                  <c:v>378690000000</c:v>
                </c:pt>
              </c:numCache>
            </c:numRef>
          </c:val>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6="http://schemas.microsoft.com/office/drawing/2014/chart" uri="{C3380CC4-5D6E-409C-BE32-E72D297353CC}">
              <c16:uniqueId val="{00000000-AA44-4618-89D4-6E8332A355F9}"/>
            </c:ext>
          </c:extLst>
        </c:ser>
        <c:ser>
          <c:idx val="1"/>
          <c:order val="1"/>
          <c:tx>
            <c:strRef>
              <c:f>Sheet1!$C$1</c:f>
              <c:strCache>
                <c:ptCount val="1"/>
                <c:pt idx="0">
                  <c:v>ДДС, изчислен след ревизии (не действително събраният ДДС) </c:v>
                </c:pt>
              </c:strCache>
            </c:strRef>
          </c:tx>
          <c:spPr>
            <a:solidFill>
              <a:srgbClr val="FEA34C"/>
            </a:solidFill>
            <a:ln>
              <a:noFill/>
            </a:ln>
            <a:effectLst/>
          </c:spPr>
          <c:invertIfNegative val="0"/>
          <c:dLbls>
            <c:dLbl>
              <c:idx val="0"/>
              <c:tx>
                <c:rich>
                  <a:bodyPr/>
                  <a:lstStyle/>
                  <a:p>
                    <a:r>
                      <a:rPr lang="en-US" sz="800">
                        <a:latin typeface="Times New Roman" panose="02020603050405020304" pitchFamily="18" charset="0"/>
                        <a:cs typeface="Times New Roman" panose="02020603050405020304" pitchFamily="18" charset="0"/>
                      </a:rPr>
                      <a:t>2.59%</a:t>
                    </a:r>
                    <a:endParaRPr lang="en-US"/>
                  </a:p>
                </c:rich>
              </c:tx>
              <c:showLegendKey val="0"/>
              <c:showVal val="1"/>
              <c:showCatName val="0"/>
              <c:showSerName val="0"/>
              <c:showPercent val="0"/>
              <c:showBubbleSize val="0"/>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6="http://schemas.microsoft.com/office/drawing/2014/chart" uri="{C3380CC4-5D6E-409C-BE32-E72D297353CC}">
                  <c16:uniqueId val="{00000003-AA44-4618-89D4-6E8332A355F9}"/>
                </c:ext>
                <c:ext xmlns:c15="http://schemas.microsoft.com/office/drawing/2012/chart" uri="{CE6537A1-D6FC-4f65-9D91-7224C49458BB}">
                  <c15:layout/>
                </c:ext>
              </c:extLst>
            </c:dLbl>
            <c:dLbl>
              <c:idx val="1"/>
              <c:tx>
                <c:rich>
                  <a:bodyPr/>
                  <a:lstStyle/>
                  <a:p>
                    <a:r>
                      <a:rPr lang="en-US" sz="800">
                        <a:latin typeface="Times New Roman" panose="02020603050405020304" pitchFamily="18" charset="0"/>
                        <a:cs typeface="Times New Roman" panose="02020603050405020304" pitchFamily="18" charset="0"/>
                      </a:rPr>
                      <a:t>3.17%</a:t>
                    </a:r>
                    <a:endParaRPr lang="en-US"/>
                  </a:p>
                </c:rich>
              </c:tx>
              <c:showLegendKey val="0"/>
              <c:showVal val="1"/>
              <c:showCatName val="0"/>
              <c:showSerName val="0"/>
              <c:showPercent val="0"/>
              <c:showBubbleSize val="0"/>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6="http://schemas.microsoft.com/office/drawing/2014/chart" uri="{C3380CC4-5D6E-409C-BE32-E72D297353CC}">
                  <c16:uniqueId val="{00000007-AA44-4618-89D4-6E8332A355F9}"/>
                </c:ext>
                <c:ext xmlns:c15="http://schemas.microsoft.com/office/drawing/2012/chart" uri="{CE6537A1-D6FC-4f65-9D91-7224C49458BB}">
                  <c15:layout/>
                </c:ext>
              </c:extLst>
            </c:dLbl>
            <c:dLbl>
              <c:idx val="2"/>
              <c:tx>
                <c:rich>
                  <a:bodyPr/>
                  <a:lstStyle/>
                  <a:p>
                    <a:r>
                      <a:rPr lang="en-US" sz="800">
                        <a:latin typeface="Times New Roman" panose="02020603050405020304" pitchFamily="18" charset="0"/>
                        <a:cs typeface="Times New Roman" panose="02020603050405020304" pitchFamily="18" charset="0"/>
                      </a:rPr>
                      <a:t>3.93%</a:t>
                    </a:r>
                    <a:endParaRPr lang="en-US"/>
                  </a:p>
                </c:rich>
              </c:tx>
              <c:showLegendKey val="0"/>
              <c:showVal val="1"/>
              <c:showCatName val="0"/>
              <c:showSerName val="0"/>
              <c:showPercent val="0"/>
              <c:showBubbleSize val="0"/>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6="http://schemas.microsoft.com/office/drawing/2014/chart" uri="{C3380CC4-5D6E-409C-BE32-E72D297353CC}">
                  <c16:uniqueId val="{00000008-AA44-4618-89D4-6E8332A355F9}"/>
                </c:ext>
                <c:ext xmlns:c15="http://schemas.microsoft.com/office/drawing/2012/chart" uri="{CE6537A1-D6FC-4f65-9D91-7224C49458BB}">
                  <c15:layout/>
                </c:ext>
              </c:extLst>
            </c:dLbl>
            <c:spPr>
              <a:noFill/>
              <a:ln>
                <a:noFill/>
              </a:ln>
              <a:effectLst/>
            </c:spPr>
            <c:txPr>
              <a:bodyPr rot="0" vert="horz"/>
              <a:lstStyle/>
              <a:p>
                <a:pPr>
                  <a:defRPr/>
                </a:pPr>
                <a:endParaRPr lang="en-US"/>
              </a:p>
            </c:txPr>
            <c:showLegendKey val="0"/>
            <c:showVal val="1"/>
            <c:showCatName val="0"/>
            <c:showSerName val="0"/>
            <c:showPercent val="0"/>
            <c:showBubbleSize val="0"/>
            <c:showLeaderLines val="0"/>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2013 г.</c:v>
                </c:pt>
                <c:pt idx="1">
                  <c:v>2014 г.</c:v>
                </c:pt>
                <c:pt idx="2">
                  <c:v>2015 г.</c:v>
                </c:pt>
              </c:strCache>
            </c:strRef>
          </c:cat>
          <c:val>
            <c:numRef>
              <c:f>Sheet1!$C$2:$C$4</c:f>
              <c:numCache>
                <c:formatCode>#,##0</c:formatCode>
                <c:ptCount val="3"/>
                <c:pt idx="0">
                  <c:v>9026302460.4243031</c:v>
                </c:pt>
                <c:pt idx="1">
                  <c:v>11439596829.770185</c:v>
                </c:pt>
                <c:pt idx="2">
                  <c:v>14892313608.606543</c:v>
                </c:pt>
              </c:numCache>
            </c:numRef>
          </c:val>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6="http://schemas.microsoft.com/office/drawing/2014/chart" uri="{C3380CC4-5D6E-409C-BE32-E72D297353CC}">
              <c16:uniqueId val="{00000001-AA44-4618-89D4-6E8332A355F9}"/>
            </c:ext>
          </c:extLst>
        </c:ser>
        <c:ser>
          <c:idx val="2"/>
          <c:order val="2"/>
          <c:tx>
            <c:strRef>
              <c:f>Sheet1!$D$1</c:f>
              <c:strCache>
                <c:ptCount val="1"/>
                <c:pt idx="0">
                  <c:v>5 държави членки с най-добри резултати (% от изчисления ДДС след ревизии от общо събрания ДДС)</c:v>
                </c:pt>
              </c:strCache>
            </c:strRef>
          </c:tx>
          <c:spPr>
            <a:solidFill>
              <a:schemeClr val="accent3"/>
            </a:solidFill>
            <a:ln>
              <a:noFill/>
            </a:ln>
            <a:effectLst/>
          </c:spPr>
          <c:invertIfNegative val="0"/>
          <c:dLbls>
            <c:dLbl>
              <c:idx val="0"/>
              <c:tx>
                <c:rich>
                  <a:bodyPr/>
                  <a:lstStyle/>
                  <a:p>
                    <a:r>
                      <a:rPr lang="en-US" sz="800">
                        <a:latin typeface="Times New Roman" panose="02020603050405020304" pitchFamily="18" charset="0"/>
                        <a:cs typeface="Times New Roman" panose="02020603050405020304" pitchFamily="18" charset="0"/>
                      </a:rPr>
                      <a:t>7.85%</a:t>
                    </a:r>
                    <a:endParaRPr lang="en-US"/>
                  </a:p>
                </c:rich>
              </c:tx>
              <c:showLegendKey val="0"/>
              <c:showVal val="1"/>
              <c:showCatName val="0"/>
              <c:showSerName val="0"/>
              <c:showPercent val="0"/>
              <c:showBubbleSize val="0"/>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6="http://schemas.microsoft.com/office/drawing/2014/chart" uri="{C3380CC4-5D6E-409C-BE32-E72D297353CC}">
                  <c16:uniqueId val="{00000004-AA44-4618-89D4-6E8332A355F9}"/>
                </c:ext>
                <c:ext xmlns:c15="http://schemas.microsoft.com/office/drawing/2012/chart" uri="{CE6537A1-D6FC-4f65-9D91-7224C49458BB}">
                  <c15:layout/>
                </c:ext>
              </c:extLst>
            </c:dLbl>
            <c:dLbl>
              <c:idx val="1"/>
              <c:tx>
                <c:rich>
                  <a:bodyPr/>
                  <a:lstStyle/>
                  <a:p>
                    <a:r>
                      <a:rPr lang="en-US" sz="800">
                        <a:latin typeface="Times New Roman" panose="02020603050405020304" pitchFamily="18" charset="0"/>
                        <a:cs typeface="Times New Roman" panose="02020603050405020304" pitchFamily="18" charset="0"/>
                      </a:rPr>
                      <a:t>11.49%</a:t>
                    </a:r>
                    <a:endParaRPr lang="en-US"/>
                  </a:p>
                </c:rich>
              </c:tx>
              <c:showLegendKey val="0"/>
              <c:showVal val="1"/>
              <c:showCatName val="0"/>
              <c:showSerName val="0"/>
              <c:showPercent val="0"/>
              <c:showBubbleSize val="0"/>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6="http://schemas.microsoft.com/office/drawing/2014/chart" uri="{C3380CC4-5D6E-409C-BE32-E72D297353CC}">
                  <c16:uniqueId val="{00000006-AA44-4618-89D4-6E8332A355F9}"/>
                </c:ext>
                <c:ext xmlns:c15="http://schemas.microsoft.com/office/drawing/2012/chart" uri="{CE6537A1-D6FC-4f65-9D91-7224C49458BB}">
                  <c15:layout/>
                </c:ext>
              </c:extLst>
            </c:dLbl>
            <c:dLbl>
              <c:idx val="2"/>
              <c:tx>
                <c:rich>
                  <a:bodyPr/>
                  <a:lstStyle/>
                  <a:p>
                    <a:r>
                      <a:rPr lang="en-US" sz="800">
                        <a:latin typeface="Times New Roman" panose="02020603050405020304" pitchFamily="18" charset="0"/>
                        <a:cs typeface="Times New Roman" panose="02020603050405020304" pitchFamily="18" charset="0"/>
                      </a:rPr>
                      <a:t>15.23%</a:t>
                    </a:r>
                    <a:endParaRPr lang="en-US"/>
                  </a:p>
                </c:rich>
              </c:tx>
              <c:showLegendKey val="0"/>
              <c:showVal val="1"/>
              <c:showCatName val="0"/>
              <c:showSerName val="0"/>
              <c:showPercent val="0"/>
              <c:showBubbleSize val="0"/>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6="http://schemas.microsoft.com/office/drawing/2014/chart" uri="{C3380CC4-5D6E-409C-BE32-E72D297353CC}">
                  <c16:uniqueId val="{00000009-AA44-4618-89D4-6E8332A355F9}"/>
                </c:ext>
                <c:ext xmlns:c15="http://schemas.microsoft.com/office/drawing/2012/chart" uri="{CE6537A1-D6FC-4f65-9D91-7224C49458BB}">
                  <c15:layout/>
                </c:ext>
              </c:extLst>
            </c:dLbl>
            <c:spPr>
              <a:noFill/>
              <a:ln>
                <a:noFill/>
              </a:ln>
              <a:effectLst/>
            </c:spPr>
            <c:txPr>
              <a:bodyPr rot="0" vert="horz"/>
              <a:lstStyle/>
              <a:p>
                <a:pPr>
                  <a:defRPr/>
                </a:pPr>
                <a:endParaRPr lang="en-US"/>
              </a:p>
            </c:txPr>
            <c:showLegendKey val="0"/>
            <c:showVal val="1"/>
            <c:showCatName val="0"/>
            <c:showSerName val="0"/>
            <c:showPercent val="0"/>
            <c:showBubbleSize val="0"/>
            <c:showLeaderLines val="0"/>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2013 г.</c:v>
                </c:pt>
                <c:pt idx="1">
                  <c:v>2014 г.</c:v>
                </c:pt>
                <c:pt idx="2">
                  <c:v>2015 г.</c:v>
                </c:pt>
              </c:strCache>
            </c:strRef>
          </c:cat>
          <c:val>
            <c:numRef>
              <c:f>Sheet1!$D$2:$D$4</c:f>
              <c:numCache>
                <c:formatCode>#,##0</c:formatCode>
                <c:ptCount val="3"/>
                <c:pt idx="0">
                  <c:v>27387200901.042633</c:v>
                </c:pt>
                <c:pt idx="1">
                  <c:v>41456017962.908173</c:v>
                </c:pt>
                <c:pt idx="2">
                  <c:v>57684284351.778915</c:v>
                </c:pt>
              </c:numCache>
            </c:numRef>
          </c:val>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6="http://schemas.microsoft.com/office/drawing/2014/chart" uri="{C3380CC4-5D6E-409C-BE32-E72D297353CC}">
              <c16:uniqueId val="{00000002-AA44-4618-89D4-6E8332A355F9}"/>
            </c:ext>
          </c:extLst>
        </c:ser>
        <c:dLbls>
          <c:showLegendKey val="0"/>
          <c:showVal val="0"/>
          <c:showCatName val="0"/>
          <c:showSerName val="0"/>
          <c:showPercent val="0"/>
          <c:showBubbleSize val="0"/>
        </c:dLbls>
        <c:gapWidth val="219"/>
        <c:overlap val="-27"/>
        <c:axId val="61864576"/>
        <c:axId val="92025216"/>
      </c:barChart>
      <c:catAx>
        <c:axId val="618645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n-US"/>
          </a:p>
        </c:txPr>
        <c:crossAx val="92025216"/>
        <c:crosses val="autoZero"/>
        <c:auto val="1"/>
        <c:lblAlgn val="ctr"/>
        <c:lblOffset val="100"/>
        <c:noMultiLvlLbl val="0"/>
      </c:catAx>
      <c:valAx>
        <c:axId val="920252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0"/>
        <c:majorTickMark val="none"/>
        <c:minorTickMark val="none"/>
        <c:tickLblPos val="nextTo"/>
        <c:spPr>
          <a:noFill/>
          <a:ln>
            <a:noFill/>
          </a:ln>
          <a:effectLst/>
        </c:spPr>
        <c:txPr>
          <a:bodyPr rot="-60000000" vert="horz"/>
          <a:lstStyle/>
          <a:p>
            <a:pPr>
              <a:defRPr/>
            </a:pPr>
            <a:endParaRPr lang="en-US"/>
          </a:p>
        </c:txPr>
        <c:crossAx val="61864576"/>
        <c:crosses val="autoZero"/>
        <c:crossBetween val="between"/>
        <c:dispUnits>
          <c:builtInUnit val="billions"/>
          <c:dispUnitsLbl>
            <c:tx>
              <c:rich>
                <a:bodyPr/>
                <a:lstStyle/>
                <a:p>
                  <a:pPr>
                    <a:defRPr/>
                  </a:pPr>
                  <a:r>
                    <a:rPr lang="bg-BG"/>
                    <a:t>Милиарди</a:t>
                  </a:r>
                  <a:endParaRPr lang="en-GB"/>
                </a:p>
              </c:rich>
            </c:tx>
          </c:dispUnitsLbl>
        </c:dispUnits>
      </c:valAx>
      <c:spPr>
        <a:noFill/>
        <a:ln>
          <a:noFill/>
        </a:ln>
        <a:effectLst/>
      </c:spPr>
    </c:plotArea>
    <c:legend>
      <c:legendPos val="b"/>
      <c:layout>
        <c:manualLayout>
          <c:xMode val="edge"/>
          <c:yMode val="edge"/>
          <c:x val="9.1152668416447924E-3"/>
          <c:y val="0.78086284012757901"/>
          <c:w val="0.97251002478856807"/>
          <c:h val="0.21720696700887074"/>
        </c:manualLayout>
      </c:layout>
      <c:overlay val="0"/>
      <c:spPr>
        <a:noFill/>
        <a:ln>
          <a:noFill/>
        </a:ln>
        <a:effectLst/>
      </c:spPr>
      <c:txPr>
        <a:bodyPr rot="0" vert="horz"/>
        <a:lstStyle/>
        <a:p>
          <a:pPr>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900">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141437325650617"/>
          <c:y val="2.9831952565770158E-2"/>
          <c:w val="0.785856344569832"/>
          <c:h val="0.97016816452849075"/>
        </c:manualLayout>
      </c:layout>
      <c:barChart>
        <c:barDir val="bar"/>
        <c:grouping val="percentStacked"/>
        <c:varyColors val="0"/>
        <c:ser>
          <c:idx val="0"/>
          <c:order val="0"/>
          <c:tx>
            <c:strRef>
              <c:f>Sheet1!$B$1</c:f>
              <c:strCache>
                <c:ptCount val="1"/>
                <c:pt idx="0">
                  <c:v>Implemented</c:v>
                </c:pt>
              </c:strCache>
            </c:strRef>
          </c:tx>
          <c:invertIfNegative val="0"/>
          <c:dPt>
            <c:idx val="0"/>
            <c:invertIfNegative val="0"/>
            <c:bubble3D val="0"/>
            <c:spPr>
              <a:solidFill>
                <a:srgbClr val="689DCC"/>
              </a:solidFill>
            </c:spPr>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6="http://schemas.microsoft.com/office/drawing/2014/chart" uri="{C3380CC4-5D6E-409C-BE32-E72D297353CC}">
                <c16:uniqueId val="{00000001-9D91-4737-BACA-CEA3993B3F99}"/>
              </c:ext>
            </c:extLst>
          </c:dPt>
          <c:dPt>
            <c:idx val="1"/>
            <c:invertIfNegative val="0"/>
            <c:bubble3D val="0"/>
            <c:spPr>
              <a:solidFill>
                <a:srgbClr val="AACAE6"/>
              </a:solidFill>
            </c:spPr>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6="http://schemas.microsoft.com/office/drawing/2014/chart" uri="{C3380CC4-5D6E-409C-BE32-E72D297353CC}">
                <c16:uniqueId val="{00000003-9D91-4737-BACA-CEA3993B3F99}"/>
              </c:ext>
            </c:extLst>
          </c:dPt>
          <c:dPt>
            <c:idx val="2"/>
            <c:invertIfNegative val="0"/>
            <c:bubble3D val="0"/>
            <c:spPr>
              <a:solidFill>
                <a:srgbClr val="4F8BC2"/>
              </a:solidFill>
            </c:spPr>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6="http://schemas.microsoft.com/office/drawing/2014/chart" uri="{C3380CC4-5D6E-409C-BE32-E72D297353CC}">
                <c16:uniqueId val="{00000005-9D91-4737-BACA-CEA3993B3F99}"/>
              </c:ext>
            </c:extLst>
          </c:dPt>
          <c:dPt>
            <c:idx val="3"/>
            <c:invertIfNegative val="0"/>
            <c:bubble3D val="0"/>
            <c:spPr>
              <a:solidFill>
                <a:srgbClr val="89B3DA"/>
              </a:solidFill>
            </c:spPr>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6="http://schemas.microsoft.com/office/drawing/2014/chart" uri="{C3380CC4-5D6E-409C-BE32-E72D297353CC}">
                <c16:uniqueId val="{00000007-9D91-4737-BACA-CEA3993B3F99}"/>
              </c:ext>
            </c:extLst>
          </c:dPt>
          <c:dPt>
            <c:idx val="4"/>
            <c:invertIfNegative val="0"/>
            <c:bubble3D val="0"/>
            <c:spPr>
              <a:solidFill>
                <a:srgbClr val="8FB8DC"/>
              </a:solidFill>
            </c:spPr>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6="http://schemas.microsoft.com/office/drawing/2014/chart" uri="{C3380CC4-5D6E-409C-BE32-E72D297353CC}">
                <c16:uniqueId val="{00000009-9D91-4737-BACA-CEA3993B3F99}"/>
              </c:ext>
            </c:extLst>
          </c:dPt>
          <c:dPt>
            <c:idx val="5"/>
            <c:invertIfNegative val="0"/>
            <c:bubble3D val="0"/>
            <c:spPr>
              <a:solidFill>
                <a:srgbClr val="BDD7EE"/>
              </a:solidFill>
            </c:spPr>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6="http://schemas.microsoft.com/office/drawing/2014/chart" uri="{C3380CC4-5D6E-409C-BE32-E72D297353CC}">
                <c16:uniqueId val="{0000000B-9D91-4737-BACA-CEA3993B3F99}"/>
              </c:ext>
            </c:extLst>
          </c:dPt>
          <c:dPt>
            <c:idx val="6"/>
            <c:invertIfNegative val="0"/>
            <c:bubble3D val="0"/>
            <c:spPr>
              <a:solidFill>
                <a:srgbClr val="2F75B5"/>
              </a:solidFill>
            </c:spPr>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6="http://schemas.microsoft.com/office/drawing/2014/chart" uri="{C3380CC4-5D6E-409C-BE32-E72D297353CC}">
                <c16:uniqueId val="{0000000D-9D91-4737-BACA-CEA3993B3F99}"/>
              </c:ext>
            </c:extLst>
          </c:dPt>
          <c:dLbls>
            <c:spPr>
              <a:noFill/>
              <a:ln>
                <a:noFill/>
              </a:ln>
              <a:effectLst/>
            </c:spPr>
            <c:showLegendKey val="0"/>
            <c:showVal val="1"/>
            <c:showCatName val="0"/>
            <c:showSerName val="0"/>
            <c:showPercent val="0"/>
            <c:showBubbleSize val="0"/>
            <c:showLeaderLines val="0"/>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5="http://schemas.microsoft.com/office/drawing/2012/chart" uri="{CE6537A1-D6FC-4f65-9D91-7224C49458BB}">
                <c15:layout/>
                <c15:showLeaderLines val="0"/>
              </c:ext>
            </c:extLst>
          </c:dLbls>
          <c:cat>
            <c:strRef>
              <c:f>Sheet1!$A$2:$A$8</c:f>
              <c:strCache>
                <c:ptCount val="7"/>
                <c:pt idx="0">
                  <c:v>Ж. Спазване на изискванията</c:v>
                </c:pt>
                <c:pt idx="1">
                  <c:v>Е. Разрешаване на данъчни спорове</c:v>
                </c:pt>
                <c:pt idx="2">
                  <c:v>Д. Ревизия ДДС </c:v>
                </c:pt>
                <c:pt idx="3">
                  <c:v>Г. Събиране ДДС</c:v>
                </c:pt>
                <c:pt idx="4">
                  <c:v>В. Справки-декларации</c:v>
                </c:pt>
                <c:pt idx="5">
                  <c:v>Б. Режим 42</c:v>
                </c:pt>
                <c:pt idx="6">
                  <c:v>А. Регистрация ДДС</c:v>
                </c:pt>
              </c:strCache>
            </c:strRef>
          </c:cat>
          <c:val>
            <c:numRef>
              <c:f>Sheet1!$B$2:$B$8</c:f>
              <c:numCache>
                <c:formatCode>#,#00%</c:formatCode>
                <c:ptCount val="7"/>
                <c:pt idx="0">
                  <c:v>0.77</c:v>
                </c:pt>
                <c:pt idx="1">
                  <c:v>0.61</c:v>
                </c:pt>
                <c:pt idx="2">
                  <c:v>0.83299999999999996</c:v>
                </c:pt>
                <c:pt idx="3">
                  <c:v>0.68899999999999995</c:v>
                </c:pt>
                <c:pt idx="4">
                  <c:v>0.67400000000000004</c:v>
                </c:pt>
                <c:pt idx="5">
                  <c:v>0.56097560975609762</c:v>
                </c:pt>
                <c:pt idx="6">
                  <c:v>0.90909090909090917</c:v>
                </c:pt>
              </c:numCache>
            </c:numRef>
          </c:val>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6="http://schemas.microsoft.com/office/drawing/2014/chart" uri="{C3380CC4-5D6E-409C-BE32-E72D297353CC}">
              <c16:uniqueId val="{0000000E-9D91-4737-BACA-CEA3993B3F99}"/>
            </c:ext>
          </c:extLst>
        </c:ser>
        <c:ser>
          <c:idx val="1"/>
          <c:order val="1"/>
          <c:tx>
            <c:strRef>
              <c:f>Sheet1!$C$1</c:f>
              <c:strCache>
                <c:ptCount val="1"/>
                <c:pt idx="0">
                  <c:v>Not implemented</c:v>
                </c:pt>
              </c:strCache>
            </c:strRef>
          </c:tx>
          <c:spPr>
            <a:solidFill>
              <a:schemeClr val="bg1">
                <a:lumMod val="95000"/>
              </a:schemeClr>
            </a:solidFill>
            <a:ln>
              <a:noFill/>
            </a:ln>
          </c:spPr>
          <c:invertIfNegative val="0"/>
          <c:cat>
            <c:strRef>
              <c:f>Sheet1!$A$2:$A$8</c:f>
              <c:strCache>
                <c:ptCount val="7"/>
                <c:pt idx="0">
                  <c:v>Ж. Спазване на изискванията</c:v>
                </c:pt>
                <c:pt idx="1">
                  <c:v>Е. Разрешаване на данъчни спорове</c:v>
                </c:pt>
                <c:pt idx="2">
                  <c:v>Д. Ревизия ДДС </c:v>
                </c:pt>
                <c:pt idx="3">
                  <c:v>Г. Събиране ДДС</c:v>
                </c:pt>
                <c:pt idx="4">
                  <c:v>В. Справки-декларации</c:v>
                </c:pt>
                <c:pt idx="5">
                  <c:v>Б. Режим 42</c:v>
                </c:pt>
                <c:pt idx="6">
                  <c:v>А. Регистрация ДДС</c:v>
                </c:pt>
              </c:strCache>
            </c:strRef>
          </c:cat>
          <c:val>
            <c:numRef>
              <c:f>Sheet1!$C$2:$C$8</c:f>
              <c:numCache>
                <c:formatCode>#,#00%</c:formatCode>
                <c:ptCount val="7"/>
                <c:pt idx="0">
                  <c:v>0.23</c:v>
                </c:pt>
                <c:pt idx="1">
                  <c:v>0.39</c:v>
                </c:pt>
                <c:pt idx="2">
                  <c:v>0.16700000000000001</c:v>
                </c:pt>
                <c:pt idx="3">
                  <c:v>0.311</c:v>
                </c:pt>
                <c:pt idx="4">
                  <c:v>0.32600000000000001</c:v>
                </c:pt>
                <c:pt idx="5">
                  <c:v>0.43902439024390238</c:v>
                </c:pt>
                <c:pt idx="6">
                  <c:v>9.9099999999999994E-2</c:v>
                </c:pt>
              </c:numCache>
            </c:numRef>
          </c:val>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6="http://schemas.microsoft.com/office/drawing/2014/chart" uri="{C3380CC4-5D6E-409C-BE32-E72D297353CC}">
              <c16:uniqueId val="{0000000F-9D91-4737-BACA-CEA3993B3F99}"/>
            </c:ext>
          </c:extLst>
        </c:ser>
        <c:ser>
          <c:idx val="2"/>
          <c:order val="2"/>
          <c:tx>
            <c:strRef>
              <c:f>Sheet1!$D$1</c:f>
              <c:strCache>
                <c:ptCount val="1"/>
                <c:pt idx="0">
                  <c:v>100%</c:v>
                </c:pt>
              </c:strCache>
            </c:strRef>
          </c:tx>
          <c:invertIfNegative val="0"/>
          <c:cat>
            <c:strRef>
              <c:f>Sheet1!$A$2:$A$8</c:f>
              <c:strCache>
                <c:ptCount val="7"/>
                <c:pt idx="0">
                  <c:v>Ж. Спазване на изискванията</c:v>
                </c:pt>
                <c:pt idx="1">
                  <c:v>Е. Разрешаване на данъчни спорове</c:v>
                </c:pt>
                <c:pt idx="2">
                  <c:v>Д. Ревизия ДДС </c:v>
                </c:pt>
                <c:pt idx="3">
                  <c:v>Г. Събиране ДДС</c:v>
                </c:pt>
                <c:pt idx="4">
                  <c:v>В. Справки-декларации</c:v>
                </c:pt>
                <c:pt idx="5">
                  <c:v>Б. Режим 42</c:v>
                </c:pt>
                <c:pt idx="6">
                  <c:v>А. Регистрация ДДС</c:v>
                </c:pt>
              </c:strCache>
            </c:strRef>
          </c:cat>
          <c:val>
            <c:numRef>
              <c:f>Sheet1!$D$2:$D$8</c:f>
              <c:numCache>
                <c:formatCode>#,#00%</c:formatCode>
                <c:ptCount val="7"/>
                <c:pt idx="0">
                  <c:v>0</c:v>
                </c:pt>
                <c:pt idx="1">
                  <c:v>0</c:v>
                </c:pt>
                <c:pt idx="2">
                  <c:v>0</c:v>
                </c:pt>
                <c:pt idx="3">
                  <c:v>0</c:v>
                </c:pt>
                <c:pt idx="4">
                  <c:v>0</c:v>
                </c:pt>
                <c:pt idx="5">
                  <c:v>0</c:v>
                </c:pt>
                <c:pt idx="6">
                  <c:v>0</c:v>
                </c:pt>
              </c:numCache>
            </c:numRef>
          </c:val>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6="http://schemas.microsoft.com/office/drawing/2014/chart" uri="{C3380CC4-5D6E-409C-BE32-E72D297353CC}">
              <c16:uniqueId val="{00000010-9D91-4737-BACA-CEA3993B3F99}"/>
            </c:ext>
          </c:extLst>
        </c:ser>
        <c:dLbls>
          <c:showLegendKey val="0"/>
          <c:showVal val="0"/>
          <c:showCatName val="0"/>
          <c:showSerName val="0"/>
          <c:showPercent val="0"/>
          <c:showBubbleSize val="0"/>
        </c:dLbls>
        <c:gapWidth val="70"/>
        <c:overlap val="100"/>
        <c:axId val="92083328"/>
        <c:axId val="92084864"/>
      </c:barChart>
      <c:catAx>
        <c:axId val="92083328"/>
        <c:scaling>
          <c:orientation val="minMax"/>
        </c:scaling>
        <c:delete val="0"/>
        <c:axPos val="l"/>
        <c:numFmt formatCode="General" sourceLinked="0"/>
        <c:majorTickMark val="out"/>
        <c:minorTickMark val="none"/>
        <c:tickLblPos val="low"/>
        <c:crossAx val="92084864"/>
        <c:crosses val="autoZero"/>
        <c:auto val="1"/>
        <c:lblAlgn val="ctr"/>
        <c:lblOffset val="100"/>
        <c:noMultiLvlLbl val="0"/>
      </c:catAx>
      <c:valAx>
        <c:axId val="92084864"/>
        <c:scaling>
          <c:orientation val="minMax"/>
        </c:scaling>
        <c:delete val="1"/>
        <c:axPos val="b"/>
        <c:majorGridlines>
          <c:spPr>
            <a:ln>
              <a:solidFill>
                <a:schemeClr val="bg1">
                  <a:lumMod val="85000"/>
                </a:schemeClr>
              </a:solidFill>
            </a:ln>
          </c:spPr>
        </c:majorGridlines>
        <c:numFmt formatCode="0%" sourceLinked="1"/>
        <c:majorTickMark val="out"/>
        <c:minorTickMark val="none"/>
        <c:tickLblPos val="none"/>
        <c:crossAx val="92083328"/>
        <c:crosses val="autoZero"/>
        <c:crossBetween val="between"/>
      </c:valAx>
      <c:spPr>
        <a:ln>
          <a:solidFill>
            <a:schemeClr val="bg1">
              <a:lumMod val="95000"/>
              <a:alpha val="0"/>
            </a:schemeClr>
          </a:solidFill>
        </a:ln>
      </c:spPr>
    </c:plotArea>
    <c:plotVisOnly val="1"/>
    <c:dispBlanksAs val="gap"/>
    <c:showDLblsOverMax val="0"/>
  </c:chart>
  <c:spPr>
    <a:ln>
      <a:solidFill>
        <a:schemeClr val="bg1">
          <a:lumMod val="95000"/>
          <a:alpha val="0"/>
        </a:schemeClr>
      </a:solidFill>
    </a:ln>
  </c:spPr>
  <c:txPr>
    <a:bodyPr/>
    <a:lstStyle/>
    <a:p>
      <a:pPr>
        <a:defRPr sz="900">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
          <c:y val="2.0196360662177882E-3"/>
          <c:w val="1"/>
          <c:h val="0.99486190727515122"/>
        </c:manualLayout>
      </c:layout>
      <c:ofPieChart>
        <c:ofPieType val="pie"/>
        <c:varyColors val="1"/>
        <c:ser>
          <c:idx val="0"/>
          <c:order val="0"/>
          <c:tx>
            <c:strRef>
              <c:f>Sheet1!$B$1</c:f>
              <c:strCache>
                <c:ptCount val="1"/>
                <c:pt idx="0">
                  <c:v>Sales</c:v>
                </c:pt>
              </c:strCache>
            </c:strRef>
          </c:tx>
          <c:dPt>
            <c:idx val="0"/>
            <c:bubble3D val="0"/>
            <c:spPr>
              <a:solidFill>
                <a:srgbClr val="FEA34F"/>
              </a:solidFill>
            </c:spPr>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6="http://schemas.microsoft.com/office/drawing/2014/chart" uri="{C3380CC4-5D6E-409C-BE32-E72D297353CC}">
                <c16:uniqueId val="{00000001-61D5-48EE-9A76-6AB0653E6CE0}"/>
              </c:ext>
            </c:extLst>
          </c:dPt>
          <c:dPt>
            <c:idx val="2"/>
            <c:bubble3D val="0"/>
            <c:spPr>
              <a:solidFill>
                <a:srgbClr val="38906C"/>
              </a:solidFill>
            </c:spPr>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6="http://schemas.microsoft.com/office/drawing/2014/chart" uri="{C3380CC4-5D6E-409C-BE32-E72D297353CC}">
                <c16:uniqueId val="{00000003-61D5-48EE-9A76-6AB0653E6CE0}"/>
              </c:ext>
            </c:extLst>
          </c:dPt>
          <c:dPt>
            <c:idx val="3"/>
            <c:bubble3D val="0"/>
            <c:spPr>
              <a:solidFill>
                <a:srgbClr val="7ACCAB"/>
              </a:solidFill>
            </c:spPr>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6="http://schemas.microsoft.com/office/drawing/2014/chart" uri="{C3380CC4-5D6E-409C-BE32-E72D297353CC}">
                <c16:uniqueId val="{00000005-61D5-48EE-9A76-6AB0653E6CE0}"/>
              </c:ext>
            </c:extLst>
          </c:dPt>
          <c:dPt>
            <c:idx val="4"/>
            <c:bubble3D val="0"/>
            <c:spPr>
              <a:solidFill>
                <a:srgbClr val="016AA3"/>
              </a:solidFill>
            </c:spPr>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6="http://schemas.microsoft.com/office/drawing/2014/chart" uri="{C3380CC4-5D6E-409C-BE32-E72D297353CC}">
                <c16:uniqueId val="{00000007-61D5-48EE-9A76-6AB0653E6CE0}"/>
              </c:ext>
            </c:extLst>
          </c:dPt>
          <c:dLbls>
            <c:dLbl>
              <c:idx val="1"/>
              <c:delete val="1"/>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6="http://schemas.microsoft.com/office/drawing/2014/chart" uri="{C3380CC4-5D6E-409C-BE32-E72D297353CC}">
                  <c16:uniqueId val="{00000008-61D5-48EE-9A76-6AB0653E6CE0}"/>
                </c:ext>
                <c:ext xmlns:c15="http://schemas.microsoft.com/office/drawing/2012/chart" uri="{CE6537A1-D6FC-4f65-9D91-7224C49458BB}"/>
              </c:extLst>
            </c:dLbl>
            <c:dLbl>
              <c:idx val="2"/>
              <c:tx>
                <c:rich>
                  <a:bodyPr/>
                  <a:lstStyle/>
                  <a:p>
                    <a:r>
                      <a:rPr lang="en-US"/>
                      <a:t>60,7%</a:t>
                    </a:r>
                  </a:p>
                </c:rich>
              </c:tx>
              <c:showLegendKey val="0"/>
              <c:showVal val="1"/>
              <c:showCatName val="0"/>
              <c:showSerName val="0"/>
              <c:showPercent val="0"/>
              <c:showBubbleSize val="0"/>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6="http://schemas.microsoft.com/office/drawing/2014/chart" uri="{C3380CC4-5D6E-409C-BE32-E72D297353CC}">
                  <c16:uniqueId val="{00000003-61D5-48EE-9A76-6AB0653E6CE0}"/>
                </c:ext>
                <c:ext xmlns:c15="http://schemas.microsoft.com/office/drawing/2012/chart" uri="{CE6537A1-D6FC-4f65-9D91-7224C49458BB}">
                  <c15:layout/>
                </c:ext>
              </c:extLst>
            </c:dLbl>
            <c:dLbl>
              <c:idx val="3"/>
              <c:tx>
                <c:rich>
                  <a:bodyPr/>
                  <a:lstStyle/>
                  <a:p>
                    <a:r>
                      <a:rPr lang="en-US"/>
                      <a:t>39,3%</a:t>
                    </a:r>
                  </a:p>
                </c:rich>
              </c:tx>
              <c:showLegendKey val="0"/>
              <c:showVal val="1"/>
              <c:showCatName val="0"/>
              <c:showSerName val="0"/>
              <c:showPercent val="0"/>
              <c:showBubbleSize val="0"/>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6="http://schemas.microsoft.com/office/drawing/2014/chart" uri="{C3380CC4-5D6E-409C-BE32-E72D297353CC}">
                  <c16:uniqueId val="{00000005-61D5-48EE-9A76-6AB0653E6CE0}"/>
                </c:ext>
                <c:ext xmlns:c15="http://schemas.microsoft.com/office/drawing/2012/chart" uri="{CE6537A1-D6FC-4f65-9D91-7224C49458BB}">
                  <c15:layout/>
                </c:ext>
              </c:extLst>
            </c:dLbl>
            <c:spPr>
              <a:ln>
                <a:noFill/>
              </a:ln>
            </c:spPr>
            <c:txPr>
              <a:bodyPr/>
              <a:lstStyle/>
              <a:p>
                <a:pPr>
                  <a:defRPr b="1">
                    <a:solidFill>
                      <a:schemeClr val="bg1"/>
                    </a:solidFill>
                  </a:defRPr>
                </a:pPr>
                <a:endParaRPr lang="en-US"/>
              </a:p>
            </c:txPr>
            <c:showLegendKey val="0"/>
            <c:showVal val="1"/>
            <c:showCatName val="0"/>
            <c:showSerName val="0"/>
            <c:showPercent val="0"/>
            <c:showBubbleSize val="0"/>
            <c:showLeaderLines val="1"/>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5="http://schemas.microsoft.com/office/drawing/2012/chart" uri="{CE6537A1-D6FC-4f65-9D91-7224C49458BB}">
                <c15:layout/>
              </c:ext>
            </c:extLst>
          </c:dLbls>
          <c:cat>
            <c:strRef>
              <c:f>Sheet1!$A$2:$A$5</c:f>
              <c:strCache>
                <c:ptCount val="4"/>
                <c:pt idx="0">
                  <c:v>Not implemented</c:v>
                </c:pt>
                <c:pt idx="2">
                  <c:v>Implemented</c:v>
                </c:pt>
                <c:pt idx="3">
                  <c:v>Partially implemented</c:v>
                </c:pt>
              </c:strCache>
            </c:strRef>
          </c:cat>
          <c:val>
            <c:numRef>
              <c:f>Sheet1!$B$2:$B$5</c:f>
              <c:numCache>
                <c:formatCode>0.0%</c:formatCode>
                <c:ptCount val="4"/>
                <c:pt idx="0">
                  <c:v>0.29200000000000031</c:v>
                </c:pt>
                <c:pt idx="1">
                  <c:v>0</c:v>
                </c:pt>
                <c:pt idx="2">
                  <c:v>0.43000000000000038</c:v>
                </c:pt>
                <c:pt idx="3">
                  <c:v>0.27800000000000002</c:v>
                </c:pt>
              </c:numCache>
            </c:numRef>
          </c:val>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6="http://schemas.microsoft.com/office/drawing/2014/chart" uri="{C3380CC4-5D6E-409C-BE32-E72D297353CC}">
              <c16:uniqueId val="{00000009-61D5-48EE-9A76-6AB0653E6CE0}"/>
            </c:ext>
          </c:extLst>
        </c:ser>
        <c:dLbls>
          <c:showLegendKey val="0"/>
          <c:showVal val="0"/>
          <c:showCatName val="0"/>
          <c:showSerName val="0"/>
          <c:showPercent val="0"/>
          <c:showBubbleSize val="0"/>
          <c:showLeaderLines val="1"/>
        </c:dLbls>
        <c:gapWidth val="100"/>
        <c:secondPieSize val="75"/>
        <c:serLines>
          <c:spPr>
            <a:ln>
              <a:solidFill>
                <a:schemeClr val="bg1">
                  <a:lumMod val="85000"/>
                </a:schemeClr>
              </a:solidFill>
            </a:ln>
          </c:spPr>
        </c:serLines>
      </c:ofPieChart>
    </c:plotArea>
    <c:plotVisOnly val="1"/>
    <c:dispBlanksAs val="zero"/>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5835338291046971E-2"/>
          <c:y val="4.4057617797775318E-2"/>
          <c:w val="0.77579579356794248"/>
          <c:h val="0.66047399507845905"/>
        </c:manualLayout>
      </c:layout>
      <c:barChart>
        <c:barDir val="col"/>
        <c:grouping val="clustered"/>
        <c:varyColors val="0"/>
        <c:ser>
          <c:idx val="0"/>
          <c:order val="0"/>
          <c:tx>
            <c:strRef>
              <c:f>Sheet1!$B$1</c:f>
              <c:strCache>
                <c:ptCount val="1"/>
                <c:pt idx="0">
                  <c:v>млрд. евро</c:v>
                </c:pt>
              </c:strCache>
            </c:strRef>
          </c:tx>
          <c:spPr>
            <a:gradFill>
              <a:gsLst>
                <a:gs pos="0">
                  <a:schemeClr val="accent2">
                    <a:lumMod val="60000"/>
                    <a:lumOff val="40000"/>
                  </a:schemeClr>
                </a:gs>
                <a:gs pos="50000">
                  <a:schemeClr val="accent2">
                    <a:lumMod val="75000"/>
                  </a:schemeClr>
                </a:gs>
                <a:gs pos="100000">
                  <a:schemeClr val="accent1">
                    <a:tint val="23500"/>
                    <a:satMod val="160000"/>
                  </a:schemeClr>
                </a:gs>
              </a:gsLst>
              <a:lin ang="5400000" scaled="0"/>
            </a:gradFill>
            <a:ln>
              <a:noFill/>
            </a:ln>
          </c:spPr>
          <c:invertIfNegative val="0"/>
          <c:dLbls>
            <c:txPr>
              <a:bodyPr/>
              <a:lstStyle/>
              <a:p>
                <a:pPr>
                  <a:defRPr sz="800"/>
                </a:pPr>
                <a:endParaRPr lang="en-US"/>
              </a:p>
            </c:txPr>
            <c:showLegendKey val="0"/>
            <c:showVal val="1"/>
            <c:showCatName val="0"/>
            <c:showSerName val="0"/>
            <c:showPercent val="0"/>
            <c:showBubbleSize val="0"/>
            <c:showLeaderLines val="0"/>
          </c:dLbls>
          <c:cat>
            <c:strRef>
              <c:f>Sheet1!$A$2:$A$6</c:f>
              <c:strCache>
                <c:ptCount val="5"/>
                <c:pt idx="0">
                  <c:v>2011 г.</c:v>
                </c:pt>
                <c:pt idx="1">
                  <c:v>2012 г.</c:v>
                </c:pt>
                <c:pt idx="2">
                  <c:v>2013 г.</c:v>
                </c:pt>
                <c:pt idx="3">
                  <c:v>2014 г.</c:v>
                </c:pt>
                <c:pt idx="4">
                  <c:v>2015 г.</c:v>
                </c:pt>
              </c:strCache>
            </c:strRef>
          </c:cat>
          <c:val>
            <c:numRef>
              <c:f>Sheet1!$B$2:$B$6</c:f>
              <c:numCache>
                <c:formatCode>#,##0.00</c:formatCode>
                <c:ptCount val="5"/>
                <c:pt idx="0">
                  <c:v>146.97999999999999</c:v>
                </c:pt>
                <c:pt idx="1">
                  <c:v>159.53</c:v>
                </c:pt>
                <c:pt idx="2">
                  <c:v>161.99</c:v>
                </c:pt>
                <c:pt idx="3">
                  <c:v>160.22</c:v>
                </c:pt>
                <c:pt idx="4">
                  <c:v>151.53</c:v>
                </c:pt>
              </c:numCache>
            </c:numRef>
          </c:val>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6="http://schemas.microsoft.com/office/drawing/2014/chart" uri="{C3380CC4-5D6E-409C-BE32-E72D297353CC}">
              <c16:uniqueId val="{00000000-9A7D-42AB-B0A8-46D6FB654812}"/>
            </c:ext>
          </c:extLst>
        </c:ser>
        <c:dLbls>
          <c:showLegendKey val="0"/>
          <c:showVal val="0"/>
          <c:showCatName val="0"/>
          <c:showSerName val="0"/>
          <c:showPercent val="0"/>
          <c:showBubbleSize val="0"/>
        </c:dLbls>
        <c:gapWidth val="100"/>
        <c:axId val="62400000"/>
        <c:axId val="62401536"/>
      </c:barChart>
      <c:catAx>
        <c:axId val="62400000"/>
        <c:scaling>
          <c:orientation val="minMax"/>
        </c:scaling>
        <c:delete val="0"/>
        <c:axPos val="b"/>
        <c:numFmt formatCode="General" sourceLinked="1"/>
        <c:majorTickMark val="out"/>
        <c:minorTickMark val="none"/>
        <c:tickLblPos val="nextTo"/>
        <c:txPr>
          <a:bodyPr/>
          <a:lstStyle/>
          <a:p>
            <a:pPr>
              <a:defRPr sz="800"/>
            </a:pPr>
            <a:endParaRPr lang="en-US"/>
          </a:p>
        </c:txPr>
        <c:crossAx val="62401536"/>
        <c:crosses val="autoZero"/>
        <c:auto val="1"/>
        <c:lblAlgn val="ctr"/>
        <c:lblOffset val="100"/>
        <c:noMultiLvlLbl val="0"/>
      </c:catAx>
      <c:valAx>
        <c:axId val="62401536"/>
        <c:scaling>
          <c:orientation val="minMax"/>
        </c:scaling>
        <c:delete val="0"/>
        <c:axPos val="l"/>
        <c:majorGridlines/>
        <c:numFmt formatCode="#,##0" sourceLinked="0"/>
        <c:majorTickMark val="out"/>
        <c:minorTickMark val="none"/>
        <c:tickLblPos val="nextTo"/>
        <c:txPr>
          <a:bodyPr/>
          <a:lstStyle/>
          <a:p>
            <a:pPr>
              <a:defRPr sz="800"/>
            </a:pPr>
            <a:endParaRPr lang="en-US"/>
          </a:p>
        </c:txPr>
        <c:crossAx val="62400000"/>
        <c:crosses val="autoZero"/>
        <c:crossBetween val="between"/>
      </c:valAx>
    </c:plotArea>
    <c:legend>
      <c:legendPos val="b"/>
      <c:layout>
        <c:manualLayout>
          <c:xMode val="edge"/>
          <c:yMode val="edge"/>
          <c:x val="0.39909208613523678"/>
          <c:y val="0.87071661885785057"/>
          <c:w val="0.28385768008577489"/>
          <c:h val="0.12928316826600703"/>
        </c:manualLayout>
      </c:layout>
      <c:overlay val="0"/>
      <c:txPr>
        <a:bodyPr/>
        <a:lstStyle/>
        <a:p>
          <a:pPr>
            <a:defRPr sz="900">
              <a:latin typeface="Times New Roman" panose="02020603050405020304" pitchFamily="18" charset="0"/>
              <a:cs typeface="Times New Roman" panose="02020603050405020304" pitchFamily="18" charset="0"/>
            </a:defRPr>
          </a:pPr>
          <a:endParaRPr lang="en-US"/>
        </a:p>
      </c:txPr>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8277255478876882E-2"/>
          <c:y val="3.2929305847410349E-2"/>
          <c:w val="0.82120570093573453"/>
          <c:h val="0.79226239751815863"/>
        </c:manualLayout>
      </c:layout>
      <c:barChart>
        <c:barDir val="col"/>
        <c:grouping val="stacked"/>
        <c:varyColors val="0"/>
        <c:ser>
          <c:idx val="0"/>
          <c:order val="0"/>
          <c:tx>
            <c:strRef>
              <c:f>Sheet1!$B$1</c:f>
              <c:strCache>
                <c:ptCount val="1"/>
                <c:pt idx="0">
                  <c:v>Refused registrations</c:v>
                </c:pt>
              </c:strCache>
            </c:strRef>
          </c:tx>
          <c:spPr>
            <a:solidFill>
              <a:srgbClr val="C00000"/>
            </a:solidFill>
            <a:ln>
              <a:solidFill>
                <a:srgbClr val="46B688"/>
              </a:solidFill>
            </a:ln>
          </c:spPr>
          <c:invertIfNegative val="0"/>
          <c:dPt>
            <c:idx val="0"/>
            <c:invertIfNegative val="0"/>
            <c:bubble3D val="0"/>
            <c:spPr>
              <a:solidFill>
                <a:schemeClr val="accent1">
                  <a:lumMod val="40000"/>
                  <a:lumOff val="60000"/>
                </a:schemeClr>
              </a:solidFill>
              <a:ln>
                <a:noFill/>
              </a:ln>
            </c:spPr>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6="http://schemas.microsoft.com/office/drawing/2014/chart" uri="{C3380CC4-5D6E-409C-BE32-E72D297353CC}">
                <c16:uniqueId val="{00000000-7A4B-466F-B722-CE6F2A575053}"/>
              </c:ext>
            </c:extLst>
          </c:dPt>
          <c:dPt>
            <c:idx val="1"/>
            <c:invertIfNegative val="0"/>
            <c:bubble3D val="0"/>
            <c:spPr>
              <a:solidFill>
                <a:srgbClr val="C00000"/>
              </a:solidFill>
              <a:ln>
                <a:noFill/>
              </a:ln>
            </c:spPr>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6="http://schemas.microsoft.com/office/drawing/2014/chart" uri="{C3380CC4-5D6E-409C-BE32-E72D297353CC}">
                <c16:uniqueId val="{00000009-7A4B-466F-B722-CE6F2A575053}"/>
              </c:ext>
            </c:extLst>
          </c:dPt>
          <c:dPt>
            <c:idx val="2"/>
            <c:invertIfNegative val="0"/>
            <c:bubble3D val="0"/>
            <c:spPr>
              <a:solidFill>
                <a:schemeClr val="accent1">
                  <a:lumMod val="40000"/>
                  <a:lumOff val="60000"/>
                </a:schemeClr>
              </a:solidFill>
              <a:ln>
                <a:noFill/>
              </a:ln>
            </c:spPr>
          </c:dPt>
          <c:dPt>
            <c:idx val="3"/>
            <c:invertIfNegative val="0"/>
            <c:bubble3D val="0"/>
            <c:spPr>
              <a:solidFill>
                <a:srgbClr val="C00000"/>
              </a:solidFill>
              <a:ln>
                <a:noFill/>
              </a:ln>
            </c:spPr>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6="http://schemas.microsoft.com/office/drawing/2014/chart" uri="{C3380CC4-5D6E-409C-BE32-E72D297353CC}">
                <c16:uniqueId val="{0000000A-7A4B-466F-B722-CE6F2A575053}"/>
              </c:ext>
            </c:extLst>
          </c:dPt>
          <c:dPt>
            <c:idx val="4"/>
            <c:invertIfNegative val="0"/>
            <c:bubble3D val="0"/>
            <c:spPr>
              <a:solidFill>
                <a:schemeClr val="accent1">
                  <a:lumMod val="40000"/>
                  <a:lumOff val="60000"/>
                </a:schemeClr>
              </a:solidFill>
              <a:ln>
                <a:noFill/>
              </a:ln>
            </c:spPr>
          </c:dPt>
          <c:dPt>
            <c:idx val="5"/>
            <c:invertIfNegative val="0"/>
            <c:bubble3D val="0"/>
            <c:spPr>
              <a:solidFill>
                <a:srgbClr val="C00000"/>
              </a:solidFill>
              <a:ln>
                <a:noFill/>
              </a:ln>
            </c:spPr>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6="http://schemas.microsoft.com/office/drawing/2014/chart" uri="{C3380CC4-5D6E-409C-BE32-E72D297353CC}">
                <c16:uniqueId val="{0000000B-7A4B-466F-B722-CE6F2A575053}"/>
              </c:ext>
            </c:extLst>
          </c:dPt>
          <c:dLbls>
            <c:dLbl>
              <c:idx val="0"/>
              <c:tx>
                <c:rich>
                  <a:bodyPr rot="-5400000" vert="horz"/>
                  <a:lstStyle/>
                  <a:p>
                    <a:pPr>
                      <a:defRPr sz="900" b="1">
                        <a:solidFill>
                          <a:schemeClr val="tx2">
                            <a:lumMod val="50000"/>
                          </a:schemeClr>
                        </a:solidFill>
                      </a:defRPr>
                    </a:pPr>
                    <a:r>
                      <a:rPr lang="en-US" sz="900" b="1" spc="100" baseline="0">
                        <a:solidFill>
                          <a:schemeClr val="tx2">
                            <a:lumMod val="50000"/>
                          </a:schemeClr>
                        </a:solidFill>
                      </a:rPr>
                      <a:t>4,216,197</a:t>
                    </a:r>
                    <a:endParaRPr lang="en-US" sz="900" b="0" spc="100" baseline="0">
                      <a:solidFill>
                        <a:schemeClr val="accent1">
                          <a:lumMod val="75000"/>
                        </a:schemeClr>
                      </a:solidFill>
                    </a:endParaRPr>
                  </a:p>
                </c:rich>
              </c:tx>
              <c:spPr/>
              <c:dLblPos val="ctr"/>
              <c:showLegendKey val="0"/>
              <c:showVal val="1"/>
              <c:showCatName val="0"/>
              <c:showSerName val="0"/>
              <c:showPercent val="0"/>
              <c:showBubbleSize val="0"/>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6="http://schemas.microsoft.com/office/drawing/2014/chart" uri="{C3380CC4-5D6E-409C-BE32-E72D297353CC}">
                  <c16:uniqueId val="{00000000-7A4B-466F-B722-CE6F2A575053}"/>
                </c:ext>
                <c:ext xmlns:c15="http://schemas.microsoft.com/office/drawing/2012/chart" uri="{CE6537A1-D6FC-4f65-9D91-7224C49458BB}">
                  <c15:layout/>
                </c:ext>
              </c:extLst>
            </c:dLbl>
            <c:dLbl>
              <c:idx val="1"/>
              <c:layout>
                <c:manualLayout>
                  <c:x val="5.5549663924533255E-6"/>
                  <c:y val="-3.682015636276903E-2"/>
                </c:manualLayout>
              </c:layout>
              <c:tx>
                <c:rich>
                  <a:bodyPr/>
                  <a:lstStyle/>
                  <a:p>
                    <a:r>
                      <a:rPr lang="en-US" sz="900" b="1">
                        <a:solidFill>
                          <a:schemeClr val="tx2">
                            <a:lumMod val="50000"/>
                          </a:schemeClr>
                        </a:solidFill>
                      </a:rPr>
                      <a:t>2.32 %</a:t>
                    </a:r>
                    <a:endParaRPr lang="en-US" b="0">
                      <a:solidFill>
                        <a:schemeClr val="accent1">
                          <a:lumMod val="50000"/>
                        </a:schemeClr>
                      </a:solidFill>
                    </a:endParaRPr>
                  </a:p>
                </c:rich>
              </c:tx>
              <c:dLblPos val="ctr"/>
              <c:showLegendKey val="0"/>
              <c:showVal val="1"/>
              <c:showCatName val="0"/>
              <c:showSerName val="0"/>
              <c:showPercent val="0"/>
              <c:showBubbleSize val="0"/>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6="http://schemas.microsoft.com/office/drawing/2014/chart" uri="{C3380CC4-5D6E-409C-BE32-E72D297353CC}">
                  <c16:uniqueId val="{00000009-7A4B-466F-B722-CE6F2A575053}"/>
                </c:ext>
                <c:ext xmlns:c15="http://schemas.microsoft.com/office/drawing/2012/chart" uri="{CE6537A1-D6FC-4f65-9D91-7224C49458BB}">
                  <c15:layout/>
                </c:ext>
              </c:extLst>
            </c:dLbl>
            <c:dLbl>
              <c:idx val="2"/>
              <c:tx>
                <c:rich>
                  <a:bodyPr rot="-5400000" vert="horz"/>
                  <a:lstStyle/>
                  <a:p>
                    <a:pPr>
                      <a:defRPr sz="900" b="1">
                        <a:solidFill>
                          <a:schemeClr val="tx2">
                            <a:lumMod val="50000"/>
                          </a:schemeClr>
                        </a:solidFill>
                      </a:defRPr>
                    </a:pPr>
                    <a:r>
                      <a:rPr lang="en-US" sz="900" b="1" spc="100" baseline="0">
                        <a:solidFill>
                          <a:schemeClr val="tx2">
                            <a:lumMod val="50000"/>
                          </a:schemeClr>
                        </a:solidFill>
                      </a:rPr>
                      <a:t>4,249,115</a:t>
                    </a:r>
                    <a:endParaRPr lang="en-US" sz="900" b="0" spc="100" baseline="0"/>
                  </a:p>
                </c:rich>
              </c:tx>
              <c:spPr>
                <a:noFill/>
                <a:ln>
                  <a:noFill/>
                </a:ln>
                <a:effectLst/>
              </c:spPr>
              <c:showLegendKey val="0"/>
              <c:showVal val="1"/>
              <c:showCatName val="0"/>
              <c:showSerName val="0"/>
              <c:showPercent val="0"/>
              <c:showBubbleSize val="0"/>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6="http://schemas.microsoft.com/office/drawing/2014/chart" uri="{C3380CC4-5D6E-409C-BE32-E72D297353CC}">
                  <c16:uniqueId val="{00000001-7A4B-466F-B722-CE6F2A575053}"/>
                </c:ext>
                <c:ext xmlns:c15="http://schemas.microsoft.com/office/drawing/2012/chart" uri="{CE6537A1-D6FC-4f65-9D91-7224C49458BB}">
                  <c15:layout/>
                </c:ext>
              </c:extLst>
            </c:dLbl>
            <c:dLbl>
              <c:idx val="3"/>
              <c:layout>
                <c:manualLayout>
                  <c:x val="5.8789381846841908E-17"/>
                  <c:y val="-3.7816105991260861E-2"/>
                </c:manualLayout>
              </c:layout>
              <c:tx>
                <c:rich>
                  <a:bodyPr/>
                  <a:lstStyle/>
                  <a:p>
                    <a:r>
                      <a:rPr lang="en-US" sz="900" b="1">
                        <a:solidFill>
                          <a:schemeClr val="tx2">
                            <a:lumMod val="50000"/>
                          </a:schemeClr>
                        </a:solidFill>
                      </a:rPr>
                      <a:t>2.33 %</a:t>
                    </a:r>
                    <a:endParaRPr lang="en-US" b="0">
                      <a:solidFill>
                        <a:schemeClr val="tx2">
                          <a:lumMod val="75000"/>
                        </a:schemeClr>
                      </a:solidFill>
                    </a:endParaRPr>
                  </a:p>
                </c:rich>
              </c:tx>
              <c:dLblPos val="ctr"/>
              <c:showLegendKey val="0"/>
              <c:showVal val="1"/>
              <c:showCatName val="0"/>
              <c:showSerName val="0"/>
              <c:showPercent val="0"/>
              <c:showBubbleSize val="0"/>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6="http://schemas.microsoft.com/office/drawing/2014/chart" uri="{C3380CC4-5D6E-409C-BE32-E72D297353CC}">
                  <c16:uniqueId val="{0000000A-7A4B-466F-B722-CE6F2A575053}"/>
                </c:ext>
                <c:ext xmlns:c15="http://schemas.microsoft.com/office/drawing/2012/chart" uri="{CE6537A1-D6FC-4f65-9D91-7224C49458BB}">
                  <c15:layout/>
                </c:ext>
              </c:extLst>
            </c:dLbl>
            <c:dLbl>
              <c:idx val="4"/>
              <c:tx>
                <c:rich>
                  <a:bodyPr rot="-5400000" vert="horz"/>
                  <a:lstStyle/>
                  <a:p>
                    <a:pPr>
                      <a:defRPr sz="900" b="1">
                        <a:solidFill>
                          <a:schemeClr val="tx2">
                            <a:lumMod val="50000"/>
                          </a:schemeClr>
                        </a:solidFill>
                      </a:defRPr>
                    </a:pPr>
                    <a:r>
                      <a:rPr lang="en-US" sz="900" b="1" spc="100" baseline="0">
                        <a:solidFill>
                          <a:schemeClr val="tx2">
                            <a:lumMod val="50000"/>
                          </a:schemeClr>
                        </a:solidFill>
                      </a:rPr>
                      <a:t>4,254,909</a:t>
                    </a:r>
                    <a:endParaRPr lang="en-US" sz="900" b="0" spc="100" baseline="0"/>
                  </a:p>
                </c:rich>
              </c:tx>
              <c:spPr>
                <a:noFill/>
                <a:ln>
                  <a:noFill/>
                </a:ln>
                <a:effectLst/>
              </c:spPr>
              <c:showLegendKey val="0"/>
              <c:showVal val="1"/>
              <c:showCatName val="0"/>
              <c:showSerName val="0"/>
              <c:showPercent val="0"/>
              <c:showBubbleSize val="0"/>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6="http://schemas.microsoft.com/office/drawing/2014/chart" uri="{C3380CC4-5D6E-409C-BE32-E72D297353CC}">
                  <c16:uniqueId val="{00000002-7A4B-466F-B722-CE6F2A575053}"/>
                </c:ext>
                <c:ext xmlns:c15="http://schemas.microsoft.com/office/drawing/2012/chart" uri="{CE6537A1-D6FC-4f65-9D91-7224C49458BB}">
                  <c15:layout/>
                </c:ext>
              </c:extLst>
            </c:dLbl>
            <c:dLbl>
              <c:idx val="5"/>
              <c:layout>
                <c:manualLayout>
                  <c:x val="0"/>
                  <c:y val="-4.147806155312591E-2"/>
                </c:manualLayout>
              </c:layout>
              <c:tx>
                <c:rich>
                  <a:bodyPr/>
                  <a:lstStyle/>
                  <a:p>
                    <a:r>
                      <a:rPr lang="en-US" sz="900" b="1">
                        <a:solidFill>
                          <a:schemeClr val="tx2">
                            <a:lumMod val="50000"/>
                          </a:schemeClr>
                        </a:solidFill>
                      </a:rPr>
                      <a:t>3.71 %</a:t>
                    </a:r>
                    <a:endParaRPr lang="en-US" b="0">
                      <a:solidFill>
                        <a:schemeClr val="tx2">
                          <a:lumMod val="75000"/>
                        </a:schemeClr>
                      </a:solidFill>
                    </a:endParaRPr>
                  </a:p>
                </c:rich>
              </c:tx>
              <c:dLblPos val="ctr"/>
              <c:showLegendKey val="0"/>
              <c:showVal val="1"/>
              <c:showCatName val="0"/>
              <c:showSerName val="0"/>
              <c:showPercent val="0"/>
              <c:showBubbleSize val="0"/>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6="http://schemas.microsoft.com/office/drawing/2014/chart" uri="{C3380CC4-5D6E-409C-BE32-E72D297353CC}">
                  <c16:uniqueId val="{0000000B-7A4B-466F-B722-CE6F2A575053}"/>
                </c:ext>
                <c:ext xmlns:c15="http://schemas.microsoft.com/office/drawing/2012/chart" uri="{CE6537A1-D6FC-4f65-9D91-7224C49458BB}">
                  <c15:layout/>
                </c:ext>
              </c:extLst>
            </c:dLbl>
            <c:spPr>
              <a:noFill/>
              <a:ln>
                <a:noFill/>
              </a:ln>
              <a:effectLst/>
            </c:spPr>
            <c:txPr>
              <a:bodyPr/>
              <a:lstStyle/>
              <a:p>
                <a:pPr>
                  <a:defRPr sz="900" b="1">
                    <a:solidFill>
                      <a:schemeClr val="tx2">
                        <a:lumMod val="50000"/>
                      </a:schemeClr>
                    </a:solidFill>
                  </a:defRPr>
                </a:pPr>
                <a:endParaRPr lang="en-US"/>
              </a:p>
            </c:txPr>
            <c:dLblPos val="ctr"/>
            <c:showLegendKey val="0"/>
            <c:showVal val="1"/>
            <c:showCatName val="0"/>
            <c:showSerName val="0"/>
            <c:showPercent val="0"/>
            <c:showBubbleSize val="0"/>
            <c:showLeaderLines val="0"/>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5="http://schemas.microsoft.com/office/drawing/2012/chart" uri="{CE6537A1-D6FC-4f65-9D91-7224C49458BB}">
                <c15:showLeaderLines val="1"/>
              </c:ext>
            </c:extLst>
          </c:dLbls>
          <c:cat>
            <c:strRef>
              <c:f>Sheet1!$A$2:$A$7</c:f>
              <c:strCache>
                <c:ptCount val="5"/>
                <c:pt idx="0">
                  <c:v>2013 г.</c:v>
                </c:pt>
                <c:pt idx="2">
                  <c:v>2014 г.</c:v>
                </c:pt>
                <c:pt idx="4">
                  <c:v>2015 г.</c:v>
                </c:pt>
              </c:strCache>
            </c:strRef>
          </c:cat>
          <c:val>
            <c:numRef>
              <c:f>Sheet1!$B$2:$B$7</c:f>
              <c:numCache>
                <c:formatCode>0.00%</c:formatCode>
                <c:ptCount val="6"/>
                <c:pt idx="0">
                  <c:v>1</c:v>
                </c:pt>
                <c:pt idx="1">
                  <c:v>2.3199999999999998E-2</c:v>
                </c:pt>
                <c:pt idx="2">
                  <c:v>1</c:v>
                </c:pt>
                <c:pt idx="3">
                  <c:v>2.3300000000000001E-2</c:v>
                </c:pt>
                <c:pt idx="4">
                  <c:v>1</c:v>
                </c:pt>
                <c:pt idx="5">
                  <c:v>3.7100000000000001E-2</c:v>
                </c:pt>
              </c:numCache>
            </c:numRef>
          </c:val>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6="http://schemas.microsoft.com/office/drawing/2014/chart" uri="{C3380CC4-5D6E-409C-BE32-E72D297353CC}">
              <c16:uniqueId val="{00000003-7A4B-466F-B722-CE6F2A575053}"/>
            </c:ext>
          </c:extLst>
        </c:ser>
        <c:ser>
          <c:idx val="1"/>
          <c:order val="1"/>
          <c:tx>
            <c:strRef>
              <c:f>Sheet1!$C$1</c:f>
              <c:strCache>
                <c:ptCount val="1"/>
                <c:pt idx="0">
                  <c:v>Registration requests change</c:v>
                </c:pt>
              </c:strCache>
            </c:strRef>
          </c:tx>
          <c:spPr>
            <a:solidFill>
              <a:schemeClr val="tx2">
                <a:lumMod val="50000"/>
              </a:schemeClr>
            </a:solidFill>
            <a:ln>
              <a:noFill/>
            </a:ln>
          </c:spPr>
          <c:invertIfNegative val="0"/>
          <c:dLbls>
            <c:dLbl>
              <c:idx val="0"/>
              <c:delete val="1"/>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6="http://schemas.microsoft.com/office/drawing/2014/chart" uri="{C3380CC4-5D6E-409C-BE32-E72D297353CC}">
                  <c16:uniqueId val="{00000004-7A4B-466F-B722-CE6F2A575053}"/>
                </c:ext>
                <c:ext xmlns:c15="http://schemas.microsoft.com/office/drawing/2012/chart" uri="{CE6537A1-D6FC-4f65-9D91-7224C49458BB}"/>
              </c:extLst>
            </c:dLbl>
            <c:dLbl>
              <c:idx val="1"/>
              <c:tx>
                <c:rich>
                  <a:bodyPr/>
                  <a:lstStyle/>
                  <a:p>
                    <a:r>
                      <a:rPr lang="en-US" sz="900" b="1" spc="30" baseline="0">
                        <a:solidFill>
                          <a:sysClr val="windowText" lastClr="000000"/>
                        </a:solidFill>
                        <a:latin typeface="Times New Roman" panose="02020603050405020304" pitchFamily="18" charset="0"/>
                        <a:cs typeface="Times New Roman" panose="02020603050405020304" pitchFamily="18" charset="0"/>
                      </a:rPr>
                      <a:t>+ 0.78%</a:t>
                    </a:r>
                    <a:endParaRPr lang="en-US"/>
                  </a:p>
                </c:rich>
              </c:tx>
              <c:showLegendKey val="0"/>
              <c:showVal val="1"/>
              <c:showCatName val="0"/>
              <c:showSerName val="0"/>
              <c:showPercent val="0"/>
              <c:showBubbleSize val="0"/>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6="http://schemas.microsoft.com/office/drawing/2014/chart" uri="{C3380CC4-5D6E-409C-BE32-E72D297353CC}">
                  <c16:uniqueId val="{00000005-7A4B-466F-B722-CE6F2A575053}"/>
                </c:ext>
                <c:ext xmlns:c15="http://schemas.microsoft.com/office/drawing/2012/chart" uri="{CE6537A1-D6FC-4f65-9D91-7224C49458BB}"/>
              </c:extLst>
            </c:dLbl>
            <c:dLbl>
              <c:idx val="2"/>
              <c:layout>
                <c:manualLayout>
                  <c:x val="0.1251152879975081"/>
                  <c:y val="-1.3688135697994869E-5"/>
                </c:manualLayout>
              </c:layout>
              <c:tx>
                <c:rich>
                  <a:bodyPr/>
                  <a:lstStyle/>
                  <a:p>
                    <a:pPr>
                      <a:defRPr lang="en-GB" sz="900" b="1" spc="30" baseline="0">
                        <a:solidFill>
                          <a:sysClr val="windowText" lastClr="000000"/>
                        </a:solidFill>
                        <a:latin typeface="Times New Roman" panose="02020603050405020304" pitchFamily="18" charset="0"/>
                        <a:cs typeface="Times New Roman" panose="02020603050405020304" pitchFamily="18" charset="0"/>
                      </a:defRPr>
                    </a:pPr>
                    <a:r>
                      <a:rPr lang="en-US" sz="900" b="1" spc="30" baseline="0">
                        <a:solidFill>
                          <a:sysClr val="windowText" lastClr="000000"/>
                        </a:solidFill>
                        <a:latin typeface="Times New Roman" panose="02020603050405020304" pitchFamily="18" charset="0"/>
                        <a:cs typeface="Times New Roman" panose="02020603050405020304" pitchFamily="18" charset="0"/>
                      </a:rPr>
                      <a:t>+0.78 %</a:t>
                    </a:r>
                    <a:endParaRPr lang="en-US" b="0"/>
                  </a:p>
                </c:rich>
              </c:tx>
              <c:spPr>
                <a:solidFill>
                  <a:srgbClr val="016AA3">
                    <a:alpha val="0"/>
                  </a:srgbClr>
                </a:solidFill>
                <a:ln>
                  <a:noFill/>
                </a:ln>
                <a:effectLst/>
              </c:spPr>
              <c:showLegendKey val="0"/>
              <c:showVal val="1"/>
              <c:showCatName val="0"/>
              <c:showSerName val="0"/>
              <c:showPercent val="0"/>
              <c:showBubbleSize val="0"/>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6="http://schemas.microsoft.com/office/drawing/2014/chart" uri="{C3380CC4-5D6E-409C-BE32-E72D297353CC}">
                  <c16:uniqueId val="{00000006-7A4B-466F-B722-CE6F2A575053}"/>
                </c:ext>
                <c:ext xmlns:c15="http://schemas.microsoft.com/office/drawing/2012/chart" uri="{CE6537A1-D6FC-4f65-9D91-7224C49458BB}">
                  <c15:layout/>
                </c:ext>
              </c:extLst>
            </c:dLbl>
            <c:dLbl>
              <c:idx val="4"/>
              <c:layout>
                <c:manualLayout>
                  <c:x val="0.11227255902947732"/>
                  <c:y val="-3.3558010098312228E-5"/>
                </c:manualLayout>
              </c:layout>
              <c:tx>
                <c:rich>
                  <a:bodyPr lIns="38100" tIns="19050" rIns="38100" bIns="19050">
                    <a:spAutoFit/>
                  </a:bodyPr>
                  <a:lstStyle/>
                  <a:p>
                    <a:pPr>
                      <a:defRPr sz="900" b="1" spc="30" baseline="0">
                        <a:solidFill>
                          <a:sysClr val="windowText" lastClr="000000"/>
                        </a:solidFill>
                        <a:latin typeface="Times New Roman" panose="02020603050405020304" pitchFamily="18" charset="0"/>
                        <a:cs typeface="Times New Roman" panose="02020603050405020304" pitchFamily="18" charset="0"/>
                      </a:defRPr>
                    </a:pPr>
                    <a:r>
                      <a:rPr lang="en-US" sz="900" b="1" spc="30" baseline="0">
                        <a:solidFill>
                          <a:sysClr val="windowText" lastClr="000000"/>
                        </a:solidFill>
                        <a:latin typeface="Times New Roman" panose="02020603050405020304" pitchFamily="18" charset="0"/>
                        <a:cs typeface="Times New Roman" panose="02020603050405020304" pitchFamily="18" charset="0"/>
                      </a:rPr>
                      <a:t>+0.92 %</a:t>
                    </a:r>
                    <a:endParaRPr lang="en-US" sz="800" b="0">
                      <a:solidFill>
                        <a:schemeClr val="bg1"/>
                      </a:solidFill>
                    </a:endParaRPr>
                  </a:p>
                </c:rich>
              </c:tx>
              <c:spPr>
                <a:solidFill>
                  <a:srgbClr val="016AA3">
                    <a:alpha val="0"/>
                  </a:srgbClr>
                </a:solidFill>
                <a:ln>
                  <a:noFill/>
                </a:ln>
              </c:spPr>
              <c:showLegendKey val="0"/>
              <c:showVal val="1"/>
              <c:showCatName val="0"/>
              <c:showSerName val="0"/>
              <c:showPercent val="0"/>
              <c:showBubbleSize val="0"/>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6="http://schemas.microsoft.com/office/drawing/2014/chart" uri="{C3380CC4-5D6E-409C-BE32-E72D297353CC}">
                  <c16:uniqueId val="{00000007-7A4B-466F-B722-CE6F2A575053}"/>
                </c:ext>
                <c:ext xmlns:c15="http://schemas.microsoft.com/office/drawing/2012/chart" uri="{CE6537A1-D6FC-4f65-9D91-7224C49458BB}">
                  <c15:layout/>
                </c:ext>
              </c:extLst>
            </c:dLbl>
            <c:spPr>
              <a:solidFill>
                <a:srgbClr val="016AA3"/>
              </a:solidFill>
              <a:ln>
                <a:noFill/>
              </a:ln>
              <a:effectLst/>
            </c:spPr>
            <c:txPr>
              <a:bodyPr/>
              <a:lstStyle/>
              <a:p>
                <a:pPr>
                  <a:defRPr lang="en-GB" sz="900" b="1" spc="30" baseline="0">
                    <a:solidFill>
                      <a:sysClr val="windowText" lastClr="000000"/>
                    </a:solidFill>
                    <a:latin typeface="Times New Roman" panose="02020603050405020304" pitchFamily="18" charset="0"/>
                    <a:cs typeface="Times New Roman" panose="02020603050405020304" pitchFamily="18" charset="0"/>
                  </a:defRPr>
                </a:pPr>
                <a:endParaRPr lang="en-US"/>
              </a:p>
            </c:txPr>
            <c:showLegendKey val="0"/>
            <c:showVal val="1"/>
            <c:showCatName val="0"/>
            <c:showSerName val="0"/>
            <c:showPercent val="0"/>
            <c:showBubbleSize val="0"/>
            <c:showLeaderLines val="0"/>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5="http://schemas.microsoft.com/office/drawing/2012/chart" uri="{CE6537A1-D6FC-4f65-9D91-7224C49458BB}">
                <c15:showLeaderLines val="0"/>
              </c:ext>
            </c:extLst>
          </c:dLbls>
          <c:cat>
            <c:strRef>
              <c:f>Sheet1!$A$2:$A$7</c:f>
              <c:strCache>
                <c:ptCount val="5"/>
                <c:pt idx="0">
                  <c:v>2013 г.</c:v>
                </c:pt>
                <c:pt idx="2">
                  <c:v>2014 г.</c:v>
                </c:pt>
                <c:pt idx="4">
                  <c:v>2015 г.</c:v>
                </c:pt>
              </c:strCache>
            </c:strRef>
          </c:cat>
          <c:val>
            <c:numRef>
              <c:f>Sheet1!$C$2:$C$7</c:f>
              <c:numCache>
                <c:formatCode>General</c:formatCode>
                <c:ptCount val="6"/>
                <c:pt idx="0" formatCode="0.00%">
                  <c:v>0</c:v>
                </c:pt>
                <c:pt idx="2" formatCode="0.00%">
                  <c:v>7.7999999999999996E-3</c:v>
                </c:pt>
                <c:pt idx="4" formatCode="0.00%">
                  <c:v>9.1999999999999998E-3</c:v>
                </c:pt>
              </c:numCache>
            </c:numRef>
          </c:val>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6="http://schemas.microsoft.com/office/drawing/2014/chart" uri="{C3380CC4-5D6E-409C-BE32-E72D297353CC}">
              <c16:uniqueId val="{00000008-7A4B-466F-B722-CE6F2A575053}"/>
            </c:ext>
          </c:extLst>
        </c:ser>
        <c:dLbls>
          <c:showLegendKey val="0"/>
          <c:showVal val="0"/>
          <c:showCatName val="0"/>
          <c:showSerName val="0"/>
          <c:showPercent val="0"/>
          <c:showBubbleSize val="0"/>
        </c:dLbls>
        <c:gapWidth val="50"/>
        <c:overlap val="100"/>
        <c:axId val="63515648"/>
        <c:axId val="63533824"/>
      </c:barChart>
      <c:catAx>
        <c:axId val="63515648"/>
        <c:scaling>
          <c:orientation val="minMax"/>
        </c:scaling>
        <c:delete val="0"/>
        <c:axPos val="b"/>
        <c:numFmt formatCode="General" sourceLinked="1"/>
        <c:majorTickMark val="out"/>
        <c:minorTickMark val="none"/>
        <c:tickLblPos val="nextTo"/>
        <c:txPr>
          <a:bodyPr/>
          <a:lstStyle/>
          <a:p>
            <a:pPr>
              <a:defRPr sz="900"/>
            </a:pPr>
            <a:endParaRPr lang="en-US"/>
          </a:p>
        </c:txPr>
        <c:crossAx val="63533824"/>
        <c:crosses val="autoZero"/>
        <c:auto val="1"/>
        <c:lblAlgn val="ctr"/>
        <c:lblOffset val="100"/>
        <c:noMultiLvlLbl val="0"/>
      </c:catAx>
      <c:valAx>
        <c:axId val="63533824"/>
        <c:scaling>
          <c:orientation val="minMax"/>
          <c:max val="1.01"/>
          <c:min val="0"/>
        </c:scaling>
        <c:delete val="0"/>
        <c:axPos val="l"/>
        <c:majorGridlines>
          <c:spPr>
            <a:ln>
              <a:solidFill>
                <a:schemeClr val="bg1">
                  <a:lumMod val="85000"/>
                </a:schemeClr>
              </a:solidFill>
            </a:ln>
          </c:spPr>
        </c:majorGridlines>
        <c:numFmt formatCode="0%" sourceLinked="0"/>
        <c:majorTickMark val="out"/>
        <c:minorTickMark val="none"/>
        <c:tickLblPos val="nextTo"/>
        <c:txPr>
          <a:bodyPr/>
          <a:lstStyle/>
          <a:p>
            <a:pPr>
              <a:defRPr sz="800"/>
            </a:pPr>
            <a:endParaRPr lang="en-US"/>
          </a:p>
        </c:txPr>
        <c:crossAx val="63515648"/>
        <c:crosses val="autoZero"/>
        <c:crossBetween val="between"/>
      </c:valAx>
    </c:plotArea>
    <c:plotVisOnly val="1"/>
    <c:dispBlanksAs val="gap"/>
    <c:showDLblsOverMax val="0"/>
  </c:chart>
  <c:spPr>
    <a:ln>
      <a:solidFill>
        <a:schemeClr val="accent1">
          <a:lumMod val="60000"/>
          <a:lumOff val="40000"/>
        </a:schemeClr>
      </a:solid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
          <c:y val="1.8047561879877153E-3"/>
          <c:w val="1"/>
          <c:h val="0.9981952438120123"/>
        </c:manualLayout>
      </c:layout>
      <c:barChart>
        <c:barDir val="bar"/>
        <c:grouping val="percentStacked"/>
        <c:varyColors val="0"/>
        <c:ser>
          <c:idx val="0"/>
          <c:order val="0"/>
          <c:tx>
            <c:strRef>
              <c:f>Sheet1!$B$1</c:f>
              <c:strCache>
                <c:ptCount val="1"/>
                <c:pt idx="0">
                  <c:v>Implemented</c:v>
                </c:pt>
              </c:strCache>
            </c:strRef>
          </c:tx>
          <c:invertIfNegative val="0"/>
          <c:dPt>
            <c:idx val="0"/>
            <c:invertIfNegative val="0"/>
            <c:bubble3D val="0"/>
            <c:spPr>
              <a:solidFill>
                <a:schemeClr val="accent1">
                  <a:lumMod val="40000"/>
                  <a:lumOff val="60000"/>
                </a:schemeClr>
              </a:solidFill>
            </c:spPr>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6="http://schemas.microsoft.com/office/drawing/2014/chart" uri="{C3380CC4-5D6E-409C-BE32-E72D297353CC}">
                <c16:uniqueId val="{00000001-A04C-43B8-BF5B-7AC8C8FFEB70}"/>
              </c:ext>
            </c:extLst>
          </c:dPt>
          <c:dPt>
            <c:idx val="1"/>
            <c:invertIfNegative val="0"/>
            <c:bubble3D val="0"/>
            <c:spPr>
              <a:solidFill>
                <a:schemeClr val="accent1">
                  <a:lumMod val="50000"/>
                </a:schemeClr>
              </a:solidFill>
            </c:spPr>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6="http://schemas.microsoft.com/office/drawing/2014/chart" uri="{C3380CC4-5D6E-409C-BE32-E72D297353CC}">
                <c16:uniqueId val="{00000003-A04C-43B8-BF5B-7AC8C8FFEB70}"/>
              </c:ext>
            </c:extLst>
          </c:dPt>
          <c:dPt>
            <c:idx val="2"/>
            <c:invertIfNegative val="0"/>
            <c:bubble3D val="0"/>
            <c:spPr>
              <a:solidFill>
                <a:srgbClr val="82A5D0"/>
              </a:solidFill>
            </c:spPr>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6="http://schemas.microsoft.com/office/drawing/2014/chart" uri="{C3380CC4-5D6E-409C-BE32-E72D297353CC}">
                <c16:uniqueId val="{00000005-A04C-43B8-BF5B-7AC8C8FFEB70}"/>
              </c:ext>
            </c:extLst>
          </c:dPt>
          <c:dPt>
            <c:idx val="3"/>
            <c:invertIfNegative val="0"/>
            <c:bubble3D val="0"/>
            <c:spPr>
              <a:solidFill>
                <a:schemeClr val="accent1">
                  <a:lumMod val="75000"/>
                </a:schemeClr>
              </a:solidFill>
            </c:spPr>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6="http://schemas.microsoft.com/office/drawing/2014/chart" uri="{C3380CC4-5D6E-409C-BE32-E72D297353CC}">
                <c16:uniqueId val="{00000007-A04C-43B8-BF5B-7AC8C8FFEB70}"/>
              </c:ext>
            </c:extLst>
          </c:dPt>
          <c:dPt>
            <c:idx val="4"/>
            <c:invertIfNegative val="0"/>
            <c:bubble3D val="0"/>
            <c:spPr>
              <a:solidFill>
                <a:srgbClr val="4070AA"/>
              </a:solidFill>
            </c:spPr>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6="http://schemas.microsoft.com/office/drawing/2014/chart" uri="{C3380CC4-5D6E-409C-BE32-E72D297353CC}">
                <c16:uniqueId val="{00000009-A04C-43B8-BF5B-7AC8C8FFEB70}"/>
              </c:ext>
            </c:extLst>
          </c:dPt>
          <c:dPt>
            <c:idx val="5"/>
            <c:invertIfNegative val="0"/>
            <c:bubble3D val="0"/>
            <c:spPr>
              <a:solidFill>
                <a:schemeClr val="accent1">
                  <a:lumMod val="60000"/>
                  <a:lumOff val="40000"/>
                </a:schemeClr>
              </a:solidFill>
            </c:spPr>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6="http://schemas.microsoft.com/office/drawing/2014/chart" uri="{C3380CC4-5D6E-409C-BE32-E72D297353CC}">
                <c16:uniqueId val="{0000000B-A04C-43B8-BF5B-7AC8C8FFEB70}"/>
              </c:ext>
            </c:extLst>
          </c:dPt>
          <c:dPt>
            <c:idx val="6"/>
            <c:invertIfNegative val="0"/>
            <c:bubble3D val="0"/>
            <c:spPr>
              <a:solidFill>
                <a:schemeClr val="accent1">
                  <a:lumMod val="75000"/>
                </a:schemeClr>
              </a:solidFill>
            </c:spPr>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6="http://schemas.microsoft.com/office/drawing/2014/chart" uri="{C3380CC4-5D6E-409C-BE32-E72D297353CC}">
                <c16:uniqueId val="{0000000D-A04C-43B8-BF5B-7AC8C8FFEB70}"/>
              </c:ext>
            </c:extLst>
          </c:dPt>
          <c:dLbls>
            <c:dLbl>
              <c:idx val="0"/>
              <c:tx>
                <c:rich>
                  <a:bodyPr/>
                  <a:lstStyle/>
                  <a:p>
                    <a:pPr>
                      <a:defRPr sz="800" b="1">
                        <a:solidFill>
                          <a:srgbClr val="002060"/>
                        </a:solidFill>
                      </a:defRPr>
                    </a:pPr>
                    <a:r>
                      <a:rPr lang="en-US" sz="800">
                        <a:solidFill>
                          <a:srgbClr val="002060"/>
                        </a:solidFill>
                      </a:rPr>
                      <a:t>19 </a:t>
                    </a:r>
                    <a:r>
                      <a:rPr lang="bg-BG" sz="800" b="1" i="0" u="none" strike="noStrike" baseline="0">
                        <a:effectLst/>
                      </a:rPr>
                      <a:t>държави членки</a:t>
                    </a:r>
                    <a:endParaRPr lang="en-US">
                      <a:solidFill>
                        <a:srgbClr val="002060"/>
                      </a:solidFill>
                    </a:endParaRPr>
                  </a:p>
                </c:rich>
              </c:tx>
              <c:spPr>
                <a:noFill/>
                <a:ln>
                  <a:noFill/>
                </a:ln>
                <a:effectLst/>
              </c:spPr>
              <c:showLegendKey val="0"/>
              <c:showVal val="1"/>
              <c:showCatName val="0"/>
              <c:showSerName val="0"/>
              <c:showPercent val="0"/>
              <c:showBubbleSize val="0"/>
            </c:dLbl>
            <c:dLbl>
              <c:idx val="1"/>
              <c:tx>
                <c:rich>
                  <a:bodyPr/>
                  <a:lstStyle/>
                  <a:p>
                    <a:r>
                      <a:rPr lang="en-US" sz="800"/>
                      <a:t>28 </a:t>
                    </a:r>
                    <a:r>
                      <a:rPr lang="bg-BG" sz="800" b="1" i="0" u="none" strike="noStrike" baseline="0">
                        <a:effectLst/>
                      </a:rPr>
                      <a:t>държави членки</a:t>
                    </a:r>
                    <a:endParaRPr lang="en-US"/>
                  </a:p>
                </c:rich>
              </c:tx>
              <c:showLegendKey val="0"/>
              <c:showVal val="1"/>
              <c:showCatName val="0"/>
              <c:showSerName val="0"/>
              <c:showPercent val="0"/>
              <c:showBubbleSize val="0"/>
            </c:dLbl>
            <c:dLbl>
              <c:idx val="2"/>
              <c:tx>
                <c:rich>
                  <a:bodyPr/>
                  <a:lstStyle/>
                  <a:p>
                    <a:pPr>
                      <a:defRPr sz="800" b="1">
                        <a:solidFill>
                          <a:srgbClr val="002060"/>
                        </a:solidFill>
                      </a:defRPr>
                    </a:pPr>
                    <a:r>
                      <a:rPr lang="en-US" sz="800">
                        <a:solidFill>
                          <a:srgbClr val="002060"/>
                        </a:solidFill>
                      </a:rPr>
                      <a:t>23 </a:t>
                    </a:r>
                    <a:r>
                      <a:rPr lang="bg-BG" sz="800" b="1" i="0" u="none" strike="noStrike" baseline="0">
                        <a:effectLst/>
                      </a:rPr>
                      <a:t>държави членки</a:t>
                    </a:r>
                    <a:endParaRPr lang="en-US">
                      <a:solidFill>
                        <a:srgbClr val="002060"/>
                      </a:solidFill>
                    </a:endParaRPr>
                  </a:p>
                </c:rich>
              </c:tx>
              <c:spPr>
                <a:noFill/>
                <a:ln>
                  <a:noFill/>
                </a:ln>
                <a:effectLst/>
              </c:spPr>
              <c:showLegendKey val="0"/>
              <c:showVal val="1"/>
              <c:showCatName val="0"/>
              <c:showSerName val="0"/>
              <c:showPercent val="0"/>
              <c:showBubbleSize val="0"/>
            </c:dLbl>
            <c:dLbl>
              <c:idx val="3"/>
              <c:tx>
                <c:rich>
                  <a:bodyPr/>
                  <a:lstStyle/>
                  <a:p>
                    <a:r>
                      <a:rPr lang="en-US" sz="800"/>
                      <a:t>26 </a:t>
                    </a:r>
                    <a:r>
                      <a:rPr lang="bg-BG" sz="800" b="1" i="0" u="none" strike="noStrike" baseline="0">
                        <a:effectLst/>
                      </a:rPr>
                      <a:t>държави членки</a:t>
                    </a:r>
                    <a:endParaRPr lang="en-US"/>
                  </a:p>
                </c:rich>
              </c:tx>
              <c:showLegendKey val="0"/>
              <c:showVal val="1"/>
              <c:showCatName val="0"/>
              <c:showSerName val="0"/>
              <c:showPercent val="0"/>
              <c:showBubbleSize val="0"/>
            </c:dLbl>
            <c:dLbl>
              <c:idx val="4"/>
              <c:tx>
                <c:rich>
                  <a:bodyPr/>
                  <a:lstStyle/>
                  <a:p>
                    <a:r>
                      <a:rPr lang="en-US" sz="800"/>
                      <a:t>25 </a:t>
                    </a:r>
                    <a:r>
                      <a:rPr lang="bg-BG" sz="800" b="1" i="0" u="none" strike="noStrike" baseline="0">
                        <a:effectLst/>
                      </a:rPr>
                      <a:t>държави членки</a:t>
                    </a:r>
                    <a:endParaRPr lang="en-US"/>
                  </a:p>
                </c:rich>
              </c:tx>
              <c:showLegendKey val="0"/>
              <c:showVal val="1"/>
              <c:showCatName val="0"/>
              <c:showSerName val="0"/>
              <c:showPercent val="0"/>
              <c:showBubbleSize val="0"/>
            </c:dLbl>
            <c:dLbl>
              <c:idx val="5"/>
              <c:layout>
                <c:manualLayout>
                  <c:x val="0"/>
                  <c:y val="-5.1353882434384294E-3"/>
                </c:manualLayout>
              </c:layout>
              <c:tx>
                <c:rich>
                  <a:bodyPr/>
                  <a:lstStyle/>
                  <a:p>
                    <a:pPr>
                      <a:defRPr sz="800" b="1">
                        <a:solidFill>
                          <a:srgbClr val="002060"/>
                        </a:solidFill>
                      </a:defRPr>
                    </a:pPr>
                    <a:r>
                      <a:rPr lang="en-US" sz="800">
                        <a:solidFill>
                          <a:srgbClr val="002060"/>
                        </a:solidFill>
                      </a:rPr>
                      <a:t>23 </a:t>
                    </a:r>
                    <a:r>
                      <a:rPr lang="bg-BG" sz="800">
                        <a:solidFill>
                          <a:srgbClr val="002060"/>
                        </a:solidFill>
                      </a:rPr>
                      <a:t>държави членки</a:t>
                    </a:r>
                    <a:endParaRPr lang="en-US">
                      <a:solidFill>
                        <a:srgbClr val="002060"/>
                      </a:solidFill>
                    </a:endParaRPr>
                  </a:p>
                </c:rich>
              </c:tx>
              <c:spPr>
                <a:noFill/>
                <a:ln>
                  <a:noFill/>
                </a:ln>
                <a:effectLst/>
              </c:spPr>
              <c:showLegendKey val="0"/>
              <c:showVal val="1"/>
              <c:showCatName val="0"/>
              <c:showSerName val="0"/>
              <c:showPercent val="0"/>
              <c:showBubbleSize val="0"/>
            </c:dLbl>
            <c:dLbl>
              <c:idx val="6"/>
              <c:tx>
                <c:rich>
                  <a:bodyPr/>
                  <a:lstStyle/>
                  <a:p>
                    <a:pPr>
                      <a:defRPr sz="800" b="1">
                        <a:solidFill>
                          <a:schemeClr val="bg1"/>
                        </a:solidFill>
                      </a:defRPr>
                    </a:pPr>
                    <a:r>
                      <a:rPr lang="en-US" sz="800"/>
                      <a:t>26 </a:t>
                    </a:r>
                    <a:r>
                      <a:rPr lang="bg-BG" sz="800"/>
                      <a:t>държави</a:t>
                    </a:r>
                    <a:r>
                      <a:rPr lang="bg-BG" sz="800" baseline="0"/>
                      <a:t> членки</a:t>
                    </a:r>
                    <a:endParaRPr lang="en-US" sz="800"/>
                  </a:p>
                </c:rich>
              </c:tx>
              <c:spPr>
                <a:noFill/>
                <a:ln w="15875">
                  <a:noFill/>
                </a:ln>
                <a:effectLst/>
              </c:spPr>
              <c:showLegendKey val="0"/>
              <c:showVal val="1"/>
              <c:showCatName val="0"/>
              <c:showSerName val="0"/>
              <c:showPercent val="0"/>
              <c:showBubbleSize val="0"/>
            </c:dLbl>
            <c:spPr>
              <a:noFill/>
              <a:ln>
                <a:noFill/>
              </a:ln>
              <a:effectLst/>
            </c:spPr>
            <c:txPr>
              <a:bodyPr/>
              <a:lstStyle/>
              <a:p>
                <a:pPr>
                  <a:defRPr sz="800" b="1">
                    <a:solidFill>
                      <a:schemeClr val="bg1"/>
                    </a:solidFill>
                  </a:defRPr>
                </a:pPr>
                <a:endParaRPr lang="en-US"/>
              </a:p>
            </c:txPr>
            <c:showLegendKey val="0"/>
            <c:showVal val="1"/>
            <c:showCatName val="0"/>
            <c:showSerName val="0"/>
            <c:showPercent val="0"/>
            <c:showBubbleSize val="0"/>
            <c:showLeaderLines val="0"/>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5="http://schemas.microsoft.com/office/drawing/2012/chart" uri="{CE6537A1-D6FC-4f65-9D91-7224C49458BB}">
                <c15:layout/>
                <c15:showLeaderLines val="0"/>
              </c:ext>
            </c:extLst>
          </c:dLbls>
          <c:cat>
            <c:strRef>
              <c:f>Sheet1!$A$2:$A$8</c:f>
              <c:strCache>
                <c:ptCount val="7"/>
                <c:pt idx="0">
                  <c:v>7. VIES post-registration verifications </c:v>
                </c:pt>
                <c:pt idx="1">
                  <c:v>6. IT assisted registration system:</c:v>
                </c:pt>
                <c:pt idx="2">
                  <c:v>5. Pre-registration checks are in place: </c:v>
                </c:pt>
                <c:pt idx="3">
                  <c:v>4. Authenticity of registration is verified:</c:v>
                </c:pt>
                <c:pt idx="4">
                  <c:v>3. Online registration is possible:</c:v>
                </c:pt>
                <c:pt idx="5">
                  <c:v>2. In foreign languages</c:v>
                </c:pt>
                <c:pt idx="6">
                  <c:v>1. Registration info is available:</c:v>
                </c:pt>
              </c:strCache>
            </c:strRef>
          </c:cat>
          <c:val>
            <c:numRef>
              <c:f>Sheet1!$B$2:$B$8</c:f>
              <c:numCache>
                <c:formatCode>0</c:formatCode>
                <c:ptCount val="7"/>
                <c:pt idx="0">
                  <c:v>19.040000000000003</c:v>
                </c:pt>
                <c:pt idx="1">
                  <c:v>28</c:v>
                </c:pt>
                <c:pt idx="2">
                  <c:v>22.959999999999997</c:v>
                </c:pt>
                <c:pt idx="3">
                  <c:v>26.040000000000003</c:v>
                </c:pt>
                <c:pt idx="4">
                  <c:v>24.92</c:v>
                </c:pt>
                <c:pt idx="5">
                  <c:v>22.68</c:v>
                </c:pt>
                <c:pt idx="6">
                  <c:v>26.040000000000003</c:v>
                </c:pt>
              </c:numCache>
            </c:numRef>
          </c:val>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6="http://schemas.microsoft.com/office/drawing/2014/chart" uri="{C3380CC4-5D6E-409C-BE32-E72D297353CC}">
              <c16:uniqueId val="{0000000E-A04C-43B8-BF5B-7AC8C8FFEB70}"/>
            </c:ext>
          </c:extLst>
        </c:ser>
        <c:ser>
          <c:idx val="1"/>
          <c:order val="1"/>
          <c:tx>
            <c:strRef>
              <c:f>Sheet1!$C$1</c:f>
              <c:strCache>
                <c:ptCount val="1"/>
                <c:pt idx="0">
                  <c:v>Not implemented</c:v>
                </c:pt>
              </c:strCache>
            </c:strRef>
          </c:tx>
          <c:spPr>
            <a:solidFill>
              <a:schemeClr val="bg1">
                <a:lumMod val="95000"/>
              </a:schemeClr>
            </a:solidFill>
            <a:ln>
              <a:noFill/>
            </a:ln>
          </c:spPr>
          <c:invertIfNegative val="0"/>
          <c:cat>
            <c:strRef>
              <c:f>Sheet1!$A$2:$A$8</c:f>
              <c:strCache>
                <c:ptCount val="7"/>
                <c:pt idx="0">
                  <c:v>7. VIES post-registration verifications </c:v>
                </c:pt>
                <c:pt idx="1">
                  <c:v>6. IT assisted registration system:</c:v>
                </c:pt>
                <c:pt idx="2">
                  <c:v>5. Pre-registration checks are in place: </c:v>
                </c:pt>
                <c:pt idx="3">
                  <c:v>4. Authenticity of registration is verified:</c:v>
                </c:pt>
                <c:pt idx="4">
                  <c:v>3. Online registration is possible:</c:v>
                </c:pt>
                <c:pt idx="5">
                  <c:v>2. In foreign languages</c:v>
                </c:pt>
                <c:pt idx="6">
                  <c:v>1. Registration info is available:</c:v>
                </c:pt>
              </c:strCache>
            </c:strRef>
          </c:cat>
          <c:val>
            <c:numRef>
              <c:f>Sheet1!$C$2:$C$8</c:f>
              <c:numCache>
                <c:formatCode>0</c:formatCode>
                <c:ptCount val="7"/>
                <c:pt idx="0">
                  <c:v>8.9600000000000009</c:v>
                </c:pt>
                <c:pt idx="1">
                  <c:v>0</c:v>
                </c:pt>
                <c:pt idx="2">
                  <c:v>5.04</c:v>
                </c:pt>
                <c:pt idx="3">
                  <c:v>1.9600000000000002</c:v>
                </c:pt>
                <c:pt idx="4">
                  <c:v>3.08</c:v>
                </c:pt>
                <c:pt idx="5">
                  <c:v>5.32</c:v>
                </c:pt>
                <c:pt idx="6">
                  <c:v>1.9600000000000002</c:v>
                </c:pt>
              </c:numCache>
            </c:numRef>
          </c:val>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6="http://schemas.microsoft.com/office/drawing/2014/chart" uri="{C3380CC4-5D6E-409C-BE32-E72D297353CC}">
              <c16:uniqueId val="{0000000F-A04C-43B8-BF5B-7AC8C8FFEB70}"/>
            </c:ext>
          </c:extLst>
        </c:ser>
        <c:ser>
          <c:idx val="2"/>
          <c:order val="2"/>
          <c:tx>
            <c:strRef>
              <c:f>Sheet1!$D$1</c:f>
              <c:strCache>
                <c:ptCount val="1"/>
                <c:pt idx="0">
                  <c:v>100%</c:v>
                </c:pt>
              </c:strCache>
            </c:strRef>
          </c:tx>
          <c:invertIfNegative val="0"/>
          <c:cat>
            <c:strRef>
              <c:f>Sheet1!$A$2:$A$8</c:f>
              <c:strCache>
                <c:ptCount val="7"/>
                <c:pt idx="0">
                  <c:v>7. VIES post-registration verifications </c:v>
                </c:pt>
                <c:pt idx="1">
                  <c:v>6. IT assisted registration system:</c:v>
                </c:pt>
                <c:pt idx="2">
                  <c:v>5. Pre-registration checks are in place: </c:v>
                </c:pt>
                <c:pt idx="3">
                  <c:v>4. Authenticity of registration is verified:</c:v>
                </c:pt>
                <c:pt idx="4">
                  <c:v>3. Online registration is possible:</c:v>
                </c:pt>
                <c:pt idx="5">
                  <c:v>2. In foreign languages</c:v>
                </c:pt>
                <c:pt idx="6">
                  <c:v>1. Registration info is available:</c:v>
                </c:pt>
              </c:strCache>
            </c:strRef>
          </c:cat>
          <c:val>
            <c:numRef>
              <c:f>Sheet1!$D$2:$D$8</c:f>
              <c:numCache>
                <c:formatCode>#,#00%</c:formatCode>
                <c:ptCount val="7"/>
                <c:pt idx="0">
                  <c:v>0</c:v>
                </c:pt>
                <c:pt idx="1">
                  <c:v>0</c:v>
                </c:pt>
                <c:pt idx="2">
                  <c:v>0</c:v>
                </c:pt>
                <c:pt idx="3">
                  <c:v>0</c:v>
                </c:pt>
                <c:pt idx="4">
                  <c:v>0</c:v>
                </c:pt>
                <c:pt idx="5">
                  <c:v>0</c:v>
                </c:pt>
                <c:pt idx="6">
                  <c:v>0</c:v>
                </c:pt>
              </c:numCache>
            </c:numRef>
          </c:val>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6="http://schemas.microsoft.com/office/drawing/2014/chart" uri="{C3380CC4-5D6E-409C-BE32-E72D297353CC}">
              <c16:uniqueId val="{00000010-A04C-43B8-BF5B-7AC8C8FFEB70}"/>
            </c:ext>
          </c:extLst>
        </c:ser>
        <c:dLbls>
          <c:showLegendKey val="0"/>
          <c:showVal val="0"/>
          <c:showCatName val="0"/>
          <c:showSerName val="0"/>
          <c:showPercent val="0"/>
          <c:showBubbleSize val="0"/>
        </c:dLbls>
        <c:gapWidth val="70"/>
        <c:overlap val="100"/>
        <c:axId val="64035840"/>
        <c:axId val="64049920"/>
      </c:barChart>
      <c:catAx>
        <c:axId val="64035840"/>
        <c:scaling>
          <c:orientation val="minMax"/>
        </c:scaling>
        <c:delete val="1"/>
        <c:axPos val="l"/>
        <c:numFmt formatCode="General" sourceLinked="0"/>
        <c:majorTickMark val="out"/>
        <c:minorTickMark val="none"/>
        <c:tickLblPos val="none"/>
        <c:crossAx val="64049920"/>
        <c:crosses val="autoZero"/>
        <c:auto val="1"/>
        <c:lblAlgn val="l"/>
        <c:lblOffset val="100"/>
        <c:noMultiLvlLbl val="0"/>
      </c:catAx>
      <c:valAx>
        <c:axId val="64049920"/>
        <c:scaling>
          <c:orientation val="minMax"/>
        </c:scaling>
        <c:delete val="1"/>
        <c:axPos val="b"/>
        <c:majorGridlines>
          <c:spPr>
            <a:ln>
              <a:solidFill>
                <a:schemeClr val="bg1">
                  <a:lumMod val="85000"/>
                </a:schemeClr>
              </a:solidFill>
            </a:ln>
          </c:spPr>
        </c:majorGridlines>
        <c:numFmt formatCode="0%" sourceLinked="1"/>
        <c:majorTickMark val="out"/>
        <c:minorTickMark val="none"/>
        <c:tickLblPos val="none"/>
        <c:crossAx val="64035840"/>
        <c:crosses val="autoZero"/>
        <c:crossBetween val="between"/>
      </c:valAx>
      <c:spPr>
        <a:ln>
          <a:solidFill>
            <a:schemeClr val="bg1">
              <a:lumMod val="95000"/>
              <a:alpha val="0"/>
            </a:schemeClr>
          </a:solidFill>
        </a:ln>
      </c:spPr>
    </c:plotArea>
    <c:plotVisOnly val="1"/>
    <c:dispBlanksAs val="gap"/>
    <c:showDLblsOverMax val="0"/>
  </c:chart>
  <c:spPr>
    <a:ln>
      <a:solidFill>
        <a:schemeClr val="bg1">
          <a:lumMod val="95000"/>
          <a:alpha val="0"/>
        </a:schemeClr>
      </a:solid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0"/>
    <c:plotArea>
      <c:layout>
        <c:manualLayout>
          <c:layoutTarget val="inner"/>
          <c:xMode val="edge"/>
          <c:yMode val="edge"/>
          <c:x val="6.5835338291046971E-2"/>
          <c:y val="4.4057617797775318E-2"/>
          <c:w val="0.70316728612684121"/>
          <c:h val="0.75003835894341175"/>
        </c:manualLayout>
      </c:layout>
      <c:lineChart>
        <c:grouping val="standard"/>
        <c:varyColors val="0"/>
        <c:ser>
          <c:idx val="0"/>
          <c:order val="0"/>
          <c:tx>
            <c:strRef>
              <c:f>Sheet1!$B$1</c:f>
              <c:strCache>
                <c:ptCount val="1"/>
                <c:pt idx="0">
                  <c:v>Минимален срок в дни (средно)</c:v>
                </c:pt>
              </c:strCache>
            </c:strRef>
          </c:tx>
          <c:spPr>
            <a:ln>
              <a:solidFill>
                <a:schemeClr val="accent1">
                  <a:lumMod val="50000"/>
                </a:schemeClr>
              </a:solidFill>
            </a:ln>
          </c:spPr>
          <c:marker>
            <c:spPr>
              <a:solidFill>
                <a:schemeClr val="accent1">
                  <a:lumMod val="50000"/>
                </a:schemeClr>
              </a:solidFill>
              <a:ln>
                <a:solidFill>
                  <a:schemeClr val="accent1">
                    <a:lumMod val="50000"/>
                  </a:schemeClr>
                </a:solidFill>
              </a:ln>
            </c:spPr>
          </c:marker>
          <c:cat>
            <c:strRef>
              <c:f>Sheet1!$A$2:$A$4</c:f>
              <c:strCache>
                <c:ptCount val="3"/>
                <c:pt idx="0">
                  <c:v>2013 г.</c:v>
                </c:pt>
                <c:pt idx="1">
                  <c:v>2014 г.</c:v>
                </c:pt>
                <c:pt idx="2">
                  <c:v>2015 г.</c:v>
                </c:pt>
              </c:strCache>
            </c:strRef>
          </c:cat>
          <c:val>
            <c:numRef>
              <c:f>Sheet1!$B$2:$B$4</c:f>
              <c:numCache>
                <c:formatCode>General</c:formatCode>
                <c:ptCount val="3"/>
                <c:pt idx="0">
                  <c:v>3</c:v>
                </c:pt>
                <c:pt idx="1">
                  <c:v>4</c:v>
                </c:pt>
                <c:pt idx="2">
                  <c:v>4</c:v>
                </c:pt>
              </c:numCache>
            </c:numRef>
          </c:val>
          <c:smooth val="0"/>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6="http://schemas.microsoft.com/office/drawing/2014/chart" uri="{C3380CC4-5D6E-409C-BE32-E72D297353CC}">
              <c16:uniqueId val="{00000000-9A7D-42AB-B0A8-46D6FB654812}"/>
            </c:ext>
          </c:extLst>
        </c:ser>
        <c:ser>
          <c:idx val="1"/>
          <c:order val="1"/>
          <c:tx>
            <c:strRef>
              <c:f>Sheet1!$C$1</c:f>
              <c:strCache>
                <c:ptCount val="1"/>
                <c:pt idx="0">
                  <c:v>Минимален срок в дни (медиана)</c:v>
                </c:pt>
              </c:strCache>
            </c:strRef>
          </c:tx>
          <c:spPr>
            <a:ln>
              <a:solidFill>
                <a:schemeClr val="accent1">
                  <a:lumMod val="60000"/>
                  <a:lumOff val="40000"/>
                </a:schemeClr>
              </a:solidFill>
            </a:ln>
          </c:spPr>
          <c:marker>
            <c:spPr>
              <a:solidFill>
                <a:schemeClr val="accent1">
                  <a:lumMod val="60000"/>
                  <a:lumOff val="40000"/>
                </a:schemeClr>
              </a:solidFill>
              <a:ln>
                <a:solidFill>
                  <a:schemeClr val="accent1">
                    <a:lumMod val="60000"/>
                    <a:lumOff val="40000"/>
                  </a:schemeClr>
                </a:solidFill>
              </a:ln>
            </c:spPr>
          </c:marker>
          <c:cat>
            <c:strRef>
              <c:f>Sheet1!$A$2:$A$4</c:f>
              <c:strCache>
                <c:ptCount val="3"/>
                <c:pt idx="0">
                  <c:v>2013 г.</c:v>
                </c:pt>
                <c:pt idx="1">
                  <c:v>2014 г.</c:v>
                </c:pt>
                <c:pt idx="2">
                  <c:v>2015 г.</c:v>
                </c:pt>
              </c:strCache>
            </c:strRef>
          </c:cat>
          <c:val>
            <c:numRef>
              <c:f>Sheet1!$C$2:$C$4</c:f>
              <c:numCache>
                <c:formatCode>General</c:formatCode>
                <c:ptCount val="3"/>
                <c:pt idx="0">
                  <c:v>3</c:v>
                </c:pt>
                <c:pt idx="1">
                  <c:v>3</c:v>
                </c:pt>
                <c:pt idx="2">
                  <c:v>3</c:v>
                </c:pt>
              </c:numCache>
            </c:numRef>
          </c:val>
          <c:smooth val="0"/>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6="http://schemas.microsoft.com/office/drawing/2014/chart" uri="{C3380CC4-5D6E-409C-BE32-E72D297353CC}">
              <c16:uniqueId val="{00000001-9A7D-42AB-B0A8-46D6FB654812}"/>
            </c:ext>
          </c:extLst>
        </c:ser>
        <c:ser>
          <c:idx val="2"/>
          <c:order val="2"/>
          <c:tx>
            <c:strRef>
              <c:f>Sheet1!$D$1</c:f>
              <c:strCache>
                <c:ptCount val="1"/>
                <c:pt idx="0">
                  <c:v>VIES (дни, средно)</c:v>
                </c:pt>
              </c:strCache>
            </c:strRef>
          </c:tx>
          <c:spPr>
            <a:ln>
              <a:solidFill>
                <a:schemeClr val="accent2">
                  <a:lumMod val="50000"/>
                </a:schemeClr>
              </a:solidFill>
            </a:ln>
          </c:spPr>
          <c:marker>
            <c:spPr>
              <a:solidFill>
                <a:schemeClr val="accent2">
                  <a:lumMod val="50000"/>
                </a:schemeClr>
              </a:solidFill>
              <a:ln>
                <a:solidFill>
                  <a:schemeClr val="accent2">
                    <a:lumMod val="50000"/>
                  </a:schemeClr>
                </a:solidFill>
              </a:ln>
            </c:spPr>
          </c:marker>
          <c:cat>
            <c:strRef>
              <c:f>Sheet1!$A$2:$A$4</c:f>
              <c:strCache>
                <c:ptCount val="3"/>
                <c:pt idx="0">
                  <c:v>2013 г.</c:v>
                </c:pt>
                <c:pt idx="1">
                  <c:v>2014 г.</c:v>
                </c:pt>
                <c:pt idx="2">
                  <c:v>2015 г.</c:v>
                </c:pt>
              </c:strCache>
            </c:strRef>
          </c:cat>
          <c:val>
            <c:numRef>
              <c:f>Sheet1!$D$2:$D$4</c:f>
              <c:numCache>
                <c:formatCode>General</c:formatCode>
                <c:ptCount val="3"/>
                <c:pt idx="0">
                  <c:v>5</c:v>
                </c:pt>
                <c:pt idx="1">
                  <c:v>4</c:v>
                </c:pt>
                <c:pt idx="2">
                  <c:v>3</c:v>
                </c:pt>
              </c:numCache>
            </c:numRef>
          </c:val>
          <c:smooth val="0"/>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6="http://schemas.microsoft.com/office/drawing/2014/chart" uri="{C3380CC4-5D6E-409C-BE32-E72D297353CC}">
              <c16:uniqueId val="{00000002-9A7D-42AB-B0A8-46D6FB654812}"/>
            </c:ext>
          </c:extLst>
        </c:ser>
        <c:ser>
          <c:idx val="3"/>
          <c:order val="3"/>
          <c:tx>
            <c:strRef>
              <c:f>Sheet1!$E$1</c:f>
              <c:strCache>
                <c:ptCount val="1"/>
                <c:pt idx="0">
                  <c:v>VIES (дни, медиана)</c:v>
                </c:pt>
              </c:strCache>
            </c:strRef>
          </c:tx>
          <c:spPr>
            <a:ln>
              <a:solidFill>
                <a:schemeClr val="accent2">
                  <a:lumMod val="60000"/>
                  <a:lumOff val="40000"/>
                </a:schemeClr>
              </a:solidFill>
            </a:ln>
          </c:spPr>
          <c:marker>
            <c:spPr>
              <a:solidFill>
                <a:schemeClr val="accent2">
                  <a:lumMod val="60000"/>
                  <a:lumOff val="40000"/>
                </a:schemeClr>
              </a:solidFill>
              <a:ln>
                <a:solidFill>
                  <a:schemeClr val="accent2">
                    <a:lumMod val="60000"/>
                    <a:lumOff val="40000"/>
                  </a:schemeClr>
                </a:solidFill>
              </a:ln>
            </c:spPr>
          </c:marker>
          <c:cat>
            <c:strRef>
              <c:f>Sheet1!$A$2:$A$4</c:f>
              <c:strCache>
                <c:ptCount val="3"/>
                <c:pt idx="0">
                  <c:v>2013 г.</c:v>
                </c:pt>
                <c:pt idx="1">
                  <c:v>2014 г.</c:v>
                </c:pt>
                <c:pt idx="2">
                  <c:v>2015 г.</c:v>
                </c:pt>
              </c:strCache>
            </c:strRef>
          </c:cat>
          <c:val>
            <c:numRef>
              <c:f>Sheet1!$E$2:$E$4</c:f>
              <c:numCache>
                <c:formatCode>General</c:formatCode>
                <c:ptCount val="3"/>
                <c:pt idx="0">
                  <c:v>2</c:v>
                </c:pt>
                <c:pt idx="1">
                  <c:v>2</c:v>
                </c:pt>
                <c:pt idx="2">
                  <c:v>1</c:v>
                </c:pt>
              </c:numCache>
            </c:numRef>
          </c:val>
          <c:smooth val="0"/>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6="http://schemas.microsoft.com/office/drawing/2014/chart" uri="{C3380CC4-5D6E-409C-BE32-E72D297353CC}">
              <c16:uniqueId val="{00000003-9A7D-42AB-B0A8-46D6FB654812}"/>
            </c:ext>
          </c:extLst>
        </c:ser>
        <c:dLbls>
          <c:showLegendKey val="0"/>
          <c:showVal val="0"/>
          <c:showCatName val="0"/>
          <c:showSerName val="0"/>
          <c:showPercent val="0"/>
          <c:showBubbleSize val="0"/>
        </c:dLbls>
        <c:marker val="1"/>
        <c:smooth val="0"/>
        <c:axId val="64091264"/>
        <c:axId val="64093184"/>
      </c:lineChart>
      <c:catAx>
        <c:axId val="64091264"/>
        <c:scaling>
          <c:orientation val="minMax"/>
        </c:scaling>
        <c:delete val="0"/>
        <c:axPos val="b"/>
        <c:numFmt formatCode="General" sourceLinked="1"/>
        <c:majorTickMark val="out"/>
        <c:minorTickMark val="none"/>
        <c:tickLblPos val="nextTo"/>
        <c:crossAx val="64093184"/>
        <c:crosses val="autoZero"/>
        <c:auto val="1"/>
        <c:lblAlgn val="ctr"/>
        <c:lblOffset val="100"/>
        <c:noMultiLvlLbl val="0"/>
      </c:catAx>
      <c:valAx>
        <c:axId val="64093184"/>
        <c:scaling>
          <c:orientation val="minMax"/>
        </c:scaling>
        <c:delete val="0"/>
        <c:axPos val="l"/>
        <c:majorGridlines/>
        <c:numFmt formatCode="General" sourceLinked="1"/>
        <c:majorTickMark val="out"/>
        <c:minorTickMark val="none"/>
        <c:tickLblPos val="nextTo"/>
        <c:crossAx val="64091264"/>
        <c:crosses val="autoZero"/>
        <c:crossBetween val="between"/>
      </c:valAx>
    </c:plotArea>
    <c:legend>
      <c:legendPos val="r"/>
      <c:layout>
        <c:manualLayout>
          <c:xMode val="edge"/>
          <c:yMode val="edge"/>
          <c:x val="0.78972557996357684"/>
          <c:y val="3.6506833197574445E-2"/>
          <c:w val="0.1964371573148472"/>
          <c:h val="0.93437932607979957"/>
        </c:manualLayout>
      </c:layout>
      <c:overlay val="0"/>
      <c:txPr>
        <a:bodyPr/>
        <a:lstStyle/>
        <a:p>
          <a:pPr>
            <a:defRPr sz="900">
              <a:latin typeface="Times New Roman" panose="02020603050405020304" pitchFamily="18" charset="0"/>
              <a:cs typeface="Times New Roman" panose="02020603050405020304" pitchFamily="18" charset="0"/>
            </a:defRPr>
          </a:pPr>
          <a:endParaRPr lang="en-US"/>
        </a:p>
      </c:txPr>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9166429477391017E-2"/>
          <c:y val="1.2461059190031164E-2"/>
          <c:w val="0.80197308777541232"/>
          <c:h val="0.95667468649752163"/>
        </c:manualLayout>
      </c:layout>
      <c:pieChart>
        <c:varyColors val="1"/>
        <c:ser>
          <c:idx val="0"/>
          <c:order val="0"/>
          <c:tx>
            <c:strRef>
              <c:f>Sheet1!$B$1</c:f>
              <c:strCache>
                <c:ptCount val="1"/>
                <c:pt idx="0">
                  <c:v>Column1</c:v>
                </c:pt>
              </c:strCache>
            </c:strRef>
          </c:tx>
          <c:explosion val="5"/>
          <c:dPt>
            <c:idx val="0"/>
            <c:bubble3D val="0"/>
            <c:spPr>
              <a:solidFill>
                <a:srgbClr val="4F81BD">
                  <a:lumMod val="60000"/>
                  <a:lumOff val="40000"/>
                </a:srgbClr>
              </a:solidFill>
            </c:spPr>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6="http://schemas.microsoft.com/office/drawing/2014/chart" uri="{C3380CC4-5D6E-409C-BE32-E72D297353CC}">
                <c16:uniqueId val="{00000001-9D75-4096-9E7F-8D0DA881B86C}"/>
              </c:ext>
            </c:extLst>
          </c:dPt>
          <c:dPt>
            <c:idx val="1"/>
            <c:bubble3D val="0"/>
            <c:spPr>
              <a:solidFill>
                <a:srgbClr val="4F81BD">
                  <a:lumMod val="75000"/>
                </a:srgbClr>
              </a:solidFill>
            </c:spPr>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6="http://schemas.microsoft.com/office/drawing/2014/chart" uri="{C3380CC4-5D6E-409C-BE32-E72D297353CC}">
                <c16:uniqueId val="{00000003-9D75-4096-9E7F-8D0DA881B86C}"/>
              </c:ext>
            </c:extLst>
          </c:dPt>
          <c:dPt>
            <c:idx val="2"/>
            <c:bubble3D val="0"/>
            <c:spPr>
              <a:solidFill>
                <a:srgbClr val="4F81BD">
                  <a:lumMod val="50000"/>
                </a:srgbClr>
              </a:solidFill>
            </c:spPr>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6="http://schemas.microsoft.com/office/drawing/2014/chart" uri="{C3380CC4-5D6E-409C-BE32-E72D297353CC}">
                <c16:uniqueId val="{00000005-9D75-4096-9E7F-8D0DA881B86C}"/>
              </c:ext>
            </c:extLst>
          </c:dPt>
          <c:dLbls>
            <c:dLbl>
              <c:idx val="0"/>
              <c:layout>
                <c:manualLayout>
                  <c:x val="-0.14997247739865838"/>
                  <c:y val="0.15420560747663561"/>
                </c:manualLayout>
              </c:layout>
              <c:showLegendKey val="0"/>
              <c:showVal val="0"/>
              <c:showCatName val="0"/>
              <c:showSerName val="0"/>
              <c:showPercent val="1"/>
              <c:showBubbleSize val="0"/>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6="http://schemas.microsoft.com/office/drawing/2014/chart" uri="{C3380CC4-5D6E-409C-BE32-E72D297353CC}">
                  <c16:uniqueId val="{00000001-9D75-4096-9E7F-8D0DA881B86C}"/>
                </c:ext>
                <c:ext xmlns:c15="http://schemas.microsoft.com/office/drawing/2012/chart" uri="{CE6537A1-D6FC-4f65-9D91-7224C49458BB}">
                  <c15:layout/>
                </c:ext>
              </c:extLst>
            </c:dLbl>
            <c:dLbl>
              <c:idx val="1"/>
              <c:layout>
                <c:manualLayout>
                  <c:x val="-8.5577974628171474E-2"/>
                  <c:y val="-0.17021806853582577"/>
                </c:manualLayout>
              </c:layout>
              <c:showLegendKey val="0"/>
              <c:showVal val="0"/>
              <c:showCatName val="0"/>
              <c:showSerName val="0"/>
              <c:showPercent val="1"/>
              <c:showBubbleSize val="0"/>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6="http://schemas.microsoft.com/office/drawing/2014/chart" uri="{C3380CC4-5D6E-409C-BE32-E72D297353CC}">
                  <c16:uniqueId val="{00000003-9D75-4096-9E7F-8D0DA881B86C}"/>
                </c:ext>
                <c:ext xmlns:c15="http://schemas.microsoft.com/office/drawing/2012/chart" uri="{CE6537A1-D6FC-4f65-9D91-7224C49458BB}">
                  <c15:layout/>
                </c:ext>
              </c:extLst>
            </c:dLbl>
            <c:dLbl>
              <c:idx val="2"/>
              <c:layout>
                <c:manualLayout>
                  <c:x val="0.12010936132983371"/>
                  <c:y val="0.1906051463193269"/>
                </c:manualLayout>
              </c:layout>
              <c:showLegendKey val="0"/>
              <c:showVal val="0"/>
              <c:showCatName val="0"/>
              <c:showSerName val="0"/>
              <c:showPercent val="1"/>
              <c:showBubbleSize val="0"/>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6="http://schemas.microsoft.com/office/drawing/2014/chart" uri="{C3380CC4-5D6E-409C-BE32-E72D297353CC}">
                  <c16:uniqueId val="{00000005-9D75-4096-9E7F-8D0DA881B86C}"/>
                </c:ext>
                <c:ext xmlns:c15="http://schemas.microsoft.com/office/drawing/2012/chart" uri="{CE6537A1-D6FC-4f65-9D91-7224C49458BB}">
                  <c15:layout/>
                </c:ext>
              </c:extLst>
            </c:dLbl>
            <c:spPr>
              <a:noFill/>
              <a:ln>
                <a:noFill/>
              </a:ln>
              <a:effectLst/>
            </c:spPr>
            <c:txPr>
              <a:bodyPr/>
              <a:lstStyle/>
              <a:p>
                <a:pPr>
                  <a:defRPr sz="900" b="1">
                    <a:solidFill>
                      <a:schemeClr val="bg1"/>
                    </a:solidFill>
                    <a:latin typeface="Times New Roman" panose="02020603050405020304" pitchFamily="18" charset="0"/>
                    <a:cs typeface="Times New Roman" panose="02020603050405020304" pitchFamily="18" charset="0"/>
                  </a:defRPr>
                </a:pPr>
                <a:endParaRPr lang="en-US"/>
              </a:p>
            </c:txPr>
            <c:showLegendKey val="0"/>
            <c:showVal val="0"/>
            <c:showCatName val="0"/>
            <c:showSerName val="0"/>
            <c:showPercent val="1"/>
            <c:showBubbleSize val="0"/>
            <c:showLeaderLines val="1"/>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5="http://schemas.microsoft.com/office/drawing/2012/chart" uri="{CE6537A1-D6FC-4f65-9D91-7224C49458BB}"/>
            </c:extLst>
          </c:dLbls>
          <c:cat>
            <c:strRef>
              <c:f>Sheet1!$A$2:$A$4</c:f>
              <c:strCache>
                <c:ptCount val="3"/>
                <c:pt idx="0">
                  <c:v>Available (optional)</c:v>
                </c:pt>
                <c:pt idx="1">
                  <c:v>Compulsory</c:v>
                </c:pt>
                <c:pt idx="2">
                  <c:v>Compulsory - for some taxpayers only</c:v>
                </c:pt>
              </c:strCache>
            </c:strRef>
          </c:cat>
          <c:val>
            <c:numRef>
              <c:f>Sheet1!$B$2:$B$4</c:f>
              <c:numCache>
                <c:formatCode>General</c:formatCode>
                <c:ptCount val="3"/>
                <c:pt idx="0">
                  <c:v>5</c:v>
                </c:pt>
                <c:pt idx="1">
                  <c:v>16</c:v>
                </c:pt>
                <c:pt idx="2">
                  <c:v>7</c:v>
                </c:pt>
              </c:numCache>
            </c:numRef>
          </c:val>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6="http://schemas.microsoft.com/office/drawing/2014/chart" uri="{C3380CC4-5D6E-409C-BE32-E72D297353CC}">
              <c16:uniqueId val="{00000006-9D75-4096-9E7F-8D0DA881B86C}"/>
            </c:ext>
          </c:extLst>
        </c:ser>
        <c:dLbls>
          <c:showLegendKey val="0"/>
          <c:showVal val="0"/>
          <c:showCatName val="0"/>
          <c:showSerName val="0"/>
          <c:showPercent val="0"/>
          <c:showBubbleSize val="0"/>
          <c:showLeaderLines val="1"/>
        </c:dLbls>
        <c:firstSliceAng val="0"/>
      </c:pieChart>
    </c:plotArea>
    <c:plotVisOnly val="1"/>
    <c:dispBlanksAs val="zero"/>
    <c:showDLblsOverMax val="0"/>
  </c:chart>
  <c:spPr>
    <a:ln>
      <a:noFill/>
    </a:ln>
  </c:sp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338652213655026"/>
          <c:y val="7.6311120832118245E-2"/>
          <c:w val="0.87661227041671574"/>
          <c:h val="0.78327014678720697"/>
        </c:manualLayout>
      </c:layout>
      <c:barChart>
        <c:barDir val="col"/>
        <c:grouping val="clustered"/>
        <c:varyColors val="0"/>
        <c:ser>
          <c:idx val="0"/>
          <c:order val="0"/>
          <c:tx>
            <c:strRef>
              <c:f>Sheet1!$B$1</c:f>
              <c:strCache>
                <c:ptCount val="1"/>
                <c:pt idx="0">
                  <c:v>e-Filing rate</c:v>
                </c:pt>
              </c:strCache>
            </c:strRef>
          </c:tx>
          <c:invertIfNegative val="0"/>
          <c:dPt>
            <c:idx val="0"/>
            <c:invertIfNegative val="0"/>
            <c:bubble3D val="0"/>
            <c:spPr>
              <a:solidFill>
                <a:srgbClr val="016AA3"/>
              </a:solidFill>
            </c:spPr>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6="http://schemas.microsoft.com/office/drawing/2014/chart" uri="{C3380CC4-5D6E-409C-BE32-E72D297353CC}">
                <c16:uniqueId val="{00000001-504B-4852-986B-6F937E070749}"/>
              </c:ext>
            </c:extLst>
          </c:dPt>
          <c:dPt>
            <c:idx val="1"/>
            <c:invertIfNegative val="0"/>
            <c:bubble3D val="0"/>
            <c:spPr>
              <a:solidFill>
                <a:srgbClr val="46B688"/>
              </a:solidFill>
            </c:spPr>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6="http://schemas.microsoft.com/office/drawing/2014/chart" uri="{C3380CC4-5D6E-409C-BE32-E72D297353CC}">
                <c16:uniqueId val="{00000003-504B-4852-986B-6F937E070749}"/>
              </c:ext>
            </c:extLst>
          </c:dPt>
          <c:dPt>
            <c:idx val="2"/>
            <c:invertIfNegative val="0"/>
            <c:bubble3D val="0"/>
            <c:spPr>
              <a:solidFill>
                <a:srgbClr val="FEA34C"/>
              </a:solidFill>
            </c:spPr>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6="http://schemas.microsoft.com/office/drawing/2014/chart" uri="{C3380CC4-5D6E-409C-BE32-E72D297353CC}">
                <c16:uniqueId val="{00000005-504B-4852-986B-6F937E070749}"/>
              </c:ext>
            </c:extLst>
          </c:dPt>
          <c:dLbls>
            <c:dLbl>
              <c:idx val="2"/>
              <c:layout>
                <c:manualLayout>
                  <c:x val="-5.1480051480051478E-3"/>
                  <c:y val="1.4814814814814815E-2"/>
                </c:manualLayout>
              </c:layout>
              <c:showLegendKey val="0"/>
              <c:showVal val="1"/>
              <c:showCatName val="0"/>
              <c:showSerName val="0"/>
              <c:showPercent val="0"/>
              <c:showBubbleSize val="0"/>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6="http://schemas.microsoft.com/office/drawing/2014/chart" uri="{C3380CC4-5D6E-409C-BE32-E72D297353CC}">
                  <c16:uniqueId val="{00000005-504B-4852-986B-6F937E070749}"/>
                </c:ext>
                <c:ext xmlns:c15="http://schemas.microsoft.com/office/drawing/2012/chart" uri="{CE6537A1-D6FC-4f65-9D91-7224C49458BB}">
                  <c15:layout/>
                </c:ext>
              </c:extLst>
            </c:dLbl>
            <c:spPr>
              <a:noFill/>
              <a:ln>
                <a:noFill/>
              </a:ln>
              <a:effectLst/>
            </c:spPr>
            <c:showLegendKey val="0"/>
            <c:showVal val="1"/>
            <c:showCatName val="0"/>
            <c:showSerName val="0"/>
            <c:showPercent val="0"/>
            <c:showBubbleSize val="0"/>
            <c:showLeaderLines val="0"/>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5="http://schemas.microsoft.com/office/drawing/2012/chart" uri="{CE6537A1-D6FC-4f65-9D91-7224C49458BB}">
                <c15:layout/>
                <c15:showLeaderLines val="0"/>
              </c:ext>
            </c:extLst>
          </c:dLbls>
          <c:cat>
            <c:strRef>
              <c:f>Sheet1!$A$2:$A$4</c:f>
              <c:strCache>
                <c:ptCount val="3"/>
                <c:pt idx="0">
                  <c:v>2013 г.</c:v>
                </c:pt>
                <c:pt idx="1">
                  <c:v>2014 г.</c:v>
                </c:pt>
                <c:pt idx="2">
                  <c:v>2015 г.</c:v>
                </c:pt>
              </c:strCache>
            </c:strRef>
          </c:cat>
          <c:val>
            <c:numRef>
              <c:f>Sheet1!$B$2:$B$4</c:f>
              <c:numCache>
                <c:formatCode>0.00%</c:formatCode>
                <c:ptCount val="3"/>
                <c:pt idx="0">
                  <c:v>0.83576790201155737</c:v>
                </c:pt>
                <c:pt idx="1">
                  <c:v>0.89226747858794853</c:v>
                </c:pt>
                <c:pt idx="2">
                  <c:v>0.94810255900430684</c:v>
                </c:pt>
              </c:numCache>
            </c:numRef>
          </c:val>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6="http://schemas.microsoft.com/office/drawing/2014/chart" uri="{C3380CC4-5D6E-409C-BE32-E72D297353CC}">
              <c16:uniqueId val="{00000006-504B-4852-986B-6F937E070749}"/>
            </c:ext>
          </c:extLst>
        </c:ser>
        <c:dLbls>
          <c:showLegendKey val="0"/>
          <c:showVal val="0"/>
          <c:showCatName val="0"/>
          <c:showSerName val="0"/>
          <c:showPercent val="0"/>
          <c:showBubbleSize val="0"/>
        </c:dLbls>
        <c:gapWidth val="100"/>
        <c:axId val="64477824"/>
        <c:axId val="64487808"/>
      </c:barChart>
      <c:catAx>
        <c:axId val="64477824"/>
        <c:scaling>
          <c:orientation val="minMax"/>
        </c:scaling>
        <c:delete val="0"/>
        <c:axPos val="b"/>
        <c:numFmt formatCode="General" sourceLinked="1"/>
        <c:majorTickMark val="out"/>
        <c:minorTickMark val="none"/>
        <c:tickLblPos val="nextTo"/>
        <c:crossAx val="64487808"/>
        <c:crosses val="autoZero"/>
        <c:auto val="1"/>
        <c:lblAlgn val="ctr"/>
        <c:lblOffset val="100"/>
        <c:noMultiLvlLbl val="0"/>
      </c:catAx>
      <c:valAx>
        <c:axId val="64487808"/>
        <c:scaling>
          <c:orientation val="minMax"/>
          <c:max val="1"/>
          <c:min val="0.70000000000000051"/>
        </c:scaling>
        <c:delete val="0"/>
        <c:axPos val="l"/>
        <c:majorGridlines/>
        <c:numFmt formatCode="0%" sourceLinked="0"/>
        <c:majorTickMark val="out"/>
        <c:minorTickMark val="none"/>
        <c:tickLblPos val="nextTo"/>
        <c:crossAx val="64477824"/>
        <c:crosses val="autoZero"/>
        <c:crossBetween val="between"/>
        <c:majorUnit val="0.1"/>
      </c:valAx>
    </c:plotArea>
    <c:plotVisOnly val="1"/>
    <c:dispBlanksAs val="gap"/>
    <c:showDLblsOverMax val="0"/>
  </c:chart>
  <c:spPr>
    <a:ln>
      <a:noFill/>
    </a:ln>
  </c:spPr>
  <c:txPr>
    <a:bodyPr/>
    <a:lstStyle/>
    <a:p>
      <a:pPr>
        <a:defRPr sz="800">
          <a:latin typeface="Times New Roman" panose="02020603050405020304" pitchFamily="18" charset="0"/>
          <a:cs typeface="Times New Roman" panose="02020603050405020304" pitchFamily="18" charset="0"/>
        </a:defRPr>
      </a:pPr>
      <a:endParaRPr lang="en-US"/>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5.5060117485314336E-2"/>
          <c:y val="0"/>
          <c:w val="0.77139249485706163"/>
          <c:h val="0.98987938646397555"/>
        </c:manualLayout>
      </c:layout>
      <c:pieChart>
        <c:varyColors val="1"/>
        <c:ser>
          <c:idx val="0"/>
          <c:order val="0"/>
          <c:tx>
            <c:strRef>
              <c:f>Sheet1!$B$1</c:f>
              <c:strCache>
                <c:ptCount val="1"/>
                <c:pt idx="0">
                  <c:v>VAT e-Payment</c:v>
                </c:pt>
              </c:strCache>
            </c:strRef>
          </c:tx>
          <c:spPr>
            <a:solidFill>
              <a:srgbClr val="4F81BD">
                <a:lumMod val="60000"/>
                <a:lumOff val="40000"/>
              </a:srgbClr>
            </a:solidFill>
          </c:spPr>
          <c:explosion val="5"/>
          <c:dPt>
            <c:idx val="0"/>
            <c:bubble3D val="0"/>
            <c:spPr>
              <a:solidFill>
                <a:srgbClr val="4F81BD">
                  <a:lumMod val="75000"/>
                </a:srgbClr>
              </a:solidFill>
            </c:spPr>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6="http://schemas.microsoft.com/office/drawing/2014/chart" uri="{C3380CC4-5D6E-409C-BE32-E72D297353CC}">
                <c16:uniqueId val="{00000001-DC77-4070-82E8-7276E24A58DB}"/>
              </c:ext>
            </c:extLst>
          </c:dPt>
          <c:dLbls>
            <c:dLbl>
              <c:idx val="0"/>
              <c:layout>
                <c:manualLayout>
                  <c:x val="-0.18445515206121632"/>
                  <c:y val="-9.6969696969697025E-2"/>
                </c:manualLayout>
              </c:layout>
              <c:showLegendKey val="0"/>
              <c:showVal val="0"/>
              <c:showCatName val="0"/>
              <c:showSerName val="0"/>
              <c:showPercent val="1"/>
              <c:showBubbleSize val="0"/>
            </c:dLbl>
            <c:dLbl>
              <c:idx val="1"/>
              <c:layout>
                <c:manualLayout>
                  <c:x val="0.13458586333424738"/>
                  <c:y val="0.16161616161616169"/>
                </c:manualLayout>
              </c:layout>
              <c:spPr>
                <a:noFill/>
                <a:ln>
                  <a:noFill/>
                </a:ln>
                <a:effectLst/>
              </c:spPr>
              <c:txPr>
                <a:bodyPr/>
                <a:lstStyle/>
                <a:p>
                  <a:pPr>
                    <a:defRPr sz="1000" b="1">
                      <a:solidFill>
                        <a:srgbClr val="002060"/>
                      </a:solidFill>
                      <a:latin typeface="Times New Roman" panose="02020603050405020304" pitchFamily="18" charset="0"/>
                      <a:cs typeface="Times New Roman" panose="02020603050405020304" pitchFamily="18" charset="0"/>
                    </a:defRPr>
                  </a:pPr>
                  <a:endParaRPr lang="en-US"/>
                </a:p>
              </c:txPr>
              <c:showLegendKey val="0"/>
              <c:showVal val="0"/>
              <c:showCatName val="0"/>
              <c:showSerName val="0"/>
              <c:showPercent val="1"/>
              <c:showBubbleSize val="0"/>
            </c:dLbl>
            <c:dLbl>
              <c:idx val="2"/>
              <c:layout>
                <c:manualLayout>
                  <c:x val="0.13735089148339227"/>
                  <c:y val="0.10171653543307094"/>
                </c:manualLayout>
              </c:layout>
              <c:spPr>
                <a:noFill/>
                <a:ln>
                  <a:noFill/>
                </a:ln>
                <a:effectLst/>
              </c:spPr>
              <c:txPr>
                <a:bodyPr/>
                <a:lstStyle/>
                <a:p>
                  <a:pPr>
                    <a:defRPr sz="1000" b="1">
                      <a:solidFill>
                        <a:schemeClr val="accent1">
                          <a:lumMod val="50000"/>
                        </a:schemeClr>
                      </a:solidFill>
                      <a:latin typeface="Times New Roman" panose="02020603050405020304" pitchFamily="18" charset="0"/>
                      <a:cs typeface="Times New Roman" panose="02020603050405020304" pitchFamily="18" charset="0"/>
                    </a:defRPr>
                  </a:pPr>
                  <a:endParaRPr lang="en-US"/>
                </a:p>
              </c:txPr>
              <c:showLegendKey val="0"/>
              <c:showVal val="0"/>
              <c:showCatName val="0"/>
              <c:showSerName val="0"/>
              <c:showPercent val="1"/>
              <c:showBubbleSize val="0"/>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6="http://schemas.microsoft.com/office/drawing/2014/chart" uri="{C3380CC4-5D6E-409C-BE32-E72D297353CC}">
                  <c16:uniqueId val="{00000005-DC77-4070-82E8-7276E24A58DB}"/>
                </c:ext>
                <c:ext xmlns:c15="http://schemas.microsoft.com/office/drawing/2012/chart" uri="{CE6537A1-D6FC-4f65-9D91-7224C49458BB}">
                  <c15:layout/>
                </c:ext>
              </c:extLst>
            </c:dLbl>
            <c:dLbl>
              <c:idx val="3"/>
              <c:spPr>
                <a:noFill/>
                <a:ln>
                  <a:noFill/>
                </a:ln>
                <a:effectLst/>
              </c:spPr>
              <c:txPr>
                <a:bodyPr/>
                <a:lstStyle/>
                <a:p>
                  <a:pPr>
                    <a:defRPr sz="1000" b="1">
                      <a:solidFill>
                        <a:schemeClr val="accent1">
                          <a:lumMod val="50000"/>
                        </a:schemeClr>
                      </a:solidFill>
                      <a:latin typeface="Times New Roman" panose="02020603050405020304" pitchFamily="18" charset="0"/>
                      <a:cs typeface="Times New Roman" panose="02020603050405020304" pitchFamily="18" charset="0"/>
                    </a:defRPr>
                  </a:pPr>
                  <a:endParaRPr lang="en-US"/>
                </a:p>
              </c:txPr>
              <c:showLegendKey val="0"/>
              <c:showVal val="0"/>
              <c:showCatName val="0"/>
              <c:showSerName val="0"/>
              <c:showPercent val="1"/>
              <c:showBubbleSize val="0"/>
            </c:dLbl>
            <c:spPr>
              <a:noFill/>
              <a:ln>
                <a:noFill/>
              </a:ln>
              <a:effectLst/>
            </c:spPr>
            <c:txPr>
              <a:bodyPr/>
              <a:lstStyle/>
              <a:p>
                <a:pPr>
                  <a:defRPr sz="1000" b="1">
                    <a:solidFill>
                      <a:schemeClr val="bg1"/>
                    </a:solidFill>
                    <a:latin typeface="Times New Roman" panose="02020603050405020304" pitchFamily="18" charset="0"/>
                    <a:cs typeface="Times New Roman" panose="02020603050405020304" pitchFamily="18" charset="0"/>
                  </a:defRPr>
                </a:pPr>
                <a:endParaRPr lang="en-US"/>
              </a:p>
            </c:txPr>
            <c:showLegendKey val="0"/>
            <c:showVal val="0"/>
            <c:showCatName val="0"/>
            <c:showSerName val="0"/>
            <c:showPercent val="1"/>
            <c:showBubbleSize val="0"/>
            <c:showLeaderLines val="1"/>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5="http://schemas.microsoft.com/office/drawing/2012/chart" uri="{CE6537A1-D6FC-4f65-9D91-7224C49458BB}">
                <c15:layout/>
              </c:ext>
            </c:extLst>
          </c:dLbls>
          <c:cat>
            <c:strRef>
              <c:f>Sheet1!$A$2:$A$3</c:f>
              <c:strCache>
                <c:ptCount val="2"/>
                <c:pt idx="0">
                  <c:v>Available</c:v>
                </c:pt>
                <c:pt idx="1">
                  <c:v>Not available</c:v>
                </c:pt>
              </c:strCache>
            </c:strRef>
          </c:cat>
          <c:val>
            <c:numRef>
              <c:f>Sheet1!$B$2:$B$3</c:f>
              <c:numCache>
                <c:formatCode>General</c:formatCode>
                <c:ptCount val="2"/>
                <c:pt idx="0">
                  <c:v>24</c:v>
                </c:pt>
                <c:pt idx="1">
                  <c:v>4</c:v>
                </c:pt>
              </c:numCache>
            </c:numRef>
          </c:val>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6="http://schemas.microsoft.com/office/drawing/2014/chart" uri="{C3380CC4-5D6E-409C-BE32-E72D297353CC}">
              <c16:uniqueId val="{00000006-DC77-4070-82E8-7276E24A58DB}"/>
            </c:ext>
          </c:extLst>
        </c:ser>
        <c:dLbls>
          <c:showLegendKey val="0"/>
          <c:showVal val="0"/>
          <c:showCatName val="0"/>
          <c:showSerName val="0"/>
          <c:showPercent val="0"/>
          <c:showBubbleSize val="0"/>
          <c:showLeaderLines val="1"/>
        </c:dLbls>
        <c:firstSliceAng val="0"/>
      </c:pieChart>
    </c:plotArea>
    <c:plotVisOnly val="1"/>
    <c:dispBlanksAs val="zero"/>
    <c:showDLblsOverMax val="0"/>
  </c:chart>
  <c:spPr>
    <a:ln>
      <a:noFill/>
    </a:ln>
  </c:sp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
          <c:y val="2.9946171982739446E-2"/>
          <c:w val="0.90015376865770558"/>
          <c:h val="0.97005382801726059"/>
        </c:manualLayout>
      </c:layout>
      <c:pieChart>
        <c:varyColors val="1"/>
        <c:ser>
          <c:idx val="0"/>
          <c:order val="0"/>
          <c:tx>
            <c:strRef>
              <c:f>Sheet1!$B$1</c:f>
              <c:strCache>
                <c:ptCount val="1"/>
                <c:pt idx="0">
                  <c:v>Late payments reminders</c:v>
                </c:pt>
              </c:strCache>
            </c:strRef>
          </c:tx>
          <c:explosion val="5"/>
          <c:dPt>
            <c:idx val="0"/>
            <c:bubble3D val="0"/>
            <c:spPr>
              <a:solidFill>
                <a:srgbClr val="C0504D">
                  <a:lumMod val="40000"/>
                  <a:lumOff val="60000"/>
                </a:srgbClr>
              </a:solidFill>
            </c:spPr>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6="http://schemas.microsoft.com/office/drawing/2014/chart" uri="{C3380CC4-5D6E-409C-BE32-E72D297353CC}">
                <c16:uniqueId val="{00000001-26C2-47C4-BF1C-34B84F840A5E}"/>
              </c:ext>
            </c:extLst>
          </c:dPt>
          <c:dPt>
            <c:idx val="1"/>
            <c:bubble3D val="0"/>
            <c:spPr>
              <a:solidFill>
                <a:srgbClr val="C0504D">
                  <a:lumMod val="75000"/>
                </a:srgbClr>
              </a:solidFill>
            </c:spPr>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6="http://schemas.microsoft.com/office/drawing/2014/chart" uri="{C3380CC4-5D6E-409C-BE32-E72D297353CC}">
                <c16:uniqueId val="{00000003-26C2-47C4-BF1C-34B84F840A5E}"/>
              </c:ext>
            </c:extLst>
          </c:dPt>
          <c:dPt>
            <c:idx val="2"/>
            <c:bubble3D val="0"/>
            <c:spPr>
              <a:solidFill>
                <a:srgbClr val="C0504D">
                  <a:lumMod val="50000"/>
                </a:srgbClr>
              </a:solidFill>
            </c:spPr>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6="http://schemas.microsoft.com/office/drawing/2014/chart" uri="{C3380CC4-5D6E-409C-BE32-E72D297353CC}">
                <c16:uniqueId val="{00000005-26C2-47C4-BF1C-34B84F840A5E}"/>
              </c:ext>
            </c:extLst>
          </c:dPt>
          <c:dPt>
            <c:idx val="3"/>
            <c:bubble3D val="0"/>
            <c:spPr>
              <a:solidFill>
                <a:schemeClr val="accent4"/>
              </a:solidFill>
            </c:spPr>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6="http://schemas.microsoft.com/office/drawing/2014/chart" uri="{C3380CC4-5D6E-409C-BE32-E72D297353CC}">
                <c16:uniqueId val="{00000007-26C2-47C4-BF1C-34B84F840A5E}"/>
              </c:ext>
            </c:extLst>
          </c:dPt>
          <c:dLbls>
            <c:dLbl>
              <c:idx val="0"/>
              <c:layout>
                <c:manualLayout>
                  <c:x val="-0.14810234927530616"/>
                  <c:y val="8.9290406746494022E-2"/>
                </c:manualLayout>
              </c:layout>
              <c:spPr>
                <a:noFill/>
                <a:ln>
                  <a:noFill/>
                </a:ln>
                <a:effectLst/>
              </c:spPr>
              <c:txPr>
                <a:bodyPr/>
                <a:lstStyle/>
                <a:p>
                  <a:pPr>
                    <a:defRPr sz="1000" b="1">
                      <a:solidFill>
                        <a:schemeClr val="accent2">
                          <a:lumMod val="50000"/>
                        </a:schemeClr>
                      </a:solidFill>
                    </a:defRPr>
                  </a:pPr>
                  <a:endParaRPr lang="en-US"/>
                </a:p>
              </c:txPr>
              <c:showLegendKey val="0"/>
              <c:showVal val="0"/>
              <c:showCatName val="0"/>
              <c:showSerName val="0"/>
              <c:showPercent val="1"/>
              <c:showBubbleSize val="0"/>
            </c:dLbl>
            <c:dLbl>
              <c:idx val="1"/>
              <c:layout>
                <c:manualLayout>
                  <c:x val="-0.10863711001642039"/>
                  <c:y val="9.8882107192222304E-2"/>
                </c:manualLayout>
              </c:layout>
              <c:tx>
                <c:rich>
                  <a:bodyPr/>
                  <a:lstStyle/>
                  <a:p>
                    <a:pPr>
                      <a:defRPr sz="1000" b="1">
                        <a:solidFill>
                          <a:schemeClr val="bg1"/>
                        </a:solidFill>
                      </a:defRPr>
                    </a:pPr>
                    <a:r>
                      <a:rPr lang="en-US" sz="1000">
                        <a:solidFill>
                          <a:schemeClr val="bg1"/>
                        </a:solidFill>
                      </a:rPr>
                      <a:t>7%</a:t>
                    </a:r>
                    <a:endParaRPr lang="en-US" sz="1000">
                      <a:solidFill>
                        <a:schemeClr val="accent1">
                          <a:lumMod val="50000"/>
                        </a:schemeClr>
                      </a:solidFill>
                    </a:endParaRPr>
                  </a:p>
                </c:rich>
              </c:tx>
              <c:spPr/>
              <c:showLegendKey val="0"/>
              <c:showVal val="0"/>
              <c:showCatName val="0"/>
              <c:showSerName val="0"/>
              <c:showPercent val="1"/>
              <c:showBubbleSize val="0"/>
            </c:dLbl>
            <c:dLbl>
              <c:idx val="2"/>
              <c:layout>
                <c:manualLayout>
                  <c:x val="0.18292722090294281"/>
                  <c:y val="-0.20771817585301844"/>
                </c:manualLayout>
              </c:layout>
              <c:tx>
                <c:rich>
                  <a:bodyPr/>
                  <a:lstStyle/>
                  <a:p>
                    <a:r>
                      <a:rPr lang="en-US" sz="1000">
                        <a:solidFill>
                          <a:schemeClr val="bg1"/>
                        </a:solidFill>
                      </a:rPr>
                      <a:t>79%</a:t>
                    </a:r>
                    <a:endParaRPr lang="en-US"/>
                  </a:p>
                </c:rich>
              </c:tx>
              <c:showLegendKey val="0"/>
              <c:showVal val="0"/>
              <c:showCatName val="0"/>
              <c:showSerName val="0"/>
              <c:showPercent val="1"/>
              <c:showBubbleSize val="0"/>
            </c:dLbl>
            <c:spPr>
              <a:noFill/>
              <a:ln>
                <a:noFill/>
              </a:ln>
              <a:effectLst/>
            </c:spPr>
            <c:txPr>
              <a:bodyPr/>
              <a:lstStyle/>
              <a:p>
                <a:pPr>
                  <a:defRPr sz="1000" b="1">
                    <a:solidFill>
                      <a:schemeClr val="bg1"/>
                    </a:solidFill>
                  </a:defRPr>
                </a:pPr>
                <a:endParaRPr lang="en-US"/>
              </a:p>
            </c:txPr>
            <c:showLegendKey val="0"/>
            <c:showVal val="0"/>
            <c:showCatName val="0"/>
            <c:showSerName val="0"/>
            <c:showPercent val="1"/>
            <c:showBubbleSize val="0"/>
            <c:showLeaderLines val="1"/>
            <c:extLs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5="http://schemas.microsoft.com/office/drawing/2012/chart" uri="{CE6537A1-D6FC-4f65-9D91-7224C49458BB}"/>
            </c:extLst>
          </c:dLbls>
          <c:cat>
            <c:strRef>
              <c:f>Sheet1!$A$2:$A$4</c:f>
              <c:strCache>
                <c:ptCount val="3"/>
                <c:pt idx="0">
                  <c:v>Not issued</c:v>
                </c:pt>
                <c:pt idx="1">
                  <c:v>Ad-hoc</c:v>
                </c:pt>
                <c:pt idx="2">
                  <c:v>Auto</c:v>
                </c:pt>
              </c:strCache>
            </c:strRef>
          </c:cat>
          <c:val>
            <c:numRef>
              <c:f>Sheet1!$B$2:$B$4</c:f>
              <c:numCache>
                <c:formatCode>General</c:formatCode>
                <c:ptCount val="3"/>
                <c:pt idx="0">
                  <c:v>4</c:v>
                </c:pt>
                <c:pt idx="1">
                  <c:v>2</c:v>
                </c:pt>
                <c:pt idx="2">
                  <c:v>22</c:v>
                </c:pt>
              </c:numCache>
            </c:numRef>
          </c:val>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6="http://schemas.microsoft.com/office/drawing/2014/chart" uri="{C3380CC4-5D6E-409C-BE32-E72D297353CC}">
              <c16:uniqueId val="{00000008-26C2-47C4-BF1C-34B84F840A5E}"/>
            </c:ext>
          </c:extLst>
        </c:ser>
        <c:dLbls>
          <c:showLegendKey val="0"/>
          <c:showVal val="0"/>
          <c:showCatName val="0"/>
          <c:showSerName val="0"/>
          <c:showPercent val="0"/>
          <c:showBubbleSize val="0"/>
          <c:showLeaderLines val="1"/>
        </c:dLbls>
        <c:firstSliceAng val="0"/>
      </c:pieChart>
    </c:plotArea>
    <c:plotVisOnly val="1"/>
    <c:dispBlanksAs val="zero"/>
    <c:showDLblsOverMax val="0"/>
  </c:chart>
  <c:spPr>
    <a:ln>
      <a:noFill/>
    </a:ln>
  </c:sp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EDC044-145E-47FD-A25E-1DF16DF3A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12</Pages>
  <Words>7263</Words>
  <Characters>41691</Characters>
  <Application>Microsoft Office Word</Application>
  <DocSecurity>0</DocSecurity>
  <Lines>969</Lines>
  <Paragraphs>319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48635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25</cp:revision>
  <dcterms:created xsi:type="dcterms:W3CDTF">2017-11-16T08:34:00Z</dcterms:created>
  <dcterms:modified xsi:type="dcterms:W3CDTF">2017-12-14T07:45:00Z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