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theme/themeOverride3.xml" ContentType="application/vnd.openxmlformats-officedocument.themeOverride+xml"/>
  <Override PartName="/word/charts/chart7.xml" ContentType="application/vnd.openxmlformats-officedocument.drawingml.chart+xml"/>
  <Override PartName="/word/theme/themeOverride4.xml" ContentType="application/vnd.openxmlformats-officedocument.themeOverride+xml"/>
  <Override PartName="/word/charts/chart8.xml" ContentType="application/vnd.openxmlformats-officedocument.drawingml.chart+xml"/>
  <Override PartName="/word/theme/themeOverride5.xml" ContentType="application/vnd.openxmlformats-officedocument.themeOverride+xml"/>
  <Override PartName="/word/charts/chart9.xml" ContentType="application/vnd.openxmlformats-officedocument.drawingml.chart+xml"/>
  <Override PartName="/word/theme/themeOverride6.xml" ContentType="application/vnd.openxmlformats-officedocument.themeOverride+xml"/>
  <Override PartName="/word/charts/chart10.xml" ContentType="application/vnd.openxmlformats-officedocument.drawingml.chart+xml"/>
  <Override PartName="/word/theme/themeOverride7.xml" ContentType="application/vnd.openxmlformats-officedocument.themeOverride+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alt="B00BADE9-7A84-4909-9DA2-A4F1E34D9ED3" style="width:450.25pt;height:320.25pt">
            <v:imagedata r:id="rId9" o:title=""/>
          </v:shape>
        </w:pict>
      </w:r>
    </w:p>
    <w:bookmarkEnd w:id="0"/>
    <w:p>
      <w:pPr>
        <w:rPr>
          <w:rFonts w:ascii="Times New Roman" w:hAnsi="Times New Roman" w:cs="Times New Roman"/>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bookmarkStart w:id="1" w:name="_GoBack" w:displacedByCustomXml="next"/>
    <w:bookmarkEnd w:id="1" w:displacedByCustomXml="next"/>
    <w:bookmarkStart w:id="2" w:name="_Toc370292089" w:displacedByCustomXml="next"/>
    <w:sdt>
      <w:sdtPr>
        <w:rPr>
          <w:b w:val="0"/>
          <w:noProof/>
          <w:sz w:val="24"/>
        </w:rPr>
        <w:id w:val="1949033669"/>
        <w:docPartObj>
          <w:docPartGallery w:val="Table of Contents"/>
          <w:docPartUnique/>
        </w:docPartObj>
      </w:sdtPr>
      <w:sdtEndPr>
        <w:rPr>
          <w:bCs/>
        </w:rPr>
      </w:sdtEndPr>
      <w:sdtContent>
        <w:p>
          <w:pPr>
            <w:pStyle w:val="TOCHeading"/>
            <w:rPr>
              <w:noProof/>
            </w:rPr>
          </w:pPr>
          <w:r>
            <w:rPr>
              <w:noProof/>
            </w:rPr>
            <w:t>Table of Contents</w:t>
          </w:r>
        </w:p>
        <w:p>
          <w:pPr>
            <w:pStyle w:val="TOC1"/>
            <w:rPr>
              <w:rFonts w:asciiTheme="minorHAnsi" w:eastAsiaTheme="minorEastAsia" w:hAnsiTheme="minorHAnsi" w:cstheme="minorBidi"/>
              <w:noProof/>
              <w:sz w:val="22"/>
              <w:szCs w:val="22"/>
            </w:rPr>
          </w:pPr>
          <w:r>
            <w:rPr>
              <w:noProof/>
            </w:rPr>
            <w:fldChar w:fldCharType="begin"/>
          </w:r>
          <w:r>
            <w:rPr>
              <w:noProof/>
            </w:rPr>
            <w:instrText xml:space="preserve"> TOC \o "1-3" \h \z \u </w:instrText>
          </w:r>
          <w:r>
            <w:rPr>
              <w:noProof/>
            </w:rPr>
            <w:fldChar w:fldCharType="separate"/>
          </w:r>
          <w:hyperlink w:anchor="_Toc498335640" w:history="1">
            <w:r>
              <w:rPr>
                <w:rStyle w:val="Hyperlink"/>
                <w:noProof/>
              </w:rPr>
              <w:t>1.</w:t>
            </w:r>
            <w:r>
              <w:rPr>
                <w:rFonts w:asciiTheme="minorHAnsi" w:eastAsiaTheme="minorEastAsia" w:hAnsiTheme="minorHAnsi" w:cstheme="minorBidi"/>
                <w:noProof/>
                <w:sz w:val="22"/>
                <w:szCs w:val="22"/>
              </w:rPr>
              <w:tab/>
            </w:r>
            <w:r>
              <w:rPr>
                <w:rStyle w:val="Hyperlink"/>
                <w:noProof/>
              </w:rPr>
              <w:t>Introduction</w:t>
            </w:r>
            <w:r>
              <w:rPr>
                <w:noProof/>
                <w:webHidden/>
              </w:rPr>
              <w:tab/>
            </w:r>
            <w:r>
              <w:rPr>
                <w:noProof/>
                <w:webHidden/>
              </w:rPr>
              <w:fldChar w:fldCharType="begin"/>
            </w:r>
            <w:r>
              <w:rPr>
                <w:noProof/>
                <w:webHidden/>
              </w:rPr>
              <w:instrText xml:space="preserve"> PAGEREF _Toc498335640 \h </w:instrText>
            </w:r>
            <w:r>
              <w:rPr>
                <w:noProof/>
                <w:webHidden/>
              </w:rPr>
            </w:r>
            <w:r>
              <w:rPr>
                <w:noProof/>
                <w:webHidden/>
              </w:rPr>
              <w:fldChar w:fldCharType="separate"/>
            </w:r>
            <w:r>
              <w:rPr>
                <w:noProof/>
                <w:webHidden/>
              </w:rPr>
              <w:t>3</w:t>
            </w:r>
            <w:r>
              <w:rPr>
                <w:noProof/>
                <w:webHidden/>
              </w:rPr>
              <w:fldChar w:fldCharType="end"/>
            </w:r>
          </w:hyperlink>
        </w:p>
        <w:p>
          <w:pPr>
            <w:pStyle w:val="TOC1"/>
            <w:rPr>
              <w:rFonts w:asciiTheme="minorHAnsi" w:eastAsiaTheme="minorEastAsia" w:hAnsiTheme="minorHAnsi" w:cstheme="minorBidi"/>
              <w:noProof/>
              <w:sz w:val="22"/>
              <w:szCs w:val="22"/>
            </w:rPr>
          </w:pPr>
          <w:hyperlink w:anchor="_Toc498335641" w:history="1">
            <w:r>
              <w:rPr>
                <w:rStyle w:val="Hyperlink"/>
                <w:noProof/>
              </w:rPr>
              <w:t>2.</w:t>
            </w:r>
            <w:r>
              <w:rPr>
                <w:rFonts w:asciiTheme="minorHAnsi" w:eastAsiaTheme="minorEastAsia" w:hAnsiTheme="minorHAnsi" w:cstheme="minorBidi"/>
                <w:noProof/>
                <w:sz w:val="22"/>
                <w:szCs w:val="22"/>
              </w:rPr>
              <w:tab/>
            </w:r>
            <w:r>
              <w:rPr>
                <w:rStyle w:val="Hyperlink"/>
                <w:noProof/>
              </w:rPr>
              <w:t>The importance of VAT as an EU revenue</w:t>
            </w:r>
            <w:r>
              <w:rPr>
                <w:noProof/>
                <w:webHidden/>
              </w:rPr>
              <w:tab/>
            </w:r>
            <w:r>
              <w:rPr>
                <w:noProof/>
                <w:webHidden/>
              </w:rPr>
              <w:fldChar w:fldCharType="begin"/>
            </w:r>
            <w:r>
              <w:rPr>
                <w:noProof/>
                <w:webHidden/>
              </w:rPr>
              <w:instrText xml:space="preserve"> PAGEREF _Toc498335641 \h </w:instrText>
            </w:r>
            <w:r>
              <w:rPr>
                <w:noProof/>
                <w:webHidden/>
              </w:rPr>
            </w:r>
            <w:r>
              <w:rPr>
                <w:noProof/>
                <w:webHidden/>
              </w:rPr>
              <w:fldChar w:fldCharType="separate"/>
            </w:r>
            <w:r>
              <w:rPr>
                <w:noProof/>
                <w:webHidden/>
              </w:rPr>
              <w:t>3</w:t>
            </w:r>
            <w:r>
              <w:rPr>
                <w:noProof/>
                <w:webHidden/>
              </w:rPr>
              <w:fldChar w:fldCharType="end"/>
            </w:r>
          </w:hyperlink>
        </w:p>
        <w:p>
          <w:pPr>
            <w:pStyle w:val="TOC1"/>
            <w:rPr>
              <w:rFonts w:asciiTheme="minorHAnsi" w:eastAsiaTheme="minorEastAsia" w:hAnsiTheme="minorHAnsi" w:cstheme="minorBidi"/>
              <w:noProof/>
              <w:sz w:val="22"/>
              <w:szCs w:val="22"/>
            </w:rPr>
          </w:pPr>
          <w:hyperlink w:anchor="_Toc498335642" w:history="1">
            <w:r>
              <w:rPr>
                <w:rStyle w:val="Hyperlink"/>
                <w:noProof/>
              </w:rPr>
              <w:t>3.</w:t>
            </w:r>
            <w:r>
              <w:rPr>
                <w:rFonts w:asciiTheme="minorHAnsi" w:eastAsiaTheme="minorEastAsia" w:hAnsiTheme="minorHAnsi" w:cstheme="minorBidi"/>
                <w:noProof/>
                <w:sz w:val="22"/>
                <w:szCs w:val="22"/>
              </w:rPr>
              <w:tab/>
            </w:r>
            <w:r>
              <w:rPr>
                <w:rStyle w:val="Hyperlink"/>
                <w:noProof/>
              </w:rPr>
              <w:t>Main findings</w:t>
            </w:r>
            <w:r>
              <w:rPr>
                <w:noProof/>
                <w:webHidden/>
              </w:rPr>
              <w:tab/>
            </w:r>
            <w:r>
              <w:rPr>
                <w:noProof/>
                <w:webHidden/>
              </w:rPr>
              <w:fldChar w:fldCharType="begin"/>
            </w:r>
            <w:r>
              <w:rPr>
                <w:noProof/>
                <w:webHidden/>
              </w:rPr>
              <w:instrText xml:space="preserve"> PAGEREF _Toc498335642 \h </w:instrText>
            </w:r>
            <w:r>
              <w:rPr>
                <w:noProof/>
                <w:webHidden/>
              </w:rPr>
            </w:r>
            <w:r>
              <w:rPr>
                <w:noProof/>
                <w:webHidden/>
              </w:rPr>
              <w:fldChar w:fldCharType="separate"/>
            </w:r>
            <w:r>
              <w:rPr>
                <w:noProof/>
                <w:webHidden/>
              </w:rPr>
              <w:t>4</w:t>
            </w:r>
            <w:r>
              <w:rPr>
                <w:noProof/>
                <w:webHidden/>
              </w:rPr>
              <w:fldChar w:fldCharType="end"/>
            </w:r>
          </w:hyperlink>
        </w:p>
        <w:p>
          <w:pPr>
            <w:pStyle w:val="TOC2"/>
            <w:rPr>
              <w:rFonts w:asciiTheme="minorHAnsi" w:eastAsiaTheme="minorEastAsia" w:hAnsiTheme="minorHAnsi" w:cstheme="minorBidi"/>
              <w:noProof/>
              <w:sz w:val="22"/>
              <w:szCs w:val="22"/>
            </w:rPr>
          </w:pPr>
          <w:hyperlink w:anchor="_Toc498335643" w:history="1">
            <w:r>
              <w:rPr>
                <w:rStyle w:val="Hyperlink"/>
                <w:noProof/>
              </w:rPr>
              <w:t>3.1.</w:t>
            </w:r>
            <w:r>
              <w:rPr>
                <w:rFonts w:asciiTheme="minorHAnsi" w:eastAsiaTheme="minorEastAsia" w:hAnsiTheme="minorHAnsi" w:cstheme="minorBidi"/>
                <w:noProof/>
                <w:sz w:val="22"/>
                <w:szCs w:val="22"/>
              </w:rPr>
              <w:tab/>
            </w:r>
            <w:r>
              <w:rPr>
                <w:rStyle w:val="Hyperlink"/>
                <w:noProof/>
              </w:rPr>
              <w:t>General remarks</w:t>
            </w:r>
            <w:r>
              <w:rPr>
                <w:noProof/>
                <w:webHidden/>
              </w:rPr>
              <w:tab/>
            </w:r>
            <w:r>
              <w:rPr>
                <w:noProof/>
                <w:webHidden/>
              </w:rPr>
              <w:fldChar w:fldCharType="begin"/>
            </w:r>
            <w:r>
              <w:rPr>
                <w:noProof/>
                <w:webHidden/>
              </w:rPr>
              <w:instrText xml:space="preserve"> PAGEREF _Toc498335643 \h </w:instrText>
            </w:r>
            <w:r>
              <w:rPr>
                <w:noProof/>
                <w:webHidden/>
              </w:rPr>
            </w:r>
            <w:r>
              <w:rPr>
                <w:noProof/>
                <w:webHidden/>
              </w:rPr>
              <w:fldChar w:fldCharType="separate"/>
            </w:r>
            <w:r>
              <w:rPr>
                <w:noProof/>
                <w:webHidden/>
              </w:rPr>
              <w:t>4</w:t>
            </w:r>
            <w:r>
              <w:rPr>
                <w:noProof/>
                <w:webHidden/>
              </w:rPr>
              <w:fldChar w:fldCharType="end"/>
            </w:r>
          </w:hyperlink>
        </w:p>
        <w:p>
          <w:pPr>
            <w:pStyle w:val="TOC3"/>
            <w:rPr>
              <w:rFonts w:asciiTheme="minorHAnsi" w:eastAsiaTheme="minorEastAsia" w:hAnsiTheme="minorHAnsi" w:cstheme="minorBidi"/>
              <w:noProof/>
              <w:sz w:val="22"/>
              <w:szCs w:val="22"/>
            </w:rPr>
          </w:pPr>
          <w:hyperlink w:anchor="_Toc498335644" w:history="1">
            <w:r>
              <w:rPr>
                <w:rStyle w:val="Hyperlink"/>
                <w:noProof/>
              </w:rPr>
              <w:t>3.1.1.</w:t>
            </w:r>
            <w:r>
              <w:rPr>
                <w:rFonts w:asciiTheme="minorHAnsi" w:eastAsiaTheme="minorEastAsia" w:hAnsiTheme="minorHAnsi" w:cstheme="minorBidi"/>
                <w:noProof/>
                <w:sz w:val="22"/>
                <w:szCs w:val="22"/>
              </w:rPr>
              <w:tab/>
            </w:r>
            <w:r>
              <w:rPr>
                <w:rStyle w:val="Hyperlink"/>
                <w:rFonts w:eastAsiaTheme="minorHAnsi"/>
                <w:noProof/>
                <w:lang w:eastAsia="ja-JP"/>
              </w:rPr>
              <w:t>Tax administration organisation</w:t>
            </w:r>
            <w:r>
              <w:rPr>
                <w:noProof/>
                <w:webHidden/>
              </w:rPr>
              <w:tab/>
            </w:r>
            <w:r>
              <w:rPr>
                <w:noProof/>
                <w:webHidden/>
              </w:rPr>
              <w:fldChar w:fldCharType="begin"/>
            </w:r>
            <w:r>
              <w:rPr>
                <w:noProof/>
                <w:webHidden/>
              </w:rPr>
              <w:instrText xml:space="preserve"> PAGEREF _Toc498335644 \h </w:instrText>
            </w:r>
            <w:r>
              <w:rPr>
                <w:noProof/>
                <w:webHidden/>
              </w:rPr>
            </w:r>
            <w:r>
              <w:rPr>
                <w:noProof/>
                <w:webHidden/>
              </w:rPr>
              <w:fldChar w:fldCharType="separate"/>
            </w:r>
            <w:r>
              <w:rPr>
                <w:noProof/>
                <w:webHidden/>
              </w:rPr>
              <w:t>4</w:t>
            </w:r>
            <w:r>
              <w:rPr>
                <w:noProof/>
                <w:webHidden/>
              </w:rPr>
              <w:fldChar w:fldCharType="end"/>
            </w:r>
          </w:hyperlink>
        </w:p>
        <w:p>
          <w:pPr>
            <w:pStyle w:val="TOC3"/>
            <w:rPr>
              <w:rFonts w:asciiTheme="minorHAnsi" w:eastAsiaTheme="minorEastAsia" w:hAnsiTheme="minorHAnsi" w:cstheme="minorBidi"/>
              <w:noProof/>
              <w:sz w:val="22"/>
              <w:szCs w:val="22"/>
            </w:rPr>
          </w:pPr>
          <w:hyperlink w:anchor="_Toc498335645" w:history="1">
            <w:r>
              <w:rPr>
                <w:rStyle w:val="Hyperlink"/>
                <w:noProof/>
              </w:rPr>
              <w:t>3.1.2.</w:t>
            </w:r>
            <w:r>
              <w:rPr>
                <w:rFonts w:asciiTheme="minorHAnsi" w:eastAsiaTheme="minorEastAsia" w:hAnsiTheme="minorHAnsi" w:cstheme="minorBidi"/>
                <w:noProof/>
                <w:sz w:val="22"/>
                <w:szCs w:val="22"/>
              </w:rPr>
              <w:tab/>
            </w:r>
            <w:r>
              <w:rPr>
                <w:rStyle w:val="Hyperlink"/>
                <w:noProof/>
              </w:rPr>
              <w:t>Digitalisation and Information Technology (IT)</w:t>
            </w:r>
            <w:r>
              <w:rPr>
                <w:noProof/>
                <w:webHidden/>
              </w:rPr>
              <w:tab/>
            </w:r>
            <w:r>
              <w:rPr>
                <w:noProof/>
                <w:webHidden/>
              </w:rPr>
              <w:fldChar w:fldCharType="begin"/>
            </w:r>
            <w:r>
              <w:rPr>
                <w:noProof/>
                <w:webHidden/>
              </w:rPr>
              <w:instrText xml:space="preserve"> PAGEREF _Toc498335645 \h </w:instrText>
            </w:r>
            <w:r>
              <w:rPr>
                <w:noProof/>
                <w:webHidden/>
              </w:rPr>
            </w:r>
            <w:r>
              <w:rPr>
                <w:noProof/>
                <w:webHidden/>
              </w:rPr>
              <w:fldChar w:fldCharType="separate"/>
            </w:r>
            <w:r>
              <w:rPr>
                <w:noProof/>
                <w:webHidden/>
              </w:rPr>
              <w:t>5</w:t>
            </w:r>
            <w:r>
              <w:rPr>
                <w:noProof/>
                <w:webHidden/>
              </w:rPr>
              <w:fldChar w:fldCharType="end"/>
            </w:r>
          </w:hyperlink>
        </w:p>
        <w:p>
          <w:pPr>
            <w:pStyle w:val="TOC3"/>
            <w:rPr>
              <w:rFonts w:asciiTheme="minorHAnsi" w:eastAsiaTheme="minorEastAsia" w:hAnsiTheme="minorHAnsi" w:cstheme="minorBidi"/>
              <w:noProof/>
              <w:sz w:val="22"/>
              <w:szCs w:val="22"/>
            </w:rPr>
          </w:pPr>
          <w:hyperlink w:anchor="_Toc498335646" w:history="1">
            <w:r>
              <w:rPr>
                <w:rStyle w:val="Hyperlink"/>
                <w:noProof/>
              </w:rPr>
              <w:t>3.1.3.</w:t>
            </w:r>
            <w:r>
              <w:rPr>
                <w:rFonts w:asciiTheme="minorHAnsi" w:eastAsiaTheme="minorEastAsia" w:hAnsiTheme="minorHAnsi" w:cstheme="minorBidi"/>
                <w:noProof/>
                <w:sz w:val="22"/>
                <w:szCs w:val="22"/>
              </w:rPr>
              <w:tab/>
            </w:r>
            <w:r>
              <w:rPr>
                <w:rStyle w:val="Hyperlink"/>
                <w:noProof/>
              </w:rPr>
              <w:t>Analysing the VAT Gap</w:t>
            </w:r>
            <w:r>
              <w:rPr>
                <w:noProof/>
                <w:webHidden/>
              </w:rPr>
              <w:tab/>
            </w:r>
            <w:r>
              <w:rPr>
                <w:noProof/>
                <w:webHidden/>
              </w:rPr>
              <w:fldChar w:fldCharType="begin"/>
            </w:r>
            <w:r>
              <w:rPr>
                <w:noProof/>
                <w:webHidden/>
              </w:rPr>
              <w:instrText xml:space="preserve"> PAGEREF _Toc498335646 \h </w:instrText>
            </w:r>
            <w:r>
              <w:rPr>
                <w:noProof/>
                <w:webHidden/>
              </w:rPr>
            </w:r>
            <w:r>
              <w:rPr>
                <w:noProof/>
                <w:webHidden/>
              </w:rPr>
              <w:fldChar w:fldCharType="separate"/>
            </w:r>
            <w:r>
              <w:rPr>
                <w:noProof/>
                <w:webHidden/>
              </w:rPr>
              <w:t>6</w:t>
            </w:r>
            <w:r>
              <w:rPr>
                <w:noProof/>
                <w:webHidden/>
              </w:rPr>
              <w:fldChar w:fldCharType="end"/>
            </w:r>
          </w:hyperlink>
        </w:p>
        <w:p>
          <w:pPr>
            <w:pStyle w:val="TOC2"/>
            <w:rPr>
              <w:rFonts w:asciiTheme="minorHAnsi" w:eastAsiaTheme="minorEastAsia" w:hAnsiTheme="minorHAnsi" w:cstheme="minorBidi"/>
              <w:noProof/>
              <w:sz w:val="22"/>
              <w:szCs w:val="22"/>
            </w:rPr>
          </w:pPr>
          <w:hyperlink w:anchor="_Toc498335647" w:history="1">
            <w:r>
              <w:rPr>
                <w:rStyle w:val="Hyperlink"/>
                <w:noProof/>
              </w:rPr>
              <w:t>3.2.</w:t>
            </w:r>
            <w:r>
              <w:rPr>
                <w:rFonts w:asciiTheme="minorHAnsi" w:eastAsiaTheme="minorEastAsia" w:hAnsiTheme="minorHAnsi" w:cstheme="minorBidi"/>
                <w:noProof/>
                <w:sz w:val="22"/>
                <w:szCs w:val="22"/>
              </w:rPr>
              <w:tab/>
            </w:r>
            <w:r>
              <w:rPr>
                <w:rStyle w:val="Hyperlink"/>
                <w:noProof/>
              </w:rPr>
              <w:t>VAT registration and de-registration</w:t>
            </w:r>
            <w:r>
              <w:rPr>
                <w:noProof/>
                <w:webHidden/>
              </w:rPr>
              <w:tab/>
            </w:r>
            <w:r>
              <w:rPr>
                <w:noProof/>
                <w:webHidden/>
              </w:rPr>
              <w:fldChar w:fldCharType="begin"/>
            </w:r>
            <w:r>
              <w:rPr>
                <w:noProof/>
                <w:webHidden/>
              </w:rPr>
              <w:instrText xml:space="preserve"> PAGEREF _Toc498335647 \h </w:instrText>
            </w:r>
            <w:r>
              <w:rPr>
                <w:noProof/>
                <w:webHidden/>
              </w:rPr>
            </w:r>
            <w:r>
              <w:rPr>
                <w:noProof/>
                <w:webHidden/>
              </w:rPr>
              <w:fldChar w:fldCharType="separate"/>
            </w:r>
            <w:r>
              <w:rPr>
                <w:noProof/>
                <w:webHidden/>
              </w:rPr>
              <w:t>7</w:t>
            </w:r>
            <w:r>
              <w:rPr>
                <w:noProof/>
                <w:webHidden/>
              </w:rPr>
              <w:fldChar w:fldCharType="end"/>
            </w:r>
          </w:hyperlink>
        </w:p>
        <w:p>
          <w:pPr>
            <w:pStyle w:val="TOC3"/>
            <w:rPr>
              <w:rFonts w:asciiTheme="minorHAnsi" w:eastAsiaTheme="minorEastAsia" w:hAnsiTheme="minorHAnsi" w:cstheme="minorBidi"/>
              <w:noProof/>
              <w:sz w:val="22"/>
              <w:szCs w:val="22"/>
            </w:rPr>
          </w:pPr>
          <w:hyperlink w:anchor="_Toc498335648" w:history="1">
            <w:r>
              <w:rPr>
                <w:rStyle w:val="Hyperlink"/>
                <w:noProof/>
              </w:rPr>
              <w:t>3.2.1.</w:t>
            </w:r>
            <w:r>
              <w:rPr>
                <w:rFonts w:asciiTheme="minorHAnsi" w:eastAsiaTheme="minorEastAsia" w:hAnsiTheme="minorHAnsi" w:cstheme="minorBidi"/>
                <w:noProof/>
                <w:sz w:val="22"/>
                <w:szCs w:val="22"/>
              </w:rPr>
              <w:tab/>
            </w:r>
            <w:r>
              <w:rPr>
                <w:rStyle w:val="Hyperlink"/>
                <w:noProof/>
              </w:rPr>
              <w:t>VAT registration</w:t>
            </w:r>
            <w:r>
              <w:rPr>
                <w:noProof/>
                <w:webHidden/>
              </w:rPr>
              <w:tab/>
            </w:r>
            <w:r>
              <w:rPr>
                <w:noProof/>
                <w:webHidden/>
              </w:rPr>
              <w:fldChar w:fldCharType="begin"/>
            </w:r>
            <w:r>
              <w:rPr>
                <w:noProof/>
                <w:webHidden/>
              </w:rPr>
              <w:instrText xml:space="preserve"> PAGEREF _Toc498335648 \h </w:instrText>
            </w:r>
            <w:r>
              <w:rPr>
                <w:noProof/>
                <w:webHidden/>
              </w:rPr>
            </w:r>
            <w:r>
              <w:rPr>
                <w:noProof/>
                <w:webHidden/>
              </w:rPr>
              <w:fldChar w:fldCharType="separate"/>
            </w:r>
            <w:r>
              <w:rPr>
                <w:noProof/>
                <w:webHidden/>
              </w:rPr>
              <w:t>7</w:t>
            </w:r>
            <w:r>
              <w:rPr>
                <w:noProof/>
                <w:webHidden/>
              </w:rPr>
              <w:fldChar w:fldCharType="end"/>
            </w:r>
          </w:hyperlink>
        </w:p>
        <w:p>
          <w:pPr>
            <w:pStyle w:val="TOC3"/>
            <w:rPr>
              <w:rFonts w:asciiTheme="minorHAnsi" w:eastAsiaTheme="minorEastAsia" w:hAnsiTheme="minorHAnsi" w:cstheme="minorBidi"/>
              <w:noProof/>
              <w:sz w:val="22"/>
              <w:szCs w:val="22"/>
            </w:rPr>
          </w:pPr>
          <w:hyperlink w:anchor="_Toc498335649" w:history="1">
            <w:r>
              <w:rPr>
                <w:rStyle w:val="Hyperlink"/>
                <w:noProof/>
              </w:rPr>
              <w:t>3.2.2.</w:t>
            </w:r>
            <w:r>
              <w:rPr>
                <w:rFonts w:asciiTheme="minorHAnsi" w:eastAsiaTheme="minorEastAsia" w:hAnsiTheme="minorHAnsi" w:cstheme="minorBidi"/>
                <w:noProof/>
                <w:sz w:val="22"/>
                <w:szCs w:val="22"/>
              </w:rPr>
              <w:tab/>
            </w:r>
            <w:r>
              <w:rPr>
                <w:rStyle w:val="Hyperlink"/>
                <w:noProof/>
              </w:rPr>
              <w:t>VAT de-registration</w:t>
            </w:r>
            <w:r>
              <w:rPr>
                <w:noProof/>
                <w:webHidden/>
              </w:rPr>
              <w:tab/>
            </w:r>
            <w:r>
              <w:rPr>
                <w:noProof/>
                <w:webHidden/>
              </w:rPr>
              <w:fldChar w:fldCharType="begin"/>
            </w:r>
            <w:r>
              <w:rPr>
                <w:noProof/>
                <w:webHidden/>
              </w:rPr>
              <w:instrText xml:space="preserve"> PAGEREF _Toc498335649 \h </w:instrText>
            </w:r>
            <w:r>
              <w:rPr>
                <w:noProof/>
                <w:webHidden/>
              </w:rPr>
            </w:r>
            <w:r>
              <w:rPr>
                <w:noProof/>
                <w:webHidden/>
              </w:rPr>
              <w:fldChar w:fldCharType="separate"/>
            </w:r>
            <w:r>
              <w:rPr>
                <w:noProof/>
                <w:webHidden/>
              </w:rPr>
              <w:t>10</w:t>
            </w:r>
            <w:r>
              <w:rPr>
                <w:noProof/>
                <w:webHidden/>
              </w:rPr>
              <w:fldChar w:fldCharType="end"/>
            </w:r>
          </w:hyperlink>
        </w:p>
        <w:p>
          <w:pPr>
            <w:pStyle w:val="TOC3"/>
            <w:rPr>
              <w:rFonts w:asciiTheme="minorHAnsi" w:eastAsiaTheme="minorEastAsia" w:hAnsiTheme="minorHAnsi" w:cstheme="minorBidi"/>
              <w:noProof/>
              <w:sz w:val="22"/>
              <w:szCs w:val="22"/>
            </w:rPr>
          </w:pPr>
          <w:hyperlink w:anchor="_Toc498335650" w:history="1">
            <w:r>
              <w:rPr>
                <w:rStyle w:val="Hyperlink"/>
                <w:noProof/>
              </w:rPr>
              <w:t>3.2.3.</w:t>
            </w:r>
            <w:r>
              <w:rPr>
                <w:rFonts w:asciiTheme="minorHAnsi" w:eastAsiaTheme="minorEastAsia" w:hAnsiTheme="minorHAnsi" w:cstheme="minorBidi"/>
                <w:noProof/>
                <w:sz w:val="22"/>
                <w:szCs w:val="22"/>
              </w:rPr>
              <w:tab/>
            </w:r>
            <w:r>
              <w:rPr>
                <w:rStyle w:val="Hyperlink"/>
                <w:noProof/>
              </w:rPr>
              <w:t>VIES registration and de-registration</w:t>
            </w:r>
            <w:r>
              <w:rPr>
                <w:noProof/>
                <w:webHidden/>
              </w:rPr>
              <w:tab/>
            </w:r>
            <w:r>
              <w:rPr>
                <w:noProof/>
                <w:webHidden/>
              </w:rPr>
              <w:fldChar w:fldCharType="begin"/>
            </w:r>
            <w:r>
              <w:rPr>
                <w:noProof/>
                <w:webHidden/>
              </w:rPr>
              <w:instrText xml:space="preserve"> PAGEREF _Toc498335650 \h </w:instrText>
            </w:r>
            <w:r>
              <w:rPr>
                <w:noProof/>
                <w:webHidden/>
              </w:rPr>
            </w:r>
            <w:r>
              <w:rPr>
                <w:noProof/>
                <w:webHidden/>
              </w:rPr>
              <w:fldChar w:fldCharType="separate"/>
            </w:r>
            <w:r>
              <w:rPr>
                <w:noProof/>
                <w:webHidden/>
              </w:rPr>
              <w:t>10</w:t>
            </w:r>
            <w:r>
              <w:rPr>
                <w:noProof/>
                <w:webHidden/>
              </w:rPr>
              <w:fldChar w:fldCharType="end"/>
            </w:r>
          </w:hyperlink>
        </w:p>
        <w:p>
          <w:pPr>
            <w:pStyle w:val="TOC2"/>
            <w:rPr>
              <w:rFonts w:asciiTheme="minorHAnsi" w:eastAsiaTheme="minorEastAsia" w:hAnsiTheme="minorHAnsi" w:cstheme="minorBidi"/>
              <w:noProof/>
              <w:sz w:val="22"/>
              <w:szCs w:val="22"/>
            </w:rPr>
          </w:pPr>
          <w:hyperlink w:anchor="_Toc498335651" w:history="1">
            <w:r>
              <w:rPr>
                <w:rStyle w:val="Hyperlink"/>
                <w:noProof/>
                <w:lang w:eastAsia="ja-JP"/>
              </w:rPr>
              <w:t>3.3.</w:t>
            </w:r>
            <w:r>
              <w:rPr>
                <w:rFonts w:asciiTheme="minorHAnsi" w:eastAsiaTheme="minorEastAsia" w:hAnsiTheme="minorHAnsi" w:cstheme="minorBidi"/>
                <w:noProof/>
                <w:sz w:val="22"/>
                <w:szCs w:val="22"/>
              </w:rPr>
              <w:tab/>
            </w:r>
            <w:r>
              <w:rPr>
                <w:rStyle w:val="Hyperlink"/>
                <w:noProof/>
              </w:rPr>
              <w:t>VAT filing and payment</w:t>
            </w:r>
            <w:r>
              <w:rPr>
                <w:noProof/>
                <w:webHidden/>
              </w:rPr>
              <w:tab/>
            </w:r>
            <w:r>
              <w:rPr>
                <w:noProof/>
                <w:webHidden/>
              </w:rPr>
              <w:fldChar w:fldCharType="begin"/>
            </w:r>
            <w:r>
              <w:rPr>
                <w:noProof/>
                <w:webHidden/>
              </w:rPr>
              <w:instrText xml:space="preserve"> PAGEREF _Toc498335651 \h </w:instrText>
            </w:r>
            <w:r>
              <w:rPr>
                <w:noProof/>
                <w:webHidden/>
              </w:rPr>
            </w:r>
            <w:r>
              <w:rPr>
                <w:noProof/>
                <w:webHidden/>
              </w:rPr>
              <w:fldChar w:fldCharType="separate"/>
            </w:r>
            <w:r>
              <w:rPr>
                <w:noProof/>
                <w:webHidden/>
              </w:rPr>
              <w:t>11</w:t>
            </w:r>
            <w:r>
              <w:rPr>
                <w:noProof/>
                <w:webHidden/>
              </w:rPr>
              <w:fldChar w:fldCharType="end"/>
            </w:r>
          </w:hyperlink>
        </w:p>
        <w:p>
          <w:pPr>
            <w:pStyle w:val="TOC3"/>
            <w:rPr>
              <w:rFonts w:asciiTheme="minorHAnsi" w:eastAsiaTheme="minorEastAsia" w:hAnsiTheme="minorHAnsi" w:cstheme="minorBidi"/>
              <w:noProof/>
              <w:sz w:val="22"/>
              <w:szCs w:val="22"/>
            </w:rPr>
          </w:pPr>
          <w:hyperlink w:anchor="_Toc498335652" w:history="1">
            <w:r>
              <w:rPr>
                <w:rStyle w:val="Hyperlink"/>
                <w:noProof/>
              </w:rPr>
              <w:t>3.3.1.</w:t>
            </w:r>
            <w:r>
              <w:rPr>
                <w:rFonts w:asciiTheme="minorHAnsi" w:eastAsiaTheme="minorEastAsia" w:hAnsiTheme="minorHAnsi" w:cstheme="minorBidi"/>
                <w:noProof/>
                <w:sz w:val="22"/>
                <w:szCs w:val="22"/>
              </w:rPr>
              <w:tab/>
            </w:r>
            <w:r>
              <w:rPr>
                <w:rStyle w:val="Hyperlink"/>
                <w:noProof/>
              </w:rPr>
              <w:t>Filing</w:t>
            </w:r>
            <w:r>
              <w:rPr>
                <w:noProof/>
                <w:webHidden/>
              </w:rPr>
              <w:tab/>
            </w:r>
            <w:r>
              <w:rPr>
                <w:noProof/>
                <w:webHidden/>
              </w:rPr>
              <w:fldChar w:fldCharType="begin"/>
            </w:r>
            <w:r>
              <w:rPr>
                <w:noProof/>
                <w:webHidden/>
              </w:rPr>
              <w:instrText xml:space="preserve"> PAGEREF _Toc498335652 \h </w:instrText>
            </w:r>
            <w:r>
              <w:rPr>
                <w:noProof/>
                <w:webHidden/>
              </w:rPr>
            </w:r>
            <w:r>
              <w:rPr>
                <w:noProof/>
                <w:webHidden/>
              </w:rPr>
              <w:fldChar w:fldCharType="separate"/>
            </w:r>
            <w:r>
              <w:rPr>
                <w:noProof/>
                <w:webHidden/>
              </w:rPr>
              <w:t>11</w:t>
            </w:r>
            <w:r>
              <w:rPr>
                <w:noProof/>
                <w:webHidden/>
              </w:rPr>
              <w:fldChar w:fldCharType="end"/>
            </w:r>
          </w:hyperlink>
        </w:p>
        <w:p>
          <w:pPr>
            <w:pStyle w:val="TOC3"/>
            <w:rPr>
              <w:rFonts w:asciiTheme="minorHAnsi" w:eastAsiaTheme="minorEastAsia" w:hAnsiTheme="minorHAnsi" w:cstheme="minorBidi"/>
              <w:noProof/>
              <w:sz w:val="22"/>
              <w:szCs w:val="22"/>
            </w:rPr>
          </w:pPr>
          <w:hyperlink w:anchor="_Toc498335653" w:history="1">
            <w:r>
              <w:rPr>
                <w:rStyle w:val="Hyperlink"/>
                <w:noProof/>
              </w:rPr>
              <w:t>3.3.2.</w:t>
            </w:r>
            <w:r>
              <w:rPr>
                <w:rFonts w:asciiTheme="minorHAnsi" w:eastAsiaTheme="minorEastAsia" w:hAnsiTheme="minorHAnsi" w:cstheme="minorBidi"/>
                <w:noProof/>
                <w:sz w:val="22"/>
                <w:szCs w:val="22"/>
              </w:rPr>
              <w:tab/>
            </w:r>
            <w:r>
              <w:rPr>
                <w:rStyle w:val="Hyperlink"/>
                <w:noProof/>
              </w:rPr>
              <w:t>Payment</w:t>
            </w:r>
            <w:r>
              <w:rPr>
                <w:noProof/>
                <w:webHidden/>
              </w:rPr>
              <w:tab/>
            </w:r>
            <w:r>
              <w:rPr>
                <w:noProof/>
                <w:webHidden/>
              </w:rPr>
              <w:fldChar w:fldCharType="begin"/>
            </w:r>
            <w:r>
              <w:rPr>
                <w:noProof/>
                <w:webHidden/>
              </w:rPr>
              <w:instrText xml:space="preserve"> PAGEREF _Toc498335653 \h </w:instrText>
            </w:r>
            <w:r>
              <w:rPr>
                <w:noProof/>
                <w:webHidden/>
              </w:rPr>
            </w:r>
            <w:r>
              <w:rPr>
                <w:noProof/>
                <w:webHidden/>
              </w:rPr>
              <w:fldChar w:fldCharType="separate"/>
            </w:r>
            <w:r>
              <w:rPr>
                <w:noProof/>
                <w:webHidden/>
              </w:rPr>
              <w:t>12</w:t>
            </w:r>
            <w:r>
              <w:rPr>
                <w:noProof/>
                <w:webHidden/>
              </w:rPr>
              <w:fldChar w:fldCharType="end"/>
            </w:r>
          </w:hyperlink>
        </w:p>
        <w:p>
          <w:pPr>
            <w:pStyle w:val="TOC2"/>
            <w:rPr>
              <w:rFonts w:asciiTheme="minorHAnsi" w:eastAsiaTheme="minorEastAsia" w:hAnsiTheme="minorHAnsi" w:cstheme="minorBidi"/>
              <w:noProof/>
              <w:sz w:val="22"/>
              <w:szCs w:val="22"/>
            </w:rPr>
          </w:pPr>
          <w:hyperlink w:anchor="_Toc498335654" w:history="1">
            <w:r>
              <w:rPr>
                <w:rStyle w:val="Hyperlink"/>
                <w:noProof/>
              </w:rPr>
              <w:t>3.4.</w:t>
            </w:r>
            <w:r>
              <w:rPr>
                <w:rFonts w:asciiTheme="minorHAnsi" w:eastAsiaTheme="minorEastAsia" w:hAnsiTheme="minorHAnsi" w:cstheme="minorBidi"/>
                <w:noProof/>
                <w:sz w:val="22"/>
                <w:szCs w:val="22"/>
              </w:rPr>
              <w:tab/>
            </w:r>
            <w:r>
              <w:rPr>
                <w:rStyle w:val="Hyperlink"/>
                <w:noProof/>
              </w:rPr>
              <w:t>Recovery of VAT debts</w:t>
            </w:r>
            <w:r>
              <w:rPr>
                <w:noProof/>
                <w:webHidden/>
              </w:rPr>
              <w:tab/>
            </w:r>
            <w:r>
              <w:rPr>
                <w:noProof/>
                <w:webHidden/>
              </w:rPr>
              <w:fldChar w:fldCharType="begin"/>
            </w:r>
            <w:r>
              <w:rPr>
                <w:noProof/>
                <w:webHidden/>
              </w:rPr>
              <w:instrText xml:space="preserve"> PAGEREF _Toc498335654 \h </w:instrText>
            </w:r>
            <w:r>
              <w:rPr>
                <w:noProof/>
                <w:webHidden/>
              </w:rPr>
            </w:r>
            <w:r>
              <w:rPr>
                <w:noProof/>
                <w:webHidden/>
              </w:rPr>
              <w:fldChar w:fldCharType="separate"/>
            </w:r>
            <w:r>
              <w:rPr>
                <w:noProof/>
                <w:webHidden/>
              </w:rPr>
              <w:t>13</w:t>
            </w:r>
            <w:r>
              <w:rPr>
                <w:noProof/>
                <w:webHidden/>
              </w:rPr>
              <w:fldChar w:fldCharType="end"/>
            </w:r>
          </w:hyperlink>
        </w:p>
        <w:p>
          <w:pPr>
            <w:pStyle w:val="TOC2"/>
            <w:rPr>
              <w:rFonts w:asciiTheme="minorHAnsi" w:eastAsiaTheme="minorEastAsia" w:hAnsiTheme="minorHAnsi" w:cstheme="minorBidi"/>
              <w:noProof/>
              <w:sz w:val="22"/>
              <w:szCs w:val="22"/>
            </w:rPr>
          </w:pPr>
          <w:hyperlink w:anchor="_Toc498335655" w:history="1">
            <w:r>
              <w:rPr>
                <w:rStyle w:val="Hyperlink"/>
                <w:noProof/>
              </w:rPr>
              <w:t>3.5.</w:t>
            </w:r>
            <w:r>
              <w:rPr>
                <w:rFonts w:asciiTheme="minorHAnsi" w:eastAsiaTheme="minorEastAsia" w:hAnsiTheme="minorHAnsi" w:cstheme="minorBidi"/>
                <w:noProof/>
                <w:sz w:val="22"/>
                <w:szCs w:val="22"/>
              </w:rPr>
              <w:tab/>
            </w:r>
            <w:r>
              <w:rPr>
                <w:rStyle w:val="Hyperlink"/>
                <w:noProof/>
              </w:rPr>
              <w:t>VAT refund</w:t>
            </w:r>
            <w:r>
              <w:rPr>
                <w:noProof/>
                <w:webHidden/>
              </w:rPr>
              <w:tab/>
            </w:r>
            <w:r>
              <w:rPr>
                <w:noProof/>
                <w:webHidden/>
              </w:rPr>
              <w:fldChar w:fldCharType="begin"/>
            </w:r>
            <w:r>
              <w:rPr>
                <w:noProof/>
                <w:webHidden/>
              </w:rPr>
              <w:instrText xml:space="preserve"> PAGEREF _Toc498335655 \h </w:instrText>
            </w:r>
            <w:r>
              <w:rPr>
                <w:noProof/>
                <w:webHidden/>
              </w:rPr>
            </w:r>
            <w:r>
              <w:rPr>
                <w:noProof/>
                <w:webHidden/>
              </w:rPr>
              <w:fldChar w:fldCharType="separate"/>
            </w:r>
            <w:r>
              <w:rPr>
                <w:noProof/>
                <w:webHidden/>
              </w:rPr>
              <w:t>14</w:t>
            </w:r>
            <w:r>
              <w:rPr>
                <w:noProof/>
                <w:webHidden/>
              </w:rPr>
              <w:fldChar w:fldCharType="end"/>
            </w:r>
          </w:hyperlink>
        </w:p>
        <w:p>
          <w:pPr>
            <w:pStyle w:val="TOC2"/>
            <w:rPr>
              <w:rFonts w:asciiTheme="minorHAnsi" w:eastAsiaTheme="minorEastAsia" w:hAnsiTheme="minorHAnsi" w:cstheme="minorBidi"/>
              <w:noProof/>
              <w:sz w:val="22"/>
              <w:szCs w:val="22"/>
            </w:rPr>
          </w:pPr>
          <w:hyperlink w:anchor="_Toc498335656" w:history="1">
            <w:r>
              <w:rPr>
                <w:rStyle w:val="Hyperlink"/>
                <w:noProof/>
              </w:rPr>
              <w:t>3.6.</w:t>
            </w:r>
            <w:r>
              <w:rPr>
                <w:rFonts w:asciiTheme="minorHAnsi" w:eastAsiaTheme="minorEastAsia" w:hAnsiTheme="minorHAnsi" w:cstheme="minorBidi"/>
                <w:noProof/>
                <w:sz w:val="22"/>
                <w:szCs w:val="22"/>
              </w:rPr>
              <w:tab/>
            </w:r>
            <w:r>
              <w:rPr>
                <w:rStyle w:val="Hyperlink"/>
                <w:noProof/>
              </w:rPr>
              <w:t>VAT audit and investigation</w:t>
            </w:r>
            <w:r>
              <w:rPr>
                <w:noProof/>
                <w:webHidden/>
              </w:rPr>
              <w:tab/>
            </w:r>
            <w:r>
              <w:rPr>
                <w:noProof/>
                <w:webHidden/>
              </w:rPr>
              <w:fldChar w:fldCharType="begin"/>
            </w:r>
            <w:r>
              <w:rPr>
                <w:noProof/>
                <w:webHidden/>
              </w:rPr>
              <w:instrText xml:space="preserve"> PAGEREF _Toc498335656 \h </w:instrText>
            </w:r>
            <w:r>
              <w:rPr>
                <w:noProof/>
                <w:webHidden/>
              </w:rPr>
            </w:r>
            <w:r>
              <w:rPr>
                <w:noProof/>
                <w:webHidden/>
              </w:rPr>
              <w:fldChar w:fldCharType="separate"/>
            </w:r>
            <w:r>
              <w:rPr>
                <w:noProof/>
                <w:webHidden/>
              </w:rPr>
              <w:t>15</w:t>
            </w:r>
            <w:r>
              <w:rPr>
                <w:noProof/>
                <w:webHidden/>
              </w:rPr>
              <w:fldChar w:fldCharType="end"/>
            </w:r>
          </w:hyperlink>
        </w:p>
        <w:p>
          <w:pPr>
            <w:pStyle w:val="TOC1"/>
            <w:rPr>
              <w:rFonts w:asciiTheme="minorHAnsi" w:eastAsiaTheme="minorEastAsia" w:hAnsiTheme="minorHAnsi" w:cstheme="minorBidi"/>
              <w:noProof/>
              <w:sz w:val="22"/>
              <w:szCs w:val="22"/>
            </w:rPr>
          </w:pPr>
          <w:hyperlink w:anchor="_Toc498335657" w:history="1">
            <w:r>
              <w:rPr>
                <w:rStyle w:val="Hyperlink"/>
                <w:noProof/>
              </w:rPr>
              <w:t>4.</w:t>
            </w:r>
            <w:r>
              <w:rPr>
                <w:rFonts w:asciiTheme="minorHAnsi" w:eastAsiaTheme="minorEastAsia" w:hAnsiTheme="minorHAnsi" w:cstheme="minorBidi"/>
                <w:noProof/>
                <w:sz w:val="22"/>
                <w:szCs w:val="22"/>
              </w:rPr>
              <w:tab/>
            </w:r>
            <w:r>
              <w:rPr>
                <w:rStyle w:val="Hyperlink"/>
                <w:noProof/>
              </w:rPr>
              <w:t>Implementation of recommendations from the Seventh Article 12 Report and Staff Working Document</w:t>
            </w:r>
            <w:r>
              <w:rPr>
                <w:noProof/>
                <w:webHidden/>
              </w:rPr>
              <w:tab/>
            </w:r>
            <w:r>
              <w:rPr>
                <w:noProof/>
                <w:webHidden/>
              </w:rPr>
              <w:fldChar w:fldCharType="begin"/>
            </w:r>
            <w:r>
              <w:rPr>
                <w:noProof/>
                <w:webHidden/>
              </w:rPr>
              <w:instrText xml:space="preserve"> PAGEREF _Toc498335657 \h </w:instrText>
            </w:r>
            <w:r>
              <w:rPr>
                <w:noProof/>
                <w:webHidden/>
              </w:rPr>
            </w:r>
            <w:r>
              <w:rPr>
                <w:noProof/>
                <w:webHidden/>
              </w:rPr>
              <w:fldChar w:fldCharType="separate"/>
            </w:r>
            <w:r>
              <w:rPr>
                <w:noProof/>
                <w:webHidden/>
              </w:rPr>
              <w:t>16</w:t>
            </w:r>
            <w:r>
              <w:rPr>
                <w:noProof/>
                <w:webHidden/>
              </w:rPr>
              <w:fldChar w:fldCharType="end"/>
            </w:r>
          </w:hyperlink>
        </w:p>
        <w:p>
          <w:pPr>
            <w:pStyle w:val="TOC1"/>
            <w:rPr>
              <w:rFonts w:asciiTheme="minorHAnsi" w:eastAsiaTheme="minorEastAsia" w:hAnsiTheme="minorHAnsi" w:cstheme="minorBidi"/>
              <w:noProof/>
              <w:sz w:val="22"/>
              <w:szCs w:val="22"/>
            </w:rPr>
          </w:pPr>
          <w:hyperlink w:anchor="_Toc498335658" w:history="1">
            <w:r>
              <w:rPr>
                <w:rStyle w:val="Hyperlink"/>
                <w:noProof/>
              </w:rPr>
              <w:t>5.</w:t>
            </w:r>
            <w:r>
              <w:rPr>
                <w:rFonts w:asciiTheme="minorHAnsi" w:eastAsiaTheme="minorEastAsia" w:hAnsiTheme="minorHAnsi" w:cstheme="minorBidi"/>
                <w:noProof/>
                <w:sz w:val="22"/>
                <w:szCs w:val="22"/>
              </w:rPr>
              <w:tab/>
            </w:r>
            <w:r>
              <w:rPr>
                <w:rStyle w:val="Hyperlink"/>
                <w:noProof/>
              </w:rPr>
              <w:t>Towards better Tax (VAT) Administration by cooperation</w:t>
            </w:r>
            <w:r>
              <w:rPr>
                <w:noProof/>
                <w:webHidden/>
              </w:rPr>
              <w:tab/>
            </w:r>
            <w:r>
              <w:rPr>
                <w:noProof/>
                <w:webHidden/>
              </w:rPr>
              <w:fldChar w:fldCharType="begin"/>
            </w:r>
            <w:r>
              <w:rPr>
                <w:noProof/>
                <w:webHidden/>
              </w:rPr>
              <w:instrText xml:space="preserve"> PAGEREF _Toc498335658 \h </w:instrText>
            </w:r>
            <w:r>
              <w:rPr>
                <w:noProof/>
                <w:webHidden/>
              </w:rPr>
            </w:r>
            <w:r>
              <w:rPr>
                <w:noProof/>
                <w:webHidden/>
              </w:rPr>
              <w:fldChar w:fldCharType="separate"/>
            </w:r>
            <w:r>
              <w:rPr>
                <w:noProof/>
                <w:webHidden/>
              </w:rPr>
              <w:t>18</w:t>
            </w:r>
            <w:r>
              <w:rPr>
                <w:noProof/>
                <w:webHidden/>
              </w:rPr>
              <w:fldChar w:fldCharType="end"/>
            </w:r>
          </w:hyperlink>
        </w:p>
        <w:p>
          <w:pPr>
            <w:pStyle w:val="TOC1"/>
            <w:rPr>
              <w:noProof/>
            </w:rPr>
          </w:pPr>
          <w:r>
            <w:rPr>
              <w:b/>
              <w:bCs/>
              <w:noProof/>
            </w:rPr>
            <w:fldChar w:fldCharType="end"/>
          </w:r>
        </w:p>
      </w:sdtContent>
    </w:sdt>
    <w:p>
      <w:pPr>
        <w:pStyle w:val="TableofFigures"/>
        <w:tabs>
          <w:tab w:val="right" w:leader="dot" w:pos="9061"/>
        </w:tabs>
        <w:rPr>
          <w:noProof/>
        </w:rPr>
      </w:pPr>
    </w:p>
    <w:p>
      <w:pPr>
        <w:spacing w:after="0"/>
        <w:rPr>
          <w:rFonts w:ascii="Times New Roman" w:hAnsi="Times New Roman" w:cs="Times New Roman"/>
          <w:noProof/>
        </w:rPr>
      </w:pPr>
      <w:r>
        <w:rPr>
          <w:rFonts w:ascii="Times New Roman" w:hAnsi="Times New Roman" w:cs="Times New Roman"/>
          <w:noProof/>
        </w:rPr>
        <w:br w:type="page"/>
      </w:r>
    </w:p>
    <w:p>
      <w:pPr>
        <w:pStyle w:val="TableofFigures"/>
        <w:tabs>
          <w:tab w:val="right" w:leader="dot" w:pos="9061"/>
        </w:tabs>
        <w:jc w:val="center"/>
        <w:rPr>
          <w:b/>
          <w:noProof/>
          <w:sz w:val="28"/>
          <w:szCs w:val="28"/>
        </w:rPr>
      </w:pPr>
      <w:r>
        <w:rPr>
          <w:b/>
          <w:noProof/>
          <w:sz w:val="28"/>
          <w:szCs w:val="28"/>
        </w:rPr>
        <w:lastRenderedPageBreak/>
        <w:t>List of Tables</w:t>
      </w:r>
    </w:p>
    <w:p>
      <w:pPr>
        <w:pStyle w:val="TableofFigures"/>
        <w:tabs>
          <w:tab w:val="right" w:leader="dot" w:pos="9061"/>
        </w:tabs>
        <w:rPr>
          <w:rFonts w:asciiTheme="minorHAnsi" w:eastAsiaTheme="minorEastAsia" w:hAnsiTheme="minorHAnsi" w:cstheme="minorBidi"/>
          <w:noProof/>
          <w:sz w:val="22"/>
          <w:szCs w:val="22"/>
        </w:rPr>
      </w:pPr>
      <w:r>
        <w:rPr>
          <w:b/>
          <w:noProof/>
        </w:rPr>
        <w:fldChar w:fldCharType="begin"/>
      </w:r>
      <w:r>
        <w:rPr>
          <w:b/>
          <w:noProof/>
        </w:rPr>
        <w:instrText xml:space="preserve"> TOC \h \z \c "Table" </w:instrText>
      </w:r>
      <w:r>
        <w:rPr>
          <w:b/>
          <w:noProof/>
        </w:rPr>
        <w:fldChar w:fldCharType="separate"/>
      </w:r>
      <w:hyperlink w:anchor="_Toc498335659" w:history="1">
        <w:r>
          <w:rPr>
            <w:rStyle w:val="Hyperlink"/>
            <w:i/>
            <w:noProof/>
          </w:rPr>
          <w:t>Table 1</w:t>
        </w:r>
        <w:r>
          <w:rPr>
            <w:rStyle w:val="Hyperlink"/>
            <w:i/>
            <w:noProof/>
            <w:lang w:eastAsia="ja-JP"/>
          </w:rPr>
          <w:t>: EU’s total revenue from the VAT own resource in the reporting period (2013-2015)</w:t>
        </w:r>
        <w:r>
          <w:rPr>
            <w:noProof/>
            <w:webHidden/>
          </w:rPr>
          <w:tab/>
        </w:r>
        <w:r>
          <w:rPr>
            <w:noProof/>
            <w:webHidden/>
          </w:rPr>
          <w:fldChar w:fldCharType="begin"/>
        </w:r>
        <w:r>
          <w:rPr>
            <w:noProof/>
            <w:webHidden/>
          </w:rPr>
          <w:instrText xml:space="preserve"> PAGEREF _Toc498335659 \h </w:instrText>
        </w:r>
        <w:r>
          <w:rPr>
            <w:noProof/>
            <w:webHidden/>
          </w:rPr>
        </w:r>
        <w:r>
          <w:rPr>
            <w:noProof/>
            <w:webHidden/>
          </w:rPr>
          <w:fldChar w:fldCharType="separate"/>
        </w:r>
        <w:r>
          <w:rPr>
            <w:noProof/>
            <w:webHidden/>
          </w:rPr>
          <w:t>3</w:t>
        </w:r>
        <w:r>
          <w:rPr>
            <w:noProof/>
            <w:webHidden/>
          </w:rPr>
          <w:fldChar w:fldCharType="end"/>
        </w:r>
      </w:hyperlink>
    </w:p>
    <w:p>
      <w:pPr>
        <w:pStyle w:val="TableofFigures"/>
        <w:tabs>
          <w:tab w:val="right" w:leader="dot" w:pos="9061"/>
        </w:tabs>
        <w:rPr>
          <w:rFonts w:asciiTheme="minorHAnsi" w:eastAsiaTheme="minorEastAsia" w:hAnsiTheme="minorHAnsi" w:cstheme="minorBidi"/>
          <w:noProof/>
          <w:sz w:val="22"/>
          <w:szCs w:val="22"/>
        </w:rPr>
      </w:pPr>
      <w:hyperlink w:anchor="_Toc498335660" w:history="1">
        <w:r>
          <w:rPr>
            <w:rStyle w:val="Hyperlink"/>
            <w:i/>
            <w:noProof/>
          </w:rPr>
          <w:t>Table 2</w:t>
        </w:r>
        <w:r>
          <w:rPr>
            <w:rStyle w:val="Hyperlink"/>
            <w:i/>
            <w:noProof/>
            <w:lang w:eastAsia="ja-JP"/>
          </w:rPr>
          <w:t>: Evolution of VAT returns in EU Member States for the period 2013-2015</w:t>
        </w:r>
        <w:r>
          <w:rPr>
            <w:noProof/>
            <w:webHidden/>
          </w:rPr>
          <w:tab/>
        </w:r>
        <w:r>
          <w:rPr>
            <w:noProof/>
            <w:webHidden/>
          </w:rPr>
          <w:fldChar w:fldCharType="begin"/>
        </w:r>
        <w:r>
          <w:rPr>
            <w:noProof/>
            <w:webHidden/>
          </w:rPr>
          <w:instrText xml:space="preserve"> PAGEREF _Toc498335660 \h </w:instrText>
        </w:r>
        <w:r>
          <w:rPr>
            <w:noProof/>
            <w:webHidden/>
          </w:rPr>
        </w:r>
        <w:r>
          <w:rPr>
            <w:noProof/>
            <w:webHidden/>
          </w:rPr>
          <w:fldChar w:fldCharType="separate"/>
        </w:r>
        <w:r>
          <w:rPr>
            <w:noProof/>
            <w:webHidden/>
          </w:rPr>
          <w:t>12</w:t>
        </w:r>
        <w:r>
          <w:rPr>
            <w:noProof/>
            <w:webHidden/>
          </w:rPr>
          <w:fldChar w:fldCharType="end"/>
        </w:r>
      </w:hyperlink>
    </w:p>
    <w:p>
      <w:pPr>
        <w:pStyle w:val="TableofFigures"/>
        <w:tabs>
          <w:tab w:val="right" w:leader="dot" w:pos="9061"/>
        </w:tabs>
        <w:spacing w:before="240"/>
        <w:jc w:val="center"/>
        <w:rPr>
          <w:b/>
          <w:noProof/>
          <w:sz w:val="28"/>
          <w:szCs w:val="28"/>
        </w:rPr>
      </w:pPr>
      <w:r>
        <w:rPr>
          <w:b/>
          <w:noProof/>
        </w:rPr>
        <w:fldChar w:fldCharType="end"/>
      </w:r>
      <w:r>
        <w:rPr>
          <w:b/>
          <w:noProof/>
          <w:sz w:val="28"/>
          <w:szCs w:val="28"/>
        </w:rPr>
        <w:t>List of Figures</w:t>
      </w:r>
    </w:p>
    <w:p>
      <w:pPr>
        <w:pStyle w:val="TableofFigures"/>
        <w:tabs>
          <w:tab w:val="right" w:leader="dot" w:pos="9061"/>
        </w:tabs>
        <w:rPr>
          <w:rFonts w:asciiTheme="minorHAnsi" w:eastAsiaTheme="minorEastAsia" w:hAnsiTheme="minorHAnsi" w:cstheme="minorBidi"/>
          <w:noProof/>
          <w:sz w:val="22"/>
          <w:szCs w:val="22"/>
        </w:rPr>
      </w:pPr>
      <w:r>
        <w:rPr>
          <w:b/>
          <w:noProof/>
        </w:rPr>
        <w:fldChar w:fldCharType="begin"/>
      </w:r>
      <w:r>
        <w:rPr>
          <w:b/>
          <w:noProof/>
        </w:rPr>
        <w:instrText xml:space="preserve"> TOC \h \z \c "Figure" </w:instrText>
      </w:r>
      <w:r>
        <w:rPr>
          <w:b/>
          <w:noProof/>
        </w:rPr>
        <w:fldChar w:fldCharType="separate"/>
      </w:r>
      <w:hyperlink w:anchor="_Toc498335661" w:history="1">
        <w:r>
          <w:rPr>
            <w:rStyle w:val="Hyperlink"/>
            <w:bCs/>
            <w:i/>
            <w:noProof/>
          </w:rPr>
          <w:t>Figure 1</w:t>
        </w:r>
        <w:r>
          <w:rPr>
            <w:rStyle w:val="Hyperlink"/>
            <w:bCs/>
            <w:i/>
            <w:noProof/>
            <w:lang w:eastAsia="ja-JP"/>
          </w:rPr>
          <w:t>: VAT Gap in EU 2011-2015 (in percent of VAT total liability (VTTL) and in EUR billion)</w:t>
        </w:r>
        <w:r>
          <w:rPr>
            <w:noProof/>
            <w:webHidden/>
          </w:rPr>
          <w:tab/>
        </w:r>
        <w:r>
          <w:rPr>
            <w:noProof/>
            <w:webHidden/>
          </w:rPr>
          <w:fldChar w:fldCharType="begin"/>
        </w:r>
        <w:r>
          <w:rPr>
            <w:noProof/>
            <w:webHidden/>
          </w:rPr>
          <w:instrText xml:space="preserve"> PAGEREF _Toc498335661 \h </w:instrText>
        </w:r>
        <w:r>
          <w:rPr>
            <w:noProof/>
            <w:webHidden/>
          </w:rPr>
        </w:r>
        <w:r>
          <w:rPr>
            <w:noProof/>
            <w:webHidden/>
          </w:rPr>
          <w:fldChar w:fldCharType="separate"/>
        </w:r>
        <w:r>
          <w:rPr>
            <w:noProof/>
            <w:webHidden/>
          </w:rPr>
          <w:t>4</w:t>
        </w:r>
        <w:r>
          <w:rPr>
            <w:noProof/>
            <w:webHidden/>
          </w:rPr>
          <w:fldChar w:fldCharType="end"/>
        </w:r>
      </w:hyperlink>
    </w:p>
    <w:p>
      <w:pPr>
        <w:pStyle w:val="TableofFigures"/>
        <w:tabs>
          <w:tab w:val="right" w:leader="dot" w:pos="9061"/>
        </w:tabs>
        <w:rPr>
          <w:rFonts w:asciiTheme="minorHAnsi" w:eastAsiaTheme="minorEastAsia" w:hAnsiTheme="minorHAnsi" w:cstheme="minorBidi"/>
          <w:noProof/>
          <w:sz w:val="22"/>
          <w:szCs w:val="22"/>
        </w:rPr>
      </w:pPr>
      <w:hyperlink w:anchor="_Toc498335662" w:history="1">
        <w:r>
          <w:rPr>
            <w:rStyle w:val="Hyperlink"/>
            <w:i/>
            <w:noProof/>
          </w:rPr>
          <w:t>Figure 2</w:t>
        </w:r>
        <w:r>
          <w:rPr>
            <w:rStyle w:val="Hyperlink"/>
            <w:i/>
            <w:noProof/>
            <w:lang w:eastAsia="ja-JP"/>
          </w:rPr>
          <w:t>: Evolution of VAT registration requests in 21 EU Member States (2013-2015)</w:t>
        </w:r>
        <w:r>
          <w:rPr>
            <w:noProof/>
            <w:webHidden/>
          </w:rPr>
          <w:tab/>
        </w:r>
        <w:r>
          <w:rPr>
            <w:noProof/>
            <w:webHidden/>
          </w:rPr>
          <w:fldChar w:fldCharType="begin"/>
        </w:r>
        <w:r>
          <w:rPr>
            <w:noProof/>
            <w:webHidden/>
          </w:rPr>
          <w:instrText xml:space="preserve"> PAGEREF _Toc498335662 \h </w:instrText>
        </w:r>
        <w:r>
          <w:rPr>
            <w:noProof/>
            <w:webHidden/>
          </w:rPr>
        </w:r>
        <w:r>
          <w:rPr>
            <w:noProof/>
            <w:webHidden/>
          </w:rPr>
          <w:fldChar w:fldCharType="separate"/>
        </w:r>
        <w:r>
          <w:rPr>
            <w:noProof/>
            <w:webHidden/>
          </w:rPr>
          <w:t>7</w:t>
        </w:r>
        <w:r>
          <w:rPr>
            <w:noProof/>
            <w:webHidden/>
          </w:rPr>
          <w:fldChar w:fldCharType="end"/>
        </w:r>
      </w:hyperlink>
    </w:p>
    <w:p>
      <w:pPr>
        <w:pStyle w:val="TableofFigures"/>
        <w:tabs>
          <w:tab w:val="right" w:leader="dot" w:pos="9061"/>
        </w:tabs>
        <w:rPr>
          <w:rFonts w:asciiTheme="minorHAnsi" w:eastAsiaTheme="minorEastAsia" w:hAnsiTheme="minorHAnsi" w:cstheme="minorBidi"/>
          <w:noProof/>
          <w:sz w:val="22"/>
          <w:szCs w:val="22"/>
        </w:rPr>
      </w:pPr>
      <w:hyperlink w:anchor="_Toc498335663" w:history="1">
        <w:r>
          <w:rPr>
            <w:rStyle w:val="Hyperlink"/>
            <w:i/>
            <w:noProof/>
          </w:rPr>
          <w:t>Figure 3</w:t>
        </w:r>
        <w:r>
          <w:rPr>
            <w:rStyle w:val="Hyperlink"/>
            <w:i/>
            <w:noProof/>
            <w:lang w:eastAsia="ja-JP"/>
          </w:rPr>
          <w:t>: Availability of main features in registration procedures in 28 EU Member States (2016)</w:t>
        </w:r>
        <w:r>
          <w:rPr>
            <w:noProof/>
            <w:webHidden/>
          </w:rPr>
          <w:tab/>
        </w:r>
        <w:r>
          <w:rPr>
            <w:noProof/>
            <w:webHidden/>
          </w:rPr>
          <w:fldChar w:fldCharType="begin"/>
        </w:r>
        <w:r>
          <w:rPr>
            <w:noProof/>
            <w:webHidden/>
          </w:rPr>
          <w:instrText xml:space="preserve"> PAGEREF _Toc498335663 \h </w:instrText>
        </w:r>
        <w:r>
          <w:rPr>
            <w:noProof/>
            <w:webHidden/>
          </w:rPr>
        </w:r>
        <w:r>
          <w:rPr>
            <w:noProof/>
            <w:webHidden/>
          </w:rPr>
          <w:fldChar w:fldCharType="separate"/>
        </w:r>
        <w:r>
          <w:rPr>
            <w:noProof/>
            <w:webHidden/>
          </w:rPr>
          <w:t>8</w:t>
        </w:r>
        <w:r>
          <w:rPr>
            <w:noProof/>
            <w:webHidden/>
          </w:rPr>
          <w:fldChar w:fldCharType="end"/>
        </w:r>
      </w:hyperlink>
    </w:p>
    <w:p>
      <w:pPr>
        <w:pStyle w:val="TableofFigures"/>
        <w:tabs>
          <w:tab w:val="right" w:leader="dot" w:pos="9061"/>
        </w:tabs>
        <w:rPr>
          <w:rFonts w:asciiTheme="minorHAnsi" w:eastAsiaTheme="minorEastAsia" w:hAnsiTheme="minorHAnsi" w:cstheme="minorBidi"/>
          <w:noProof/>
          <w:sz w:val="22"/>
          <w:szCs w:val="22"/>
        </w:rPr>
      </w:pPr>
      <w:hyperlink w:anchor="_Toc498335664" w:history="1">
        <w:r>
          <w:rPr>
            <w:rStyle w:val="Hyperlink"/>
            <w:i/>
            <w:noProof/>
          </w:rPr>
          <w:t>Figure 4</w:t>
        </w:r>
        <w:r>
          <w:rPr>
            <w:rStyle w:val="Hyperlink"/>
            <w:i/>
            <w:noProof/>
            <w:lang w:eastAsia="ja-JP"/>
          </w:rPr>
          <w:t>: Time needed for obtaining a VAT and a VIES number in 22 EU Member States (2013-2015)</w:t>
        </w:r>
        <w:r>
          <w:rPr>
            <w:noProof/>
            <w:webHidden/>
          </w:rPr>
          <w:tab/>
        </w:r>
        <w:r>
          <w:rPr>
            <w:noProof/>
            <w:webHidden/>
          </w:rPr>
          <w:fldChar w:fldCharType="begin"/>
        </w:r>
        <w:r>
          <w:rPr>
            <w:noProof/>
            <w:webHidden/>
          </w:rPr>
          <w:instrText xml:space="preserve"> PAGEREF _Toc498335664 \h </w:instrText>
        </w:r>
        <w:r>
          <w:rPr>
            <w:noProof/>
            <w:webHidden/>
          </w:rPr>
        </w:r>
        <w:r>
          <w:rPr>
            <w:noProof/>
            <w:webHidden/>
          </w:rPr>
          <w:fldChar w:fldCharType="separate"/>
        </w:r>
        <w:r>
          <w:rPr>
            <w:noProof/>
            <w:webHidden/>
          </w:rPr>
          <w:t>10</w:t>
        </w:r>
        <w:r>
          <w:rPr>
            <w:noProof/>
            <w:webHidden/>
          </w:rPr>
          <w:fldChar w:fldCharType="end"/>
        </w:r>
      </w:hyperlink>
    </w:p>
    <w:p>
      <w:pPr>
        <w:pStyle w:val="TableofFigures"/>
        <w:tabs>
          <w:tab w:val="right" w:leader="dot" w:pos="9061"/>
        </w:tabs>
        <w:rPr>
          <w:rFonts w:asciiTheme="minorHAnsi" w:eastAsiaTheme="minorEastAsia" w:hAnsiTheme="minorHAnsi" w:cstheme="minorBidi"/>
          <w:noProof/>
          <w:sz w:val="22"/>
          <w:szCs w:val="22"/>
        </w:rPr>
      </w:pPr>
      <w:hyperlink w:anchor="_Toc498335665" w:history="1">
        <w:r>
          <w:rPr>
            <w:rStyle w:val="Hyperlink"/>
            <w:i/>
            <w:noProof/>
          </w:rPr>
          <w:t>Figure 5</w:t>
        </w:r>
        <w:r>
          <w:rPr>
            <w:rStyle w:val="Hyperlink"/>
            <w:i/>
            <w:noProof/>
            <w:lang w:eastAsia="ja-JP"/>
          </w:rPr>
          <w:t>: Possibility to file electronically in 28 EU Member States (2013-2015)</w:t>
        </w:r>
        <w:r>
          <w:rPr>
            <w:noProof/>
            <w:webHidden/>
          </w:rPr>
          <w:tab/>
        </w:r>
        <w:r>
          <w:rPr>
            <w:noProof/>
            <w:webHidden/>
          </w:rPr>
          <w:fldChar w:fldCharType="begin"/>
        </w:r>
        <w:r>
          <w:rPr>
            <w:noProof/>
            <w:webHidden/>
          </w:rPr>
          <w:instrText xml:space="preserve"> PAGEREF _Toc498335665 \h </w:instrText>
        </w:r>
        <w:r>
          <w:rPr>
            <w:noProof/>
            <w:webHidden/>
          </w:rPr>
        </w:r>
        <w:r>
          <w:rPr>
            <w:noProof/>
            <w:webHidden/>
          </w:rPr>
          <w:fldChar w:fldCharType="separate"/>
        </w:r>
        <w:r>
          <w:rPr>
            <w:noProof/>
            <w:webHidden/>
          </w:rPr>
          <w:t>11</w:t>
        </w:r>
        <w:r>
          <w:rPr>
            <w:noProof/>
            <w:webHidden/>
          </w:rPr>
          <w:fldChar w:fldCharType="end"/>
        </w:r>
      </w:hyperlink>
    </w:p>
    <w:p>
      <w:pPr>
        <w:pStyle w:val="TableofFigures"/>
        <w:tabs>
          <w:tab w:val="right" w:leader="dot" w:pos="9061"/>
        </w:tabs>
        <w:rPr>
          <w:rFonts w:asciiTheme="minorHAnsi" w:eastAsiaTheme="minorEastAsia" w:hAnsiTheme="minorHAnsi" w:cstheme="minorBidi"/>
          <w:noProof/>
          <w:sz w:val="22"/>
          <w:szCs w:val="22"/>
        </w:rPr>
      </w:pPr>
      <w:hyperlink w:anchor="_Toc498335666" w:history="1">
        <w:r>
          <w:rPr>
            <w:rStyle w:val="Hyperlink"/>
            <w:i/>
            <w:noProof/>
          </w:rPr>
          <w:t>Figure 6</w:t>
        </w:r>
        <w:r>
          <w:rPr>
            <w:rStyle w:val="Hyperlink"/>
            <w:i/>
            <w:noProof/>
            <w:lang w:eastAsia="ja-JP"/>
          </w:rPr>
          <w:t>: Electronic filing rate in 28 EU Member States (2013-2015)</w:t>
        </w:r>
        <w:r>
          <w:rPr>
            <w:noProof/>
            <w:webHidden/>
          </w:rPr>
          <w:tab/>
        </w:r>
        <w:r>
          <w:rPr>
            <w:noProof/>
            <w:webHidden/>
          </w:rPr>
          <w:fldChar w:fldCharType="begin"/>
        </w:r>
        <w:r>
          <w:rPr>
            <w:noProof/>
            <w:webHidden/>
          </w:rPr>
          <w:instrText xml:space="preserve"> PAGEREF _Toc498335666 \h </w:instrText>
        </w:r>
        <w:r>
          <w:rPr>
            <w:noProof/>
            <w:webHidden/>
          </w:rPr>
        </w:r>
        <w:r>
          <w:rPr>
            <w:noProof/>
            <w:webHidden/>
          </w:rPr>
          <w:fldChar w:fldCharType="separate"/>
        </w:r>
        <w:r>
          <w:rPr>
            <w:noProof/>
            <w:webHidden/>
          </w:rPr>
          <w:t>11</w:t>
        </w:r>
        <w:r>
          <w:rPr>
            <w:noProof/>
            <w:webHidden/>
          </w:rPr>
          <w:fldChar w:fldCharType="end"/>
        </w:r>
      </w:hyperlink>
    </w:p>
    <w:p>
      <w:pPr>
        <w:pStyle w:val="TableofFigures"/>
        <w:tabs>
          <w:tab w:val="right" w:leader="dot" w:pos="9061"/>
        </w:tabs>
        <w:rPr>
          <w:rFonts w:asciiTheme="minorHAnsi" w:eastAsiaTheme="minorEastAsia" w:hAnsiTheme="minorHAnsi" w:cstheme="minorBidi"/>
          <w:noProof/>
          <w:sz w:val="22"/>
          <w:szCs w:val="22"/>
        </w:rPr>
      </w:pPr>
      <w:hyperlink w:anchor="_Toc498335667" w:history="1">
        <w:r>
          <w:rPr>
            <w:rStyle w:val="Hyperlink"/>
            <w:i/>
            <w:noProof/>
          </w:rPr>
          <w:t>Figure 7</w:t>
        </w:r>
        <w:r>
          <w:rPr>
            <w:rStyle w:val="Hyperlink"/>
            <w:i/>
            <w:noProof/>
            <w:lang w:eastAsia="ja-JP"/>
          </w:rPr>
          <w:t>: Possibility for VAT e-Payments in 28 Member States (2013-2015)</w:t>
        </w:r>
        <w:r>
          <w:rPr>
            <w:noProof/>
            <w:webHidden/>
          </w:rPr>
          <w:tab/>
        </w:r>
        <w:r>
          <w:rPr>
            <w:noProof/>
            <w:webHidden/>
          </w:rPr>
          <w:fldChar w:fldCharType="begin"/>
        </w:r>
        <w:r>
          <w:rPr>
            <w:noProof/>
            <w:webHidden/>
          </w:rPr>
          <w:instrText xml:space="preserve"> PAGEREF _Toc498335667 \h </w:instrText>
        </w:r>
        <w:r>
          <w:rPr>
            <w:noProof/>
            <w:webHidden/>
          </w:rPr>
        </w:r>
        <w:r>
          <w:rPr>
            <w:noProof/>
            <w:webHidden/>
          </w:rPr>
          <w:fldChar w:fldCharType="separate"/>
        </w:r>
        <w:r>
          <w:rPr>
            <w:noProof/>
            <w:webHidden/>
          </w:rPr>
          <w:t>12</w:t>
        </w:r>
        <w:r>
          <w:rPr>
            <w:noProof/>
            <w:webHidden/>
          </w:rPr>
          <w:fldChar w:fldCharType="end"/>
        </w:r>
      </w:hyperlink>
    </w:p>
    <w:p>
      <w:pPr>
        <w:pStyle w:val="TableofFigures"/>
        <w:tabs>
          <w:tab w:val="right" w:leader="dot" w:pos="9061"/>
        </w:tabs>
        <w:rPr>
          <w:rFonts w:asciiTheme="minorHAnsi" w:eastAsiaTheme="minorEastAsia" w:hAnsiTheme="minorHAnsi" w:cstheme="minorBidi"/>
          <w:noProof/>
          <w:sz w:val="22"/>
          <w:szCs w:val="22"/>
        </w:rPr>
      </w:pPr>
      <w:hyperlink w:anchor="_Toc498335668" w:history="1">
        <w:r>
          <w:rPr>
            <w:rStyle w:val="Hyperlink"/>
            <w:i/>
            <w:noProof/>
          </w:rPr>
          <w:t>Figure 8</w:t>
        </w:r>
        <w:r>
          <w:rPr>
            <w:rStyle w:val="Hyperlink"/>
            <w:i/>
            <w:noProof/>
            <w:lang w:eastAsia="ja-JP"/>
          </w:rPr>
          <w:t>: Late payment reminders in 28 Member States (2013-2015)</w:t>
        </w:r>
        <w:r>
          <w:rPr>
            <w:noProof/>
            <w:webHidden/>
          </w:rPr>
          <w:tab/>
        </w:r>
        <w:r>
          <w:rPr>
            <w:noProof/>
            <w:webHidden/>
          </w:rPr>
          <w:fldChar w:fldCharType="begin"/>
        </w:r>
        <w:r>
          <w:rPr>
            <w:noProof/>
            <w:webHidden/>
          </w:rPr>
          <w:instrText xml:space="preserve"> PAGEREF _Toc498335668 \h </w:instrText>
        </w:r>
        <w:r>
          <w:rPr>
            <w:noProof/>
            <w:webHidden/>
          </w:rPr>
        </w:r>
        <w:r>
          <w:rPr>
            <w:noProof/>
            <w:webHidden/>
          </w:rPr>
          <w:fldChar w:fldCharType="separate"/>
        </w:r>
        <w:r>
          <w:rPr>
            <w:noProof/>
            <w:webHidden/>
          </w:rPr>
          <w:t>12</w:t>
        </w:r>
        <w:r>
          <w:rPr>
            <w:noProof/>
            <w:webHidden/>
          </w:rPr>
          <w:fldChar w:fldCharType="end"/>
        </w:r>
      </w:hyperlink>
    </w:p>
    <w:p>
      <w:pPr>
        <w:pStyle w:val="TableofFigures"/>
        <w:tabs>
          <w:tab w:val="right" w:leader="dot" w:pos="9061"/>
        </w:tabs>
        <w:rPr>
          <w:rFonts w:asciiTheme="minorHAnsi" w:eastAsiaTheme="minorEastAsia" w:hAnsiTheme="minorHAnsi" w:cstheme="minorBidi"/>
          <w:noProof/>
          <w:sz w:val="22"/>
          <w:szCs w:val="22"/>
        </w:rPr>
      </w:pPr>
      <w:hyperlink w:anchor="_Toc498335669" w:history="1">
        <w:r>
          <w:rPr>
            <w:rStyle w:val="Hyperlink"/>
            <w:i/>
            <w:noProof/>
          </w:rPr>
          <w:t>Figure 9</w:t>
        </w:r>
        <w:r>
          <w:rPr>
            <w:rStyle w:val="Hyperlink"/>
            <w:i/>
            <w:noProof/>
            <w:lang w:eastAsia="ja-JP"/>
          </w:rPr>
          <w:t>:  Recovery of VAT debts - overview of main tools and practices used in 28 EU Member States (2016)</w:t>
        </w:r>
        <w:r>
          <w:rPr>
            <w:noProof/>
            <w:webHidden/>
          </w:rPr>
          <w:tab/>
        </w:r>
        <w:r>
          <w:rPr>
            <w:noProof/>
            <w:webHidden/>
          </w:rPr>
          <w:fldChar w:fldCharType="begin"/>
        </w:r>
        <w:r>
          <w:rPr>
            <w:noProof/>
            <w:webHidden/>
          </w:rPr>
          <w:instrText xml:space="preserve"> PAGEREF _Toc498335669 \h </w:instrText>
        </w:r>
        <w:r>
          <w:rPr>
            <w:noProof/>
            <w:webHidden/>
          </w:rPr>
        </w:r>
        <w:r>
          <w:rPr>
            <w:noProof/>
            <w:webHidden/>
          </w:rPr>
          <w:fldChar w:fldCharType="separate"/>
        </w:r>
        <w:r>
          <w:rPr>
            <w:noProof/>
            <w:webHidden/>
          </w:rPr>
          <w:t>13</w:t>
        </w:r>
        <w:r>
          <w:rPr>
            <w:noProof/>
            <w:webHidden/>
          </w:rPr>
          <w:fldChar w:fldCharType="end"/>
        </w:r>
      </w:hyperlink>
    </w:p>
    <w:p>
      <w:pPr>
        <w:pStyle w:val="TableofFigures"/>
        <w:tabs>
          <w:tab w:val="right" w:leader="dot" w:pos="9061"/>
        </w:tabs>
        <w:rPr>
          <w:rFonts w:asciiTheme="minorHAnsi" w:eastAsiaTheme="minorEastAsia" w:hAnsiTheme="minorHAnsi" w:cstheme="minorBidi"/>
          <w:noProof/>
          <w:sz w:val="22"/>
          <w:szCs w:val="22"/>
        </w:rPr>
      </w:pPr>
      <w:hyperlink w:anchor="_Toc498335670" w:history="1">
        <w:r>
          <w:rPr>
            <w:rStyle w:val="Hyperlink"/>
            <w:b/>
            <w:i/>
            <w:noProof/>
          </w:rPr>
          <w:t>Figure 10</w:t>
        </w:r>
        <w:r>
          <w:rPr>
            <w:rStyle w:val="Hyperlink"/>
            <w:i/>
            <w:noProof/>
            <w:lang w:eastAsia="ja-JP"/>
          </w:rPr>
          <w:t>: VAT collection and VAT assessed after audits in 22 EU Member States (2013 – 2015)</w:t>
        </w:r>
        <w:r>
          <w:rPr>
            <w:noProof/>
            <w:webHidden/>
          </w:rPr>
          <w:tab/>
        </w:r>
        <w:r>
          <w:rPr>
            <w:noProof/>
            <w:webHidden/>
          </w:rPr>
          <w:fldChar w:fldCharType="begin"/>
        </w:r>
        <w:r>
          <w:rPr>
            <w:noProof/>
            <w:webHidden/>
          </w:rPr>
          <w:instrText xml:space="preserve"> PAGEREF _Toc498335670 \h </w:instrText>
        </w:r>
        <w:r>
          <w:rPr>
            <w:noProof/>
            <w:webHidden/>
          </w:rPr>
        </w:r>
        <w:r>
          <w:rPr>
            <w:noProof/>
            <w:webHidden/>
          </w:rPr>
          <w:fldChar w:fldCharType="separate"/>
        </w:r>
        <w:r>
          <w:rPr>
            <w:noProof/>
            <w:webHidden/>
          </w:rPr>
          <w:t>15</w:t>
        </w:r>
        <w:r>
          <w:rPr>
            <w:noProof/>
            <w:webHidden/>
          </w:rPr>
          <w:fldChar w:fldCharType="end"/>
        </w:r>
      </w:hyperlink>
    </w:p>
    <w:p>
      <w:pPr>
        <w:pStyle w:val="TableofFigures"/>
        <w:tabs>
          <w:tab w:val="right" w:leader="dot" w:pos="9061"/>
        </w:tabs>
        <w:rPr>
          <w:rFonts w:asciiTheme="minorHAnsi" w:eastAsiaTheme="minorEastAsia" w:hAnsiTheme="minorHAnsi" w:cstheme="minorBidi"/>
          <w:noProof/>
          <w:sz w:val="22"/>
          <w:szCs w:val="22"/>
        </w:rPr>
      </w:pPr>
      <w:hyperlink w:anchor="_Toc498335671" w:history="1">
        <w:r>
          <w:rPr>
            <w:rStyle w:val="Hyperlink"/>
            <w:i/>
            <w:noProof/>
          </w:rPr>
          <w:t>Figure 11</w:t>
        </w:r>
        <w:r>
          <w:rPr>
            <w:rStyle w:val="Hyperlink"/>
            <w:i/>
            <w:noProof/>
            <w:lang w:eastAsia="ja-JP"/>
          </w:rPr>
          <w:t>: Implementation rate of the recommendations per section for 27 Member States</w:t>
        </w:r>
        <w:r>
          <w:rPr>
            <w:noProof/>
            <w:webHidden/>
          </w:rPr>
          <w:tab/>
        </w:r>
        <w:r>
          <w:rPr>
            <w:noProof/>
            <w:webHidden/>
          </w:rPr>
          <w:fldChar w:fldCharType="begin"/>
        </w:r>
        <w:r>
          <w:rPr>
            <w:noProof/>
            <w:webHidden/>
          </w:rPr>
          <w:instrText xml:space="preserve"> PAGEREF _Toc498335671 \h </w:instrText>
        </w:r>
        <w:r>
          <w:rPr>
            <w:noProof/>
            <w:webHidden/>
          </w:rPr>
        </w:r>
        <w:r>
          <w:rPr>
            <w:noProof/>
            <w:webHidden/>
          </w:rPr>
          <w:fldChar w:fldCharType="separate"/>
        </w:r>
        <w:r>
          <w:rPr>
            <w:noProof/>
            <w:webHidden/>
          </w:rPr>
          <w:t>17</w:t>
        </w:r>
        <w:r>
          <w:rPr>
            <w:noProof/>
            <w:webHidden/>
          </w:rPr>
          <w:fldChar w:fldCharType="end"/>
        </w:r>
      </w:hyperlink>
    </w:p>
    <w:p>
      <w:pPr>
        <w:pStyle w:val="TableofFigures"/>
        <w:tabs>
          <w:tab w:val="right" w:leader="dot" w:pos="9061"/>
        </w:tabs>
        <w:rPr>
          <w:rFonts w:asciiTheme="minorHAnsi" w:eastAsiaTheme="minorEastAsia" w:hAnsiTheme="minorHAnsi" w:cstheme="minorBidi"/>
          <w:noProof/>
          <w:sz w:val="22"/>
          <w:szCs w:val="22"/>
        </w:rPr>
      </w:pPr>
      <w:hyperlink w:anchor="_Toc498335672" w:history="1">
        <w:r>
          <w:rPr>
            <w:rStyle w:val="Hyperlink"/>
            <w:i/>
            <w:noProof/>
          </w:rPr>
          <w:t>Figure 12</w:t>
        </w:r>
        <w:r>
          <w:rPr>
            <w:rStyle w:val="Hyperlink"/>
            <w:i/>
            <w:noProof/>
            <w:lang w:eastAsia="ja-JP"/>
          </w:rPr>
          <w:t>:</w:t>
        </w:r>
        <w:r>
          <w:rPr>
            <w:rStyle w:val="Hyperlink"/>
            <w:noProof/>
            <w:lang w:eastAsia="ja-JP"/>
          </w:rPr>
          <w:t xml:space="preserve"> </w:t>
        </w:r>
        <w:r>
          <w:rPr>
            <w:rStyle w:val="Hyperlink"/>
            <w:i/>
            <w:noProof/>
            <w:lang w:eastAsia="ja-JP"/>
          </w:rPr>
          <w:t>Overall implementation rate of previous recommendations</w:t>
        </w:r>
        <w:r>
          <w:rPr>
            <w:noProof/>
            <w:webHidden/>
          </w:rPr>
          <w:tab/>
        </w:r>
        <w:r>
          <w:rPr>
            <w:noProof/>
            <w:webHidden/>
          </w:rPr>
          <w:fldChar w:fldCharType="begin"/>
        </w:r>
        <w:r>
          <w:rPr>
            <w:noProof/>
            <w:webHidden/>
          </w:rPr>
          <w:instrText xml:space="preserve"> PAGEREF _Toc498335672 \h </w:instrText>
        </w:r>
        <w:r>
          <w:rPr>
            <w:noProof/>
            <w:webHidden/>
          </w:rPr>
        </w:r>
        <w:r>
          <w:rPr>
            <w:noProof/>
            <w:webHidden/>
          </w:rPr>
          <w:fldChar w:fldCharType="separate"/>
        </w:r>
        <w:r>
          <w:rPr>
            <w:noProof/>
            <w:webHidden/>
          </w:rPr>
          <w:t>17</w:t>
        </w:r>
        <w:r>
          <w:rPr>
            <w:noProof/>
            <w:webHidden/>
          </w:rPr>
          <w:fldChar w:fldCharType="end"/>
        </w:r>
      </w:hyperlink>
    </w:p>
    <w:p>
      <w:pPr>
        <w:pStyle w:val="TableofFigures"/>
        <w:tabs>
          <w:tab w:val="right" w:leader="dot" w:pos="9061"/>
        </w:tabs>
        <w:jc w:val="center"/>
        <w:rPr>
          <w:b/>
          <w:noProof/>
          <w:sz w:val="28"/>
          <w:szCs w:val="28"/>
        </w:rPr>
      </w:pPr>
      <w:r>
        <w:rPr>
          <w:b/>
          <w:noProof/>
        </w:rPr>
        <w:fldChar w:fldCharType="end"/>
      </w:r>
      <w:r>
        <w:rPr>
          <w:b/>
          <w:noProof/>
          <w:sz w:val="28"/>
          <w:szCs w:val="28"/>
        </w:rPr>
        <w:t>List of Recommendations</w:t>
      </w:r>
    </w:p>
    <w:p>
      <w:pPr>
        <w:pStyle w:val="TableofFigures"/>
        <w:tabs>
          <w:tab w:val="right" w:leader="dot" w:pos="9061"/>
        </w:tabs>
        <w:rPr>
          <w:rFonts w:asciiTheme="minorHAnsi" w:eastAsiaTheme="minorEastAsia" w:hAnsiTheme="minorHAnsi" w:cstheme="minorBidi"/>
          <w:noProof/>
          <w:sz w:val="22"/>
          <w:szCs w:val="22"/>
        </w:rPr>
      </w:pPr>
      <w:r>
        <w:rPr>
          <w:b/>
          <w:i/>
          <w:noProof/>
        </w:rPr>
        <w:fldChar w:fldCharType="begin"/>
      </w:r>
      <w:r>
        <w:rPr>
          <w:b/>
          <w:i/>
          <w:noProof/>
        </w:rPr>
        <w:instrText xml:space="preserve"> TOC \h \z \c "Recommendation" </w:instrText>
      </w:r>
      <w:r>
        <w:rPr>
          <w:b/>
          <w:i/>
          <w:noProof/>
        </w:rPr>
        <w:fldChar w:fldCharType="separate"/>
      </w:r>
      <w:hyperlink w:anchor="_Toc498335673" w:history="1">
        <w:r>
          <w:rPr>
            <w:rStyle w:val="Hyperlink"/>
            <w:noProof/>
          </w:rPr>
          <w:t>Recommendation 1: Tax administration organisation</w:t>
        </w:r>
        <w:r>
          <w:rPr>
            <w:noProof/>
            <w:webHidden/>
          </w:rPr>
          <w:tab/>
        </w:r>
        <w:r>
          <w:rPr>
            <w:noProof/>
            <w:webHidden/>
          </w:rPr>
          <w:fldChar w:fldCharType="begin"/>
        </w:r>
        <w:r>
          <w:rPr>
            <w:noProof/>
            <w:webHidden/>
          </w:rPr>
          <w:instrText xml:space="preserve"> PAGEREF _Toc498335673 \h </w:instrText>
        </w:r>
        <w:r>
          <w:rPr>
            <w:noProof/>
            <w:webHidden/>
          </w:rPr>
        </w:r>
        <w:r>
          <w:rPr>
            <w:noProof/>
            <w:webHidden/>
          </w:rPr>
          <w:fldChar w:fldCharType="separate"/>
        </w:r>
        <w:r>
          <w:rPr>
            <w:noProof/>
            <w:webHidden/>
          </w:rPr>
          <w:t>5</w:t>
        </w:r>
        <w:r>
          <w:rPr>
            <w:noProof/>
            <w:webHidden/>
          </w:rPr>
          <w:fldChar w:fldCharType="end"/>
        </w:r>
      </w:hyperlink>
    </w:p>
    <w:p>
      <w:pPr>
        <w:pStyle w:val="TableofFigures"/>
        <w:tabs>
          <w:tab w:val="right" w:leader="dot" w:pos="9061"/>
        </w:tabs>
        <w:rPr>
          <w:rFonts w:asciiTheme="minorHAnsi" w:eastAsiaTheme="minorEastAsia" w:hAnsiTheme="minorHAnsi" w:cstheme="minorBidi"/>
          <w:noProof/>
          <w:sz w:val="22"/>
          <w:szCs w:val="22"/>
        </w:rPr>
      </w:pPr>
      <w:hyperlink w:anchor="_Toc498335674" w:history="1">
        <w:r>
          <w:rPr>
            <w:rStyle w:val="Hyperlink"/>
            <w:noProof/>
          </w:rPr>
          <w:t>Recommendation 2: Digitalisation and IT</w:t>
        </w:r>
        <w:r>
          <w:rPr>
            <w:noProof/>
            <w:webHidden/>
          </w:rPr>
          <w:tab/>
        </w:r>
        <w:r>
          <w:rPr>
            <w:noProof/>
            <w:webHidden/>
          </w:rPr>
          <w:fldChar w:fldCharType="begin"/>
        </w:r>
        <w:r>
          <w:rPr>
            <w:noProof/>
            <w:webHidden/>
          </w:rPr>
          <w:instrText xml:space="preserve"> PAGEREF _Toc498335674 \h </w:instrText>
        </w:r>
        <w:r>
          <w:rPr>
            <w:noProof/>
            <w:webHidden/>
          </w:rPr>
        </w:r>
        <w:r>
          <w:rPr>
            <w:noProof/>
            <w:webHidden/>
          </w:rPr>
          <w:fldChar w:fldCharType="separate"/>
        </w:r>
        <w:r>
          <w:rPr>
            <w:noProof/>
            <w:webHidden/>
          </w:rPr>
          <w:t>6</w:t>
        </w:r>
        <w:r>
          <w:rPr>
            <w:noProof/>
            <w:webHidden/>
          </w:rPr>
          <w:fldChar w:fldCharType="end"/>
        </w:r>
      </w:hyperlink>
    </w:p>
    <w:p>
      <w:pPr>
        <w:pStyle w:val="TableofFigures"/>
        <w:tabs>
          <w:tab w:val="right" w:leader="dot" w:pos="9061"/>
        </w:tabs>
        <w:rPr>
          <w:rFonts w:asciiTheme="minorHAnsi" w:eastAsiaTheme="minorEastAsia" w:hAnsiTheme="minorHAnsi" w:cstheme="minorBidi"/>
          <w:noProof/>
          <w:sz w:val="22"/>
          <w:szCs w:val="22"/>
        </w:rPr>
      </w:pPr>
      <w:hyperlink w:anchor="_Toc498335675" w:history="1">
        <w:r>
          <w:rPr>
            <w:rStyle w:val="Hyperlink"/>
            <w:noProof/>
          </w:rPr>
          <w:t>Recommendation 3: VAT Gap calculation and analysis</w:t>
        </w:r>
        <w:r>
          <w:rPr>
            <w:noProof/>
            <w:webHidden/>
          </w:rPr>
          <w:tab/>
        </w:r>
        <w:r>
          <w:rPr>
            <w:noProof/>
            <w:webHidden/>
          </w:rPr>
          <w:fldChar w:fldCharType="begin"/>
        </w:r>
        <w:r>
          <w:rPr>
            <w:noProof/>
            <w:webHidden/>
          </w:rPr>
          <w:instrText xml:space="preserve"> PAGEREF _Toc498335675 \h </w:instrText>
        </w:r>
        <w:r>
          <w:rPr>
            <w:noProof/>
            <w:webHidden/>
          </w:rPr>
        </w:r>
        <w:r>
          <w:rPr>
            <w:noProof/>
            <w:webHidden/>
          </w:rPr>
          <w:fldChar w:fldCharType="separate"/>
        </w:r>
        <w:r>
          <w:rPr>
            <w:noProof/>
            <w:webHidden/>
          </w:rPr>
          <w:t>7</w:t>
        </w:r>
        <w:r>
          <w:rPr>
            <w:noProof/>
            <w:webHidden/>
          </w:rPr>
          <w:fldChar w:fldCharType="end"/>
        </w:r>
      </w:hyperlink>
    </w:p>
    <w:p>
      <w:pPr>
        <w:pStyle w:val="TableofFigures"/>
        <w:tabs>
          <w:tab w:val="right" w:leader="dot" w:pos="9061"/>
        </w:tabs>
        <w:rPr>
          <w:rFonts w:asciiTheme="minorHAnsi" w:eastAsiaTheme="minorEastAsia" w:hAnsiTheme="minorHAnsi" w:cstheme="minorBidi"/>
          <w:noProof/>
          <w:sz w:val="22"/>
          <w:szCs w:val="22"/>
        </w:rPr>
      </w:pPr>
      <w:hyperlink w:anchor="_Toc498335676" w:history="1">
        <w:r>
          <w:rPr>
            <w:rStyle w:val="Hyperlink"/>
            <w:noProof/>
          </w:rPr>
          <w:t>Recommendation 4: VAT registration for foreign taxpayers</w:t>
        </w:r>
        <w:r>
          <w:rPr>
            <w:noProof/>
            <w:webHidden/>
          </w:rPr>
          <w:tab/>
        </w:r>
        <w:r>
          <w:rPr>
            <w:noProof/>
            <w:webHidden/>
          </w:rPr>
          <w:fldChar w:fldCharType="begin"/>
        </w:r>
        <w:r>
          <w:rPr>
            <w:noProof/>
            <w:webHidden/>
          </w:rPr>
          <w:instrText xml:space="preserve"> PAGEREF _Toc498335676 \h </w:instrText>
        </w:r>
        <w:r>
          <w:rPr>
            <w:noProof/>
            <w:webHidden/>
          </w:rPr>
        </w:r>
        <w:r>
          <w:rPr>
            <w:noProof/>
            <w:webHidden/>
          </w:rPr>
          <w:fldChar w:fldCharType="separate"/>
        </w:r>
        <w:r>
          <w:rPr>
            <w:noProof/>
            <w:webHidden/>
          </w:rPr>
          <w:t>8</w:t>
        </w:r>
        <w:r>
          <w:rPr>
            <w:noProof/>
            <w:webHidden/>
          </w:rPr>
          <w:fldChar w:fldCharType="end"/>
        </w:r>
      </w:hyperlink>
    </w:p>
    <w:p>
      <w:pPr>
        <w:pStyle w:val="TableofFigures"/>
        <w:tabs>
          <w:tab w:val="right" w:leader="dot" w:pos="9061"/>
        </w:tabs>
        <w:rPr>
          <w:rFonts w:asciiTheme="minorHAnsi" w:eastAsiaTheme="minorEastAsia" w:hAnsiTheme="minorHAnsi" w:cstheme="minorBidi"/>
          <w:noProof/>
          <w:sz w:val="22"/>
          <w:szCs w:val="22"/>
        </w:rPr>
      </w:pPr>
      <w:hyperlink w:anchor="_Toc498335677" w:history="1">
        <w:r>
          <w:rPr>
            <w:rStyle w:val="Hyperlink"/>
            <w:noProof/>
          </w:rPr>
          <w:t>Recommendation 5: VAT identification numbers</w:t>
        </w:r>
        <w:r>
          <w:rPr>
            <w:noProof/>
            <w:webHidden/>
          </w:rPr>
          <w:tab/>
        </w:r>
        <w:r>
          <w:rPr>
            <w:noProof/>
            <w:webHidden/>
          </w:rPr>
          <w:fldChar w:fldCharType="begin"/>
        </w:r>
        <w:r>
          <w:rPr>
            <w:noProof/>
            <w:webHidden/>
          </w:rPr>
          <w:instrText xml:space="preserve"> PAGEREF _Toc498335677 \h </w:instrText>
        </w:r>
        <w:r>
          <w:rPr>
            <w:noProof/>
            <w:webHidden/>
          </w:rPr>
        </w:r>
        <w:r>
          <w:rPr>
            <w:noProof/>
            <w:webHidden/>
          </w:rPr>
          <w:fldChar w:fldCharType="separate"/>
        </w:r>
        <w:r>
          <w:rPr>
            <w:noProof/>
            <w:webHidden/>
          </w:rPr>
          <w:t>9</w:t>
        </w:r>
        <w:r>
          <w:rPr>
            <w:noProof/>
            <w:webHidden/>
          </w:rPr>
          <w:fldChar w:fldCharType="end"/>
        </w:r>
      </w:hyperlink>
    </w:p>
    <w:p>
      <w:pPr>
        <w:pStyle w:val="TableofFigures"/>
        <w:tabs>
          <w:tab w:val="right" w:leader="dot" w:pos="9061"/>
        </w:tabs>
        <w:rPr>
          <w:rFonts w:asciiTheme="minorHAnsi" w:eastAsiaTheme="minorEastAsia" w:hAnsiTheme="minorHAnsi" w:cstheme="minorBidi"/>
          <w:noProof/>
          <w:sz w:val="22"/>
          <w:szCs w:val="22"/>
        </w:rPr>
      </w:pPr>
      <w:hyperlink w:anchor="_Toc498335678" w:history="1">
        <w:r>
          <w:rPr>
            <w:rStyle w:val="Hyperlink"/>
            <w:noProof/>
          </w:rPr>
          <w:t>Recommendation 6: Validity of VAT and VIES registration</w:t>
        </w:r>
        <w:r>
          <w:rPr>
            <w:noProof/>
            <w:webHidden/>
          </w:rPr>
          <w:tab/>
        </w:r>
        <w:r>
          <w:rPr>
            <w:noProof/>
            <w:webHidden/>
          </w:rPr>
          <w:fldChar w:fldCharType="begin"/>
        </w:r>
        <w:r>
          <w:rPr>
            <w:noProof/>
            <w:webHidden/>
          </w:rPr>
          <w:instrText xml:space="preserve"> PAGEREF _Toc498335678 \h </w:instrText>
        </w:r>
        <w:r>
          <w:rPr>
            <w:noProof/>
            <w:webHidden/>
          </w:rPr>
        </w:r>
        <w:r>
          <w:rPr>
            <w:noProof/>
            <w:webHidden/>
          </w:rPr>
          <w:fldChar w:fldCharType="separate"/>
        </w:r>
        <w:r>
          <w:rPr>
            <w:noProof/>
            <w:webHidden/>
          </w:rPr>
          <w:t>9</w:t>
        </w:r>
        <w:r>
          <w:rPr>
            <w:noProof/>
            <w:webHidden/>
          </w:rPr>
          <w:fldChar w:fldCharType="end"/>
        </w:r>
      </w:hyperlink>
    </w:p>
    <w:p>
      <w:pPr>
        <w:pStyle w:val="TableofFigures"/>
        <w:tabs>
          <w:tab w:val="right" w:leader="dot" w:pos="9061"/>
        </w:tabs>
        <w:rPr>
          <w:rFonts w:asciiTheme="minorHAnsi" w:eastAsiaTheme="minorEastAsia" w:hAnsiTheme="minorHAnsi" w:cstheme="minorBidi"/>
          <w:noProof/>
          <w:sz w:val="22"/>
          <w:szCs w:val="22"/>
        </w:rPr>
      </w:pPr>
      <w:hyperlink w:anchor="_Toc498335679" w:history="1">
        <w:r>
          <w:rPr>
            <w:rStyle w:val="Hyperlink"/>
            <w:noProof/>
          </w:rPr>
          <w:t>Recommendation 7: Post registration controls</w:t>
        </w:r>
        <w:r>
          <w:rPr>
            <w:noProof/>
            <w:webHidden/>
          </w:rPr>
          <w:tab/>
        </w:r>
        <w:r>
          <w:rPr>
            <w:noProof/>
            <w:webHidden/>
          </w:rPr>
          <w:fldChar w:fldCharType="begin"/>
        </w:r>
        <w:r>
          <w:rPr>
            <w:noProof/>
            <w:webHidden/>
          </w:rPr>
          <w:instrText xml:space="preserve"> PAGEREF _Toc498335679 \h </w:instrText>
        </w:r>
        <w:r>
          <w:rPr>
            <w:noProof/>
            <w:webHidden/>
          </w:rPr>
        </w:r>
        <w:r>
          <w:rPr>
            <w:noProof/>
            <w:webHidden/>
          </w:rPr>
          <w:fldChar w:fldCharType="separate"/>
        </w:r>
        <w:r>
          <w:rPr>
            <w:noProof/>
            <w:webHidden/>
          </w:rPr>
          <w:t>11</w:t>
        </w:r>
        <w:r>
          <w:rPr>
            <w:noProof/>
            <w:webHidden/>
          </w:rPr>
          <w:fldChar w:fldCharType="end"/>
        </w:r>
      </w:hyperlink>
    </w:p>
    <w:p>
      <w:pPr>
        <w:pStyle w:val="TableofFigures"/>
        <w:tabs>
          <w:tab w:val="right" w:leader="dot" w:pos="9061"/>
        </w:tabs>
        <w:rPr>
          <w:rFonts w:asciiTheme="minorHAnsi" w:eastAsiaTheme="minorEastAsia" w:hAnsiTheme="minorHAnsi" w:cstheme="minorBidi"/>
          <w:noProof/>
          <w:sz w:val="22"/>
          <w:szCs w:val="22"/>
        </w:rPr>
      </w:pPr>
      <w:hyperlink w:anchor="_Toc498335680" w:history="1">
        <w:r>
          <w:rPr>
            <w:rStyle w:val="Hyperlink"/>
            <w:noProof/>
          </w:rPr>
          <w:t>Recommendation 8: Post registration controls</w:t>
        </w:r>
        <w:r>
          <w:rPr>
            <w:noProof/>
            <w:webHidden/>
          </w:rPr>
          <w:tab/>
        </w:r>
        <w:r>
          <w:rPr>
            <w:noProof/>
            <w:webHidden/>
          </w:rPr>
          <w:fldChar w:fldCharType="begin"/>
        </w:r>
        <w:r>
          <w:rPr>
            <w:noProof/>
            <w:webHidden/>
          </w:rPr>
          <w:instrText xml:space="preserve"> PAGEREF _Toc498335680 \h </w:instrText>
        </w:r>
        <w:r>
          <w:rPr>
            <w:noProof/>
            <w:webHidden/>
          </w:rPr>
        </w:r>
        <w:r>
          <w:rPr>
            <w:noProof/>
            <w:webHidden/>
          </w:rPr>
          <w:fldChar w:fldCharType="separate"/>
        </w:r>
        <w:r>
          <w:rPr>
            <w:noProof/>
            <w:webHidden/>
          </w:rPr>
          <w:t>14</w:t>
        </w:r>
        <w:r>
          <w:rPr>
            <w:noProof/>
            <w:webHidden/>
          </w:rPr>
          <w:fldChar w:fldCharType="end"/>
        </w:r>
      </w:hyperlink>
    </w:p>
    <w:p>
      <w:pPr>
        <w:pStyle w:val="TableofFigures"/>
        <w:tabs>
          <w:tab w:val="right" w:leader="dot" w:pos="9061"/>
        </w:tabs>
        <w:rPr>
          <w:rFonts w:asciiTheme="minorHAnsi" w:eastAsiaTheme="minorEastAsia" w:hAnsiTheme="minorHAnsi" w:cstheme="minorBidi"/>
          <w:noProof/>
          <w:sz w:val="22"/>
          <w:szCs w:val="22"/>
        </w:rPr>
      </w:pPr>
      <w:hyperlink w:anchor="_Toc498335681" w:history="1">
        <w:r>
          <w:rPr>
            <w:rStyle w:val="Hyperlink"/>
            <w:noProof/>
          </w:rPr>
          <w:t>Recommendation 9: Late VAT refund payments</w:t>
        </w:r>
        <w:r>
          <w:rPr>
            <w:noProof/>
            <w:webHidden/>
          </w:rPr>
          <w:tab/>
        </w:r>
        <w:r>
          <w:rPr>
            <w:noProof/>
            <w:webHidden/>
          </w:rPr>
          <w:fldChar w:fldCharType="begin"/>
        </w:r>
        <w:r>
          <w:rPr>
            <w:noProof/>
            <w:webHidden/>
          </w:rPr>
          <w:instrText xml:space="preserve"> PAGEREF _Toc498335681 \h </w:instrText>
        </w:r>
        <w:r>
          <w:rPr>
            <w:noProof/>
            <w:webHidden/>
          </w:rPr>
        </w:r>
        <w:r>
          <w:rPr>
            <w:noProof/>
            <w:webHidden/>
          </w:rPr>
          <w:fldChar w:fldCharType="separate"/>
        </w:r>
        <w:r>
          <w:rPr>
            <w:noProof/>
            <w:webHidden/>
          </w:rPr>
          <w:t>14</w:t>
        </w:r>
        <w:r>
          <w:rPr>
            <w:noProof/>
            <w:webHidden/>
          </w:rPr>
          <w:fldChar w:fldCharType="end"/>
        </w:r>
      </w:hyperlink>
    </w:p>
    <w:p>
      <w:pPr>
        <w:pStyle w:val="TableofFigures"/>
        <w:tabs>
          <w:tab w:val="right" w:leader="dot" w:pos="9061"/>
        </w:tabs>
        <w:rPr>
          <w:rFonts w:asciiTheme="minorHAnsi" w:eastAsiaTheme="minorEastAsia" w:hAnsiTheme="minorHAnsi" w:cstheme="minorBidi"/>
          <w:noProof/>
          <w:sz w:val="22"/>
          <w:szCs w:val="22"/>
        </w:rPr>
      </w:pPr>
      <w:hyperlink w:anchor="_Toc498335682" w:history="1">
        <w:r>
          <w:rPr>
            <w:rStyle w:val="Hyperlink"/>
            <w:noProof/>
          </w:rPr>
          <w:t>Recommendation 10: Audit and compliance strategy</w:t>
        </w:r>
        <w:r>
          <w:rPr>
            <w:noProof/>
            <w:webHidden/>
          </w:rPr>
          <w:tab/>
        </w:r>
        <w:r>
          <w:rPr>
            <w:noProof/>
            <w:webHidden/>
          </w:rPr>
          <w:fldChar w:fldCharType="begin"/>
        </w:r>
        <w:r>
          <w:rPr>
            <w:noProof/>
            <w:webHidden/>
          </w:rPr>
          <w:instrText xml:space="preserve"> PAGEREF _Toc498335682 \h </w:instrText>
        </w:r>
        <w:r>
          <w:rPr>
            <w:noProof/>
            <w:webHidden/>
          </w:rPr>
        </w:r>
        <w:r>
          <w:rPr>
            <w:noProof/>
            <w:webHidden/>
          </w:rPr>
          <w:fldChar w:fldCharType="separate"/>
        </w:r>
        <w:r>
          <w:rPr>
            <w:noProof/>
            <w:webHidden/>
          </w:rPr>
          <w:t>16</w:t>
        </w:r>
        <w:r>
          <w:rPr>
            <w:noProof/>
            <w:webHidden/>
          </w:rPr>
          <w:fldChar w:fldCharType="end"/>
        </w:r>
      </w:hyperlink>
    </w:p>
    <w:p>
      <w:pPr>
        <w:pStyle w:val="TableofFigures"/>
        <w:tabs>
          <w:tab w:val="right" w:leader="dot" w:pos="9061"/>
        </w:tabs>
        <w:rPr>
          <w:rFonts w:asciiTheme="minorHAnsi" w:eastAsiaTheme="minorEastAsia" w:hAnsiTheme="minorHAnsi" w:cstheme="minorBidi"/>
          <w:noProof/>
          <w:sz w:val="22"/>
          <w:szCs w:val="22"/>
        </w:rPr>
      </w:pPr>
      <w:hyperlink w:anchor="_Toc498335683" w:history="1">
        <w:r>
          <w:rPr>
            <w:rStyle w:val="Hyperlink"/>
            <w:noProof/>
          </w:rPr>
          <w:t>Recommendation 11: Customs 42 procedure</w:t>
        </w:r>
        <w:r>
          <w:rPr>
            <w:noProof/>
            <w:webHidden/>
          </w:rPr>
          <w:tab/>
        </w:r>
        <w:r>
          <w:rPr>
            <w:noProof/>
            <w:webHidden/>
          </w:rPr>
          <w:fldChar w:fldCharType="begin"/>
        </w:r>
        <w:r>
          <w:rPr>
            <w:noProof/>
            <w:webHidden/>
          </w:rPr>
          <w:instrText xml:space="preserve"> PAGEREF _Toc498335683 \h </w:instrText>
        </w:r>
        <w:r>
          <w:rPr>
            <w:noProof/>
            <w:webHidden/>
          </w:rPr>
        </w:r>
        <w:r>
          <w:rPr>
            <w:noProof/>
            <w:webHidden/>
          </w:rPr>
          <w:fldChar w:fldCharType="separate"/>
        </w:r>
        <w:r>
          <w:rPr>
            <w:noProof/>
            <w:webHidden/>
          </w:rPr>
          <w:t>18</w:t>
        </w:r>
        <w:r>
          <w:rPr>
            <w:noProof/>
            <w:webHidden/>
          </w:rPr>
          <w:fldChar w:fldCharType="end"/>
        </w:r>
      </w:hyperlink>
    </w:p>
    <w:p>
      <w:pPr>
        <w:pStyle w:val="TableofFigures"/>
        <w:tabs>
          <w:tab w:val="right" w:leader="dot" w:pos="9061"/>
        </w:tabs>
        <w:rPr>
          <w:b/>
          <w:i/>
          <w:noProof/>
        </w:rPr>
      </w:pPr>
      <w:r>
        <w:rPr>
          <w:b/>
          <w:i/>
          <w:noProof/>
        </w:rPr>
        <w:fldChar w:fldCharType="end"/>
      </w:r>
    </w:p>
    <w:p>
      <w:pPr>
        <w:pStyle w:val="ManualHeading1"/>
        <w:rPr>
          <w:noProof/>
        </w:rPr>
      </w:pPr>
      <w:r>
        <w:rPr>
          <w:i/>
          <w:noProof/>
        </w:rPr>
        <w:br w:type="page"/>
      </w:r>
      <w:bookmarkStart w:id="3" w:name="_Toc498335640"/>
      <w:bookmarkStart w:id="4" w:name="Introduction"/>
      <w:r>
        <w:t>1.</w:t>
      </w:r>
      <w:r>
        <w:tab/>
      </w:r>
      <w:r>
        <w:rPr>
          <w:noProof/>
        </w:rPr>
        <w:t>Introduction</w:t>
      </w:r>
      <w:bookmarkEnd w:id="3"/>
    </w:p>
    <w:p>
      <w:pPr>
        <w:pStyle w:val="Text1"/>
        <w:ind w:left="0"/>
        <w:rPr>
          <w:noProof/>
        </w:rPr>
      </w:pPr>
      <w:r>
        <w:rPr>
          <w:noProof/>
        </w:rPr>
        <w:t xml:space="preserve">Article 12 of Council Regulation 1553/89 on the definitive uniform arrangements for the collection of own resources accruing from VAT requires the Commission to submit a report every three years to the European Parliament and the Council on the procedures applied in the Member States for registering taxable persons and determining and collecting VAT, as well as on the modalities and results of their VAT control systems. </w:t>
      </w:r>
    </w:p>
    <w:p>
      <w:pPr>
        <w:pStyle w:val="Text1"/>
        <w:ind w:left="0"/>
        <w:rPr>
          <w:noProof/>
        </w:rPr>
      </w:pPr>
      <w:r>
        <w:rPr>
          <w:noProof/>
        </w:rPr>
        <w:t xml:space="preserve">The present eighth report covers the developments in the period 2013 to 2016. The numerical data refer to the period between 2013 and 2015. For the preparation of this report, the Commission collected information from all EU Member States tax authorities through a questionnaire. Additionally, in order to obtain more precise information and clarify some of the answers to the questionnaire, the Commission services visited ten Member States. </w:t>
      </w:r>
    </w:p>
    <w:p>
      <w:pPr>
        <w:pStyle w:val="Text1"/>
        <w:ind w:left="0"/>
        <w:rPr>
          <w:noProof/>
        </w:rPr>
      </w:pPr>
      <w:r>
        <w:rPr>
          <w:noProof/>
        </w:rPr>
        <w:t xml:space="preserve">Chapter 2 of the report explains the importance of VAT and the challenges stemming from the VAT gap for tax administrations. The main findings are presented in chapter 3 of this report, following the core phases of VAT administration: VAT registration and deregistration, VAT filing and payment, recovery of VAT debts, VAT refund, VAT audit and investigation. The findings reveal certain trends in VAT administration and lead to recommendations so as to complement the ongoing modernisation of the EU VAT System. The recommendations are presented with the relevant findings. Chapter 3 reports on the implementation of recommendations made in the previous Article 12 report that encompassed suggestions for tax administration improvements. Finally, a strategic view on the VAT administration is highlighted in chapter 4. </w:t>
      </w:r>
    </w:p>
    <w:p>
      <w:pPr>
        <w:pStyle w:val="Text1"/>
        <w:ind w:left="0"/>
        <w:rPr>
          <w:noProof/>
        </w:rPr>
      </w:pPr>
      <w:r>
        <w:rPr>
          <w:noProof/>
        </w:rPr>
        <w:t>This report is based on information received from national tax administrations. The quality and accuracy of the data varied significantly. Furthermore, since tax administrations are increasingly organised around integrated processes for all types of taxes, it was sometimes difficult to isolate specific VAT issues from the wider tax administration structure. Finally, social political, geographical, economic and historical specificities influencing the structure and organization of a national VAT collection and control system are beyond the scope of this report.</w:t>
      </w:r>
    </w:p>
    <w:p>
      <w:pPr>
        <w:pStyle w:val="ManualHeading1"/>
        <w:rPr>
          <w:noProof/>
        </w:rPr>
      </w:pPr>
      <w:bookmarkStart w:id="5" w:name="_Toc498335641"/>
      <w:r>
        <w:t>2.</w:t>
      </w:r>
      <w:r>
        <w:tab/>
      </w:r>
      <w:r>
        <w:rPr>
          <w:noProof/>
        </w:rPr>
        <w:t>The importance of VAT as an EU revenue</w:t>
      </w:r>
      <w:bookmarkEnd w:id="5"/>
      <w:r>
        <w:rPr>
          <w:noProof/>
        </w:rPr>
        <w:t xml:space="preserve"> </w:t>
      </w:r>
    </w:p>
    <w:bookmarkEnd w:id="4"/>
    <w:p>
      <w:pPr>
        <w:spacing w:after="240"/>
        <w:jc w:val="both"/>
        <w:rPr>
          <w:rFonts w:ascii="Times New Roman" w:hAnsi="Times New Roman" w:cs="Times New Roman"/>
          <w:noProof/>
          <w:sz w:val="24"/>
          <w:szCs w:val="24"/>
          <w:lang w:eastAsia="ja-JP"/>
        </w:rPr>
      </w:pPr>
      <w:r>
        <w:rPr>
          <w:rFonts w:ascii="Times New Roman" w:hAnsi="Times New Roman" w:cs="Times New Roman"/>
          <w:b/>
          <w:noProof/>
          <w:sz w:val="24"/>
          <w:szCs w:val="24"/>
          <w:lang w:eastAsia="ja-JP"/>
        </w:rPr>
        <w:t>VAT revenues</w:t>
      </w:r>
      <w:r>
        <w:rPr>
          <w:rFonts w:ascii="Times New Roman" w:hAnsi="Times New Roman" w:cs="Times New Roman"/>
          <w:noProof/>
          <w:sz w:val="24"/>
          <w:szCs w:val="24"/>
          <w:lang w:eastAsia="ja-JP"/>
        </w:rPr>
        <w:t xml:space="preserve"> are an important source of income for the Member States' and the EU budgets. The total VAT based own resource revenue for the EU budget increased from EUR 14.019 billion in 2013 to EUR </w:t>
      </w:r>
      <w:r>
        <w:rPr>
          <w:rFonts w:ascii="Times New Roman" w:hAnsi="Times New Roman" w:cs="Times New Roman"/>
          <w:b/>
          <w:noProof/>
          <w:sz w:val="24"/>
          <w:szCs w:val="24"/>
          <w:lang w:eastAsia="ja-JP"/>
        </w:rPr>
        <w:t xml:space="preserve">18.087 billion </w:t>
      </w:r>
      <w:r>
        <w:rPr>
          <w:rFonts w:ascii="Times New Roman" w:hAnsi="Times New Roman" w:cs="Times New Roman"/>
          <w:noProof/>
          <w:sz w:val="24"/>
          <w:szCs w:val="24"/>
          <w:lang w:eastAsia="ja-JP"/>
        </w:rPr>
        <w:t xml:space="preserve">in 2015. This corresponds to the relative share of VAT own resource revenue paid by the Member States in total own resources increasing by three percentage points from 9.4 percent in 2013 to 12.4 percent in 2015. </w:t>
      </w:r>
    </w:p>
    <w:p>
      <w:pPr>
        <w:pStyle w:val="Caption"/>
        <w:rPr>
          <w:b w:val="0"/>
          <w:i/>
          <w:noProof/>
          <w:sz w:val="24"/>
          <w:lang w:eastAsia="ja-JP"/>
        </w:rPr>
      </w:pPr>
      <w:bookmarkStart w:id="6" w:name="_Toc498335659"/>
      <w:r>
        <w:rPr>
          <w:i/>
          <w:noProof/>
          <w:sz w:val="24"/>
          <w:szCs w:val="24"/>
          <w:u w:val="single"/>
        </w:rPr>
        <w:t xml:space="preserve">Table </w:t>
      </w:r>
      <w:r>
        <w:rPr>
          <w:i/>
          <w:noProof/>
          <w:sz w:val="24"/>
          <w:szCs w:val="24"/>
          <w:u w:val="single"/>
        </w:rPr>
        <w:fldChar w:fldCharType="begin"/>
      </w:r>
      <w:r>
        <w:rPr>
          <w:i/>
          <w:noProof/>
          <w:sz w:val="24"/>
          <w:szCs w:val="24"/>
          <w:u w:val="single"/>
        </w:rPr>
        <w:instrText xml:space="preserve"> SEQ Table \* ARABIC </w:instrText>
      </w:r>
      <w:r>
        <w:rPr>
          <w:i/>
          <w:noProof/>
          <w:sz w:val="24"/>
          <w:szCs w:val="24"/>
          <w:u w:val="single"/>
        </w:rPr>
        <w:fldChar w:fldCharType="separate"/>
      </w:r>
      <w:r>
        <w:rPr>
          <w:i/>
          <w:noProof/>
          <w:sz w:val="24"/>
          <w:szCs w:val="24"/>
          <w:u w:val="single"/>
        </w:rPr>
        <w:t>1</w:t>
      </w:r>
      <w:r>
        <w:rPr>
          <w:i/>
          <w:noProof/>
          <w:sz w:val="24"/>
          <w:szCs w:val="24"/>
          <w:u w:val="single"/>
        </w:rPr>
        <w:fldChar w:fldCharType="end"/>
      </w:r>
      <w:r>
        <w:rPr>
          <w:b w:val="0"/>
          <w:i/>
          <w:noProof/>
          <w:sz w:val="24"/>
          <w:szCs w:val="24"/>
          <w:u w:val="single"/>
          <w:lang w:eastAsia="ja-JP"/>
        </w:rPr>
        <w:t>:</w:t>
      </w:r>
      <w:r>
        <w:rPr>
          <w:i/>
          <w:noProof/>
          <w:sz w:val="24"/>
          <w:szCs w:val="24"/>
          <w:lang w:eastAsia="ja-JP"/>
        </w:rPr>
        <w:t xml:space="preserve"> </w:t>
      </w:r>
      <w:r>
        <w:rPr>
          <w:b w:val="0"/>
          <w:i/>
          <w:noProof/>
          <w:sz w:val="24"/>
          <w:lang w:eastAsia="ja-JP"/>
        </w:rPr>
        <w:t>EU’s total revenue from the VAT own resource in the reporting period (2013-2015)</w:t>
      </w:r>
      <w:bookmarkEnd w:id="6"/>
    </w:p>
    <w:tbl>
      <w:tblPr>
        <w:tblW w:w="4701" w:type="pct"/>
        <w:tblInd w:w="144" w:type="dxa"/>
        <w:tblBorders>
          <w:insideH w:val="single" w:sz="8" w:space="0" w:color="1F497D" w:themeColor="text2"/>
        </w:tblBorders>
        <w:tblCellMar>
          <w:left w:w="144" w:type="dxa"/>
          <w:right w:w="144" w:type="dxa"/>
        </w:tblCellMar>
        <w:tblLook w:val="04A0" w:firstRow="1" w:lastRow="0" w:firstColumn="1" w:lastColumn="0" w:noHBand="0" w:noVBand="1"/>
      </w:tblPr>
      <w:tblGrid>
        <w:gridCol w:w="2980"/>
        <w:gridCol w:w="3118"/>
        <w:gridCol w:w="2701"/>
      </w:tblGrid>
      <w:tr>
        <w:trPr>
          <w:trHeight w:val="633"/>
        </w:trPr>
        <w:tc>
          <w:tcPr>
            <w:tcW w:w="1693" w:type="pct"/>
            <w:tcBorders>
              <w:bottom w:val="single" w:sz="12" w:space="0" w:color="1F497D" w:themeColor="text2"/>
            </w:tcBorders>
            <w:vAlign w:val="center"/>
          </w:tcPr>
          <w:p>
            <w:pPr>
              <w:spacing w:after="0"/>
              <w:rPr>
                <w:rFonts w:ascii="Times New Roman" w:hAnsi="Times New Roman" w:cs="Times New Roman"/>
                <w:noProof/>
                <w:u w:val="single"/>
              </w:rPr>
            </w:pPr>
            <w:r>
              <w:rPr>
                <w:rFonts w:ascii="Times New Roman" w:hAnsi="Times New Roman" w:cs="Times New Roman"/>
                <w:i/>
                <w:noProof/>
                <w:u w:val="single"/>
                <w:lang w:eastAsia="ja-JP"/>
              </w:rPr>
              <w:t xml:space="preserve"> </w:t>
            </w:r>
            <w:r>
              <w:rPr>
                <w:rFonts w:ascii="Times New Roman" w:hAnsi="Times New Roman" w:cs="Times New Roman"/>
                <w:noProof/>
                <w:u w:val="single"/>
              </w:rPr>
              <w:t>VAT OWN RESOURCE</w:t>
            </w:r>
          </w:p>
          <w:p>
            <w:pPr>
              <w:spacing w:after="0"/>
              <w:rPr>
                <w:rFonts w:ascii="Times New Roman" w:hAnsi="Times New Roman" w:cs="Times New Roman"/>
                <w:b/>
                <w:noProof/>
              </w:rPr>
            </w:pPr>
            <w:r>
              <w:rPr>
                <w:rFonts w:ascii="Times New Roman" w:hAnsi="Times New Roman" w:cs="Times New Roman"/>
                <w:noProof/>
              </w:rPr>
              <w:t>(EUR million)</w:t>
            </w:r>
          </w:p>
        </w:tc>
        <w:tc>
          <w:tcPr>
            <w:tcW w:w="1772" w:type="pct"/>
            <w:tcBorders>
              <w:bottom w:val="single" w:sz="12" w:space="0" w:color="1F497D" w:themeColor="text2"/>
            </w:tcBorders>
            <w:vAlign w:val="center"/>
          </w:tcPr>
          <w:p>
            <w:pPr>
              <w:spacing w:after="0"/>
              <w:rPr>
                <w:rFonts w:ascii="Times New Roman" w:hAnsi="Times New Roman" w:cs="Times New Roman"/>
                <w:b/>
                <w:noProof/>
              </w:rPr>
            </w:pPr>
            <w:r>
              <w:rPr>
                <w:rFonts w:ascii="Times New Roman" w:hAnsi="Times New Roman" w:cs="Times New Roman"/>
                <w:noProof/>
              </w:rPr>
              <w:t>Total EU VAT revenue</w:t>
            </w:r>
          </w:p>
        </w:tc>
        <w:tc>
          <w:tcPr>
            <w:tcW w:w="1535" w:type="pct"/>
            <w:tcBorders>
              <w:bottom w:val="single" w:sz="12" w:space="0" w:color="1F497D" w:themeColor="text2"/>
            </w:tcBorders>
            <w:vAlign w:val="center"/>
          </w:tcPr>
          <w:p>
            <w:pPr>
              <w:spacing w:after="0"/>
              <w:rPr>
                <w:rFonts w:ascii="Times New Roman" w:hAnsi="Times New Roman" w:cs="Times New Roman"/>
                <w:b/>
                <w:noProof/>
              </w:rPr>
            </w:pPr>
            <w:r>
              <w:rPr>
                <w:rFonts w:ascii="Times New Roman" w:hAnsi="Times New Roman" w:cs="Times New Roman"/>
                <w:noProof/>
              </w:rPr>
              <w:t>Percentage of EU's total revenue</w:t>
            </w:r>
          </w:p>
        </w:tc>
      </w:tr>
      <w:tr>
        <w:trPr>
          <w:trHeight w:val="444"/>
        </w:trPr>
        <w:tc>
          <w:tcPr>
            <w:tcW w:w="1693" w:type="pct"/>
            <w:tcBorders>
              <w:top w:val="single" w:sz="12" w:space="0" w:color="1F497D" w:themeColor="text2"/>
              <w:bottom w:val="single" w:sz="8" w:space="0" w:color="1F497D" w:themeColor="text2"/>
            </w:tcBorders>
            <w:vAlign w:val="center"/>
          </w:tcPr>
          <w:p>
            <w:pPr>
              <w:spacing w:after="0"/>
              <w:rPr>
                <w:rFonts w:ascii="Times New Roman" w:hAnsi="Times New Roman" w:cs="Times New Roman"/>
                <w:noProof/>
                <w:color w:val="015685"/>
                <w:sz w:val="20"/>
              </w:rPr>
            </w:pPr>
            <w:r>
              <w:rPr>
                <w:rFonts w:ascii="Times New Roman" w:hAnsi="Times New Roman" w:cs="Times New Roman"/>
                <w:noProof/>
                <w:color w:val="015685"/>
                <w:sz w:val="20"/>
              </w:rPr>
              <w:t>2013</w:t>
            </w:r>
          </w:p>
        </w:tc>
        <w:tc>
          <w:tcPr>
            <w:tcW w:w="1772" w:type="pct"/>
            <w:tcBorders>
              <w:top w:val="single" w:sz="12" w:space="0" w:color="1F497D" w:themeColor="text2"/>
              <w:bottom w:val="single" w:sz="8" w:space="0" w:color="1F497D" w:themeColor="text2"/>
            </w:tcBorders>
            <w:vAlign w:val="center"/>
          </w:tcPr>
          <w:p>
            <w:pPr>
              <w:spacing w:after="0"/>
              <w:rPr>
                <w:rFonts w:ascii="Times New Roman" w:hAnsi="Times New Roman" w:cs="Times New Roman"/>
                <w:b/>
                <w:noProof/>
                <w:color w:val="015685"/>
                <w:sz w:val="20"/>
              </w:rPr>
            </w:pPr>
            <w:r>
              <w:rPr>
                <w:rFonts w:ascii="Times New Roman" w:hAnsi="Times New Roman" w:cs="Times New Roman"/>
                <w:b/>
                <w:noProof/>
                <w:color w:val="015685"/>
                <w:sz w:val="20"/>
              </w:rPr>
              <w:t>14 019</w:t>
            </w:r>
          </w:p>
        </w:tc>
        <w:tc>
          <w:tcPr>
            <w:tcW w:w="1535" w:type="pct"/>
            <w:tcBorders>
              <w:top w:val="single" w:sz="12" w:space="0" w:color="1F497D" w:themeColor="text2"/>
              <w:bottom w:val="single" w:sz="8" w:space="0" w:color="1F497D" w:themeColor="text2"/>
            </w:tcBorders>
            <w:vAlign w:val="center"/>
          </w:tcPr>
          <w:p>
            <w:pPr>
              <w:spacing w:after="0"/>
              <w:rPr>
                <w:rFonts w:ascii="Times New Roman" w:hAnsi="Times New Roman" w:cs="Times New Roman"/>
                <w:b/>
                <w:noProof/>
                <w:color w:val="015685"/>
                <w:sz w:val="20"/>
              </w:rPr>
            </w:pPr>
            <w:r>
              <w:rPr>
                <w:rFonts w:ascii="Times New Roman" w:hAnsi="Times New Roman" w:cs="Times New Roman"/>
                <w:b/>
                <w:noProof/>
                <w:color w:val="015685"/>
                <w:sz w:val="20"/>
              </w:rPr>
              <w:t>9.4 %</w:t>
            </w:r>
          </w:p>
        </w:tc>
      </w:tr>
      <w:tr>
        <w:trPr>
          <w:trHeight w:val="444"/>
        </w:trPr>
        <w:tc>
          <w:tcPr>
            <w:tcW w:w="1693" w:type="pct"/>
            <w:tcBorders>
              <w:top w:val="single" w:sz="8" w:space="0" w:color="1F497D" w:themeColor="text2"/>
            </w:tcBorders>
            <w:vAlign w:val="center"/>
          </w:tcPr>
          <w:p>
            <w:pPr>
              <w:spacing w:after="0"/>
              <w:rPr>
                <w:rFonts w:ascii="Times New Roman" w:hAnsi="Times New Roman" w:cs="Times New Roman"/>
                <w:noProof/>
                <w:color w:val="38906C"/>
                <w:sz w:val="20"/>
              </w:rPr>
            </w:pPr>
            <w:r>
              <w:rPr>
                <w:rFonts w:ascii="Times New Roman" w:hAnsi="Times New Roman" w:cs="Times New Roman"/>
                <w:noProof/>
                <w:color w:val="38906C"/>
                <w:sz w:val="20"/>
              </w:rPr>
              <w:t>2014</w:t>
            </w:r>
          </w:p>
        </w:tc>
        <w:tc>
          <w:tcPr>
            <w:tcW w:w="1772" w:type="pct"/>
            <w:tcBorders>
              <w:top w:val="single" w:sz="8" w:space="0" w:color="1F497D" w:themeColor="text2"/>
            </w:tcBorders>
            <w:vAlign w:val="center"/>
          </w:tcPr>
          <w:p>
            <w:pPr>
              <w:spacing w:after="0"/>
              <w:rPr>
                <w:rFonts w:ascii="Times New Roman" w:hAnsi="Times New Roman" w:cs="Times New Roman"/>
                <w:b/>
                <w:noProof/>
                <w:color w:val="38906C"/>
                <w:sz w:val="20"/>
              </w:rPr>
            </w:pPr>
            <w:r>
              <w:rPr>
                <w:rFonts w:ascii="Times New Roman" w:hAnsi="Times New Roman" w:cs="Times New Roman"/>
                <w:b/>
                <w:noProof/>
                <w:color w:val="38906C"/>
                <w:sz w:val="20"/>
              </w:rPr>
              <w:t>17 667</w:t>
            </w:r>
          </w:p>
        </w:tc>
        <w:tc>
          <w:tcPr>
            <w:tcW w:w="1535" w:type="pct"/>
            <w:tcBorders>
              <w:top w:val="single" w:sz="8" w:space="0" w:color="1F497D" w:themeColor="text2"/>
            </w:tcBorders>
            <w:vAlign w:val="center"/>
          </w:tcPr>
          <w:p>
            <w:pPr>
              <w:spacing w:after="0"/>
              <w:rPr>
                <w:rFonts w:ascii="Times New Roman" w:hAnsi="Times New Roman" w:cs="Times New Roman"/>
                <w:b/>
                <w:noProof/>
                <w:color w:val="38906C"/>
                <w:sz w:val="20"/>
              </w:rPr>
            </w:pPr>
            <w:r>
              <w:rPr>
                <w:rFonts w:ascii="Times New Roman" w:hAnsi="Times New Roman" w:cs="Times New Roman"/>
                <w:b/>
                <w:noProof/>
                <w:color w:val="38906C"/>
                <w:sz w:val="20"/>
              </w:rPr>
              <w:t>12.3%</w:t>
            </w:r>
          </w:p>
        </w:tc>
      </w:tr>
      <w:tr>
        <w:trPr>
          <w:trHeight w:val="444"/>
        </w:trPr>
        <w:tc>
          <w:tcPr>
            <w:tcW w:w="1693" w:type="pct"/>
            <w:vAlign w:val="center"/>
          </w:tcPr>
          <w:p>
            <w:pPr>
              <w:spacing w:after="0"/>
              <w:rPr>
                <w:rFonts w:ascii="Times New Roman" w:hAnsi="Times New Roman" w:cs="Times New Roman"/>
                <w:noProof/>
                <w:color w:val="FE8D26"/>
                <w:sz w:val="20"/>
              </w:rPr>
            </w:pPr>
            <w:r>
              <w:rPr>
                <w:rFonts w:ascii="Times New Roman" w:hAnsi="Times New Roman" w:cs="Times New Roman"/>
                <w:noProof/>
                <w:color w:val="FE8D26"/>
                <w:sz w:val="20"/>
              </w:rPr>
              <w:t>2015</w:t>
            </w:r>
          </w:p>
        </w:tc>
        <w:tc>
          <w:tcPr>
            <w:tcW w:w="1772" w:type="pct"/>
            <w:vAlign w:val="center"/>
          </w:tcPr>
          <w:p>
            <w:pPr>
              <w:spacing w:after="0"/>
              <w:rPr>
                <w:rFonts w:ascii="Times New Roman" w:hAnsi="Times New Roman" w:cs="Times New Roman"/>
                <w:b/>
                <w:noProof/>
                <w:color w:val="FE8D26"/>
                <w:sz w:val="20"/>
              </w:rPr>
            </w:pPr>
            <w:r>
              <w:rPr>
                <w:rFonts w:ascii="Times New Roman" w:hAnsi="Times New Roman" w:cs="Times New Roman"/>
                <w:b/>
                <w:noProof/>
                <w:color w:val="FE8D26"/>
                <w:sz w:val="20"/>
              </w:rPr>
              <w:t>18 087</w:t>
            </w:r>
          </w:p>
        </w:tc>
        <w:tc>
          <w:tcPr>
            <w:tcW w:w="1535" w:type="pct"/>
            <w:vAlign w:val="center"/>
          </w:tcPr>
          <w:p>
            <w:pPr>
              <w:spacing w:after="0"/>
              <w:rPr>
                <w:rFonts w:ascii="Times New Roman" w:hAnsi="Times New Roman" w:cs="Times New Roman"/>
                <w:b/>
                <w:noProof/>
                <w:color w:val="FE8D26"/>
                <w:sz w:val="20"/>
              </w:rPr>
            </w:pPr>
            <w:r>
              <w:rPr>
                <w:rFonts w:ascii="Times New Roman" w:hAnsi="Times New Roman" w:cs="Times New Roman"/>
                <w:b/>
                <w:noProof/>
                <w:color w:val="FE8D26"/>
                <w:sz w:val="20"/>
              </w:rPr>
              <w:t>12.4 %</w:t>
            </w:r>
          </w:p>
        </w:tc>
      </w:tr>
    </w:tbl>
    <w:p>
      <w:pPr>
        <w:pStyle w:val="NORMAL0"/>
        <w:spacing w:after="240" w:line="276" w:lineRule="auto"/>
        <w:rPr>
          <w:rFonts w:ascii="Times New Roman" w:eastAsiaTheme="minorHAnsi" w:hAnsi="Times New Roman" w:cs="Times New Roman"/>
          <w:i/>
          <w:noProof/>
          <w:sz w:val="18"/>
          <w:szCs w:val="18"/>
          <w:lang w:val="fr-BE" w:eastAsia="ja-JP"/>
        </w:rPr>
      </w:pPr>
      <w:r>
        <w:rPr>
          <w:rFonts w:ascii="Times New Roman" w:eastAsiaTheme="minorHAnsi" w:hAnsi="Times New Roman" w:cs="Times New Roman"/>
          <w:i/>
          <w:noProof/>
          <w:sz w:val="18"/>
          <w:szCs w:val="18"/>
          <w:lang w:val="fr-BE" w:eastAsia="ja-JP"/>
        </w:rPr>
        <w:t>Source: EU budget (DG BUDG Financial reports 2013, 2014, 2015)</w:t>
      </w:r>
    </w:p>
    <w:p>
      <w:pPr>
        <w:spacing w:after="240"/>
        <w:jc w:val="both"/>
        <w:rPr>
          <w:rFonts w:ascii="Times New Roman" w:hAnsi="Times New Roman" w:cs="Times New Roman"/>
          <w:noProof/>
          <w:sz w:val="24"/>
          <w:szCs w:val="24"/>
          <w:lang w:eastAsia="ja-JP"/>
        </w:rPr>
      </w:pPr>
      <w:r>
        <w:rPr>
          <w:rFonts w:ascii="Times New Roman" w:hAnsi="Times New Roman" w:cs="Times New Roman"/>
          <w:noProof/>
          <w:sz w:val="24"/>
          <w:szCs w:val="24"/>
          <w:lang w:eastAsia="ja-JP"/>
        </w:rPr>
        <w:t xml:space="preserve">However, the size of the </w:t>
      </w:r>
      <w:r>
        <w:rPr>
          <w:rFonts w:ascii="Times New Roman" w:hAnsi="Times New Roman" w:cs="Times New Roman"/>
          <w:b/>
          <w:noProof/>
          <w:sz w:val="24"/>
          <w:szCs w:val="24"/>
          <w:lang w:eastAsia="ja-JP"/>
        </w:rPr>
        <w:t>VAT Gap</w:t>
      </w:r>
      <w:r>
        <w:rPr>
          <w:rFonts w:ascii="Times New Roman" w:hAnsi="Times New Roman" w:cs="Times New Roman"/>
          <w:noProof/>
          <w:sz w:val="24"/>
          <w:szCs w:val="24"/>
          <w:lang w:eastAsia="ja-JP"/>
        </w:rPr>
        <w:t xml:space="preserve">, that is the difference between the amounts of total VAT revenue collected and the theoretical amounts that are expected to be collected, is significant in the EU. In the period 2011-2015, the VAT Gap first increased, reaching its top in 2013, and then decreased, reaching its lowest percentage in 2015 (around </w:t>
      </w:r>
      <w:r>
        <w:rPr>
          <w:rFonts w:ascii="Times New Roman" w:hAnsi="Times New Roman" w:cs="Times New Roman"/>
          <w:b/>
          <w:noProof/>
          <w:sz w:val="24"/>
          <w:szCs w:val="24"/>
          <w:lang w:eastAsia="ja-JP"/>
        </w:rPr>
        <w:t>152 billion euro</w:t>
      </w:r>
      <w:r>
        <w:rPr>
          <w:rFonts w:ascii="Times New Roman" w:hAnsi="Times New Roman" w:cs="Times New Roman"/>
          <w:noProof/>
          <w:sz w:val="24"/>
          <w:szCs w:val="24"/>
          <w:lang w:eastAsia="ja-JP"/>
        </w:rPr>
        <w:t>).</w:t>
      </w:r>
    </w:p>
    <w:p>
      <w:pPr>
        <w:spacing w:before="240"/>
        <w:rPr>
          <w:rFonts w:ascii="Times New Roman" w:hAnsi="Times New Roman" w:cs="Times New Roman"/>
          <w:bCs/>
          <w:i/>
          <w:noProof/>
          <w:szCs w:val="24"/>
          <w:lang w:eastAsia="ja-JP"/>
        </w:rPr>
      </w:pPr>
      <w:bookmarkStart w:id="7" w:name="_Toc498335661"/>
      <w:r>
        <w:rPr>
          <w:rFonts w:ascii="Times New Roman" w:hAnsi="Times New Roman" w:cs="Times New Roman"/>
          <w:bCs/>
          <w:i/>
          <w:noProof/>
          <w:szCs w:val="24"/>
          <w:u w:val="single"/>
        </w:rPr>
        <w:t xml:space="preserve">Figure </w:t>
      </w:r>
      <w:r>
        <w:rPr>
          <w:rFonts w:ascii="Times New Roman" w:hAnsi="Times New Roman" w:cs="Times New Roman"/>
          <w:bCs/>
          <w:i/>
          <w:noProof/>
          <w:szCs w:val="24"/>
          <w:u w:val="single"/>
        </w:rPr>
        <w:fldChar w:fldCharType="begin"/>
      </w:r>
      <w:r>
        <w:rPr>
          <w:rFonts w:ascii="Times New Roman" w:hAnsi="Times New Roman" w:cs="Times New Roman"/>
          <w:bCs/>
          <w:i/>
          <w:noProof/>
          <w:szCs w:val="24"/>
          <w:u w:val="single"/>
        </w:rPr>
        <w:instrText xml:space="preserve"> SEQ Figure \* ARABIC </w:instrText>
      </w:r>
      <w:r>
        <w:rPr>
          <w:rFonts w:ascii="Times New Roman" w:hAnsi="Times New Roman" w:cs="Times New Roman"/>
          <w:bCs/>
          <w:i/>
          <w:noProof/>
          <w:szCs w:val="24"/>
          <w:u w:val="single"/>
        </w:rPr>
        <w:fldChar w:fldCharType="separate"/>
      </w:r>
      <w:r>
        <w:rPr>
          <w:rFonts w:ascii="Times New Roman" w:hAnsi="Times New Roman" w:cs="Times New Roman"/>
          <w:bCs/>
          <w:i/>
          <w:noProof/>
          <w:szCs w:val="24"/>
          <w:u w:val="single"/>
        </w:rPr>
        <w:t>1</w:t>
      </w:r>
      <w:r>
        <w:rPr>
          <w:rFonts w:ascii="Times New Roman" w:hAnsi="Times New Roman" w:cs="Times New Roman"/>
          <w:bCs/>
          <w:i/>
          <w:noProof/>
          <w:szCs w:val="24"/>
          <w:u w:val="single"/>
        </w:rPr>
        <w:fldChar w:fldCharType="end"/>
      </w:r>
      <w:r>
        <w:rPr>
          <w:rFonts w:ascii="Times New Roman" w:hAnsi="Times New Roman" w:cs="Times New Roman"/>
          <w:bCs/>
          <w:i/>
          <w:noProof/>
          <w:szCs w:val="24"/>
          <w:u w:val="single"/>
          <w:lang w:eastAsia="ja-JP"/>
        </w:rPr>
        <w:t>:</w:t>
      </w:r>
      <w:r>
        <w:rPr>
          <w:rFonts w:ascii="Times New Roman" w:hAnsi="Times New Roman" w:cs="Times New Roman"/>
          <w:bCs/>
          <w:i/>
          <w:noProof/>
          <w:szCs w:val="24"/>
          <w:lang w:eastAsia="ja-JP"/>
        </w:rPr>
        <w:t xml:space="preserve"> VAT Gap in EU 2011-2015 (in percent of VAT total liability (VTTL) and in EUR billion)</w:t>
      </w:r>
      <w:bookmarkEnd w:id="7"/>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4"/>
      </w:tblGrid>
      <w:tr>
        <w:trPr>
          <w:trHeight w:val="316"/>
        </w:trPr>
        <w:tc>
          <w:tcPr>
            <w:tcW w:w="4644" w:type="dxa"/>
            <w:vAlign w:val="center"/>
          </w:tcPr>
          <w:p>
            <w:pPr>
              <w:jc w:val="center"/>
              <w:rPr>
                <w:rFonts w:ascii="Times New Roman" w:hAnsi="Times New Roman"/>
                <w:noProof/>
              </w:rPr>
            </w:pPr>
            <w:r>
              <w:rPr>
                <w:rFonts w:ascii="Times New Roman" w:hAnsi="Times New Roman"/>
                <w:noProof/>
              </w:rPr>
              <w:t>VAT Gap (percent of VTTL)</w:t>
            </w:r>
          </w:p>
        </w:tc>
        <w:tc>
          <w:tcPr>
            <w:tcW w:w="4644" w:type="dxa"/>
            <w:vAlign w:val="center"/>
          </w:tcPr>
          <w:p>
            <w:pPr>
              <w:jc w:val="center"/>
              <w:rPr>
                <w:rFonts w:ascii="Times New Roman" w:hAnsi="Times New Roman"/>
                <w:noProof/>
              </w:rPr>
            </w:pPr>
            <w:r>
              <w:rPr>
                <w:rFonts w:ascii="Times New Roman" w:hAnsi="Times New Roman"/>
                <w:noProof/>
                <w:lang w:val="fr-BE"/>
              </w:rPr>
              <w:t>VAT Gap (EUR billion)</w:t>
            </w:r>
          </w:p>
        </w:tc>
      </w:tr>
      <w:tr>
        <w:trPr>
          <w:trHeight w:val="2344"/>
        </w:trPr>
        <w:tc>
          <w:tcPr>
            <w:tcW w:w="4644" w:type="dxa"/>
          </w:tcPr>
          <w:p>
            <w:pPr>
              <w:rPr>
                <w:rFonts w:ascii="Times New Roman" w:hAnsi="Times New Roman"/>
                <w:noProof/>
                <w:lang w:eastAsia="ja-JP"/>
              </w:rPr>
            </w:pPr>
            <w:r>
              <w:rPr>
                <w:rFonts w:ascii="Times New Roman" w:hAnsi="Times New Roman"/>
                <w:noProof/>
              </w:rPr>
              <w:drawing>
                <wp:inline distT="0" distB="0" distL="0" distR="0">
                  <wp:extent cx="2830664" cy="1558456"/>
                  <wp:effectExtent l="0" t="0" r="27305" b="22860"/>
                  <wp:docPr id="227" name="Chart 22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tc>
        <w:tc>
          <w:tcPr>
            <w:tcW w:w="4644" w:type="dxa"/>
          </w:tcPr>
          <w:p>
            <w:pPr>
              <w:rPr>
                <w:rFonts w:ascii="Times New Roman" w:hAnsi="Times New Roman"/>
                <w:noProof/>
                <w:lang w:eastAsia="ja-JP"/>
              </w:rPr>
            </w:pPr>
            <w:r>
              <w:rPr>
                <w:rFonts w:ascii="Times New Roman" w:hAnsi="Times New Roman"/>
                <w:noProof/>
              </w:rPr>
              <w:drawing>
                <wp:inline distT="0" distB="0" distL="0" distR="0">
                  <wp:extent cx="2830664" cy="1558456"/>
                  <wp:effectExtent l="0" t="0" r="27305" b="22860"/>
                  <wp:docPr id="228" name="Chart 228"/>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tc>
      </w:tr>
    </w:tbl>
    <w:p>
      <w:pPr>
        <w:spacing w:after="240"/>
        <w:rPr>
          <w:rFonts w:ascii="Times New Roman" w:hAnsi="Times New Roman" w:cs="Times New Roman"/>
          <w:i/>
          <w:noProof/>
          <w:sz w:val="18"/>
          <w:szCs w:val="18"/>
          <w:lang w:eastAsia="ja-JP"/>
        </w:rPr>
      </w:pPr>
      <w:r>
        <w:rPr>
          <w:rFonts w:ascii="Times New Roman" w:hAnsi="Times New Roman" w:cs="Times New Roman"/>
          <w:i/>
          <w:noProof/>
          <w:sz w:val="18"/>
          <w:szCs w:val="18"/>
          <w:lang w:eastAsia="ja-JP"/>
        </w:rPr>
        <w:t>Source: Study and Reports on the VAT Gap in the EU-28 Member States: 2017 Final Report</w:t>
      </w:r>
      <w:r>
        <w:rPr>
          <w:rStyle w:val="FootnoteReference"/>
          <w:rFonts w:ascii="Times New Roman" w:hAnsi="Times New Roman" w:cs="Times New Roman"/>
          <w:i/>
          <w:noProof/>
          <w:sz w:val="18"/>
          <w:szCs w:val="18"/>
          <w:lang w:eastAsia="ja-JP"/>
        </w:rPr>
        <w:footnoteReference w:id="1"/>
      </w:r>
    </w:p>
    <w:p>
      <w:pPr>
        <w:jc w:val="both"/>
        <w:rPr>
          <w:rFonts w:ascii="Times New Roman" w:hAnsi="Times New Roman" w:cs="Times New Roman"/>
          <w:noProof/>
          <w:sz w:val="24"/>
          <w:szCs w:val="24"/>
          <w:lang w:eastAsia="ja-JP"/>
        </w:rPr>
      </w:pPr>
      <w:r>
        <w:rPr>
          <w:rFonts w:ascii="Times New Roman" w:hAnsi="Times New Roman" w:cs="Times New Roman"/>
          <w:noProof/>
          <w:sz w:val="24"/>
          <w:szCs w:val="24"/>
          <w:lang w:eastAsia="ja-JP"/>
        </w:rPr>
        <w:t>The collection of VAT is among others impacted by the efficiency and effectiveness of tax administration processes and procedures. Consequently, the performance of tax administration influences the amount of VAT own resources due by Member States to the EU. Therefore, managing the VAT system is a critical part of tax administration.</w:t>
      </w:r>
      <w:r>
        <w:rPr>
          <w:rStyle w:val="FootnoteReference"/>
          <w:rFonts w:ascii="Times New Roman" w:hAnsi="Times New Roman" w:cs="Times New Roman"/>
          <w:noProof/>
          <w:sz w:val="24"/>
          <w:szCs w:val="24"/>
          <w:lang w:eastAsia="ja-JP"/>
        </w:rPr>
        <w:footnoteReference w:id="2"/>
      </w:r>
    </w:p>
    <w:p>
      <w:pPr>
        <w:pStyle w:val="ManualHeading1"/>
        <w:rPr>
          <w:noProof/>
        </w:rPr>
      </w:pPr>
      <w:bookmarkStart w:id="8" w:name="_Toc492395544"/>
      <w:bookmarkStart w:id="9" w:name="_Toc492395904"/>
      <w:bookmarkStart w:id="10" w:name="_Toc492395545"/>
      <w:bookmarkStart w:id="11" w:name="_Toc492395905"/>
      <w:bookmarkStart w:id="12" w:name="_Toc492395546"/>
      <w:bookmarkStart w:id="13" w:name="_Toc492395906"/>
      <w:bookmarkStart w:id="14" w:name="_Toc492395547"/>
      <w:bookmarkStart w:id="15" w:name="_Toc492395907"/>
      <w:bookmarkStart w:id="16" w:name="_Toc498335642"/>
      <w:bookmarkEnd w:id="8"/>
      <w:bookmarkEnd w:id="9"/>
      <w:bookmarkEnd w:id="10"/>
      <w:bookmarkEnd w:id="11"/>
      <w:bookmarkEnd w:id="12"/>
      <w:bookmarkEnd w:id="13"/>
      <w:bookmarkEnd w:id="14"/>
      <w:bookmarkEnd w:id="15"/>
      <w:r>
        <w:t>3.</w:t>
      </w:r>
      <w:r>
        <w:tab/>
      </w:r>
      <w:r>
        <w:rPr>
          <w:noProof/>
        </w:rPr>
        <w:t>Main findings</w:t>
      </w:r>
      <w:bookmarkStart w:id="17" w:name="_Toc492395550"/>
      <w:bookmarkStart w:id="18" w:name="_Toc492395910"/>
      <w:bookmarkStart w:id="19" w:name="_Toc492395551"/>
      <w:bookmarkStart w:id="20" w:name="_Toc492395911"/>
      <w:bookmarkStart w:id="21" w:name="_Toc492395552"/>
      <w:bookmarkStart w:id="22" w:name="_Toc492395912"/>
      <w:bookmarkStart w:id="23" w:name="_Toc492395553"/>
      <w:bookmarkStart w:id="24" w:name="_Toc492395913"/>
      <w:bookmarkStart w:id="25" w:name="_Toc492395554"/>
      <w:bookmarkStart w:id="26" w:name="_Toc492395914"/>
      <w:bookmarkStart w:id="27" w:name="_Toc492395555"/>
      <w:bookmarkStart w:id="28" w:name="_Toc492395915"/>
      <w:bookmarkStart w:id="29" w:name="_Toc492395556"/>
      <w:bookmarkStart w:id="30" w:name="_Toc492395916"/>
      <w:bookmarkStart w:id="31" w:name="_Toc492395558"/>
      <w:bookmarkStart w:id="32" w:name="_Toc492395918"/>
      <w:bookmarkStart w:id="33" w:name="_Toc492395559"/>
      <w:bookmarkStart w:id="34" w:name="_Toc492395919"/>
      <w:bookmarkStart w:id="35" w:name="_Toc492395560"/>
      <w:bookmarkStart w:id="36" w:name="_Toc492395920"/>
      <w:bookmarkStart w:id="37" w:name="_Toc492395562"/>
      <w:bookmarkStart w:id="38" w:name="_Toc492395922"/>
      <w:bookmarkStart w:id="39" w:name="_Toc492395563"/>
      <w:bookmarkStart w:id="40" w:name="_Toc492395923"/>
      <w:bookmarkStart w:id="41" w:name="_Toc492395564"/>
      <w:bookmarkStart w:id="42" w:name="_Toc492395924"/>
      <w:bookmarkStart w:id="43" w:name="_Toc492395566"/>
      <w:bookmarkStart w:id="44" w:name="_Toc492395926"/>
      <w:bookmarkStart w:id="45" w:name="_Toc492395567"/>
      <w:bookmarkStart w:id="46" w:name="_Toc492395927"/>
      <w:bookmarkStart w:id="47" w:name="_Toc492395568"/>
      <w:bookmarkStart w:id="48" w:name="_Toc492395928"/>
      <w:bookmarkStart w:id="49" w:name="_Toc492395570"/>
      <w:bookmarkStart w:id="50" w:name="_Toc492395930"/>
      <w:bookmarkStart w:id="51" w:name="_Toc492395571"/>
      <w:bookmarkStart w:id="52" w:name="_Toc492395931"/>
      <w:bookmarkStart w:id="53" w:name="_Toc492395572"/>
      <w:bookmarkStart w:id="54" w:name="_Toc492395932"/>
      <w:bookmarkStart w:id="55" w:name="_Toc492395573"/>
      <w:bookmarkStart w:id="56" w:name="_Toc492395933"/>
      <w:bookmarkStart w:id="57" w:name="_Toc492395574"/>
      <w:bookmarkStart w:id="58" w:name="_Toc492395934"/>
      <w:bookmarkStart w:id="59" w:name="_Toc492395575"/>
      <w:bookmarkStart w:id="60" w:name="_Toc492395935"/>
      <w:bookmarkStart w:id="61" w:name="_Toc492395576"/>
      <w:bookmarkStart w:id="62" w:name="_Toc492395936"/>
      <w:bookmarkStart w:id="63" w:name="_Toc492395577"/>
      <w:bookmarkStart w:id="64" w:name="_Toc492395937"/>
      <w:bookmarkStart w:id="65" w:name="_Toc492395578"/>
      <w:bookmarkStart w:id="66" w:name="_Toc492395938"/>
      <w:bookmarkStart w:id="67" w:name="_Toc492395579"/>
      <w:bookmarkStart w:id="68" w:name="_Toc492395939"/>
      <w:bookmarkStart w:id="69" w:name="_Toc492395580"/>
      <w:bookmarkStart w:id="70" w:name="_Toc492395940"/>
      <w:bookmarkStart w:id="71" w:name="_Toc492395581"/>
      <w:bookmarkStart w:id="72" w:name="_Toc492395941"/>
      <w:bookmarkStart w:id="73" w:name="_Toc492395582"/>
      <w:bookmarkStart w:id="74" w:name="_Toc492395942"/>
      <w:bookmarkStart w:id="75" w:name="_Toc492395583"/>
      <w:bookmarkStart w:id="76" w:name="_Toc492395943"/>
      <w:bookmarkStart w:id="77" w:name="_Toc492395584"/>
      <w:bookmarkStart w:id="78" w:name="_Toc492395944"/>
      <w:bookmarkStart w:id="79" w:name="_Toc492395586"/>
      <w:bookmarkStart w:id="80" w:name="_Toc492395946"/>
      <w:bookmarkStart w:id="81" w:name="_Toc492395587"/>
      <w:bookmarkStart w:id="82" w:name="_Toc492395947"/>
      <w:bookmarkStart w:id="83" w:name="_Toc492395588"/>
      <w:bookmarkStart w:id="84" w:name="_Toc492395948"/>
      <w:bookmarkStart w:id="85" w:name="_Toc492395589"/>
      <w:bookmarkStart w:id="86" w:name="_Toc492395949"/>
      <w:bookmarkStart w:id="87" w:name="_Toc492395590"/>
      <w:bookmarkStart w:id="88" w:name="_Toc492395950"/>
      <w:bookmarkStart w:id="89" w:name="_Toc492395591"/>
      <w:bookmarkStart w:id="90" w:name="_Toc492395951"/>
      <w:bookmarkStart w:id="91" w:name="_Toc492395592"/>
      <w:bookmarkStart w:id="92" w:name="_Toc492395952"/>
      <w:bookmarkStart w:id="93" w:name="_Toc492395594"/>
      <w:bookmarkStart w:id="94" w:name="_Toc492395954"/>
      <w:bookmarkStart w:id="95" w:name="_Toc492395595"/>
      <w:bookmarkStart w:id="96" w:name="_Toc492395955"/>
      <w:bookmarkStart w:id="97" w:name="_Toc492395596"/>
      <w:bookmarkStart w:id="98" w:name="_Toc492395956"/>
      <w:bookmarkStart w:id="99" w:name="_Toc492395597"/>
      <w:bookmarkStart w:id="100" w:name="_Toc492395957"/>
      <w:bookmarkStart w:id="101" w:name="_Toc492395598"/>
      <w:bookmarkStart w:id="102" w:name="_Toc492395958"/>
      <w:bookmarkStart w:id="103" w:name="_Toc492395599"/>
      <w:bookmarkStart w:id="104" w:name="_Toc492395959"/>
      <w:bookmarkStart w:id="105" w:name="_Toc492395600"/>
      <w:bookmarkStart w:id="106" w:name="_Toc492395960"/>
      <w:bookmarkStart w:id="107" w:name="_Toc492395602"/>
      <w:bookmarkStart w:id="108" w:name="_Toc492395962"/>
      <w:bookmarkStart w:id="109" w:name="_Toc492395603"/>
      <w:bookmarkStart w:id="110" w:name="_Toc492395963"/>
      <w:bookmarkStart w:id="111" w:name="_Toc492395604"/>
      <w:bookmarkStart w:id="112" w:name="_Toc492395964"/>
      <w:bookmarkStart w:id="113" w:name="_Toc492395605"/>
      <w:bookmarkStart w:id="114" w:name="_Toc492395965"/>
      <w:bookmarkStart w:id="115" w:name="_Toc492395606"/>
      <w:bookmarkStart w:id="116" w:name="_Toc492395966"/>
      <w:bookmarkStart w:id="117" w:name="_Toc492395607"/>
      <w:bookmarkStart w:id="118" w:name="_Toc492395967"/>
      <w:bookmarkStart w:id="119" w:name="_Toc492395608"/>
      <w:bookmarkStart w:id="120" w:name="_Toc492395968"/>
      <w:bookmarkStart w:id="121" w:name="_Toc492395610"/>
      <w:bookmarkStart w:id="122" w:name="_Toc492395970"/>
      <w:bookmarkStart w:id="123" w:name="_Toc492395611"/>
      <w:bookmarkStart w:id="124" w:name="_Toc492395971"/>
      <w:bookmarkStart w:id="125" w:name="_Toc492395612"/>
      <w:bookmarkStart w:id="126" w:name="_Toc492395972"/>
      <w:bookmarkStart w:id="127" w:name="_Toc492395613"/>
      <w:bookmarkStart w:id="128" w:name="_Toc492395973"/>
      <w:bookmarkStart w:id="129" w:name="_Toc492395614"/>
      <w:bookmarkStart w:id="130" w:name="_Toc492395974"/>
      <w:bookmarkStart w:id="131" w:name="_Toc492395615"/>
      <w:bookmarkStart w:id="132" w:name="_Toc492395975"/>
      <w:bookmarkStart w:id="133" w:name="_Toc492395616"/>
      <w:bookmarkStart w:id="134" w:name="_Toc492395976"/>
      <w:bookmarkStart w:id="135" w:name="_Toc492395618"/>
      <w:bookmarkStart w:id="136" w:name="_Toc492395978"/>
      <w:bookmarkStart w:id="137" w:name="_Toc492395619"/>
      <w:bookmarkStart w:id="138" w:name="_Toc492395979"/>
      <w:bookmarkStart w:id="139" w:name="_Toc492395620"/>
      <w:bookmarkStart w:id="140" w:name="_Toc492395980"/>
      <w:bookmarkStart w:id="141" w:name="_Toc492395621"/>
      <w:bookmarkStart w:id="142" w:name="_Toc492395981"/>
      <w:bookmarkStart w:id="143" w:name="_Toc492395622"/>
      <w:bookmarkStart w:id="144" w:name="_Toc492395982"/>
      <w:bookmarkStart w:id="145" w:name="_Toc492395623"/>
      <w:bookmarkStart w:id="146" w:name="_Toc492395983"/>
      <w:bookmarkStart w:id="147" w:name="_Toc492395624"/>
      <w:bookmarkStart w:id="148" w:name="_Toc492395984"/>
      <w:bookmarkStart w:id="149" w:name="_Toc492395626"/>
      <w:bookmarkStart w:id="150" w:name="_Toc492395986"/>
      <w:bookmarkStart w:id="151" w:name="_Toc492395627"/>
      <w:bookmarkStart w:id="152" w:name="_Toc492395987"/>
      <w:bookmarkStart w:id="153" w:name="_Toc492395628"/>
      <w:bookmarkStart w:id="154" w:name="_Toc492395988"/>
      <w:bookmarkStart w:id="155" w:name="_Toc492395629"/>
      <w:bookmarkStart w:id="156" w:name="_Toc492395989"/>
      <w:bookmarkStart w:id="157" w:name="_Toc492395630"/>
      <w:bookmarkStart w:id="158" w:name="_Toc492395990"/>
      <w:bookmarkStart w:id="159" w:name="_Toc492395631"/>
      <w:bookmarkStart w:id="160" w:name="_Toc492395991"/>
      <w:bookmarkStart w:id="161" w:name="_Toc492395632"/>
      <w:bookmarkStart w:id="162" w:name="_Toc492395992"/>
      <w:bookmarkStart w:id="163" w:name="_Toc492395634"/>
      <w:bookmarkStart w:id="164" w:name="_Toc492395994"/>
      <w:bookmarkStart w:id="165" w:name="_Toc492395635"/>
      <w:bookmarkStart w:id="166" w:name="_Toc492395995"/>
      <w:bookmarkStart w:id="167" w:name="_Toc492395636"/>
      <w:bookmarkStart w:id="168" w:name="_Toc492395996"/>
      <w:bookmarkStart w:id="169" w:name="_Toc492395637"/>
      <w:bookmarkStart w:id="170" w:name="_Toc492395997"/>
      <w:bookmarkStart w:id="171" w:name="_Toc492395638"/>
      <w:bookmarkStart w:id="172" w:name="_Toc492395998"/>
      <w:bookmarkStart w:id="173" w:name="_Toc492395639"/>
      <w:bookmarkStart w:id="174" w:name="_Toc492395999"/>
      <w:bookmarkStart w:id="175" w:name="_Toc492395640"/>
      <w:bookmarkStart w:id="176" w:name="_Toc492396000"/>
      <w:bookmarkStart w:id="177" w:name="_Toc492395642"/>
      <w:bookmarkStart w:id="178" w:name="_Toc492396002"/>
      <w:bookmarkStart w:id="179" w:name="_Toc492395643"/>
      <w:bookmarkStart w:id="180" w:name="_Toc492396003"/>
      <w:bookmarkStart w:id="181" w:name="_Toc492395644"/>
      <w:bookmarkStart w:id="182" w:name="_Toc492396004"/>
      <w:bookmarkStart w:id="183" w:name="_Toc492395645"/>
      <w:bookmarkStart w:id="184" w:name="_Toc492396005"/>
      <w:bookmarkStart w:id="185" w:name="_Toc492395646"/>
      <w:bookmarkStart w:id="186" w:name="_Toc492396006"/>
      <w:bookmarkStart w:id="187" w:name="_Toc492395647"/>
      <w:bookmarkStart w:id="188" w:name="_Toc492396007"/>
      <w:bookmarkStart w:id="189" w:name="_Toc492395648"/>
      <w:bookmarkStart w:id="190" w:name="_Toc492396008"/>
      <w:bookmarkStart w:id="191" w:name="_Toc492395650"/>
      <w:bookmarkStart w:id="192" w:name="_Toc492396010"/>
      <w:bookmarkStart w:id="193" w:name="_Toc492395651"/>
      <w:bookmarkStart w:id="194" w:name="_Toc492396011"/>
      <w:bookmarkStart w:id="195" w:name="_Toc492395652"/>
      <w:bookmarkStart w:id="196" w:name="_Toc492396012"/>
      <w:bookmarkStart w:id="197" w:name="_Toc492395653"/>
      <w:bookmarkStart w:id="198" w:name="_Toc492396013"/>
      <w:bookmarkStart w:id="199" w:name="_Toc492395654"/>
      <w:bookmarkStart w:id="200" w:name="_Toc492396014"/>
      <w:bookmarkStart w:id="201" w:name="_Toc492395655"/>
      <w:bookmarkStart w:id="202" w:name="_Toc492396015"/>
      <w:bookmarkStart w:id="203" w:name="_Toc492395656"/>
      <w:bookmarkStart w:id="204" w:name="_Toc492396016"/>
      <w:bookmarkStart w:id="205" w:name="_Toc492395658"/>
      <w:bookmarkStart w:id="206" w:name="_Toc492396018"/>
      <w:bookmarkStart w:id="207" w:name="_Toc492395659"/>
      <w:bookmarkStart w:id="208" w:name="_Toc492396019"/>
      <w:bookmarkStart w:id="209" w:name="_Toc492395660"/>
      <w:bookmarkStart w:id="210" w:name="_Toc492396020"/>
      <w:bookmarkStart w:id="211" w:name="_Toc492395661"/>
      <w:bookmarkStart w:id="212" w:name="_Toc492396021"/>
      <w:bookmarkStart w:id="213" w:name="_Toc492395662"/>
      <w:bookmarkStart w:id="214" w:name="_Toc492396022"/>
      <w:bookmarkStart w:id="215" w:name="_Toc492395663"/>
      <w:bookmarkStart w:id="216" w:name="_Toc492396023"/>
      <w:bookmarkStart w:id="217" w:name="_Toc492395664"/>
      <w:bookmarkStart w:id="218" w:name="_Toc492396024"/>
      <w:bookmarkStart w:id="219" w:name="_Toc492395666"/>
      <w:bookmarkStart w:id="220" w:name="_Toc492396026"/>
      <w:bookmarkStart w:id="221" w:name="_Toc492395667"/>
      <w:bookmarkStart w:id="222" w:name="_Toc492396027"/>
      <w:bookmarkStart w:id="223" w:name="_Toc492395668"/>
      <w:bookmarkStart w:id="224" w:name="_Toc492396028"/>
      <w:bookmarkStart w:id="225" w:name="_Toc492395669"/>
      <w:bookmarkStart w:id="226" w:name="_Toc492396029"/>
      <w:bookmarkStart w:id="227" w:name="_Toc492395670"/>
      <w:bookmarkStart w:id="228" w:name="_Toc492396030"/>
      <w:bookmarkStart w:id="229" w:name="_Toc492395671"/>
      <w:bookmarkStart w:id="230" w:name="_Toc492396031"/>
      <w:bookmarkStart w:id="231" w:name="_Toc492395672"/>
      <w:bookmarkStart w:id="232" w:name="_Toc492396032"/>
      <w:bookmarkStart w:id="233" w:name="_Toc492395674"/>
      <w:bookmarkStart w:id="234" w:name="_Toc492396034"/>
      <w:bookmarkStart w:id="235" w:name="_Toc492395675"/>
      <w:bookmarkStart w:id="236" w:name="_Toc492396035"/>
      <w:bookmarkStart w:id="237" w:name="_Toc492395676"/>
      <w:bookmarkStart w:id="238" w:name="_Toc492396036"/>
      <w:bookmarkStart w:id="239" w:name="_Toc492395677"/>
      <w:bookmarkStart w:id="240" w:name="_Toc492396037"/>
      <w:bookmarkStart w:id="241" w:name="_Toc492395678"/>
      <w:bookmarkStart w:id="242" w:name="_Toc492396038"/>
      <w:bookmarkStart w:id="243" w:name="_Toc492395679"/>
      <w:bookmarkStart w:id="244" w:name="_Toc492396039"/>
      <w:bookmarkStart w:id="245" w:name="_Toc492395680"/>
      <w:bookmarkStart w:id="246" w:name="_Toc492396040"/>
      <w:bookmarkStart w:id="247" w:name="_Toc492395682"/>
      <w:bookmarkStart w:id="248" w:name="_Toc492396042"/>
      <w:bookmarkStart w:id="249" w:name="_Toc492395683"/>
      <w:bookmarkStart w:id="250" w:name="_Toc492396043"/>
      <w:bookmarkStart w:id="251" w:name="_Toc492395684"/>
      <w:bookmarkStart w:id="252" w:name="_Toc492396044"/>
      <w:bookmarkStart w:id="253" w:name="_Toc492395685"/>
      <w:bookmarkStart w:id="254" w:name="_Toc492396045"/>
      <w:bookmarkStart w:id="255" w:name="_Toc492395686"/>
      <w:bookmarkStart w:id="256" w:name="_Toc492396046"/>
      <w:bookmarkStart w:id="257" w:name="_Toc492395687"/>
      <w:bookmarkStart w:id="258" w:name="_Toc492396047"/>
      <w:bookmarkStart w:id="259" w:name="_Toc492395688"/>
      <w:bookmarkStart w:id="260" w:name="_Toc492396048"/>
      <w:bookmarkStart w:id="261" w:name="_Toc492395690"/>
      <w:bookmarkStart w:id="262" w:name="_Toc492396050"/>
      <w:bookmarkStart w:id="263" w:name="_Toc492395691"/>
      <w:bookmarkStart w:id="264" w:name="_Toc492396051"/>
      <w:bookmarkStart w:id="265" w:name="_Toc492395692"/>
      <w:bookmarkStart w:id="266" w:name="_Toc492396052"/>
      <w:bookmarkStart w:id="267" w:name="_Toc492395693"/>
      <w:bookmarkStart w:id="268" w:name="_Toc492396053"/>
      <w:bookmarkStart w:id="269" w:name="_Toc492395694"/>
      <w:bookmarkStart w:id="270" w:name="_Toc492396054"/>
      <w:bookmarkStart w:id="271" w:name="_Toc492395695"/>
      <w:bookmarkStart w:id="272" w:name="_Toc492396055"/>
      <w:bookmarkStart w:id="273" w:name="_Toc492395696"/>
      <w:bookmarkStart w:id="274" w:name="_Toc492396056"/>
      <w:bookmarkStart w:id="275" w:name="_Toc492395698"/>
      <w:bookmarkStart w:id="276" w:name="_Toc492396058"/>
      <w:bookmarkStart w:id="277" w:name="_Toc492395699"/>
      <w:bookmarkStart w:id="278" w:name="_Toc492396059"/>
      <w:bookmarkStart w:id="279" w:name="_Toc492395700"/>
      <w:bookmarkStart w:id="280" w:name="_Toc492396060"/>
      <w:bookmarkStart w:id="281" w:name="_Toc492395701"/>
      <w:bookmarkStart w:id="282" w:name="_Toc492396061"/>
      <w:bookmarkStart w:id="283" w:name="_Toc492395702"/>
      <w:bookmarkStart w:id="284" w:name="_Toc492396062"/>
      <w:bookmarkStart w:id="285" w:name="_Toc492395703"/>
      <w:bookmarkStart w:id="286" w:name="_Toc492396063"/>
      <w:bookmarkStart w:id="287" w:name="_Toc492395704"/>
      <w:bookmarkStart w:id="288" w:name="_Toc492396064"/>
      <w:bookmarkStart w:id="289" w:name="_Toc492395706"/>
      <w:bookmarkStart w:id="290" w:name="_Toc492396066"/>
      <w:bookmarkStart w:id="291" w:name="_Toc492395707"/>
      <w:bookmarkStart w:id="292" w:name="_Toc492396067"/>
      <w:bookmarkStart w:id="293" w:name="_Toc492395708"/>
      <w:bookmarkStart w:id="294" w:name="_Toc492396068"/>
      <w:bookmarkStart w:id="295" w:name="_Toc492395709"/>
      <w:bookmarkStart w:id="296" w:name="_Toc492396069"/>
      <w:bookmarkStart w:id="297" w:name="_Toc492395710"/>
      <w:bookmarkStart w:id="298" w:name="_Toc492396070"/>
      <w:bookmarkStart w:id="299" w:name="_Toc492395711"/>
      <w:bookmarkStart w:id="300" w:name="_Toc492396071"/>
      <w:bookmarkStart w:id="301" w:name="_Toc492395712"/>
      <w:bookmarkStart w:id="302" w:name="_Toc492396072"/>
      <w:bookmarkStart w:id="303" w:name="_Toc492395714"/>
      <w:bookmarkStart w:id="304" w:name="_Toc492396074"/>
      <w:bookmarkStart w:id="305" w:name="_Toc492395715"/>
      <w:bookmarkStart w:id="306" w:name="_Toc492396075"/>
      <w:bookmarkStart w:id="307" w:name="_Toc492395716"/>
      <w:bookmarkStart w:id="308" w:name="_Toc492396076"/>
      <w:bookmarkStart w:id="309" w:name="_Toc492395717"/>
      <w:bookmarkStart w:id="310" w:name="_Toc492396077"/>
      <w:bookmarkStart w:id="311" w:name="_Toc492395718"/>
      <w:bookmarkStart w:id="312" w:name="_Toc492396078"/>
      <w:bookmarkStart w:id="313" w:name="_Toc492395719"/>
      <w:bookmarkStart w:id="314" w:name="_Toc492396079"/>
      <w:bookmarkStart w:id="315" w:name="_Toc492395720"/>
      <w:bookmarkStart w:id="316" w:name="_Toc492396080"/>
      <w:bookmarkStart w:id="317" w:name="_Toc492395722"/>
      <w:bookmarkStart w:id="318" w:name="_Toc492396082"/>
      <w:bookmarkStart w:id="319" w:name="_Toc492395723"/>
      <w:bookmarkStart w:id="320" w:name="_Toc492396083"/>
      <w:bookmarkStart w:id="321" w:name="_Toc492395724"/>
      <w:bookmarkStart w:id="322" w:name="_Toc492396084"/>
      <w:bookmarkStart w:id="323" w:name="_Toc492395725"/>
      <w:bookmarkStart w:id="324" w:name="_Toc492396085"/>
      <w:bookmarkStart w:id="325" w:name="_Toc492395726"/>
      <w:bookmarkStart w:id="326" w:name="_Toc492396086"/>
      <w:bookmarkStart w:id="327" w:name="_Toc492395727"/>
      <w:bookmarkStart w:id="328" w:name="_Toc492396087"/>
      <w:bookmarkStart w:id="329" w:name="_Toc492395728"/>
      <w:bookmarkStart w:id="330" w:name="_Toc492396088"/>
      <w:bookmarkStart w:id="331" w:name="_Toc492395730"/>
      <w:bookmarkStart w:id="332" w:name="_Toc492396090"/>
      <w:bookmarkStart w:id="333" w:name="_Toc492395731"/>
      <w:bookmarkStart w:id="334" w:name="_Toc492396091"/>
      <w:bookmarkStart w:id="335" w:name="_Toc492395732"/>
      <w:bookmarkStart w:id="336" w:name="_Toc492396092"/>
      <w:bookmarkStart w:id="337" w:name="_Toc492395733"/>
      <w:bookmarkStart w:id="338" w:name="_Toc492396093"/>
      <w:bookmarkStart w:id="339" w:name="_Toc492395734"/>
      <w:bookmarkStart w:id="340" w:name="_Toc492396094"/>
      <w:bookmarkStart w:id="341" w:name="_Toc492395735"/>
      <w:bookmarkStart w:id="342" w:name="_Toc492396095"/>
      <w:bookmarkStart w:id="343" w:name="_Toc492395736"/>
      <w:bookmarkStart w:id="344" w:name="_Toc492396096"/>
      <w:bookmarkStart w:id="345" w:name="_Toc492395738"/>
      <w:bookmarkStart w:id="346" w:name="_Toc492396098"/>
      <w:bookmarkStart w:id="347" w:name="_Toc492395739"/>
      <w:bookmarkStart w:id="348" w:name="_Toc492396099"/>
      <w:bookmarkStart w:id="349" w:name="_Toc492395740"/>
      <w:bookmarkStart w:id="350" w:name="_Toc492396100"/>
      <w:bookmarkStart w:id="351" w:name="_Toc492395741"/>
      <w:bookmarkStart w:id="352" w:name="_Toc492396101"/>
      <w:bookmarkStart w:id="353" w:name="_Toc492395742"/>
      <w:bookmarkStart w:id="354" w:name="_Toc492396102"/>
      <w:bookmarkStart w:id="355" w:name="_Toc492395743"/>
      <w:bookmarkStart w:id="356" w:name="_Toc492396103"/>
      <w:bookmarkStart w:id="357" w:name="_Toc492395744"/>
      <w:bookmarkStart w:id="358" w:name="_Toc492396104"/>
      <w:bookmarkStart w:id="359" w:name="_Toc492395746"/>
      <w:bookmarkStart w:id="360" w:name="_Toc492396106"/>
      <w:bookmarkStart w:id="361" w:name="_Toc492395747"/>
      <w:bookmarkStart w:id="362" w:name="_Toc492396107"/>
      <w:bookmarkStart w:id="363" w:name="_Toc492395748"/>
      <w:bookmarkStart w:id="364" w:name="_Toc492396108"/>
      <w:bookmarkStart w:id="365" w:name="_Toc492395749"/>
      <w:bookmarkStart w:id="366" w:name="_Toc492396109"/>
      <w:bookmarkStart w:id="367" w:name="_Toc492395750"/>
      <w:bookmarkStart w:id="368" w:name="_Toc492396110"/>
      <w:bookmarkStart w:id="369" w:name="_Toc492395751"/>
      <w:bookmarkStart w:id="370" w:name="_Toc492396111"/>
      <w:bookmarkStart w:id="371" w:name="_Toc492395752"/>
      <w:bookmarkStart w:id="372" w:name="_Toc492396112"/>
      <w:bookmarkStart w:id="373" w:name="_Toc492395754"/>
      <w:bookmarkStart w:id="374" w:name="_Toc492396114"/>
      <w:bookmarkStart w:id="375" w:name="_Toc492395755"/>
      <w:bookmarkStart w:id="376" w:name="_Toc492396115"/>
      <w:bookmarkStart w:id="377" w:name="_Toc492395756"/>
      <w:bookmarkStart w:id="378" w:name="_Toc492396116"/>
      <w:bookmarkStart w:id="379" w:name="_Toc492395757"/>
      <w:bookmarkStart w:id="380" w:name="_Toc492396117"/>
      <w:bookmarkStart w:id="381" w:name="_Toc492395758"/>
      <w:bookmarkStart w:id="382" w:name="_Toc492396118"/>
      <w:bookmarkStart w:id="383" w:name="_Toc492395759"/>
      <w:bookmarkStart w:id="384" w:name="_Toc492396119"/>
      <w:bookmarkStart w:id="385" w:name="_Toc492395760"/>
      <w:bookmarkStart w:id="386" w:name="_Toc492396120"/>
      <w:bookmarkStart w:id="387" w:name="_Toc492395762"/>
      <w:bookmarkStart w:id="388" w:name="_Toc492396122"/>
      <w:bookmarkStart w:id="389" w:name="_Toc492395763"/>
      <w:bookmarkStart w:id="390" w:name="_Toc492396123"/>
      <w:bookmarkStart w:id="391" w:name="_Toc492395764"/>
      <w:bookmarkStart w:id="392" w:name="_Toc492396124"/>
      <w:bookmarkStart w:id="393" w:name="_Toc492395765"/>
      <w:bookmarkStart w:id="394" w:name="_Toc492396125"/>
      <w:bookmarkStart w:id="395" w:name="_Toc492395766"/>
      <w:bookmarkStart w:id="396" w:name="_Toc492396126"/>
      <w:bookmarkStart w:id="397" w:name="_Toc492395767"/>
      <w:bookmarkStart w:id="398" w:name="_Toc492396127"/>
      <w:bookmarkStart w:id="399" w:name="_Toc492395768"/>
      <w:bookmarkStart w:id="400" w:name="_Toc492396128"/>
      <w:bookmarkStart w:id="401" w:name="_Toc492395770"/>
      <w:bookmarkStart w:id="402" w:name="_Toc492396130"/>
      <w:bookmarkStart w:id="403" w:name="_Toc492395771"/>
      <w:bookmarkStart w:id="404" w:name="_Toc492396131"/>
      <w:bookmarkStart w:id="405" w:name="_Toc492395772"/>
      <w:bookmarkStart w:id="406" w:name="_Toc492396132"/>
      <w:bookmarkStart w:id="407" w:name="_Toc492395773"/>
      <w:bookmarkStart w:id="408" w:name="_Toc492396133"/>
      <w:bookmarkStart w:id="409" w:name="_Toc492395774"/>
      <w:bookmarkStart w:id="410" w:name="_Toc492396134"/>
      <w:bookmarkStart w:id="411" w:name="_Toc492395775"/>
      <w:bookmarkStart w:id="412" w:name="_Toc492396135"/>
      <w:bookmarkStart w:id="413" w:name="_Toc492395776"/>
      <w:bookmarkStart w:id="414" w:name="_Toc492396136"/>
      <w:bookmarkStart w:id="415" w:name="_Toc492395778"/>
      <w:bookmarkStart w:id="416" w:name="_Toc492396138"/>
      <w:bookmarkStart w:id="417" w:name="_Toc492395779"/>
      <w:bookmarkStart w:id="418" w:name="_Toc492396139"/>
      <w:bookmarkStart w:id="419" w:name="_Toc492395780"/>
      <w:bookmarkStart w:id="420" w:name="_Toc492396140"/>
      <w:bookmarkStart w:id="421" w:name="_Toc492395781"/>
      <w:bookmarkStart w:id="422" w:name="_Toc492396141"/>
      <w:bookmarkStart w:id="423" w:name="_Toc492395782"/>
      <w:bookmarkStart w:id="424" w:name="_Toc492396142"/>
      <w:bookmarkStart w:id="425" w:name="_Toc492395783"/>
      <w:bookmarkStart w:id="426" w:name="_Toc492396143"/>
      <w:bookmarkStart w:id="427" w:name="_Toc492395784"/>
      <w:bookmarkStart w:id="428" w:name="_Toc492396144"/>
      <w:bookmarkStart w:id="429" w:name="_Toc492395786"/>
      <w:bookmarkStart w:id="430" w:name="_Toc492396146"/>
      <w:bookmarkStart w:id="431" w:name="_Toc492395787"/>
      <w:bookmarkStart w:id="432" w:name="_Toc492396147"/>
      <w:bookmarkStart w:id="433" w:name="_Toc492395788"/>
      <w:bookmarkStart w:id="434" w:name="_Toc492396148"/>
      <w:bookmarkStart w:id="435" w:name="_Toc492395789"/>
      <w:bookmarkStart w:id="436" w:name="_Toc492396149"/>
      <w:bookmarkStart w:id="437" w:name="_Toc492395790"/>
      <w:bookmarkStart w:id="438" w:name="_Toc492396150"/>
      <w:bookmarkStart w:id="439" w:name="_Toc492395791"/>
      <w:bookmarkStart w:id="440" w:name="_Toc492396151"/>
      <w:bookmarkStart w:id="441" w:name="_Toc492395792"/>
      <w:bookmarkStart w:id="442" w:name="_Toc492396152"/>
      <w:bookmarkStart w:id="443" w:name="_Toc492395794"/>
      <w:bookmarkStart w:id="444" w:name="_Toc492396154"/>
      <w:bookmarkStart w:id="445" w:name="_Toc492395795"/>
      <w:bookmarkStart w:id="446" w:name="_Toc492396155"/>
      <w:bookmarkStart w:id="447" w:name="_Toc492395796"/>
      <w:bookmarkStart w:id="448" w:name="_Toc492396156"/>
      <w:bookmarkStart w:id="449" w:name="_Toc492395797"/>
      <w:bookmarkStart w:id="450" w:name="_Toc492396157"/>
      <w:bookmarkStart w:id="451" w:name="_Toc492395798"/>
      <w:bookmarkStart w:id="452" w:name="_Toc492396158"/>
      <w:bookmarkStart w:id="453" w:name="_Toc492395799"/>
      <w:bookmarkStart w:id="454" w:name="_Toc492396159"/>
      <w:bookmarkStart w:id="455" w:name="_Toc492395800"/>
      <w:bookmarkStart w:id="456" w:name="_Toc492396160"/>
      <w:bookmarkStart w:id="457" w:name="_Toc492395802"/>
      <w:bookmarkStart w:id="458" w:name="_Toc492396162"/>
      <w:bookmarkStart w:id="459" w:name="_Toc492395803"/>
      <w:bookmarkStart w:id="460" w:name="_Toc492396163"/>
      <w:bookmarkStart w:id="461" w:name="_Toc492395804"/>
      <w:bookmarkStart w:id="462" w:name="_Toc492396164"/>
      <w:bookmarkStart w:id="463" w:name="_Toc492395805"/>
      <w:bookmarkStart w:id="464" w:name="_Toc492396165"/>
      <w:bookmarkStart w:id="465" w:name="_Toc492395806"/>
      <w:bookmarkStart w:id="466" w:name="_Toc492396166"/>
      <w:bookmarkStart w:id="467" w:name="_Toc492395807"/>
      <w:bookmarkStart w:id="468" w:name="_Toc492396167"/>
      <w:bookmarkStart w:id="469" w:name="_Toc492395808"/>
      <w:bookmarkStart w:id="470" w:name="_Toc492396168"/>
      <w:bookmarkStart w:id="471" w:name="_Toc492395810"/>
      <w:bookmarkStart w:id="472" w:name="_Toc492396170"/>
      <w:bookmarkStart w:id="473" w:name="_Toc492395811"/>
      <w:bookmarkStart w:id="474" w:name="_Toc492396171"/>
      <w:bookmarkStart w:id="475" w:name="_Toc492395812"/>
      <w:bookmarkStart w:id="476" w:name="_Toc492396172"/>
      <w:bookmarkStart w:id="477" w:name="_Toc492395813"/>
      <w:bookmarkStart w:id="478" w:name="_Toc492396173"/>
      <w:bookmarkStart w:id="479" w:name="_Toc492395814"/>
      <w:bookmarkStart w:id="480" w:name="_Toc492396174"/>
      <w:bookmarkStart w:id="481" w:name="_Toc492395815"/>
      <w:bookmarkStart w:id="482" w:name="_Toc492396175"/>
      <w:bookmarkStart w:id="483" w:name="_Toc492395816"/>
      <w:bookmarkStart w:id="484" w:name="_Toc492396176"/>
      <w:bookmarkStart w:id="485" w:name="_Toc492395818"/>
      <w:bookmarkStart w:id="486" w:name="_Toc492396178"/>
      <w:bookmarkStart w:id="487" w:name="_Toc492395819"/>
      <w:bookmarkStart w:id="488" w:name="_Toc492396179"/>
      <w:bookmarkStart w:id="489" w:name="_Toc492395820"/>
      <w:bookmarkStart w:id="490" w:name="_Toc492396180"/>
      <w:bookmarkStart w:id="491" w:name="_Toc492395821"/>
      <w:bookmarkStart w:id="492" w:name="_Toc492396181"/>
      <w:bookmarkStart w:id="493" w:name="_Toc492395822"/>
      <w:bookmarkStart w:id="494" w:name="_Toc492396182"/>
      <w:bookmarkStart w:id="495" w:name="_Toc492395823"/>
      <w:bookmarkStart w:id="496" w:name="_Toc492396183"/>
      <w:bookmarkStart w:id="497" w:name="_Toc492395824"/>
      <w:bookmarkStart w:id="498" w:name="_Toc492396184"/>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16"/>
    </w:p>
    <w:p>
      <w:pPr>
        <w:pStyle w:val="ManualHeading2"/>
        <w:rPr>
          <w:noProof/>
        </w:rPr>
      </w:pPr>
      <w:bookmarkStart w:id="499" w:name="_Toc498335643"/>
      <w:r>
        <w:t>3.1.</w:t>
      </w:r>
      <w:r>
        <w:tab/>
      </w:r>
      <w:r>
        <w:rPr>
          <w:noProof/>
        </w:rPr>
        <w:t>General remarks</w:t>
      </w:r>
      <w:bookmarkEnd w:id="499"/>
    </w:p>
    <w:p>
      <w:pPr>
        <w:pStyle w:val="ManualHeading3"/>
        <w:rPr>
          <w:noProof/>
        </w:rPr>
      </w:pPr>
      <w:bookmarkStart w:id="500" w:name="_Toc498335644"/>
      <w:r>
        <w:rPr>
          <w:rFonts w:eastAsiaTheme="minorHAnsi"/>
        </w:rPr>
        <w:t>3.1.1.</w:t>
      </w:r>
      <w:r>
        <w:rPr>
          <w:rFonts w:eastAsiaTheme="minorHAnsi"/>
        </w:rPr>
        <w:tab/>
      </w:r>
      <w:r>
        <w:rPr>
          <w:rFonts w:eastAsiaTheme="minorHAnsi"/>
          <w:noProof/>
        </w:rPr>
        <w:t>Tax administration organisation</w:t>
      </w:r>
      <w:bookmarkStart w:id="501" w:name="_Toc492395829"/>
      <w:bookmarkStart w:id="502" w:name="_Toc492396189"/>
      <w:bookmarkStart w:id="503" w:name="_Toc492395830"/>
      <w:bookmarkStart w:id="504" w:name="_Toc492396190"/>
      <w:bookmarkStart w:id="505" w:name="_Toc492395831"/>
      <w:bookmarkStart w:id="506" w:name="_Toc492396191"/>
      <w:bookmarkStart w:id="507" w:name="_Toc492395832"/>
      <w:bookmarkStart w:id="508" w:name="_Toc492396192"/>
      <w:bookmarkStart w:id="509" w:name="_Toc492395833"/>
      <w:bookmarkStart w:id="510" w:name="_Toc492396193"/>
      <w:bookmarkStart w:id="511" w:name="_Toc492395834"/>
      <w:bookmarkStart w:id="512" w:name="_Toc492396194"/>
      <w:bookmarkStart w:id="513" w:name="_Toc492395835"/>
      <w:bookmarkStart w:id="514" w:name="_Toc492396195"/>
      <w:bookmarkStart w:id="515" w:name="_Toc492395836"/>
      <w:bookmarkStart w:id="516" w:name="_Toc492396196"/>
      <w:bookmarkStart w:id="517" w:name="_Toc492395837"/>
      <w:bookmarkStart w:id="518" w:name="_Toc492396197"/>
      <w:bookmarkStart w:id="519" w:name="_Toc492395838"/>
      <w:bookmarkStart w:id="520" w:name="_Toc492396198"/>
      <w:bookmarkStart w:id="521" w:name="_Toc492395839"/>
      <w:bookmarkStart w:id="522" w:name="_Toc492396199"/>
      <w:bookmarkStart w:id="523" w:name="_Toc492395840"/>
      <w:bookmarkStart w:id="524" w:name="_Toc492396200"/>
      <w:bookmarkStart w:id="525" w:name="_Toc492395841"/>
      <w:bookmarkStart w:id="526" w:name="_Toc492396201"/>
      <w:bookmarkStart w:id="527" w:name="_Toc492395842"/>
      <w:bookmarkStart w:id="528" w:name="_Toc492396202"/>
      <w:bookmarkStart w:id="529" w:name="_Toc492395843"/>
      <w:bookmarkStart w:id="530" w:name="_Toc492396203"/>
      <w:bookmarkStart w:id="531" w:name="_Toc492395844"/>
      <w:bookmarkStart w:id="532" w:name="_Toc492396204"/>
      <w:bookmarkStart w:id="533" w:name="_Toc492395845"/>
      <w:bookmarkStart w:id="534" w:name="_Toc492396205"/>
      <w:bookmarkStart w:id="535" w:name="_Toc492395846"/>
      <w:bookmarkStart w:id="536" w:name="_Toc492396206"/>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00"/>
      <w:bookmarkEnd w:id="2"/>
    </w:p>
    <w:p>
      <w:pPr>
        <w:pStyle w:val="Text1"/>
        <w:spacing w:line="276" w:lineRule="auto"/>
        <w:ind w:left="0"/>
        <w:rPr>
          <w:noProof/>
        </w:rPr>
      </w:pPr>
      <w:r>
        <w:rPr>
          <w:noProof/>
        </w:rPr>
        <w:t xml:space="preserve">In the period 2013 – 2016, several </w:t>
      </w:r>
      <w:r>
        <w:rPr>
          <w:b/>
          <w:noProof/>
        </w:rPr>
        <w:t>Member States have reformed or are in the process of reforming (parts of) their tax administration</w:t>
      </w:r>
      <w:r>
        <w:rPr>
          <w:noProof/>
        </w:rPr>
        <w:t>. The trend of changing from a tax-type based administration towards a tax administration organised around types of taxpayers (large companies, SME's and private persons) or functions (registration, filing, payment, etc.) is continuing. Therefore, instead of separate processes for Value Added Tax (VAT), Corporate Income Tax, Personal Income Tax etc., these processes are integrated into a single one for all taxes. Hence, measuring the effectiveness of VAT procedures as mentioned in Article 12 of the Regulation implies an assessment of the main functions of a tax administration regardless of the type of tax.</w:t>
      </w:r>
    </w:p>
    <w:p>
      <w:pPr>
        <w:pStyle w:val="Text1"/>
        <w:spacing w:line="276" w:lineRule="auto"/>
        <w:ind w:left="0"/>
        <w:rPr>
          <w:noProof/>
        </w:rPr>
      </w:pPr>
      <w:r>
        <w:rPr>
          <w:noProof/>
        </w:rPr>
        <w:t xml:space="preserve">Tax authorities are facing increasing challenges that are often perceived as risks, such as the complexity and innovations in business models (in particular in the field of the so-called collaborative economy), new financial products, large numbers of taxable persons and services, digitalisation of the economy and the booming of e-commerce. At the same time, tax administrations are requested to improve their efficiency and accountability while reducing budgets and staff recruitments. This forces tax administrations to look for new and flexible actions and approaches to collect taxes, including VAT. </w:t>
      </w:r>
    </w:p>
    <w:p>
      <w:pPr>
        <w:pStyle w:val="Text1"/>
        <w:spacing w:line="276" w:lineRule="auto"/>
        <w:ind w:left="0"/>
        <w:rPr>
          <w:noProof/>
        </w:rPr>
      </w:pPr>
      <w:r>
        <w:rPr>
          <w:noProof/>
        </w:rPr>
        <w:t>To create synergies and cut costs, several Member States merged the tax administration with the customs administration and/or financial investigation departments. Furthermore, all tax authorities are using to a greater or lesser extent a risk-based approach when performing their core tax administration functions. Several tax administrations have created a dedicated data analytics and risk management function responsible for the detection of risks and the design and implementation of a risk management strategy. Others have incorporated risk-based procedures in all or part of the core functions of tax administration in order to better allocate resources and be more efficient and effective.</w:t>
      </w:r>
    </w:p>
    <w:p>
      <w:pPr>
        <w:pStyle w:val="Text1"/>
        <w:spacing w:after="240" w:line="276" w:lineRule="auto"/>
        <w:ind w:left="0"/>
        <w:rPr>
          <w:noProof/>
        </w:rPr>
      </w:pPr>
      <w:r>
        <w:rPr>
          <w:noProof/>
        </w:rPr>
        <w:t>Moreover, due to legislative changes (for instance the introduction of the Mini One Stop Shop</w:t>
      </w:r>
      <w:r>
        <w:rPr>
          <w:rStyle w:val="FootnoteReference"/>
          <w:noProof/>
        </w:rPr>
        <w:footnoteReference w:id="3"/>
      </w:r>
      <w:r>
        <w:rPr>
          <w:noProof/>
        </w:rPr>
        <w:t>, the application of the reverse charge mechanism in certain sectors, changes in VAT rates or the cash accounting scheme</w:t>
      </w:r>
      <w:r>
        <w:rPr>
          <w:rStyle w:val="FootnoteReference"/>
          <w:noProof/>
        </w:rPr>
        <w:footnoteReference w:id="4"/>
      </w:r>
      <w:r>
        <w:rPr>
          <w:noProof/>
        </w:rPr>
        <w:t xml:space="preserve">), the VAT system had to be modified at national level. </w:t>
      </w:r>
    </w:p>
    <w:p>
      <w:pPr>
        <w:pStyle w:val="Caption"/>
        <w:spacing w:line="276" w:lineRule="auto"/>
        <w:rPr>
          <w:noProof/>
          <w:sz w:val="24"/>
        </w:rPr>
      </w:pPr>
      <w:bookmarkStart w:id="537" w:name="_Toc498335673"/>
      <w:r>
        <w:rPr>
          <w:noProof/>
          <w:sz w:val="24"/>
        </w:rPr>
        <w:t xml:space="preserve">Recommendation </w:t>
      </w:r>
      <w:r>
        <w:rPr>
          <w:noProof/>
          <w:sz w:val="24"/>
        </w:rPr>
        <w:fldChar w:fldCharType="begin"/>
      </w:r>
      <w:r>
        <w:rPr>
          <w:noProof/>
          <w:sz w:val="24"/>
        </w:rPr>
        <w:instrText xml:space="preserve"> SEQ Recommendation \* ARABIC </w:instrText>
      </w:r>
      <w:r>
        <w:rPr>
          <w:noProof/>
          <w:sz w:val="24"/>
        </w:rPr>
        <w:fldChar w:fldCharType="separate"/>
      </w:r>
      <w:r>
        <w:rPr>
          <w:noProof/>
          <w:sz w:val="24"/>
        </w:rPr>
        <w:t>1</w:t>
      </w:r>
      <w:r>
        <w:rPr>
          <w:noProof/>
          <w:sz w:val="24"/>
        </w:rPr>
        <w:fldChar w:fldCharType="end"/>
      </w:r>
      <w:r>
        <w:rPr>
          <w:noProof/>
          <w:sz w:val="24"/>
        </w:rPr>
        <w:t>: Tax administration organisation</w:t>
      </w:r>
      <w:bookmarkEnd w:id="537"/>
    </w:p>
    <w:p>
      <w:pPr>
        <w:pStyle w:val="Text1"/>
        <w:pBdr>
          <w:top w:val="single" w:sz="4" w:space="1" w:color="auto"/>
          <w:left w:val="single" w:sz="4" w:space="4" w:color="auto"/>
          <w:bottom w:val="single" w:sz="4" w:space="1" w:color="auto"/>
          <w:right w:val="single" w:sz="4" w:space="4" w:color="auto"/>
        </w:pBdr>
        <w:spacing w:after="240" w:line="276" w:lineRule="auto"/>
        <w:ind w:left="0"/>
        <w:rPr>
          <w:i/>
          <w:noProof/>
        </w:rPr>
      </w:pPr>
      <w:r>
        <w:rPr>
          <w:i/>
          <w:noProof/>
        </w:rPr>
        <w:t xml:space="preserve">For assessing the impact of changes in managing the VAT system (i.e. reforms in organisation, processes and procedures), Member States should have a monitoring and evaluation system in place to report on the efficiency and effectiveness of the measures taken. </w:t>
      </w:r>
    </w:p>
    <w:p>
      <w:pPr>
        <w:pStyle w:val="ManualHeading3"/>
        <w:rPr>
          <w:noProof/>
        </w:rPr>
      </w:pPr>
      <w:bookmarkStart w:id="538" w:name="_Toc498335645"/>
      <w:r>
        <w:t>3.1.2.</w:t>
      </w:r>
      <w:r>
        <w:tab/>
      </w:r>
      <w:r>
        <w:rPr>
          <w:noProof/>
        </w:rPr>
        <w:t>Digitalisation and Information Technology (IT)</w:t>
      </w:r>
      <w:bookmarkEnd w:id="538"/>
    </w:p>
    <w:p>
      <w:pPr>
        <w:pStyle w:val="Text1"/>
        <w:spacing w:line="276" w:lineRule="auto"/>
        <w:ind w:left="0"/>
        <w:rPr>
          <w:noProof/>
        </w:rPr>
      </w:pPr>
      <w:r>
        <w:rPr>
          <w:noProof/>
        </w:rPr>
        <w:t>Current administrative processes are characterised by digitalization and IT. These developments impact the relationship between taxpayers and tax administrations: they facilitate the fulfilment of taxpayers' obligations and help tax authorities in detecting and analysing VAT risks. Due to a need for more revenues, greater efficiency and improved compliance in an environment of shrinking resources, tax authorities are increasingly relying on digital tax data gathering and analysis. It allows tax authorities to collect tax data in almost real time, in particular when the information can be collected directly from the taxpayer’s own systems. VAT is one of the first taxes to be fully digitized. E-services, taxpayer accounts, e-invoicing, the use of national control statements</w:t>
      </w:r>
      <w:r>
        <w:rPr>
          <w:rStyle w:val="FootnoteReference"/>
          <w:noProof/>
        </w:rPr>
        <w:footnoteReference w:id="5"/>
      </w:r>
      <w:r>
        <w:rPr>
          <w:noProof/>
        </w:rPr>
        <w:t xml:space="preserve"> are examples of these developments.</w:t>
      </w:r>
    </w:p>
    <w:p>
      <w:pPr>
        <w:pStyle w:val="Text1"/>
        <w:spacing w:line="276" w:lineRule="auto"/>
        <w:ind w:left="0"/>
        <w:rPr>
          <w:noProof/>
        </w:rPr>
      </w:pPr>
      <w:r>
        <w:rPr>
          <w:noProof/>
        </w:rPr>
        <w:t xml:space="preserve">In the reporting period, this </w:t>
      </w:r>
      <w:r>
        <w:rPr>
          <w:b/>
          <w:noProof/>
        </w:rPr>
        <w:t>trend towards an increasing use of IT</w:t>
      </w:r>
      <w:r>
        <w:rPr>
          <w:noProof/>
        </w:rPr>
        <w:t xml:space="preserve"> is clearly identified, although the level of implementation differs between the Member States. Data mining and analysis are playing a growing role in compliance and audit initiatives. Based on the data received from taxpayers, tax authorities are better equipped to uncover complex business relationships and fraudulent activities, which for instance trigger audits or stop the payment of refunds.</w:t>
      </w:r>
    </w:p>
    <w:p>
      <w:pPr>
        <w:pStyle w:val="Text1"/>
        <w:spacing w:line="276" w:lineRule="auto"/>
        <w:ind w:left="0"/>
        <w:rPr>
          <w:noProof/>
        </w:rPr>
      </w:pPr>
      <w:r>
        <w:rPr>
          <w:b/>
          <w:noProof/>
        </w:rPr>
        <w:t>The use of data analytics for compliance purposes is expanding</w:t>
      </w:r>
      <w:r>
        <w:rPr>
          <w:noProof/>
        </w:rPr>
        <w:t xml:space="preserve">. In the field of VAT, several Member States have taken or are in the process of introducing initiatives to collect information on invoice level, with a view to improving the transparency of transactions in their territory or are gathering data about movements of goods. Whereas IT helps tax administrations in gathering more and more data, increasing amounts of information do not necessarily lead to a better risk assessment: too much information could even hinder the identification of relevant data and result in less compliance. Therefore, tax administrations need to strike a proper balance between the need for information and its proper processing and analysing on the one hand, and the administrative burden put on businesses on the other hand. </w:t>
      </w:r>
    </w:p>
    <w:p>
      <w:pPr>
        <w:pStyle w:val="Text1"/>
        <w:spacing w:after="240" w:line="276" w:lineRule="auto"/>
        <w:ind w:left="0"/>
        <w:rPr>
          <w:noProof/>
        </w:rPr>
      </w:pPr>
      <w:r>
        <w:rPr>
          <w:noProof/>
        </w:rPr>
        <w:t xml:space="preserve">Furthermore, tax authorities feel constraints when it comes to investing in IT. Often, IT systems (hardware and software) are costly and not always compatible with each other, which can hamper the exchange of information between tax authorities and/or with other government bodies. </w:t>
      </w:r>
      <w:r>
        <w:rPr>
          <w:b/>
          <w:noProof/>
        </w:rPr>
        <w:t xml:space="preserve">Member States may benefit from a closer cooperation </w:t>
      </w:r>
      <w:r>
        <w:rPr>
          <w:noProof/>
        </w:rPr>
        <w:t xml:space="preserve">between each other in order not to duplicate efforts and systems, cut IT-costs and gain mutual advantages by investing in compatible IT solutions. </w:t>
      </w:r>
    </w:p>
    <w:p>
      <w:pPr>
        <w:pStyle w:val="Text1"/>
        <w:spacing w:after="240" w:line="276" w:lineRule="auto"/>
        <w:ind w:left="0"/>
        <w:rPr>
          <w:noProof/>
        </w:rPr>
      </w:pPr>
      <w:bookmarkStart w:id="539" w:name="_Toc498335674"/>
      <w:r>
        <w:rPr>
          <w:noProof/>
        </w:rPr>
        <w:t xml:space="preserve">Recommendation </w:t>
      </w:r>
      <w:r>
        <w:rPr>
          <w:noProof/>
        </w:rPr>
        <w:fldChar w:fldCharType="begin"/>
      </w:r>
      <w:r>
        <w:rPr>
          <w:noProof/>
        </w:rPr>
        <w:instrText xml:space="preserve"> SEQ Recommendation \* ARABIC </w:instrText>
      </w:r>
      <w:r>
        <w:rPr>
          <w:noProof/>
        </w:rPr>
        <w:fldChar w:fldCharType="separate"/>
      </w:r>
      <w:r>
        <w:rPr>
          <w:noProof/>
        </w:rPr>
        <w:t>2</w:t>
      </w:r>
      <w:r>
        <w:rPr>
          <w:noProof/>
        </w:rPr>
        <w:fldChar w:fldCharType="end"/>
      </w:r>
      <w:r>
        <w:rPr>
          <w:noProof/>
        </w:rPr>
        <w:t>: Digitalisation and IT</w:t>
      </w:r>
      <w:bookmarkEnd w:id="539"/>
    </w:p>
    <w:p>
      <w:pPr>
        <w:pStyle w:val="Text1"/>
        <w:pBdr>
          <w:top w:val="single" w:sz="4" w:space="1" w:color="auto"/>
          <w:left w:val="single" w:sz="4" w:space="4" w:color="auto"/>
          <w:bottom w:val="single" w:sz="4" w:space="1" w:color="auto"/>
          <w:right w:val="single" w:sz="4" w:space="4" w:color="auto"/>
        </w:pBdr>
        <w:spacing w:after="240" w:line="276" w:lineRule="auto"/>
        <w:ind w:left="0"/>
        <w:rPr>
          <w:i/>
          <w:noProof/>
        </w:rPr>
      </w:pPr>
      <w:r>
        <w:rPr>
          <w:i/>
          <w:noProof/>
        </w:rPr>
        <w:t xml:space="preserve">As digitalisation and IT turned into critical elements of tax administration, </w:t>
      </w:r>
      <w:r>
        <w:rPr>
          <w:i/>
          <w:iCs/>
          <w:noProof/>
        </w:rPr>
        <w:t>Member States should carry on digitalizing and automating data and tasks. Subsequently, together with other Member States, they should explore ways how their domestic data could be best used in also helping other Member States. To this end, the ongoing Transaction Network Analysis (TNA) project</w:t>
      </w:r>
      <w:r>
        <w:rPr>
          <w:rStyle w:val="FootnoteReference"/>
          <w:i/>
          <w:iCs/>
          <w:noProof/>
        </w:rPr>
        <w:footnoteReference w:id="6"/>
      </w:r>
      <w:r>
        <w:rPr>
          <w:i/>
          <w:iCs/>
          <w:noProof/>
        </w:rPr>
        <w:t xml:space="preserve"> could serve as useful point of reference.</w:t>
      </w:r>
    </w:p>
    <w:p>
      <w:pPr>
        <w:pStyle w:val="ManualHeading3"/>
        <w:rPr>
          <w:noProof/>
        </w:rPr>
      </w:pPr>
      <w:bookmarkStart w:id="540" w:name="_Toc498335646"/>
      <w:r>
        <w:t>3.1.3.</w:t>
      </w:r>
      <w:r>
        <w:tab/>
      </w:r>
      <w:r>
        <w:rPr>
          <w:noProof/>
        </w:rPr>
        <w:t>Analysing the VAT Gap</w:t>
      </w:r>
      <w:bookmarkEnd w:id="540"/>
    </w:p>
    <w:p>
      <w:pPr>
        <w:spacing w:after="240"/>
        <w:jc w:val="both"/>
        <w:rPr>
          <w:rFonts w:ascii="Times New Roman" w:eastAsiaTheme="minorEastAsia" w:hAnsi="Times New Roman" w:cs="Times New Roman"/>
          <w:noProof/>
          <w:sz w:val="24"/>
          <w:szCs w:val="24"/>
          <w:lang w:eastAsia="ja-JP"/>
        </w:rPr>
      </w:pPr>
      <w:r>
        <w:rPr>
          <w:rFonts w:ascii="Times New Roman" w:eastAsiaTheme="minorEastAsia" w:hAnsi="Times New Roman" w:cs="Times New Roman"/>
          <w:noProof/>
          <w:sz w:val="24"/>
          <w:szCs w:val="24"/>
          <w:lang w:eastAsia="ja-JP"/>
        </w:rPr>
        <w:t>In the reporting period the VAT Gap showed a slight decrease in volume as well as percentage (see figure 1). Nevertheless, at individual level the differences in the VAT Gap between the Member States are still significant (ranging from 0 percent to 36.9 percent). Although there might be various reasons for the decrease in the size of the VAT Gap, for instance improved data or economic growth, the reduction might be related to better tax administration as well. In the assessed years (2013-2016) many tax authorities have taken a number of sometimes far-reaching measures aiming at reducing the VAT Gap.</w:t>
      </w:r>
      <w:r>
        <w:rPr>
          <w:rFonts w:ascii="Times New Roman" w:eastAsiaTheme="minorEastAsia" w:hAnsi="Times New Roman" w:cs="Times New Roman"/>
          <w:noProof/>
          <w:sz w:val="24"/>
          <w:szCs w:val="24"/>
          <w:vertAlign w:val="superscript"/>
          <w:lang w:eastAsia="ja-JP"/>
        </w:rPr>
        <w:footnoteReference w:id="7"/>
      </w:r>
      <w:r>
        <w:rPr>
          <w:rFonts w:ascii="Times New Roman" w:eastAsiaTheme="minorEastAsia" w:hAnsi="Times New Roman" w:cs="Times New Roman"/>
          <w:noProof/>
          <w:sz w:val="24"/>
          <w:szCs w:val="24"/>
          <w:lang w:eastAsia="ja-JP"/>
        </w:rPr>
        <w:t xml:space="preserve"> Although there is no hard evidence of the impact of these measures on the size of the VAT Gap, it is likely that they influenced the level of compliance and thus, the size of the VAT Gap. In addition to the VAT Gap report published by the Commission, an increasing number of Member States are calculating their own VAT Gap, and at a more detailed level, for instance by calculating the VAT Gap per economic sector or geographical area.</w:t>
      </w:r>
    </w:p>
    <w:p>
      <w:pPr>
        <w:pStyle w:val="Caption"/>
        <w:spacing w:line="276" w:lineRule="auto"/>
        <w:rPr>
          <w:noProof/>
          <w:sz w:val="24"/>
        </w:rPr>
      </w:pPr>
      <w:bookmarkStart w:id="541" w:name="_Toc498335675"/>
      <w:r>
        <w:rPr>
          <w:noProof/>
          <w:sz w:val="24"/>
        </w:rPr>
        <w:t xml:space="preserve">Recommendation </w:t>
      </w:r>
      <w:r>
        <w:rPr>
          <w:noProof/>
          <w:sz w:val="24"/>
        </w:rPr>
        <w:fldChar w:fldCharType="begin"/>
      </w:r>
      <w:r>
        <w:rPr>
          <w:noProof/>
          <w:sz w:val="24"/>
        </w:rPr>
        <w:instrText xml:space="preserve"> SEQ Recommendation \* ARABIC </w:instrText>
      </w:r>
      <w:r>
        <w:rPr>
          <w:noProof/>
          <w:sz w:val="24"/>
        </w:rPr>
        <w:fldChar w:fldCharType="separate"/>
      </w:r>
      <w:r>
        <w:rPr>
          <w:noProof/>
          <w:sz w:val="24"/>
        </w:rPr>
        <w:t>3</w:t>
      </w:r>
      <w:r>
        <w:rPr>
          <w:noProof/>
          <w:sz w:val="24"/>
        </w:rPr>
        <w:fldChar w:fldCharType="end"/>
      </w:r>
      <w:r>
        <w:rPr>
          <w:noProof/>
          <w:sz w:val="24"/>
        </w:rPr>
        <w:t>: VAT Gap calculation and analysis</w:t>
      </w:r>
      <w:bookmarkEnd w:id="541"/>
    </w:p>
    <w:p>
      <w:pPr>
        <w:pStyle w:val="Text1"/>
        <w:pBdr>
          <w:top w:val="single" w:sz="4" w:space="1" w:color="auto"/>
          <w:left w:val="single" w:sz="4" w:space="4" w:color="auto"/>
          <w:bottom w:val="single" w:sz="4" w:space="1" w:color="auto"/>
          <w:right w:val="single" w:sz="4" w:space="4" w:color="auto"/>
        </w:pBdr>
        <w:spacing w:after="240" w:line="276" w:lineRule="auto"/>
        <w:ind w:left="0"/>
        <w:rPr>
          <w:i/>
          <w:noProof/>
        </w:rPr>
      </w:pPr>
      <w:r>
        <w:rPr>
          <w:rFonts w:eastAsiaTheme="minorEastAsia"/>
          <w:i/>
          <w:noProof/>
          <w:lang w:eastAsia="ja-JP"/>
        </w:rPr>
        <w:t>Member States should invest or continue investing in calculating their own VAT Gap and analysing this gap in more detail.</w:t>
      </w:r>
      <w:r>
        <w:rPr>
          <w:i/>
          <w:noProof/>
        </w:rPr>
        <w:t xml:space="preserve"> </w:t>
      </w:r>
    </w:p>
    <w:p>
      <w:pPr>
        <w:pStyle w:val="ManualHeading2"/>
        <w:rPr>
          <w:noProof/>
        </w:rPr>
      </w:pPr>
      <w:bookmarkStart w:id="542" w:name="_Toc498335647"/>
      <w:r>
        <w:t>3.2.</w:t>
      </w:r>
      <w:r>
        <w:tab/>
      </w:r>
      <w:r>
        <w:rPr>
          <w:noProof/>
        </w:rPr>
        <w:t>VAT registration and de-registration</w:t>
      </w:r>
      <w:bookmarkEnd w:id="542"/>
    </w:p>
    <w:p>
      <w:pPr>
        <w:spacing w:after="240"/>
        <w:jc w:val="both"/>
        <w:rPr>
          <w:rFonts w:ascii="Times New Roman" w:hAnsi="Times New Roman" w:cs="Times New Roman"/>
          <w:noProof/>
          <w:sz w:val="24"/>
          <w:szCs w:val="24"/>
          <w:lang w:eastAsia="ja-JP"/>
        </w:rPr>
      </w:pPr>
      <w:r>
        <w:rPr>
          <w:rFonts w:ascii="Times New Roman" w:hAnsi="Times New Roman" w:cs="Times New Roman"/>
          <w:noProof/>
          <w:sz w:val="24"/>
          <w:szCs w:val="24"/>
          <w:lang w:eastAsia="ja-JP"/>
        </w:rPr>
        <w:t>Member States must have in place a tax registration system that identifies their VAT taxpayers</w:t>
      </w:r>
      <w:r>
        <w:rPr>
          <w:rStyle w:val="FootnoteReference"/>
          <w:rFonts w:ascii="Times New Roman" w:hAnsi="Times New Roman" w:cs="Times New Roman"/>
          <w:noProof/>
          <w:sz w:val="24"/>
          <w:szCs w:val="24"/>
          <w:lang w:eastAsia="ja-JP"/>
        </w:rPr>
        <w:footnoteReference w:id="8"/>
      </w:r>
      <w:r>
        <w:rPr>
          <w:rFonts w:ascii="Times New Roman" w:hAnsi="Times New Roman" w:cs="Times New Roman"/>
          <w:noProof/>
          <w:sz w:val="24"/>
          <w:szCs w:val="24"/>
          <w:lang w:eastAsia="ja-JP"/>
        </w:rPr>
        <w:t xml:space="preserve"> and must store the relevant data on intra-EU taxable transactions in the VIES system</w:t>
      </w:r>
      <w:r>
        <w:rPr>
          <w:rStyle w:val="FootnoteReference"/>
          <w:rFonts w:ascii="Times New Roman" w:hAnsi="Times New Roman" w:cs="Times New Roman"/>
          <w:noProof/>
          <w:sz w:val="24"/>
          <w:szCs w:val="24"/>
          <w:lang w:eastAsia="ja-JP"/>
        </w:rPr>
        <w:footnoteReference w:id="9"/>
      </w:r>
      <w:r>
        <w:rPr>
          <w:rFonts w:ascii="Times New Roman" w:hAnsi="Times New Roman" w:cs="Times New Roman"/>
          <w:noProof/>
          <w:sz w:val="24"/>
          <w:szCs w:val="24"/>
          <w:lang w:eastAsia="ja-JP"/>
        </w:rPr>
        <w:t xml:space="preserve">. </w:t>
      </w:r>
    </w:p>
    <w:p>
      <w:pPr>
        <w:pStyle w:val="ManualHeading3"/>
        <w:rPr>
          <w:noProof/>
        </w:rPr>
      </w:pPr>
      <w:bookmarkStart w:id="543" w:name="_Toc498335648"/>
      <w:r>
        <w:t>3.2.1.</w:t>
      </w:r>
      <w:r>
        <w:tab/>
      </w:r>
      <w:r>
        <w:rPr>
          <w:noProof/>
        </w:rPr>
        <w:t>VAT registration</w:t>
      </w:r>
      <w:bookmarkEnd w:id="543"/>
    </w:p>
    <w:p>
      <w:pPr>
        <w:spacing w:after="120"/>
        <w:jc w:val="both"/>
        <w:rPr>
          <w:rFonts w:ascii="Times New Roman" w:hAnsi="Times New Roman" w:cs="Times New Roman"/>
          <w:noProof/>
          <w:sz w:val="24"/>
          <w:szCs w:val="24"/>
          <w:lang w:eastAsia="ja-JP"/>
        </w:rPr>
      </w:pPr>
      <w:r>
        <w:rPr>
          <w:rFonts w:ascii="Times New Roman" w:hAnsi="Times New Roman" w:cs="Times New Roman"/>
          <w:noProof/>
          <w:sz w:val="24"/>
          <w:szCs w:val="24"/>
          <w:lang w:eastAsia="ja-JP"/>
        </w:rPr>
        <w:t>An efficient registration procedure and correct attribution of VAT identification numbers strengthen key administrative processes associated with filing, payment, assessment, collection and dispute resolution. To this aim, the information collected at the moment of registration and stored in the tax administration databases should be complete, accurate and up-to-date.</w:t>
      </w:r>
      <w:r>
        <w:rPr>
          <w:rFonts w:ascii="Times New Roman" w:hAnsi="Times New Roman" w:cs="Times New Roman"/>
          <w:noProof/>
          <w:sz w:val="24"/>
          <w:szCs w:val="24"/>
        </w:rPr>
        <w:t xml:space="preserve"> It is critical that tax authorities follow the registration and deregistration procedures accurately, since </w:t>
      </w:r>
      <w:r>
        <w:rPr>
          <w:rFonts w:ascii="Times New Roman" w:hAnsi="Times New Roman" w:cs="Times New Roman"/>
          <w:b/>
          <w:noProof/>
          <w:sz w:val="24"/>
          <w:szCs w:val="24"/>
        </w:rPr>
        <w:t>non-performance in this area will have a major impact on VAT collection in the other Member States</w:t>
      </w:r>
      <w:r>
        <w:rPr>
          <w:rFonts w:ascii="Times New Roman" w:hAnsi="Times New Roman" w:cs="Times New Roman"/>
          <w:noProof/>
          <w:sz w:val="24"/>
          <w:szCs w:val="24"/>
        </w:rPr>
        <w:t>.</w:t>
      </w:r>
    </w:p>
    <w:p>
      <w:pPr>
        <w:spacing w:after="120"/>
        <w:jc w:val="both"/>
        <w:rPr>
          <w:rFonts w:ascii="Times New Roman" w:hAnsi="Times New Roman" w:cs="Times New Roman"/>
          <w:noProof/>
          <w:sz w:val="24"/>
          <w:szCs w:val="24"/>
          <w:lang w:eastAsia="ja-JP"/>
        </w:rPr>
      </w:pPr>
      <w:r>
        <w:rPr>
          <w:rFonts w:ascii="Times New Roman" w:hAnsi="Times New Roman" w:cs="Times New Roman"/>
          <w:noProof/>
          <w:sz w:val="24"/>
          <w:szCs w:val="24"/>
          <w:lang w:eastAsia="ja-JP"/>
        </w:rPr>
        <w:t>While the registration process needs to be fast in order not to hamper taxpayers in doing business, it is vital to avoid that VAT identification numbers are given to taxpayers with fraudulent intentions. Therefore, a balanced approach between rapidity and safekeeping is important.</w:t>
      </w:r>
    </w:p>
    <w:p>
      <w:pPr>
        <w:pStyle w:val="Caption"/>
        <w:rPr>
          <w:b w:val="0"/>
          <w:i/>
          <w:noProof/>
          <w:sz w:val="24"/>
          <w:szCs w:val="24"/>
          <w:lang w:eastAsia="ja-JP"/>
        </w:rPr>
      </w:pPr>
      <w:bookmarkStart w:id="544" w:name="_Toc498335662"/>
      <w:r>
        <w:rPr>
          <w:i/>
          <w:noProof/>
          <w:sz w:val="24"/>
          <w:szCs w:val="24"/>
          <w:u w:val="single"/>
        </w:rPr>
        <w:t xml:space="preserve">Figure </w:t>
      </w:r>
      <w:r>
        <w:rPr>
          <w:i/>
          <w:noProof/>
          <w:sz w:val="24"/>
          <w:szCs w:val="24"/>
          <w:u w:val="single"/>
        </w:rPr>
        <w:fldChar w:fldCharType="begin"/>
      </w:r>
      <w:r>
        <w:rPr>
          <w:i/>
          <w:noProof/>
          <w:sz w:val="24"/>
          <w:szCs w:val="24"/>
          <w:u w:val="single"/>
        </w:rPr>
        <w:instrText xml:space="preserve"> SEQ Figure \* ARABIC </w:instrText>
      </w:r>
      <w:r>
        <w:rPr>
          <w:i/>
          <w:noProof/>
          <w:sz w:val="24"/>
          <w:szCs w:val="24"/>
          <w:u w:val="single"/>
        </w:rPr>
        <w:fldChar w:fldCharType="separate"/>
      </w:r>
      <w:r>
        <w:rPr>
          <w:i/>
          <w:noProof/>
          <w:sz w:val="24"/>
          <w:szCs w:val="24"/>
          <w:u w:val="single"/>
        </w:rPr>
        <w:t>2</w:t>
      </w:r>
      <w:r>
        <w:rPr>
          <w:i/>
          <w:noProof/>
          <w:sz w:val="24"/>
          <w:szCs w:val="24"/>
          <w:u w:val="single"/>
        </w:rPr>
        <w:fldChar w:fldCharType="end"/>
      </w:r>
      <w:r>
        <w:rPr>
          <w:i/>
          <w:noProof/>
          <w:sz w:val="24"/>
          <w:szCs w:val="24"/>
          <w:u w:val="single"/>
          <w:lang w:eastAsia="ja-JP"/>
        </w:rPr>
        <w:t>:</w:t>
      </w:r>
      <w:r>
        <w:rPr>
          <w:i/>
          <w:noProof/>
          <w:sz w:val="24"/>
          <w:szCs w:val="24"/>
          <w:lang w:eastAsia="ja-JP"/>
        </w:rPr>
        <w:t xml:space="preserve"> </w:t>
      </w:r>
      <w:r>
        <w:rPr>
          <w:b w:val="0"/>
          <w:i/>
          <w:noProof/>
          <w:sz w:val="24"/>
          <w:szCs w:val="24"/>
          <w:lang w:eastAsia="ja-JP"/>
        </w:rPr>
        <w:t>Evolution of VAT registration requests in 21 EU Member States (2013-2015)</w:t>
      </w:r>
      <w:r>
        <w:rPr>
          <w:rStyle w:val="FootnoteReference"/>
          <w:b w:val="0"/>
          <w:i/>
          <w:noProof/>
          <w:sz w:val="24"/>
          <w:szCs w:val="24"/>
          <w:lang w:eastAsia="ja-JP"/>
        </w:rPr>
        <w:footnoteReference w:id="10"/>
      </w:r>
      <w:bookmarkEnd w:id="544"/>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7"/>
        <w:gridCol w:w="236"/>
        <w:gridCol w:w="2457"/>
      </w:tblGrid>
      <w:tr>
        <w:trPr>
          <w:trHeight w:val="333"/>
        </w:trPr>
        <w:tc>
          <w:tcPr>
            <w:tcW w:w="6487" w:type="dxa"/>
            <w:vMerge w:val="restart"/>
          </w:tcPr>
          <w:p>
            <w:pPr>
              <w:spacing w:after="60"/>
              <w:rPr>
                <w:rFonts w:ascii="Times New Roman" w:hAnsi="Times New Roman" w:cs="Times New Roman"/>
                <w:noProof/>
                <w:lang w:eastAsia="ja-JP"/>
              </w:rPr>
            </w:pPr>
            <w:r>
              <w:rPr>
                <w:rFonts w:ascii="Times New Roman" w:hAnsi="Times New Roman" w:cs="Times New Roman"/>
                <w:noProof/>
                <w:color w:val="FFFFFF" w:themeColor="background1"/>
                <w:sz w:val="18"/>
                <w:szCs w:val="18"/>
                <w:lang w:val="en-US"/>
              </w:rPr>
              <w:drawing>
                <wp:inline distT="0" distB="0" distL="0" distR="0">
                  <wp:extent cx="3944680" cy="1818167"/>
                  <wp:effectExtent l="0" t="0" r="17780" b="10795"/>
                  <wp:docPr id="250" name="Chart 250"/>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tc>
        <w:tc>
          <w:tcPr>
            <w:tcW w:w="2693" w:type="dxa"/>
            <w:gridSpan w:val="2"/>
          </w:tcPr>
          <w:p>
            <w:pPr>
              <w:rPr>
                <w:rFonts w:ascii="Times New Roman" w:hAnsi="Times New Roman" w:cs="Times New Roman"/>
                <w:noProof/>
                <w:lang w:eastAsia="ja-JP"/>
              </w:rPr>
            </w:pPr>
            <w:r>
              <w:rPr>
                <w:rFonts w:ascii="Times New Roman" w:hAnsi="Times New Roman" w:cs="Times New Roman"/>
                <w:noProof/>
                <w:lang w:eastAsia="ja-JP"/>
              </w:rPr>
              <w:t>Legend:</w:t>
            </w:r>
          </w:p>
        </w:tc>
      </w:tr>
      <w:tr>
        <w:trPr>
          <w:trHeight w:val="193"/>
        </w:trPr>
        <w:tc>
          <w:tcPr>
            <w:tcW w:w="6487" w:type="dxa"/>
            <w:vMerge/>
          </w:tcPr>
          <w:p>
            <w:pPr>
              <w:spacing w:after="60"/>
              <w:rPr>
                <w:rFonts w:ascii="Times New Roman" w:hAnsi="Times New Roman" w:cs="Times New Roman"/>
                <w:noProof/>
                <w:color w:val="FFFFFF" w:themeColor="background1"/>
                <w:sz w:val="18"/>
                <w:szCs w:val="18"/>
              </w:rPr>
            </w:pPr>
          </w:p>
        </w:tc>
        <w:tc>
          <w:tcPr>
            <w:tcW w:w="236" w:type="dxa"/>
            <w:shd w:val="clear" w:color="auto" w:fill="B8CCE4" w:themeFill="accent1" w:themeFillTint="66"/>
          </w:tcPr>
          <w:p>
            <w:pPr>
              <w:rPr>
                <w:rFonts w:ascii="Times New Roman" w:hAnsi="Times New Roman" w:cs="Times New Roman"/>
                <w:noProof/>
                <w:sz w:val="20"/>
                <w:lang w:eastAsia="ja-JP"/>
              </w:rPr>
            </w:pPr>
          </w:p>
        </w:tc>
        <w:tc>
          <w:tcPr>
            <w:tcW w:w="2457" w:type="dxa"/>
          </w:tcPr>
          <w:p>
            <w:pPr>
              <w:rPr>
                <w:rFonts w:ascii="Times New Roman" w:hAnsi="Times New Roman" w:cs="Times New Roman"/>
                <w:noProof/>
                <w:sz w:val="20"/>
                <w:lang w:eastAsia="ja-JP"/>
              </w:rPr>
            </w:pPr>
            <w:r>
              <w:rPr>
                <w:rFonts w:ascii="Times New Roman" w:hAnsi="Times New Roman" w:cs="Times New Roman"/>
                <w:noProof/>
                <w:sz w:val="20"/>
                <w:lang w:eastAsia="ja-JP"/>
              </w:rPr>
              <w:t xml:space="preserve">VAT Registration Requests </w:t>
            </w:r>
          </w:p>
        </w:tc>
      </w:tr>
      <w:tr>
        <w:trPr>
          <w:trHeight w:val="214"/>
        </w:trPr>
        <w:tc>
          <w:tcPr>
            <w:tcW w:w="6487" w:type="dxa"/>
            <w:vMerge/>
          </w:tcPr>
          <w:p>
            <w:pPr>
              <w:spacing w:after="60"/>
              <w:rPr>
                <w:rFonts w:ascii="Times New Roman" w:hAnsi="Times New Roman" w:cs="Times New Roman"/>
                <w:noProof/>
                <w:color w:val="FFFFFF" w:themeColor="background1"/>
                <w:sz w:val="18"/>
                <w:szCs w:val="18"/>
              </w:rPr>
            </w:pPr>
          </w:p>
        </w:tc>
        <w:tc>
          <w:tcPr>
            <w:tcW w:w="236" w:type="dxa"/>
          </w:tcPr>
          <w:p>
            <w:pPr>
              <w:rPr>
                <w:rFonts w:ascii="Times New Roman" w:hAnsi="Times New Roman" w:cs="Times New Roman"/>
                <w:noProof/>
                <w:sz w:val="20"/>
                <w:lang w:eastAsia="ja-JP"/>
              </w:rPr>
            </w:pPr>
          </w:p>
        </w:tc>
        <w:tc>
          <w:tcPr>
            <w:tcW w:w="2457" w:type="dxa"/>
          </w:tcPr>
          <w:p>
            <w:pPr>
              <w:rPr>
                <w:rFonts w:ascii="Times New Roman" w:hAnsi="Times New Roman" w:cs="Times New Roman"/>
                <w:noProof/>
                <w:sz w:val="20"/>
                <w:lang w:eastAsia="ja-JP"/>
              </w:rPr>
            </w:pPr>
            <w:r>
              <w:rPr>
                <w:rFonts w:ascii="Times New Roman" w:hAnsi="Times New Roman" w:cs="Times New Roman"/>
                <w:noProof/>
                <w:sz w:val="20"/>
                <w:lang w:eastAsia="ja-JP"/>
              </w:rPr>
              <w:t>(total number)</w:t>
            </w:r>
          </w:p>
        </w:tc>
      </w:tr>
      <w:tr>
        <w:trPr>
          <w:trHeight w:val="214"/>
        </w:trPr>
        <w:tc>
          <w:tcPr>
            <w:tcW w:w="6487" w:type="dxa"/>
            <w:vMerge/>
          </w:tcPr>
          <w:p>
            <w:pPr>
              <w:spacing w:after="60"/>
              <w:rPr>
                <w:rFonts w:ascii="Times New Roman" w:hAnsi="Times New Roman" w:cs="Times New Roman"/>
                <w:noProof/>
                <w:color w:val="FFFFFF" w:themeColor="background1"/>
                <w:sz w:val="18"/>
                <w:szCs w:val="18"/>
              </w:rPr>
            </w:pPr>
          </w:p>
        </w:tc>
        <w:tc>
          <w:tcPr>
            <w:tcW w:w="236" w:type="dxa"/>
          </w:tcPr>
          <w:p>
            <w:pPr>
              <w:rPr>
                <w:rFonts w:ascii="Times New Roman" w:hAnsi="Times New Roman" w:cs="Times New Roman"/>
                <w:noProof/>
                <w:sz w:val="20"/>
                <w:lang w:eastAsia="ja-JP"/>
              </w:rPr>
            </w:pPr>
          </w:p>
        </w:tc>
        <w:tc>
          <w:tcPr>
            <w:tcW w:w="2457" w:type="dxa"/>
          </w:tcPr>
          <w:p>
            <w:pPr>
              <w:rPr>
                <w:rFonts w:ascii="Times New Roman" w:hAnsi="Times New Roman" w:cs="Times New Roman"/>
                <w:noProof/>
                <w:sz w:val="20"/>
                <w:lang w:eastAsia="ja-JP"/>
              </w:rPr>
            </w:pPr>
          </w:p>
        </w:tc>
      </w:tr>
      <w:tr>
        <w:trPr>
          <w:trHeight w:val="204"/>
        </w:trPr>
        <w:tc>
          <w:tcPr>
            <w:tcW w:w="6487" w:type="dxa"/>
            <w:vMerge/>
          </w:tcPr>
          <w:p>
            <w:pPr>
              <w:spacing w:after="60"/>
              <w:rPr>
                <w:rFonts w:ascii="Times New Roman" w:hAnsi="Times New Roman" w:cs="Times New Roman"/>
                <w:noProof/>
                <w:color w:val="FFFFFF" w:themeColor="background1"/>
                <w:sz w:val="18"/>
                <w:szCs w:val="18"/>
              </w:rPr>
            </w:pPr>
          </w:p>
        </w:tc>
        <w:tc>
          <w:tcPr>
            <w:tcW w:w="236" w:type="dxa"/>
            <w:shd w:val="clear" w:color="auto" w:fill="244061" w:themeFill="accent1" w:themeFillShade="80"/>
          </w:tcPr>
          <w:p>
            <w:pPr>
              <w:rPr>
                <w:rFonts w:ascii="Times New Roman" w:hAnsi="Times New Roman" w:cs="Times New Roman"/>
                <w:noProof/>
                <w:sz w:val="20"/>
                <w:lang w:eastAsia="ja-JP"/>
              </w:rPr>
            </w:pPr>
          </w:p>
        </w:tc>
        <w:tc>
          <w:tcPr>
            <w:tcW w:w="2457" w:type="dxa"/>
          </w:tcPr>
          <w:p>
            <w:pPr>
              <w:rPr>
                <w:rFonts w:ascii="Times New Roman" w:hAnsi="Times New Roman" w:cs="Times New Roman"/>
                <w:noProof/>
                <w:sz w:val="20"/>
                <w:lang w:eastAsia="ja-JP"/>
              </w:rPr>
            </w:pPr>
            <w:r>
              <w:rPr>
                <w:rFonts w:ascii="Times New Roman" w:hAnsi="Times New Roman" w:cs="Times New Roman"/>
                <w:noProof/>
                <w:sz w:val="20"/>
                <w:lang w:eastAsia="ja-JP"/>
              </w:rPr>
              <w:t xml:space="preserve">VAT Registration Requests </w:t>
            </w:r>
          </w:p>
        </w:tc>
      </w:tr>
      <w:tr>
        <w:trPr>
          <w:trHeight w:val="236"/>
        </w:trPr>
        <w:tc>
          <w:tcPr>
            <w:tcW w:w="6487" w:type="dxa"/>
            <w:vMerge/>
          </w:tcPr>
          <w:p>
            <w:pPr>
              <w:spacing w:after="60"/>
              <w:rPr>
                <w:rFonts w:ascii="Times New Roman" w:hAnsi="Times New Roman" w:cs="Times New Roman"/>
                <w:noProof/>
                <w:color w:val="FFFFFF" w:themeColor="background1"/>
                <w:sz w:val="18"/>
                <w:szCs w:val="18"/>
              </w:rPr>
            </w:pPr>
          </w:p>
        </w:tc>
        <w:tc>
          <w:tcPr>
            <w:tcW w:w="236" w:type="dxa"/>
          </w:tcPr>
          <w:p>
            <w:pPr>
              <w:rPr>
                <w:rFonts w:ascii="Times New Roman" w:hAnsi="Times New Roman" w:cs="Times New Roman"/>
                <w:noProof/>
                <w:sz w:val="20"/>
                <w:lang w:eastAsia="ja-JP"/>
              </w:rPr>
            </w:pPr>
          </w:p>
        </w:tc>
        <w:tc>
          <w:tcPr>
            <w:tcW w:w="2457" w:type="dxa"/>
          </w:tcPr>
          <w:p>
            <w:pPr>
              <w:rPr>
                <w:rFonts w:ascii="Times New Roman" w:hAnsi="Times New Roman" w:cs="Times New Roman"/>
                <w:noProof/>
                <w:sz w:val="20"/>
                <w:lang w:eastAsia="ja-JP"/>
              </w:rPr>
            </w:pPr>
            <w:r>
              <w:rPr>
                <w:rFonts w:ascii="Times New Roman" w:hAnsi="Times New Roman" w:cs="Times New Roman"/>
                <w:noProof/>
                <w:sz w:val="20"/>
                <w:lang w:eastAsia="ja-JP"/>
              </w:rPr>
              <w:t>compared to 2013</w:t>
            </w:r>
          </w:p>
          <w:p>
            <w:pPr>
              <w:rPr>
                <w:rFonts w:ascii="Times New Roman" w:hAnsi="Times New Roman" w:cs="Times New Roman"/>
                <w:noProof/>
                <w:sz w:val="20"/>
                <w:lang w:eastAsia="ja-JP"/>
              </w:rPr>
            </w:pPr>
            <w:r>
              <w:rPr>
                <w:rFonts w:ascii="Times New Roman" w:hAnsi="Times New Roman" w:cs="Times New Roman"/>
                <w:noProof/>
                <w:sz w:val="20"/>
                <w:lang w:eastAsia="ja-JP"/>
              </w:rPr>
              <w:t>(evolution)</w:t>
            </w:r>
          </w:p>
        </w:tc>
      </w:tr>
      <w:tr>
        <w:trPr>
          <w:trHeight w:val="236"/>
        </w:trPr>
        <w:tc>
          <w:tcPr>
            <w:tcW w:w="6487" w:type="dxa"/>
            <w:vMerge/>
          </w:tcPr>
          <w:p>
            <w:pPr>
              <w:spacing w:after="60"/>
              <w:rPr>
                <w:rFonts w:ascii="Times New Roman" w:hAnsi="Times New Roman" w:cs="Times New Roman"/>
                <w:noProof/>
                <w:color w:val="FFFFFF" w:themeColor="background1"/>
                <w:sz w:val="18"/>
                <w:szCs w:val="18"/>
              </w:rPr>
            </w:pPr>
          </w:p>
        </w:tc>
        <w:tc>
          <w:tcPr>
            <w:tcW w:w="236" w:type="dxa"/>
          </w:tcPr>
          <w:p>
            <w:pPr>
              <w:rPr>
                <w:rFonts w:ascii="Times New Roman" w:hAnsi="Times New Roman" w:cs="Times New Roman"/>
                <w:noProof/>
                <w:sz w:val="20"/>
                <w:lang w:eastAsia="ja-JP"/>
              </w:rPr>
            </w:pPr>
          </w:p>
        </w:tc>
        <w:tc>
          <w:tcPr>
            <w:tcW w:w="2457" w:type="dxa"/>
          </w:tcPr>
          <w:p>
            <w:pPr>
              <w:rPr>
                <w:rFonts w:ascii="Times New Roman" w:hAnsi="Times New Roman" w:cs="Times New Roman"/>
                <w:noProof/>
                <w:sz w:val="20"/>
                <w:lang w:eastAsia="ja-JP"/>
              </w:rPr>
            </w:pPr>
          </w:p>
        </w:tc>
      </w:tr>
      <w:tr>
        <w:trPr>
          <w:trHeight w:val="226"/>
        </w:trPr>
        <w:tc>
          <w:tcPr>
            <w:tcW w:w="6487" w:type="dxa"/>
            <w:vMerge/>
          </w:tcPr>
          <w:p>
            <w:pPr>
              <w:spacing w:after="60"/>
              <w:rPr>
                <w:rFonts w:ascii="Times New Roman" w:hAnsi="Times New Roman" w:cs="Times New Roman"/>
                <w:noProof/>
                <w:color w:val="FFFFFF" w:themeColor="background1"/>
                <w:sz w:val="18"/>
                <w:szCs w:val="18"/>
              </w:rPr>
            </w:pPr>
          </w:p>
        </w:tc>
        <w:tc>
          <w:tcPr>
            <w:tcW w:w="236" w:type="dxa"/>
            <w:shd w:val="clear" w:color="auto" w:fill="C00000"/>
          </w:tcPr>
          <w:p>
            <w:pPr>
              <w:rPr>
                <w:rFonts w:ascii="Times New Roman" w:hAnsi="Times New Roman" w:cs="Times New Roman"/>
                <w:noProof/>
                <w:sz w:val="20"/>
                <w:lang w:eastAsia="ja-JP"/>
              </w:rPr>
            </w:pPr>
          </w:p>
        </w:tc>
        <w:tc>
          <w:tcPr>
            <w:tcW w:w="2457" w:type="dxa"/>
          </w:tcPr>
          <w:p>
            <w:pPr>
              <w:rPr>
                <w:rFonts w:ascii="Times New Roman" w:hAnsi="Times New Roman" w:cs="Times New Roman"/>
                <w:noProof/>
                <w:sz w:val="20"/>
                <w:lang w:eastAsia="ja-JP"/>
              </w:rPr>
            </w:pPr>
            <w:r>
              <w:rPr>
                <w:rFonts w:ascii="Times New Roman" w:hAnsi="Times New Roman" w:cs="Times New Roman"/>
                <w:noProof/>
                <w:sz w:val="20"/>
                <w:lang w:eastAsia="ja-JP"/>
              </w:rPr>
              <w:t>Refused registrations</w:t>
            </w:r>
          </w:p>
        </w:tc>
      </w:tr>
      <w:tr>
        <w:trPr>
          <w:trHeight w:val="226"/>
        </w:trPr>
        <w:tc>
          <w:tcPr>
            <w:tcW w:w="6487" w:type="dxa"/>
            <w:vMerge/>
          </w:tcPr>
          <w:p>
            <w:pPr>
              <w:spacing w:after="60"/>
              <w:rPr>
                <w:rFonts w:ascii="Times New Roman" w:hAnsi="Times New Roman" w:cs="Times New Roman"/>
                <w:noProof/>
                <w:color w:val="FFFFFF" w:themeColor="background1"/>
                <w:sz w:val="18"/>
                <w:szCs w:val="18"/>
              </w:rPr>
            </w:pPr>
          </w:p>
        </w:tc>
        <w:tc>
          <w:tcPr>
            <w:tcW w:w="236" w:type="dxa"/>
            <w:shd w:val="clear" w:color="auto" w:fill="auto"/>
          </w:tcPr>
          <w:p>
            <w:pPr>
              <w:rPr>
                <w:rFonts w:ascii="Times New Roman" w:hAnsi="Times New Roman" w:cs="Times New Roman"/>
                <w:noProof/>
                <w:sz w:val="20"/>
                <w:lang w:eastAsia="ja-JP"/>
              </w:rPr>
            </w:pPr>
          </w:p>
        </w:tc>
        <w:tc>
          <w:tcPr>
            <w:tcW w:w="2457" w:type="dxa"/>
          </w:tcPr>
          <w:p>
            <w:pPr>
              <w:rPr>
                <w:rFonts w:ascii="Times New Roman" w:hAnsi="Times New Roman" w:cs="Times New Roman"/>
                <w:noProof/>
                <w:sz w:val="20"/>
                <w:lang w:eastAsia="ja-JP"/>
              </w:rPr>
            </w:pPr>
          </w:p>
        </w:tc>
      </w:tr>
      <w:tr>
        <w:trPr>
          <w:trHeight w:val="502"/>
        </w:trPr>
        <w:tc>
          <w:tcPr>
            <w:tcW w:w="6487" w:type="dxa"/>
            <w:vMerge/>
          </w:tcPr>
          <w:p>
            <w:pPr>
              <w:spacing w:after="60"/>
              <w:rPr>
                <w:rFonts w:ascii="Times New Roman" w:hAnsi="Times New Roman" w:cs="Times New Roman"/>
                <w:noProof/>
                <w:color w:val="FFFFFF" w:themeColor="background1"/>
                <w:sz w:val="18"/>
                <w:szCs w:val="18"/>
              </w:rPr>
            </w:pPr>
          </w:p>
        </w:tc>
        <w:tc>
          <w:tcPr>
            <w:tcW w:w="2693" w:type="dxa"/>
            <w:gridSpan w:val="2"/>
          </w:tcPr>
          <w:p>
            <w:pPr>
              <w:rPr>
                <w:rFonts w:ascii="Times New Roman" w:hAnsi="Times New Roman" w:cs="Times New Roman"/>
                <w:noProof/>
                <w:sz w:val="20"/>
                <w:lang w:eastAsia="ja-JP"/>
              </w:rPr>
            </w:pPr>
          </w:p>
        </w:tc>
      </w:tr>
    </w:tbl>
    <w:p>
      <w:pPr>
        <w:pStyle w:val="NORMAL0"/>
        <w:spacing w:after="120" w:line="276" w:lineRule="auto"/>
        <w:rPr>
          <w:rFonts w:ascii="Times New Roman" w:eastAsiaTheme="minorHAnsi" w:hAnsi="Times New Roman" w:cs="Times New Roman"/>
          <w:i/>
          <w:noProof/>
          <w:sz w:val="18"/>
          <w:szCs w:val="18"/>
          <w:lang w:eastAsia="ja-JP"/>
        </w:rPr>
      </w:pPr>
      <w:r>
        <w:rPr>
          <w:rFonts w:ascii="Times New Roman" w:eastAsiaTheme="minorHAnsi" w:hAnsi="Times New Roman" w:cs="Times New Roman"/>
          <w:i/>
          <w:noProof/>
          <w:sz w:val="18"/>
          <w:szCs w:val="18"/>
          <w:lang w:eastAsia="ja-JP"/>
        </w:rPr>
        <w:t xml:space="preserve">Source: Member States' answers to 2017 Questionnaire </w:t>
      </w:r>
    </w:p>
    <w:p>
      <w:pPr>
        <w:spacing w:after="240"/>
        <w:rPr>
          <w:rFonts w:ascii="Times New Roman" w:hAnsi="Times New Roman" w:cs="Times New Roman"/>
          <w:noProof/>
          <w:sz w:val="24"/>
          <w:szCs w:val="24"/>
          <w:lang w:eastAsia="ja-JP"/>
        </w:rPr>
      </w:pPr>
      <w:r>
        <w:rPr>
          <w:rFonts w:ascii="Times New Roman" w:hAnsi="Times New Roman" w:cs="Times New Roman"/>
          <w:noProof/>
          <w:sz w:val="24"/>
          <w:szCs w:val="24"/>
          <w:lang w:eastAsia="ja-JP"/>
        </w:rPr>
        <w:t>In the reporting period the overall number of registration requests for VAT purposes in the 21 Member States in the graphic is more or less stable, while the number of deregistrations from the VIES system increased significantly in 2015. No specific reason for this increase has been identified.</w:t>
      </w:r>
    </w:p>
    <w:p>
      <w:pPr>
        <w:spacing w:after="120"/>
        <w:jc w:val="both"/>
        <w:rPr>
          <w:rFonts w:ascii="Times New Roman" w:hAnsi="Times New Roman" w:cs="Times New Roman"/>
          <w:noProof/>
          <w:sz w:val="24"/>
          <w:szCs w:val="24"/>
          <w:lang w:eastAsia="ja-JP"/>
        </w:rPr>
      </w:pPr>
      <w:r>
        <w:rPr>
          <w:rFonts w:ascii="Times New Roman" w:hAnsi="Times New Roman" w:cs="Times New Roman"/>
          <w:noProof/>
          <w:sz w:val="24"/>
          <w:szCs w:val="24"/>
          <w:lang w:eastAsia="ja-JP"/>
        </w:rPr>
        <w:t xml:space="preserve">Registration procedures are in place in all the Member States. "One-stop-shop" registration facilities are available in some countries. Instead of registering for different purposes in several offices (for instance Chamber of Commerce, Commercial Court and tax office) businesses can register for all commitments in one single place. This implies integrated databases and exchange of information between the relevant institutions. </w:t>
      </w:r>
    </w:p>
    <w:p>
      <w:pPr>
        <w:pStyle w:val="Caption"/>
        <w:rPr>
          <w:i/>
          <w:noProof/>
          <w:sz w:val="24"/>
          <w:szCs w:val="24"/>
          <w:lang w:eastAsia="ja-JP"/>
        </w:rPr>
      </w:pPr>
      <w:bookmarkStart w:id="545" w:name="_Toc498335663"/>
      <w:r>
        <w:rPr>
          <w:i/>
          <w:noProof/>
          <w:sz w:val="24"/>
          <w:szCs w:val="24"/>
          <w:u w:val="single"/>
        </w:rPr>
        <w:t xml:space="preserve">Figure </w:t>
      </w:r>
      <w:r>
        <w:rPr>
          <w:i/>
          <w:noProof/>
          <w:sz w:val="24"/>
          <w:szCs w:val="24"/>
          <w:u w:val="single"/>
        </w:rPr>
        <w:fldChar w:fldCharType="begin"/>
      </w:r>
      <w:r>
        <w:rPr>
          <w:i/>
          <w:noProof/>
          <w:sz w:val="24"/>
          <w:szCs w:val="24"/>
          <w:u w:val="single"/>
        </w:rPr>
        <w:instrText xml:space="preserve"> SEQ Figure \* ARABIC </w:instrText>
      </w:r>
      <w:r>
        <w:rPr>
          <w:i/>
          <w:noProof/>
          <w:sz w:val="24"/>
          <w:szCs w:val="24"/>
          <w:u w:val="single"/>
        </w:rPr>
        <w:fldChar w:fldCharType="separate"/>
      </w:r>
      <w:r>
        <w:rPr>
          <w:i/>
          <w:noProof/>
          <w:sz w:val="24"/>
          <w:szCs w:val="24"/>
          <w:u w:val="single"/>
        </w:rPr>
        <w:t>3</w:t>
      </w:r>
      <w:r>
        <w:rPr>
          <w:i/>
          <w:noProof/>
          <w:sz w:val="24"/>
          <w:szCs w:val="24"/>
          <w:u w:val="single"/>
        </w:rPr>
        <w:fldChar w:fldCharType="end"/>
      </w:r>
      <w:r>
        <w:rPr>
          <w:i/>
          <w:noProof/>
          <w:sz w:val="24"/>
          <w:szCs w:val="24"/>
          <w:u w:val="single"/>
          <w:lang w:eastAsia="ja-JP"/>
        </w:rPr>
        <w:t>:</w:t>
      </w:r>
      <w:r>
        <w:rPr>
          <w:i/>
          <w:noProof/>
          <w:sz w:val="24"/>
          <w:szCs w:val="24"/>
          <w:lang w:eastAsia="ja-JP"/>
        </w:rPr>
        <w:t xml:space="preserve"> </w:t>
      </w:r>
      <w:r>
        <w:rPr>
          <w:b w:val="0"/>
          <w:i/>
          <w:noProof/>
          <w:sz w:val="24"/>
          <w:szCs w:val="24"/>
          <w:lang w:eastAsia="ja-JP"/>
        </w:rPr>
        <w:t>Availability of main features in registration procedures in 28 EU Member States (2016)</w:t>
      </w:r>
      <w:bookmarkEnd w:id="545"/>
      <w:r>
        <w:rPr>
          <w:b w:val="0"/>
          <w:i/>
          <w:noProof/>
          <w:sz w:val="24"/>
          <w:szCs w:val="24"/>
          <w:lang w:eastAsia="ja-JP"/>
        </w:rPr>
        <w:t xml:space="preserve"> </w:t>
      </w:r>
    </w:p>
    <w:tbl>
      <w:tblPr>
        <w:tblW w:w="9221" w:type="dxa"/>
        <w:tblLayout w:type="fixed"/>
        <w:tblLook w:val="04A0" w:firstRow="1" w:lastRow="0" w:firstColumn="1" w:lastColumn="0" w:noHBand="0" w:noVBand="1"/>
      </w:tblPr>
      <w:tblGrid>
        <w:gridCol w:w="76"/>
        <w:gridCol w:w="1667"/>
        <w:gridCol w:w="7478"/>
      </w:tblGrid>
      <w:tr>
        <w:trPr>
          <w:trHeight w:val="1509"/>
        </w:trPr>
        <w:tc>
          <w:tcPr>
            <w:tcW w:w="76" w:type="dxa"/>
            <w:tcMar>
              <w:left w:w="28" w:type="dxa"/>
              <w:right w:w="28" w:type="dxa"/>
            </w:tcMar>
            <w:vAlign w:val="center"/>
          </w:tcPr>
          <w:p>
            <w:pPr>
              <w:spacing w:after="120"/>
              <w:ind w:left="849"/>
              <w:contextualSpacing/>
              <w:rPr>
                <w:rFonts w:ascii="Times New Roman" w:hAnsi="Times New Roman" w:cs="Times New Roman"/>
                <w:noProof/>
                <w:color w:val="7F7F7F" w:themeColor="text1" w:themeTint="80"/>
                <w:sz w:val="16"/>
                <w:szCs w:val="16"/>
                <w:lang w:eastAsia="ja-JP"/>
              </w:rPr>
            </w:pPr>
          </w:p>
        </w:tc>
        <w:tc>
          <w:tcPr>
            <w:tcW w:w="1667" w:type="dxa"/>
            <w:vAlign w:val="center"/>
          </w:tcPr>
          <w:p>
            <w:pPr>
              <w:spacing w:after="120"/>
              <w:rPr>
                <w:rFonts w:ascii="Times New Roman" w:hAnsi="Times New Roman" w:cs="Times New Roman"/>
                <w:noProof/>
                <w:sz w:val="16"/>
                <w:szCs w:val="16"/>
                <w:lang w:eastAsia="ja-JP"/>
              </w:rPr>
            </w:pPr>
            <w:r>
              <w:rPr>
                <w:rFonts w:ascii="Times New Roman" w:hAnsi="Times New Roman" w:cs="Times New Roman"/>
                <w:noProof/>
                <w:sz w:val="16"/>
                <w:szCs w:val="16"/>
                <w:lang w:eastAsia="ja-JP"/>
              </w:rPr>
              <w:t>VAT registration info for taxpayers is available</w:t>
            </w:r>
          </w:p>
          <w:p>
            <w:pPr>
              <w:spacing w:after="120"/>
              <w:rPr>
                <w:rFonts w:ascii="Times New Roman" w:hAnsi="Times New Roman" w:cs="Times New Roman"/>
                <w:noProof/>
                <w:sz w:val="16"/>
                <w:szCs w:val="16"/>
                <w:lang w:eastAsia="ja-JP"/>
              </w:rPr>
            </w:pPr>
            <w:r>
              <w:rPr>
                <w:rFonts w:ascii="Times New Roman" w:hAnsi="Times New Roman" w:cs="Times New Roman"/>
                <w:noProof/>
                <w:sz w:val="16"/>
                <w:szCs w:val="16"/>
                <w:lang w:eastAsia="ja-JP"/>
              </w:rPr>
              <w:t>In foreign languages</w:t>
            </w:r>
          </w:p>
          <w:p>
            <w:pPr>
              <w:spacing w:after="120"/>
              <w:rPr>
                <w:rFonts w:ascii="Times New Roman" w:hAnsi="Times New Roman" w:cs="Times New Roman"/>
                <w:noProof/>
                <w:sz w:val="16"/>
                <w:szCs w:val="16"/>
                <w:lang w:eastAsia="ja-JP"/>
              </w:rPr>
            </w:pPr>
            <w:r>
              <w:rPr>
                <w:rFonts w:ascii="Times New Roman" w:hAnsi="Times New Roman" w:cs="Times New Roman"/>
                <w:noProof/>
                <w:sz w:val="16"/>
                <w:szCs w:val="16"/>
                <w:lang w:eastAsia="ja-JP"/>
              </w:rPr>
              <w:t>Online VAT registration is possible</w:t>
            </w:r>
          </w:p>
          <w:p>
            <w:pPr>
              <w:spacing w:after="120"/>
              <w:rPr>
                <w:rFonts w:ascii="Times New Roman" w:hAnsi="Times New Roman" w:cs="Times New Roman"/>
                <w:noProof/>
                <w:sz w:val="16"/>
                <w:szCs w:val="16"/>
                <w:lang w:eastAsia="ja-JP"/>
              </w:rPr>
            </w:pPr>
            <w:r>
              <w:rPr>
                <w:rFonts w:ascii="Times New Roman" w:hAnsi="Times New Roman" w:cs="Times New Roman"/>
                <w:noProof/>
                <w:sz w:val="16"/>
                <w:szCs w:val="16"/>
                <w:lang w:eastAsia="ja-JP"/>
              </w:rPr>
              <w:t>Authenticity of VAT registration is verified</w:t>
            </w:r>
          </w:p>
          <w:p>
            <w:pPr>
              <w:spacing w:after="120"/>
              <w:rPr>
                <w:rFonts w:ascii="Times New Roman" w:hAnsi="Times New Roman" w:cs="Times New Roman"/>
                <w:noProof/>
                <w:sz w:val="16"/>
                <w:szCs w:val="16"/>
                <w:lang w:eastAsia="ja-JP"/>
              </w:rPr>
            </w:pPr>
            <w:r>
              <w:rPr>
                <w:rFonts w:ascii="Times New Roman" w:hAnsi="Times New Roman" w:cs="Times New Roman"/>
                <w:noProof/>
                <w:sz w:val="16"/>
                <w:szCs w:val="16"/>
                <w:lang w:eastAsia="ja-JP"/>
              </w:rPr>
              <w:t>Pre-VAT registration checks are in place</w:t>
            </w:r>
          </w:p>
          <w:p>
            <w:pPr>
              <w:spacing w:after="120"/>
              <w:rPr>
                <w:rFonts w:ascii="Times New Roman" w:hAnsi="Times New Roman" w:cs="Times New Roman"/>
                <w:noProof/>
                <w:sz w:val="16"/>
                <w:szCs w:val="16"/>
                <w:lang w:eastAsia="ja-JP"/>
              </w:rPr>
            </w:pPr>
            <w:r>
              <w:rPr>
                <w:rFonts w:ascii="Times New Roman" w:hAnsi="Times New Roman" w:cs="Times New Roman"/>
                <w:noProof/>
                <w:sz w:val="16"/>
                <w:szCs w:val="16"/>
                <w:lang w:eastAsia="ja-JP"/>
              </w:rPr>
              <w:t>IT assisted VAT and VIES registration system</w:t>
            </w:r>
          </w:p>
          <w:p>
            <w:pPr>
              <w:spacing w:after="120"/>
              <w:rPr>
                <w:rFonts w:ascii="Times New Roman" w:hAnsi="Times New Roman" w:cs="Times New Roman"/>
                <w:noProof/>
                <w:color w:val="7F7F7F" w:themeColor="text1" w:themeTint="80"/>
                <w:sz w:val="16"/>
                <w:szCs w:val="16"/>
                <w:lang w:eastAsia="ja-JP"/>
              </w:rPr>
            </w:pPr>
            <w:r>
              <w:rPr>
                <w:rFonts w:ascii="Times New Roman" w:hAnsi="Times New Roman" w:cs="Times New Roman"/>
                <w:noProof/>
                <w:sz w:val="16"/>
                <w:szCs w:val="16"/>
                <w:lang w:eastAsia="ja-JP"/>
              </w:rPr>
              <w:t>VIES post-registration verifications</w:t>
            </w:r>
          </w:p>
        </w:tc>
        <w:tc>
          <w:tcPr>
            <w:tcW w:w="7478" w:type="dxa"/>
          </w:tcPr>
          <w:p>
            <w:pPr>
              <w:spacing w:after="120"/>
              <w:rPr>
                <w:rFonts w:ascii="Times New Roman" w:hAnsi="Times New Roman" w:cs="Times New Roman"/>
                <w:noProof/>
                <w:lang w:eastAsia="ja-JP"/>
              </w:rPr>
            </w:pPr>
            <w:r>
              <w:rPr>
                <w:rFonts w:ascii="Times New Roman" w:hAnsi="Times New Roman" w:cs="Times New Roman"/>
                <w:i/>
                <w:noProof/>
                <w:lang w:val="en-US"/>
              </w:rPr>
              <w:drawing>
                <wp:inline distT="0" distB="0" distL="0" distR="0">
                  <wp:extent cx="4710224" cy="2466753"/>
                  <wp:effectExtent l="0" t="0" r="14605" b="10160"/>
                  <wp:docPr id="29"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tc>
      </w:tr>
    </w:tbl>
    <w:p>
      <w:pPr>
        <w:spacing w:after="120"/>
        <w:rPr>
          <w:rFonts w:ascii="Times New Roman" w:hAnsi="Times New Roman" w:cs="Times New Roman"/>
          <w:i/>
          <w:noProof/>
          <w:sz w:val="18"/>
          <w:szCs w:val="18"/>
          <w:lang w:eastAsia="ja-JP"/>
        </w:rPr>
      </w:pPr>
      <w:r>
        <w:rPr>
          <w:rFonts w:ascii="Times New Roman" w:hAnsi="Times New Roman" w:cs="Times New Roman"/>
          <w:i/>
          <w:noProof/>
          <w:sz w:val="18"/>
          <w:szCs w:val="18"/>
          <w:lang w:eastAsia="ja-JP"/>
        </w:rPr>
        <w:t xml:space="preserve">Source: Member States' answers to 2017 Questionnaire </w:t>
      </w:r>
    </w:p>
    <w:p>
      <w:pPr>
        <w:spacing w:after="120"/>
        <w:jc w:val="both"/>
        <w:rPr>
          <w:rFonts w:ascii="Times New Roman" w:hAnsi="Times New Roman" w:cs="Times New Roman"/>
          <w:noProof/>
          <w:sz w:val="24"/>
          <w:szCs w:val="24"/>
          <w:lang w:eastAsia="ja-JP"/>
        </w:rPr>
      </w:pPr>
      <w:r>
        <w:rPr>
          <w:rFonts w:ascii="Times New Roman" w:hAnsi="Times New Roman" w:cs="Times New Roman"/>
          <w:noProof/>
          <w:sz w:val="24"/>
          <w:szCs w:val="24"/>
          <w:lang w:eastAsia="ja-JP"/>
        </w:rPr>
        <w:t>In line with the trend towards better services to taxpayers, on-line registration is also becoming a standard practice</w:t>
      </w:r>
      <w:r>
        <w:rPr>
          <w:rStyle w:val="FootnoteReference"/>
          <w:rFonts w:ascii="Times New Roman" w:hAnsi="Times New Roman" w:cs="Times New Roman"/>
          <w:noProof/>
          <w:sz w:val="24"/>
          <w:szCs w:val="24"/>
          <w:lang w:eastAsia="ja-JP"/>
        </w:rPr>
        <w:footnoteReference w:id="11"/>
      </w:r>
      <w:r>
        <w:rPr>
          <w:rFonts w:ascii="Times New Roman" w:hAnsi="Times New Roman" w:cs="Times New Roman"/>
          <w:noProof/>
          <w:sz w:val="24"/>
          <w:szCs w:val="24"/>
          <w:lang w:eastAsia="ja-JP"/>
        </w:rPr>
        <w:t xml:space="preserve">. </w:t>
      </w:r>
    </w:p>
    <w:p>
      <w:pPr>
        <w:spacing w:after="120"/>
        <w:jc w:val="both"/>
        <w:rPr>
          <w:rFonts w:ascii="Times New Roman" w:hAnsi="Times New Roman" w:cs="Times New Roman"/>
          <w:b/>
          <w:noProof/>
          <w:sz w:val="24"/>
          <w:szCs w:val="24"/>
          <w:lang w:eastAsia="ja-JP"/>
        </w:rPr>
      </w:pPr>
      <w:r>
        <w:rPr>
          <w:rFonts w:ascii="Times New Roman" w:hAnsi="Times New Roman" w:cs="Times New Roman"/>
          <w:noProof/>
          <w:sz w:val="24"/>
          <w:szCs w:val="24"/>
          <w:lang w:eastAsia="ja-JP"/>
        </w:rPr>
        <w:t xml:space="preserve">Information about registration procedures and obligations is communicated to the taxpayers mainly via the tax administration’s website. However, still in some Member States this </w:t>
      </w:r>
      <w:r>
        <w:rPr>
          <w:rFonts w:ascii="Times New Roman" w:hAnsi="Times New Roman" w:cs="Times New Roman"/>
          <w:b/>
          <w:noProof/>
          <w:sz w:val="24"/>
          <w:szCs w:val="24"/>
          <w:lang w:eastAsia="ja-JP"/>
        </w:rPr>
        <w:t>information is not available or accessible in a foreign language</w:t>
      </w:r>
      <w:r>
        <w:rPr>
          <w:rFonts w:ascii="Times New Roman" w:hAnsi="Times New Roman" w:cs="Times New Roman"/>
          <w:noProof/>
          <w:sz w:val="24"/>
          <w:szCs w:val="24"/>
          <w:lang w:eastAsia="ja-JP"/>
        </w:rPr>
        <w:t>, which may cause difficulties for non-established taxpayers to fulfil the registration conditions.</w:t>
      </w:r>
      <w:r>
        <w:rPr>
          <w:rFonts w:ascii="Times New Roman" w:hAnsi="Times New Roman" w:cs="Times New Roman"/>
          <w:b/>
          <w:noProof/>
          <w:sz w:val="24"/>
          <w:szCs w:val="24"/>
          <w:lang w:eastAsia="ja-JP"/>
        </w:rPr>
        <w:t xml:space="preserve"> </w:t>
      </w:r>
    </w:p>
    <w:p>
      <w:pPr>
        <w:pStyle w:val="Caption"/>
        <w:spacing w:line="276" w:lineRule="auto"/>
        <w:rPr>
          <w:noProof/>
          <w:sz w:val="24"/>
        </w:rPr>
      </w:pPr>
      <w:bookmarkStart w:id="546" w:name="_Toc498335676"/>
      <w:r>
        <w:rPr>
          <w:noProof/>
          <w:sz w:val="24"/>
        </w:rPr>
        <w:t xml:space="preserve">Recommendation </w:t>
      </w:r>
      <w:r>
        <w:rPr>
          <w:noProof/>
          <w:sz w:val="24"/>
        </w:rPr>
        <w:fldChar w:fldCharType="begin"/>
      </w:r>
      <w:r>
        <w:rPr>
          <w:noProof/>
          <w:sz w:val="24"/>
        </w:rPr>
        <w:instrText xml:space="preserve"> SEQ Recommendation \* ARABIC </w:instrText>
      </w:r>
      <w:r>
        <w:rPr>
          <w:noProof/>
          <w:sz w:val="24"/>
        </w:rPr>
        <w:fldChar w:fldCharType="separate"/>
      </w:r>
      <w:r>
        <w:rPr>
          <w:noProof/>
          <w:sz w:val="24"/>
        </w:rPr>
        <w:t>4</w:t>
      </w:r>
      <w:r>
        <w:rPr>
          <w:noProof/>
          <w:sz w:val="24"/>
        </w:rPr>
        <w:fldChar w:fldCharType="end"/>
      </w:r>
      <w:r>
        <w:rPr>
          <w:noProof/>
          <w:sz w:val="24"/>
        </w:rPr>
        <w:t>: VAT registration for foreign taxpayers</w:t>
      </w:r>
      <w:bookmarkEnd w:id="546"/>
    </w:p>
    <w:p>
      <w:pPr>
        <w:pStyle w:val="Text1"/>
        <w:pBdr>
          <w:top w:val="single" w:sz="4" w:space="1" w:color="auto"/>
          <w:left w:val="single" w:sz="4" w:space="4" w:color="auto"/>
          <w:bottom w:val="single" w:sz="4" w:space="1" w:color="auto"/>
          <w:right w:val="single" w:sz="4" w:space="4" w:color="auto"/>
        </w:pBdr>
        <w:spacing w:line="276" w:lineRule="auto"/>
        <w:ind w:left="0"/>
        <w:rPr>
          <w:i/>
          <w:noProof/>
        </w:rPr>
      </w:pPr>
      <w:r>
        <w:rPr>
          <w:rFonts w:eastAsiaTheme="minorEastAsia"/>
          <w:i/>
          <w:noProof/>
          <w:lang w:eastAsia="ja-JP"/>
        </w:rPr>
        <w:t>Despite the recommendation in the previous report, some Member States should still invest more in assisting foreign taxpayers in fulfilling their VAT registration obligations.</w:t>
      </w:r>
    </w:p>
    <w:p>
      <w:pPr>
        <w:spacing w:after="240"/>
        <w:jc w:val="both"/>
        <w:rPr>
          <w:rFonts w:ascii="Times New Roman" w:hAnsi="Times New Roman" w:cs="Times New Roman"/>
          <w:b/>
          <w:noProof/>
          <w:sz w:val="24"/>
          <w:szCs w:val="24"/>
          <w:lang w:eastAsia="ja-JP"/>
        </w:rPr>
      </w:pPr>
      <w:r>
        <w:rPr>
          <w:rFonts w:ascii="Times New Roman" w:hAnsi="Times New Roman" w:cs="Times New Roman"/>
          <w:b/>
          <w:noProof/>
          <w:sz w:val="24"/>
          <w:szCs w:val="24"/>
          <w:lang w:eastAsia="ja-JP"/>
        </w:rPr>
        <w:t>Member States have different numbering practices in place to identify taxpayers</w:t>
      </w:r>
      <w:r>
        <w:rPr>
          <w:rFonts w:ascii="Times New Roman" w:hAnsi="Times New Roman" w:cs="Times New Roman"/>
          <w:noProof/>
          <w:sz w:val="24"/>
          <w:szCs w:val="24"/>
          <w:lang w:eastAsia="ja-JP"/>
        </w:rPr>
        <w:t xml:space="preserve">. It varies from one single identification number for all taxes including VAT to different identification numbers for VAT and other taxes. In some Member States, even the VIES registration number is different from the VAT identification number. </w:t>
      </w:r>
      <w:r>
        <w:rPr>
          <w:rFonts w:ascii="Times New Roman" w:hAnsi="Times New Roman" w:cs="Times New Roman"/>
          <w:b/>
          <w:noProof/>
          <w:sz w:val="24"/>
          <w:szCs w:val="24"/>
          <w:lang w:eastAsia="ja-JP"/>
        </w:rPr>
        <w:t>This fragmentation of VAT identification practices may result in extra administrative burdens for businesses operating in different Member States.</w:t>
      </w:r>
    </w:p>
    <w:p>
      <w:pPr>
        <w:pStyle w:val="Caption"/>
        <w:spacing w:line="276" w:lineRule="auto"/>
        <w:rPr>
          <w:noProof/>
          <w:sz w:val="24"/>
        </w:rPr>
      </w:pPr>
      <w:bookmarkStart w:id="547" w:name="_Toc498335677"/>
      <w:r>
        <w:rPr>
          <w:noProof/>
          <w:sz w:val="24"/>
        </w:rPr>
        <w:t xml:space="preserve">Recommendation </w:t>
      </w:r>
      <w:r>
        <w:rPr>
          <w:noProof/>
          <w:sz w:val="24"/>
        </w:rPr>
        <w:fldChar w:fldCharType="begin"/>
      </w:r>
      <w:r>
        <w:rPr>
          <w:noProof/>
          <w:sz w:val="24"/>
        </w:rPr>
        <w:instrText xml:space="preserve"> SEQ Recommendation \* ARABIC </w:instrText>
      </w:r>
      <w:r>
        <w:rPr>
          <w:noProof/>
          <w:sz w:val="24"/>
        </w:rPr>
        <w:fldChar w:fldCharType="separate"/>
      </w:r>
      <w:r>
        <w:rPr>
          <w:noProof/>
          <w:sz w:val="24"/>
        </w:rPr>
        <w:t>5</w:t>
      </w:r>
      <w:r>
        <w:rPr>
          <w:noProof/>
          <w:sz w:val="24"/>
        </w:rPr>
        <w:fldChar w:fldCharType="end"/>
      </w:r>
      <w:r>
        <w:rPr>
          <w:noProof/>
          <w:sz w:val="24"/>
        </w:rPr>
        <w:t>: VAT identification numbers</w:t>
      </w:r>
      <w:bookmarkEnd w:id="547"/>
    </w:p>
    <w:p>
      <w:pPr>
        <w:pBdr>
          <w:top w:val="single" w:sz="4" w:space="1" w:color="auto"/>
          <w:left w:val="single" w:sz="4" w:space="4" w:color="auto"/>
          <w:bottom w:val="single" w:sz="4" w:space="1" w:color="auto"/>
          <w:right w:val="single" w:sz="4" w:space="4" w:color="auto"/>
        </w:pBdr>
        <w:spacing w:after="240"/>
        <w:jc w:val="both"/>
        <w:rPr>
          <w:rFonts w:ascii="Times New Roman" w:hAnsi="Times New Roman" w:cs="Times New Roman"/>
          <w:b/>
          <w:noProof/>
          <w:sz w:val="24"/>
          <w:szCs w:val="24"/>
          <w:lang w:eastAsia="ja-JP"/>
        </w:rPr>
      </w:pPr>
      <w:r>
        <w:rPr>
          <w:rFonts w:ascii="Times New Roman" w:eastAsiaTheme="minorEastAsia" w:hAnsi="Times New Roman" w:cs="Times New Roman"/>
          <w:i/>
          <w:noProof/>
          <w:sz w:val="24"/>
          <w:szCs w:val="24"/>
          <w:lang w:eastAsia="ja-JP"/>
        </w:rPr>
        <w:t>With a view of reducing this administrative burden, Member States and the Commission should reflect on the allocation of VAT identification numbers and VIES registration numbers.</w:t>
      </w:r>
    </w:p>
    <w:p>
      <w:pPr>
        <w:spacing w:after="240"/>
        <w:jc w:val="both"/>
        <w:rPr>
          <w:rFonts w:ascii="Times New Roman" w:hAnsi="Times New Roman" w:cs="Times New Roman"/>
          <w:noProof/>
          <w:sz w:val="24"/>
          <w:szCs w:val="24"/>
          <w:lang w:eastAsia="ja-JP"/>
        </w:rPr>
      </w:pPr>
      <w:r>
        <w:rPr>
          <w:rFonts w:ascii="Times New Roman" w:hAnsi="Times New Roman" w:cs="Times New Roman"/>
          <w:noProof/>
          <w:sz w:val="24"/>
          <w:szCs w:val="24"/>
          <w:lang w:eastAsia="ja-JP"/>
        </w:rPr>
        <w:t>In order to avoid that a VAT registration number is used for fraudulent activities, tax administrations have to ensure that the information provided by the taxpayer is authentic, accurate and complete. For this purpose, a large number of Member States have in place an end-to-end process that includes verification of the taxpayer’s identity, preliminary checks before registration, based on risk analysis, cross-checks with third party information, post-registration monitoring programs for risky traders, and deregistration procedures in case taxpayers no longer fulfil the conditions for registration. Although a number of Member States have implemented this end-to-end process, the accompanying activities are often carried out on an ad hoc basis, which increases the risk of unreliable data in the registration system. With a more systematic approach tax administrations are better equipped to tackle risks in the registration procedure.</w:t>
      </w:r>
    </w:p>
    <w:p>
      <w:pPr>
        <w:pStyle w:val="Caption"/>
        <w:spacing w:line="276" w:lineRule="auto"/>
        <w:rPr>
          <w:noProof/>
          <w:sz w:val="24"/>
        </w:rPr>
      </w:pPr>
      <w:bookmarkStart w:id="548" w:name="_Toc498335678"/>
      <w:r>
        <w:rPr>
          <w:noProof/>
          <w:sz w:val="24"/>
        </w:rPr>
        <w:t xml:space="preserve">Recommendation </w:t>
      </w:r>
      <w:r>
        <w:rPr>
          <w:noProof/>
          <w:sz w:val="24"/>
        </w:rPr>
        <w:fldChar w:fldCharType="begin"/>
      </w:r>
      <w:r>
        <w:rPr>
          <w:noProof/>
          <w:sz w:val="24"/>
        </w:rPr>
        <w:instrText xml:space="preserve"> SEQ Recommendation \* ARABIC </w:instrText>
      </w:r>
      <w:r>
        <w:rPr>
          <w:noProof/>
          <w:sz w:val="24"/>
        </w:rPr>
        <w:fldChar w:fldCharType="separate"/>
      </w:r>
      <w:r>
        <w:rPr>
          <w:noProof/>
          <w:sz w:val="24"/>
        </w:rPr>
        <w:t>6</w:t>
      </w:r>
      <w:r>
        <w:rPr>
          <w:noProof/>
          <w:sz w:val="24"/>
        </w:rPr>
        <w:fldChar w:fldCharType="end"/>
      </w:r>
      <w:r>
        <w:rPr>
          <w:noProof/>
          <w:sz w:val="24"/>
        </w:rPr>
        <w:t>: Validity of VAT and VIES registration</w:t>
      </w:r>
      <w:bookmarkEnd w:id="548"/>
    </w:p>
    <w:p>
      <w:pPr>
        <w:pStyle w:val="Text1"/>
        <w:pBdr>
          <w:top w:val="single" w:sz="4" w:space="1" w:color="auto"/>
          <w:left w:val="single" w:sz="4" w:space="4" w:color="auto"/>
          <w:bottom w:val="single" w:sz="4" w:space="1" w:color="auto"/>
          <w:right w:val="single" w:sz="4" w:space="4" w:color="auto"/>
        </w:pBdr>
        <w:spacing w:after="240" w:line="276" w:lineRule="auto"/>
        <w:ind w:left="0"/>
        <w:rPr>
          <w:i/>
          <w:noProof/>
        </w:rPr>
      </w:pPr>
      <w:r>
        <w:rPr>
          <w:rFonts w:eastAsiaTheme="minorEastAsia"/>
          <w:i/>
          <w:noProof/>
          <w:lang w:eastAsia="ja-JP"/>
        </w:rPr>
        <w:t>Member States should check the validity of the VAT and VIES registration data</w:t>
      </w:r>
      <w:r>
        <w:rPr>
          <w:i/>
          <w:noProof/>
        </w:rPr>
        <w:t xml:space="preserve"> in a more systematic way.</w:t>
      </w:r>
    </w:p>
    <w:p>
      <w:pPr>
        <w:spacing w:after="240"/>
        <w:jc w:val="both"/>
        <w:rPr>
          <w:rFonts w:ascii="Times New Roman" w:hAnsi="Times New Roman" w:cs="Times New Roman"/>
          <w:noProof/>
          <w:sz w:val="24"/>
          <w:szCs w:val="24"/>
          <w:lang w:eastAsia="ja-JP"/>
        </w:rPr>
      </w:pPr>
      <w:r>
        <w:rPr>
          <w:rFonts w:ascii="Times New Roman" w:hAnsi="Times New Roman" w:cs="Times New Roman"/>
          <w:noProof/>
          <w:sz w:val="24"/>
          <w:szCs w:val="24"/>
          <w:lang w:eastAsia="ja-JP"/>
        </w:rPr>
        <w:t>In general</w:t>
      </w:r>
      <w:r>
        <w:rPr>
          <w:rFonts w:ascii="Times New Roman" w:hAnsi="Times New Roman" w:cs="Times New Roman"/>
          <w:b/>
          <w:noProof/>
          <w:sz w:val="24"/>
          <w:szCs w:val="24"/>
          <w:lang w:eastAsia="ja-JP"/>
        </w:rPr>
        <w:t>, Member States are moving towards a registration procedure based on risk assessment</w:t>
      </w:r>
      <w:r>
        <w:rPr>
          <w:rFonts w:ascii="Times New Roman" w:hAnsi="Times New Roman" w:cs="Times New Roman"/>
          <w:noProof/>
          <w:sz w:val="24"/>
          <w:szCs w:val="24"/>
          <w:lang w:eastAsia="ja-JP"/>
        </w:rPr>
        <w:t>. In order to avoid that such an approach could entail a delay in issuing VAT identification numbers, several tax administrations have put in place procedures that mitigate this risk.</w:t>
      </w:r>
      <w:r>
        <w:rPr>
          <w:rStyle w:val="FootnoteReference"/>
          <w:rFonts w:ascii="Times New Roman" w:hAnsi="Times New Roman" w:cs="Times New Roman"/>
          <w:noProof/>
          <w:sz w:val="24"/>
          <w:szCs w:val="24"/>
          <w:lang w:eastAsia="ja-JP"/>
        </w:rPr>
        <w:footnoteReference w:id="12"/>
      </w:r>
      <w:r>
        <w:rPr>
          <w:rFonts w:ascii="Times New Roman" w:hAnsi="Times New Roman" w:cs="Times New Roman"/>
          <w:noProof/>
          <w:sz w:val="24"/>
          <w:szCs w:val="24"/>
          <w:lang w:eastAsia="ja-JP"/>
        </w:rPr>
        <w:t xml:space="preserve"> Member States indicated in their replies that the time needed for submitting a VAT and/or VIES identification number is within one week, ranging from one to five days.</w:t>
      </w:r>
      <w:r>
        <w:rPr>
          <w:rFonts w:ascii="Times New Roman" w:hAnsi="Times New Roman" w:cs="Times New Roman"/>
          <w:b/>
          <w:noProof/>
          <w:sz w:val="24"/>
          <w:szCs w:val="24"/>
          <w:lang w:eastAsia="ja-JP"/>
        </w:rPr>
        <w:t xml:space="preserve"> Therefore, it seems that the risk assessment approach does not result in significant delays of submitting a registration number for VAT and/or VIES</w:t>
      </w:r>
      <w:r>
        <w:rPr>
          <w:rFonts w:ascii="Times New Roman" w:hAnsi="Times New Roman" w:cs="Times New Roman"/>
          <w:noProof/>
          <w:sz w:val="24"/>
          <w:szCs w:val="24"/>
          <w:lang w:eastAsia="ja-JP"/>
        </w:rPr>
        <w:t>.</w:t>
      </w:r>
    </w:p>
    <w:p>
      <w:pPr>
        <w:pStyle w:val="Caption"/>
        <w:rPr>
          <w:i/>
          <w:noProof/>
          <w:sz w:val="24"/>
          <w:szCs w:val="24"/>
          <w:lang w:eastAsia="ja-JP"/>
        </w:rPr>
      </w:pPr>
      <w:bookmarkStart w:id="549" w:name="_Toc498335664"/>
      <w:r>
        <w:rPr>
          <w:i/>
          <w:noProof/>
          <w:sz w:val="24"/>
          <w:szCs w:val="24"/>
          <w:u w:val="single"/>
        </w:rPr>
        <w:t xml:space="preserve">Figure </w:t>
      </w:r>
      <w:r>
        <w:rPr>
          <w:i/>
          <w:noProof/>
          <w:sz w:val="24"/>
          <w:szCs w:val="24"/>
          <w:u w:val="single"/>
        </w:rPr>
        <w:fldChar w:fldCharType="begin"/>
      </w:r>
      <w:r>
        <w:rPr>
          <w:i/>
          <w:noProof/>
          <w:sz w:val="24"/>
          <w:szCs w:val="24"/>
          <w:u w:val="single"/>
        </w:rPr>
        <w:instrText xml:space="preserve"> SEQ Figure \* ARABIC </w:instrText>
      </w:r>
      <w:r>
        <w:rPr>
          <w:i/>
          <w:noProof/>
          <w:sz w:val="24"/>
          <w:szCs w:val="24"/>
          <w:u w:val="single"/>
        </w:rPr>
        <w:fldChar w:fldCharType="separate"/>
      </w:r>
      <w:r>
        <w:rPr>
          <w:i/>
          <w:noProof/>
          <w:sz w:val="24"/>
          <w:szCs w:val="24"/>
          <w:u w:val="single"/>
        </w:rPr>
        <w:t>4</w:t>
      </w:r>
      <w:r>
        <w:rPr>
          <w:i/>
          <w:noProof/>
          <w:sz w:val="24"/>
          <w:szCs w:val="24"/>
          <w:u w:val="single"/>
        </w:rPr>
        <w:fldChar w:fldCharType="end"/>
      </w:r>
      <w:r>
        <w:rPr>
          <w:i/>
          <w:noProof/>
          <w:sz w:val="24"/>
          <w:szCs w:val="24"/>
          <w:lang w:eastAsia="ja-JP"/>
        </w:rPr>
        <w:t xml:space="preserve">: </w:t>
      </w:r>
      <w:r>
        <w:rPr>
          <w:b w:val="0"/>
          <w:i/>
          <w:noProof/>
          <w:sz w:val="24"/>
          <w:szCs w:val="24"/>
          <w:lang w:eastAsia="ja-JP"/>
        </w:rPr>
        <w:t>Time needed for obtaining a VAT and a VIES number</w:t>
      </w:r>
      <w:r>
        <w:rPr>
          <w:i/>
          <w:noProof/>
          <w:sz w:val="24"/>
          <w:szCs w:val="24"/>
          <w:lang w:eastAsia="ja-JP"/>
        </w:rPr>
        <w:t xml:space="preserve"> </w:t>
      </w:r>
      <w:r>
        <w:rPr>
          <w:b w:val="0"/>
          <w:i/>
          <w:noProof/>
          <w:sz w:val="24"/>
          <w:szCs w:val="24"/>
          <w:lang w:eastAsia="ja-JP"/>
        </w:rPr>
        <w:t>in 22 EU Member States (2013-2015)</w:t>
      </w:r>
      <w:r>
        <w:rPr>
          <w:rStyle w:val="FootnoteReference"/>
          <w:i/>
          <w:noProof/>
          <w:sz w:val="24"/>
          <w:szCs w:val="24"/>
          <w:lang w:eastAsia="ja-JP"/>
        </w:rPr>
        <w:footnoteReference w:id="13"/>
      </w:r>
      <w:bookmarkEnd w:id="549"/>
    </w:p>
    <w:p>
      <w:pPr>
        <w:spacing w:before="240" w:after="120"/>
        <w:rPr>
          <w:rFonts w:ascii="Times New Roman" w:hAnsi="Times New Roman" w:cs="Times New Roman"/>
          <w:noProof/>
          <w:lang w:eastAsia="ja-JP"/>
        </w:rPr>
      </w:pPr>
      <w:r>
        <w:rPr>
          <w:rFonts w:ascii="Times New Roman" w:hAnsi="Times New Roman" w:cs="Times New Roman"/>
          <w:noProof/>
          <w:lang w:val="en-US"/>
        </w:rPr>
        <w:drawing>
          <wp:inline distT="0" distB="0" distL="0" distR="0">
            <wp:extent cx="5771692" cy="1558137"/>
            <wp:effectExtent l="0" t="0" r="19685" b="23495"/>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pPr>
        <w:spacing w:after="240"/>
        <w:rPr>
          <w:rFonts w:ascii="Times New Roman" w:hAnsi="Times New Roman" w:cs="Times New Roman"/>
          <w:i/>
          <w:noProof/>
          <w:sz w:val="18"/>
          <w:szCs w:val="18"/>
          <w:lang w:eastAsia="ja-JP"/>
        </w:rPr>
      </w:pPr>
      <w:r>
        <w:rPr>
          <w:rFonts w:ascii="Times New Roman" w:hAnsi="Times New Roman" w:cs="Times New Roman"/>
          <w:i/>
          <w:noProof/>
          <w:sz w:val="18"/>
          <w:szCs w:val="18"/>
          <w:lang w:eastAsia="ja-JP"/>
        </w:rPr>
        <w:t xml:space="preserve">Source: Member States' answers to 2017 Questionnaire </w:t>
      </w:r>
    </w:p>
    <w:p>
      <w:pPr>
        <w:spacing w:before="240"/>
        <w:jc w:val="both"/>
        <w:rPr>
          <w:rFonts w:ascii="Times New Roman" w:hAnsi="Times New Roman" w:cs="Times New Roman"/>
          <w:noProof/>
          <w:sz w:val="24"/>
          <w:szCs w:val="24"/>
          <w:lang w:eastAsia="ja-JP"/>
        </w:rPr>
      </w:pPr>
      <w:r>
        <w:rPr>
          <w:rFonts w:ascii="Times New Roman" w:hAnsi="Times New Roman" w:cs="Times New Roman"/>
          <w:noProof/>
          <w:sz w:val="24"/>
          <w:szCs w:val="24"/>
          <w:lang w:eastAsia="ja-JP"/>
        </w:rPr>
        <w:t>In all Member States the VAT registration database is available in electronic format, which allows tax authorities to link the registration information with other IT subsystems dedicated to VAT filing and payments, collection and audit.</w:t>
      </w:r>
    </w:p>
    <w:p>
      <w:pPr>
        <w:spacing w:after="240"/>
        <w:jc w:val="both"/>
        <w:rPr>
          <w:rFonts w:ascii="Times New Roman" w:hAnsi="Times New Roman" w:cs="Times New Roman"/>
          <w:noProof/>
          <w:sz w:val="24"/>
          <w:szCs w:val="24"/>
          <w:lang w:eastAsia="ja-JP"/>
        </w:rPr>
      </w:pPr>
      <w:r>
        <w:rPr>
          <w:rFonts w:ascii="Times New Roman" w:hAnsi="Times New Roman" w:cs="Times New Roman"/>
          <w:noProof/>
          <w:sz w:val="24"/>
          <w:szCs w:val="24"/>
          <w:lang w:eastAsia="ja-JP"/>
        </w:rPr>
        <w:t>Finally, it should be noted that the vast majority of tax administrations have compliance strategies in place that include initiatives to detect non-registered taxable persons. Information campaigns</w:t>
      </w:r>
      <w:r>
        <w:rPr>
          <w:rStyle w:val="FootnoteReference"/>
          <w:rFonts w:ascii="Times New Roman" w:hAnsi="Times New Roman" w:cs="Times New Roman"/>
          <w:noProof/>
          <w:sz w:val="24"/>
          <w:szCs w:val="24"/>
          <w:lang w:eastAsia="ja-JP"/>
        </w:rPr>
        <w:footnoteReference w:id="14"/>
      </w:r>
      <w:r>
        <w:rPr>
          <w:rFonts w:ascii="Times New Roman" w:hAnsi="Times New Roman" w:cs="Times New Roman"/>
          <w:noProof/>
          <w:sz w:val="24"/>
          <w:szCs w:val="24"/>
          <w:lang w:eastAsia="ja-JP"/>
        </w:rPr>
        <w:t>, on-the-spot visits and checks of domestic control statements</w:t>
      </w:r>
      <w:r>
        <w:rPr>
          <w:rStyle w:val="FootnoteReference"/>
          <w:rFonts w:ascii="Times New Roman" w:hAnsi="Times New Roman" w:cs="Times New Roman"/>
          <w:noProof/>
          <w:sz w:val="24"/>
          <w:szCs w:val="24"/>
          <w:lang w:eastAsia="ja-JP"/>
        </w:rPr>
        <w:footnoteReference w:id="15"/>
      </w:r>
      <w:r>
        <w:rPr>
          <w:rFonts w:ascii="Times New Roman" w:hAnsi="Times New Roman" w:cs="Times New Roman"/>
          <w:noProof/>
          <w:sz w:val="24"/>
          <w:szCs w:val="24"/>
          <w:lang w:eastAsia="ja-JP"/>
        </w:rPr>
        <w:t xml:space="preserve"> are examples of such initiatives.</w:t>
      </w:r>
    </w:p>
    <w:p>
      <w:pPr>
        <w:pStyle w:val="ManualHeading3"/>
        <w:rPr>
          <w:noProof/>
        </w:rPr>
      </w:pPr>
      <w:bookmarkStart w:id="550" w:name="_Toc498335649"/>
      <w:r>
        <w:t>3.2.2.</w:t>
      </w:r>
      <w:r>
        <w:tab/>
      </w:r>
      <w:r>
        <w:rPr>
          <w:noProof/>
        </w:rPr>
        <w:t>VAT de-registration</w:t>
      </w:r>
      <w:bookmarkEnd w:id="550"/>
    </w:p>
    <w:p>
      <w:pPr>
        <w:spacing w:after="240"/>
        <w:jc w:val="both"/>
        <w:rPr>
          <w:rFonts w:ascii="Times New Roman" w:hAnsi="Times New Roman" w:cs="Times New Roman"/>
          <w:noProof/>
          <w:sz w:val="24"/>
          <w:szCs w:val="24"/>
          <w:lang w:eastAsia="ja-JP"/>
        </w:rPr>
      </w:pPr>
      <w:r>
        <w:rPr>
          <w:rFonts w:ascii="Times New Roman" w:hAnsi="Times New Roman" w:cs="Times New Roman"/>
          <w:noProof/>
          <w:sz w:val="24"/>
          <w:szCs w:val="24"/>
          <w:lang w:eastAsia="ja-JP"/>
        </w:rPr>
        <w:t xml:space="preserve">In all Member States tax administrations deregister taxpayers on their request or </w:t>
      </w:r>
      <w:r>
        <w:rPr>
          <w:rFonts w:ascii="Times New Roman" w:hAnsi="Times New Roman" w:cs="Times New Roman"/>
          <w:i/>
          <w:noProof/>
          <w:sz w:val="24"/>
          <w:szCs w:val="24"/>
          <w:lang w:eastAsia="ja-JP"/>
        </w:rPr>
        <w:t>ex officio</w:t>
      </w:r>
      <w:r>
        <w:rPr>
          <w:rFonts w:ascii="Times New Roman" w:hAnsi="Times New Roman" w:cs="Times New Roman"/>
          <w:noProof/>
          <w:sz w:val="24"/>
          <w:szCs w:val="24"/>
          <w:lang w:eastAsia="ja-JP"/>
        </w:rPr>
        <w:t xml:space="preserve">, when the economic activities have ceased. A few Member States introduced a possibility of deregistering taxpayers when for a number of months they did not submit VAT returns. In other cases, such as suspicion of fraud, most Member States do not have a legal possibility to deregister these taxpayers from the VAT system. </w:t>
      </w:r>
    </w:p>
    <w:p>
      <w:pPr>
        <w:pStyle w:val="ManualHeading3"/>
        <w:rPr>
          <w:noProof/>
        </w:rPr>
      </w:pPr>
      <w:bookmarkStart w:id="551" w:name="_Toc498335650"/>
      <w:r>
        <w:t>3.2.3.</w:t>
      </w:r>
      <w:r>
        <w:tab/>
      </w:r>
      <w:r>
        <w:rPr>
          <w:noProof/>
        </w:rPr>
        <w:t>VIES registration and de-registration</w:t>
      </w:r>
      <w:bookmarkEnd w:id="551"/>
    </w:p>
    <w:p>
      <w:pPr>
        <w:jc w:val="both"/>
        <w:rPr>
          <w:rFonts w:ascii="Times New Roman" w:hAnsi="Times New Roman" w:cs="Times New Roman"/>
          <w:noProof/>
          <w:sz w:val="24"/>
          <w:szCs w:val="24"/>
          <w:lang w:eastAsia="ja-JP"/>
        </w:rPr>
      </w:pPr>
      <w:r>
        <w:rPr>
          <w:rFonts w:ascii="Times New Roman" w:hAnsi="Times New Roman" w:cs="Times New Roman"/>
          <w:noProof/>
          <w:sz w:val="24"/>
          <w:szCs w:val="24"/>
          <w:lang w:eastAsia="ja-JP"/>
        </w:rPr>
        <w:t xml:space="preserve">There are different approaches towards registration of VAT taxpayers in the VIES. In some Member States, all national VAT registrations are automatically included in the VIES system. Other Member States only include in VIES those taxpayers that, at the moment of registration or subsequently, declare to carry out intra-EU transactions. </w:t>
      </w:r>
    </w:p>
    <w:p>
      <w:pPr>
        <w:spacing w:after="240"/>
        <w:jc w:val="both"/>
        <w:rPr>
          <w:rFonts w:ascii="Times New Roman" w:hAnsi="Times New Roman" w:cs="Times New Roman"/>
          <w:noProof/>
          <w:sz w:val="24"/>
          <w:szCs w:val="24"/>
          <w:lang w:eastAsia="ja-JP"/>
        </w:rPr>
      </w:pPr>
      <w:r>
        <w:rPr>
          <w:rFonts w:ascii="Times New Roman" w:hAnsi="Times New Roman" w:cs="Times New Roman"/>
          <w:noProof/>
          <w:sz w:val="24"/>
          <w:szCs w:val="24"/>
          <w:lang w:eastAsia="ja-JP"/>
        </w:rPr>
        <w:t>Member States' replies showed</w:t>
      </w:r>
      <w:r>
        <w:rPr>
          <w:rFonts w:ascii="Times New Roman" w:hAnsi="Times New Roman" w:cs="Times New Roman"/>
          <w:b/>
          <w:noProof/>
          <w:sz w:val="24"/>
          <w:szCs w:val="24"/>
          <w:lang w:eastAsia="ja-JP"/>
        </w:rPr>
        <w:t xml:space="preserve"> that more than thirty percent of the tax administrations did not implement a post-registration control procedure.</w:t>
      </w:r>
      <w:r>
        <w:rPr>
          <w:rStyle w:val="FootnoteReference"/>
          <w:rFonts w:ascii="Times New Roman" w:hAnsi="Times New Roman" w:cs="Times New Roman"/>
          <w:b/>
          <w:noProof/>
          <w:sz w:val="24"/>
          <w:szCs w:val="24"/>
          <w:lang w:eastAsia="ja-JP"/>
        </w:rPr>
        <w:footnoteReference w:id="16"/>
      </w:r>
      <w:r>
        <w:rPr>
          <w:rFonts w:ascii="Times New Roman" w:hAnsi="Times New Roman" w:cs="Times New Roman"/>
          <w:b/>
          <w:noProof/>
          <w:sz w:val="24"/>
          <w:szCs w:val="24"/>
          <w:lang w:eastAsia="ja-JP"/>
        </w:rPr>
        <w:t xml:space="preserve"> </w:t>
      </w:r>
      <w:r>
        <w:rPr>
          <w:rFonts w:ascii="Times New Roman" w:hAnsi="Times New Roman" w:cs="Times New Roman"/>
          <w:noProof/>
          <w:sz w:val="24"/>
          <w:szCs w:val="24"/>
          <w:lang w:eastAsia="ja-JP"/>
        </w:rPr>
        <w:t xml:space="preserve">Other Member States' tax administrations only carry out </w:t>
      </w:r>
      <w:r>
        <w:rPr>
          <w:rFonts w:ascii="Times New Roman" w:hAnsi="Times New Roman" w:cs="Times New Roman"/>
          <w:i/>
          <w:noProof/>
          <w:sz w:val="24"/>
          <w:szCs w:val="24"/>
          <w:lang w:eastAsia="ja-JP"/>
        </w:rPr>
        <w:t>ad hoc</w:t>
      </w:r>
      <w:r>
        <w:rPr>
          <w:rFonts w:ascii="Times New Roman" w:hAnsi="Times New Roman" w:cs="Times New Roman"/>
          <w:noProof/>
          <w:sz w:val="24"/>
          <w:szCs w:val="24"/>
          <w:lang w:eastAsia="ja-JP"/>
        </w:rPr>
        <w:t xml:space="preserve"> post registration controls. </w:t>
      </w:r>
    </w:p>
    <w:p>
      <w:pPr>
        <w:pStyle w:val="Caption"/>
        <w:spacing w:line="276" w:lineRule="auto"/>
        <w:rPr>
          <w:noProof/>
          <w:sz w:val="24"/>
        </w:rPr>
      </w:pPr>
      <w:bookmarkStart w:id="552" w:name="_Toc498335679"/>
      <w:r>
        <w:rPr>
          <w:noProof/>
          <w:sz w:val="24"/>
        </w:rPr>
        <w:t xml:space="preserve">Recommendation </w:t>
      </w:r>
      <w:r>
        <w:rPr>
          <w:noProof/>
          <w:sz w:val="24"/>
        </w:rPr>
        <w:fldChar w:fldCharType="begin"/>
      </w:r>
      <w:r>
        <w:rPr>
          <w:noProof/>
          <w:sz w:val="24"/>
        </w:rPr>
        <w:instrText xml:space="preserve"> SEQ Recommendation \* ARABIC </w:instrText>
      </w:r>
      <w:r>
        <w:rPr>
          <w:noProof/>
          <w:sz w:val="24"/>
        </w:rPr>
        <w:fldChar w:fldCharType="separate"/>
      </w:r>
      <w:r>
        <w:rPr>
          <w:noProof/>
          <w:sz w:val="24"/>
        </w:rPr>
        <w:t>7</w:t>
      </w:r>
      <w:r>
        <w:rPr>
          <w:noProof/>
          <w:sz w:val="24"/>
        </w:rPr>
        <w:fldChar w:fldCharType="end"/>
      </w:r>
      <w:r>
        <w:rPr>
          <w:noProof/>
          <w:sz w:val="24"/>
        </w:rPr>
        <w:t>: Post registration controls</w:t>
      </w:r>
      <w:bookmarkEnd w:id="552"/>
    </w:p>
    <w:p>
      <w:pPr>
        <w:pStyle w:val="Text1"/>
        <w:pBdr>
          <w:top w:val="single" w:sz="4" w:space="1" w:color="auto"/>
          <w:left w:val="single" w:sz="4" w:space="4" w:color="auto"/>
          <w:bottom w:val="single" w:sz="4" w:space="1" w:color="auto"/>
          <w:right w:val="single" w:sz="4" w:space="4" w:color="auto"/>
        </w:pBdr>
        <w:spacing w:after="240" w:line="276" w:lineRule="auto"/>
        <w:ind w:left="0"/>
        <w:rPr>
          <w:i/>
          <w:noProof/>
        </w:rPr>
      </w:pPr>
      <w:r>
        <w:rPr>
          <w:rFonts w:eastAsiaTheme="minorEastAsia"/>
          <w:i/>
          <w:noProof/>
          <w:lang w:eastAsia="ja-JP"/>
        </w:rPr>
        <w:t>Member States which conduct only preliminary checks before registration, should implement post-registration controls to ensure the reliability of VIES data</w:t>
      </w:r>
    </w:p>
    <w:p>
      <w:pPr>
        <w:pStyle w:val="ManualHeading2"/>
        <w:rPr>
          <w:noProof/>
          <w:lang w:eastAsia="ja-JP"/>
        </w:rPr>
      </w:pPr>
      <w:bookmarkStart w:id="553" w:name="_Toc492395851"/>
      <w:bookmarkStart w:id="554" w:name="_Toc492396211"/>
      <w:bookmarkStart w:id="555" w:name="_Toc498335651"/>
      <w:bookmarkEnd w:id="553"/>
      <w:bookmarkEnd w:id="554"/>
      <w:r>
        <w:t>3.3.</w:t>
      </w:r>
      <w:r>
        <w:tab/>
      </w:r>
      <w:r>
        <w:rPr>
          <w:noProof/>
        </w:rPr>
        <w:t>VAT filing and payment</w:t>
      </w:r>
      <w:bookmarkEnd w:id="555"/>
    </w:p>
    <w:p>
      <w:pPr>
        <w:jc w:val="both"/>
        <w:rPr>
          <w:rFonts w:ascii="Times New Roman" w:hAnsi="Times New Roman" w:cs="Times New Roman"/>
          <w:noProof/>
          <w:sz w:val="24"/>
          <w:szCs w:val="24"/>
          <w:lang w:eastAsia="ja-JP"/>
        </w:rPr>
      </w:pPr>
      <w:r>
        <w:rPr>
          <w:rFonts w:ascii="Times New Roman" w:hAnsi="Times New Roman" w:cs="Times New Roman"/>
          <w:noProof/>
          <w:sz w:val="24"/>
          <w:szCs w:val="24"/>
          <w:lang w:eastAsia="ja-JP"/>
        </w:rPr>
        <w:t xml:space="preserve">VAT is a consumption tax. It is paid by the final consumer to the supplier, who is a VAT taxable person that collects the output VAT on its sales, offsets it with input VAT on its purchases and pays the balance of VAT due to the State Budget. Since the taxable person serves as a tax collector for the State Budget, it is important that VAT returns are filed and payments are made on time. </w:t>
      </w:r>
    </w:p>
    <w:p>
      <w:pPr>
        <w:pStyle w:val="ManualHeading3"/>
        <w:rPr>
          <w:noProof/>
        </w:rPr>
      </w:pPr>
      <w:bookmarkStart w:id="556" w:name="_Toc498335652"/>
      <w:r>
        <w:t>3.3.1.</w:t>
      </w:r>
      <w:r>
        <w:tab/>
      </w:r>
      <w:r>
        <w:rPr>
          <w:noProof/>
        </w:rPr>
        <w:t>Filing</w:t>
      </w:r>
      <w:bookmarkEnd w:id="556"/>
    </w:p>
    <w:p>
      <w:pPr>
        <w:jc w:val="both"/>
        <w:rPr>
          <w:rFonts w:ascii="Times New Roman" w:hAnsi="Times New Roman" w:cs="Times New Roman"/>
          <w:noProof/>
          <w:sz w:val="24"/>
          <w:szCs w:val="24"/>
          <w:lang w:eastAsia="ja-JP"/>
        </w:rPr>
      </w:pPr>
      <w:r>
        <w:rPr>
          <w:rFonts w:ascii="Times New Roman" w:hAnsi="Times New Roman" w:cs="Times New Roman"/>
          <w:noProof/>
          <w:sz w:val="24"/>
          <w:szCs w:val="24"/>
          <w:lang w:eastAsia="ja-JP"/>
        </w:rPr>
        <w:t xml:space="preserve">To improve compliance almost all Member States offer the possibility to file the VAT returns electronically. In most Member States, electronic filing is compulsory for all VAT-registered companies. Some Member States have allowed some exceptions, for instance for small companies. </w:t>
      </w:r>
    </w:p>
    <w:p>
      <w:pPr>
        <w:jc w:val="both"/>
        <w:rPr>
          <w:rFonts w:ascii="Times New Roman" w:hAnsi="Times New Roman" w:cs="Times New Roman"/>
          <w:noProof/>
          <w:sz w:val="24"/>
          <w:szCs w:val="24"/>
          <w:lang w:eastAsia="ja-JP"/>
        </w:rPr>
      </w:pPr>
      <w:r>
        <w:rPr>
          <w:rFonts w:ascii="Times New Roman" w:hAnsi="Times New Roman" w:cs="Times New Roman"/>
          <w:noProof/>
          <w:sz w:val="24"/>
          <w:szCs w:val="24"/>
          <w:lang w:eastAsia="ja-JP"/>
        </w:rPr>
        <w:t>All Member States offer electronic filing and a large number of Member States made it compulsory for many VAT taxpayers. The electronic filing rate increased from over 83 percent in 2013 to almost 95 percent in 2015.</w:t>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0"/>
        <w:gridCol w:w="1130"/>
        <w:gridCol w:w="3123"/>
        <w:gridCol w:w="283"/>
        <w:gridCol w:w="4574"/>
      </w:tblGrid>
      <w:tr>
        <w:trPr>
          <w:trHeight w:val="350"/>
        </w:trPr>
        <w:tc>
          <w:tcPr>
            <w:tcW w:w="4503" w:type="dxa"/>
            <w:gridSpan w:val="3"/>
            <w:tcBorders>
              <w:top w:val="single" w:sz="4" w:space="0" w:color="A6A6A6" w:themeColor="background1" w:themeShade="A6"/>
              <w:left w:val="single" w:sz="4" w:space="0" w:color="A6A6A6" w:themeColor="background1" w:themeShade="A6"/>
              <w:right w:val="single" w:sz="4" w:space="0" w:color="A6A6A6" w:themeColor="background1" w:themeShade="A6"/>
            </w:tcBorders>
          </w:tcPr>
          <w:p>
            <w:pPr>
              <w:pStyle w:val="Caption"/>
              <w:spacing w:before="60" w:after="240"/>
              <w:rPr>
                <w:b w:val="0"/>
                <w:i/>
                <w:noProof/>
                <w:sz w:val="22"/>
                <w:lang w:eastAsia="ja-JP"/>
              </w:rPr>
            </w:pPr>
            <w:bookmarkStart w:id="557" w:name="_Toc498335665"/>
            <w:r>
              <w:rPr>
                <w:i/>
                <w:noProof/>
                <w:sz w:val="22"/>
                <w:u w:val="single"/>
              </w:rPr>
              <w:t xml:space="preserve">Figure </w:t>
            </w:r>
            <w:r>
              <w:rPr>
                <w:i/>
                <w:noProof/>
                <w:sz w:val="22"/>
                <w:u w:val="single"/>
              </w:rPr>
              <w:fldChar w:fldCharType="begin"/>
            </w:r>
            <w:r>
              <w:rPr>
                <w:i/>
                <w:noProof/>
                <w:sz w:val="22"/>
                <w:u w:val="single"/>
              </w:rPr>
              <w:instrText xml:space="preserve"> SEQ Figure \* ARABIC </w:instrText>
            </w:r>
            <w:r>
              <w:rPr>
                <w:i/>
                <w:noProof/>
                <w:sz w:val="22"/>
                <w:u w:val="single"/>
              </w:rPr>
              <w:fldChar w:fldCharType="separate"/>
            </w:r>
            <w:r>
              <w:rPr>
                <w:i/>
                <w:noProof/>
                <w:sz w:val="22"/>
                <w:u w:val="single"/>
              </w:rPr>
              <w:t>5</w:t>
            </w:r>
            <w:r>
              <w:rPr>
                <w:i/>
                <w:noProof/>
                <w:sz w:val="22"/>
                <w:u w:val="single"/>
              </w:rPr>
              <w:fldChar w:fldCharType="end"/>
            </w:r>
            <w:r>
              <w:rPr>
                <w:i/>
                <w:noProof/>
                <w:sz w:val="22"/>
                <w:u w:val="single"/>
                <w:lang w:eastAsia="ja-JP"/>
              </w:rPr>
              <w:t>:</w:t>
            </w:r>
            <w:r>
              <w:rPr>
                <w:i/>
                <w:noProof/>
                <w:sz w:val="22"/>
                <w:lang w:eastAsia="ja-JP"/>
              </w:rPr>
              <w:t xml:space="preserve"> </w:t>
            </w:r>
            <w:r>
              <w:rPr>
                <w:b w:val="0"/>
                <w:i/>
                <w:noProof/>
                <w:sz w:val="22"/>
                <w:lang w:eastAsia="ja-JP"/>
              </w:rPr>
              <w:t>Possibility to file electronically in 28 EU Member States (2013-2015)</w:t>
            </w:r>
            <w:bookmarkEnd w:id="557"/>
          </w:p>
        </w:tc>
        <w:tc>
          <w:tcPr>
            <w:tcW w:w="283" w:type="dxa"/>
            <w:tcBorders>
              <w:left w:val="single" w:sz="4" w:space="0" w:color="A6A6A6" w:themeColor="background1" w:themeShade="A6"/>
              <w:right w:val="single" w:sz="4" w:space="0" w:color="A6A6A6" w:themeColor="background1" w:themeShade="A6"/>
            </w:tcBorders>
          </w:tcPr>
          <w:p>
            <w:pPr>
              <w:pStyle w:val="Caption"/>
              <w:rPr>
                <w:b w:val="0"/>
                <w:i/>
                <w:noProof/>
                <w:sz w:val="22"/>
                <w:lang w:eastAsia="ja-JP"/>
              </w:rPr>
            </w:pPr>
          </w:p>
        </w:tc>
        <w:tc>
          <w:tcPr>
            <w:tcW w:w="4574" w:type="dxa"/>
            <w:tcBorders>
              <w:top w:val="single" w:sz="4" w:space="0" w:color="A6A6A6" w:themeColor="background1" w:themeShade="A6"/>
              <w:left w:val="single" w:sz="4" w:space="0" w:color="A6A6A6" w:themeColor="background1" w:themeShade="A6"/>
              <w:right w:val="single" w:sz="4" w:space="0" w:color="A6A6A6" w:themeColor="background1" w:themeShade="A6"/>
            </w:tcBorders>
          </w:tcPr>
          <w:p>
            <w:pPr>
              <w:pStyle w:val="Caption"/>
              <w:spacing w:before="60" w:after="0"/>
              <w:rPr>
                <w:b w:val="0"/>
                <w:i/>
                <w:noProof/>
                <w:sz w:val="22"/>
                <w:lang w:eastAsia="ja-JP"/>
              </w:rPr>
            </w:pPr>
            <w:bookmarkStart w:id="558" w:name="_Toc498335666"/>
            <w:r>
              <w:rPr>
                <w:i/>
                <w:noProof/>
                <w:sz w:val="22"/>
                <w:u w:val="single"/>
              </w:rPr>
              <w:t xml:space="preserve">Figure </w:t>
            </w:r>
            <w:r>
              <w:rPr>
                <w:i/>
                <w:noProof/>
                <w:sz w:val="22"/>
                <w:u w:val="single"/>
              </w:rPr>
              <w:fldChar w:fldCharType="begin"/>
            </w:r>
            <w:r>
              <w:rPr>
                <w:i/>
                <w:noProof/>
                <w:sz w:val="22"/>
                <w:u w:val="single"/>
              </w:rPr>
              <w:instrText xml:space="preserve"> SEQ Figure \* ARABIC </w:instrText>
            </w:r>
            <w:r>
              <w:rPr>
                <w:i/>
                <w:noProof/>
                <w:sz w:val="22"/>
                <w:u w:val="single"/>
              </w:rPr>
              <w:fldChar w:fldCharType="separate"/>
            </w:r>
            <w:r>
              <w:rPr>
                <w:i/>
                <w:noProof/>
                <w:sz w:val="22"/>
                <w:u w:val="single"/>
              </w:rPr>
              <w:t>6</w:t>
            </w:r>
            <w:r>
              <w:rPr>
                <w:i/>
                <w:noProof/>
                <w:sz w:val="22"/>
                <w:u w:val="single"/>
              </w:rPr>
              <w:fldChar w:fldCharType="end"/>
            </w:r>
            <w:r>
              <w:rPr>
                <w:i/>
                <w:noProof/>
                <w:sz w:val="22"/>
                <w:u w:val="single"/>
                <w:lang w:eastAsia="ja-JP"/>
              </w:rPr>
              <w:t>:</w:t>
            </w:r>
            <w:r>
              <w:rPr>
                <w:i/>
                <w:noProof/>
                <w:sz w:val="22"/>
                <w:lang w:eastAsia="ja-JP"/>
              </w:rPr>
              <w:t xml:space="preserve"> </w:t>
            </w:r>
            <w:r>
              <w:rPr>
                <w:b w:val="0"/>
                <w:i/>
                <w:noProof/>
                <w:sz w:val="22"/>
                <w:lang w:eastAsia="ja-JP"/>
              </w:rPr>
              <w:t>Electronic filing rate in 28 EU Member States (2013-2015)</w:t>
            </w:r>
            <w:bookmarkEnd w:id="558"/>
          </w:p>
        </w:tc>
      </w:tr>
      <w:tr>
        <w:trPr>
          <w:trHeight w:val="36"/>
        </w:trPr>
        <w:tc>
          <w:tcPr>
            <w:tcW w:w="250" w:type="dxa"/>
            <w:tcBorders>
              <w:left w:val="single" w:sz="4" w:space="0" w:color="A6A6A6" w:themeColor="background1" w:themeShade="A6"/>
              <w:bottom w:val="single" w:sz="4" w:space="0" w:color="A6A6A6" w:themeColor="background1" w:themeShade="A6"/>
            </w:tcBorders>
            <w:shd w:val="clear" w:color="auto" w:fill="95B3D7" w:themeFill="accent1" w:themeFillTint="99"/>
          </w:tcPr>
          <w:p>
            <w:pPr>
              <w:rPr>
                <w:rFonts w:ascii="Times New Roman" w:hAnsi="Times New Roman" w:cs="Times New Roman"/>
                <w:noProof/>
                <w:sz w:val="18"/>
                <w:szCs w:val="18"/>
                <w:lang w:eastAsia="ja-JP"/>
              </w:rPr>
            </w:pPr>
          </w:p>
        </w:tc>
        <w:tc>
          <w:tcPr>
            <w:tcW w:w="1130" w:type="dxa"/>
            <w:tcMar>
              <w:left w:w="28" w:type="dxa"/>
              <w:right w:w="28" w:type="dxa"/>
            </w:tcMar>
            <w:vAlign w:val="bottom"/>
          </w:tcPr>
          <w:p>
            <w:pPr>
              <w:rPr>
                <w:rFonts w:ascii="Times New Roman" w:hAnsi="Times New Roman" w:cs="Times New Roman"/>
                <w:noProof/>
                <w:sz w:val="16"/>
                <w:szCs w:val="16"/>
                <w:lang w:eastAsia="ja-JP"/>
              </w:rPr>
            </w:pPr>
            <w:r>
              <w:rPr>
                <w:rFonts w:ascii="Times New Roman" w:hAnsi="Times New Roman" w:cs="Times New Roman"/>
                <w:noProof/>
                <w:sz w:val="16"/>
                <w:szCs w:val="16"/>
              </w:rPr>
              <w:t>Available</w:t>
            </w:r>
          </w:p>
        </w:tc>
        <w:tc>
          <w:tcPr>
            <w:tcW w:w="3123" w:type="dxa"/>
            <w:vMerge w:val="restart"/>
            <w:tcBorders>
              <w:bottom w:val="single" w:sz="4" w:space="0" w:color="A6A6A6" w:themeColor="background1" w:themeShade="A6"/>
              <w:right w:val="single" w:sz="4" w:space="0" w:color="A6A6A6" w:themeColor="background1" w:themeShade="A6"/>
            </w:tcBorders>
          </w:tcPr>
          <w:p>
            <w:pPr>
              <w:rPr>
                <w:rFonts w:ascii="Times New Roman" w:hAnsi="Times New Roman" w:cs="Times New Roman"/>
                <w:noProof/>
                <w:sz w:val="18"/>
                <w:szCs w:val="18"/>
                <w:lang w:eastAsia="ja-JP"/>
              </w:rPr>
            </w:pPr>
            <w:r>
              <w:rPr>
                <w:rFonts w:ascii="Times New Roman" w:hAnsi="Times New Roman" w:cs="Times New Roman"/>
                <w:noProof/>
                <w:lang w:val="en-US"/>
              </w:rPr>
              <w:drawing>
                <wp:inline distT="0" distB="0" distL="0" distR="0">
                  <wp:extent cx="1963973" cy="1645920"/>
                  <wp:effectExtent l="0" t="0" r="0" b="0"/>
                  <wp:docPr id="251" name="Chart 25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tc>
        <w:tc>
          <w:tcPr>
            <w:tcW w:w="283" w:type="dxa"/>
            <w:vMerge w:val="restart"/>
            <w:tcBorders>
              <w:left w:val="single" w:sz="4" w:space="0" w:color="A6A6A6" w:themeColor="background1" w:themeShade="A6"/>
              <w:right w:val="single" w:sz="4" w:space="0" w:color="A6A6A6" w:themeColor="background1" w:themeShade="A6"/>
            </w:tcBorders>
          </w:tcPr>
          <w:p>
            <w:pPr>
              <w:rPr>
                <w:rFonts w:ascii="Times New Roman" w:hAnsi="Times New Roman" w:cs="Times New Roman"/>
                <w:noProof/>
                <w:sz w:val="18"/>
                <w:szCs w:val="18"/>
                <w:lang w:eastAsia="ja-JP"/>
              </w:rPr>
            </w:pPr>
          </w:p>
        </w:tc>
        <w:tc>
          <w:tcPr>
            <w:tcW w:w="4574" w:type="dxa"/>
            <w:vMerge w:val="restart"/>
            <w:tcBorders>
              <w:left w:val="single" w:sz="4" w:space="0" w:color="A6A6A6" w:themeColor="background1" w:themeShade="A6"/>
              <w:bottom w:val="single" w:sz="4" w:space="0" w:color="A6A6A6" w:themeColor="background1" w:themeShade="A6"/>
              <w:right w:val="single" w:sz="4" w:space="0" w:color="A6A6A6" w:themeColor="background1" w:themeShade="A6"/>
            </w:tcBorders>
          </w:tcPr>
          <w:p>
            <w:pPr>
              <w:rPr>
                <w:rFonts w:ascii="Times New Roman" w:hAnsi="Times New Roman" w:cs="Times New Roman"/>
                <w:noProof/>
                <w:sz w:val="18"/>
                <w:szCs w:val="18"/>
                <w:lang w:eastAsia="ja-JP"/>
              </w:rPr>
            </w:pPr>
            <w:r>
              <w:rPr>
                <w:rFonts w:ascii="Times New Roman" w:hAnsi="Times New Roman" w:cs="Times New Roman"/>
                <w:noProof/>
                <w:lang w:val="en-US"/>
              </w:rPr>
              <w:drawing>
                <wp:inline distT="0" distB="0" distL="0" distR="0">
                  <wp:extent cx="2735248" cy="1645920"/>
                  <wp:effectExtent l="0" t="0" r="8255" b="0"/>
                  <wp:docPr id="252" name="Chart 252"/>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tc>
      </w:tr>
      <w:tr>
        <w:trPr>
          <w:trHeight w:val="36"/>
        </w:trPr>
        <w:tc>
          <w:tcPr>
            <w:tcW w:w="250" w:type="dxa"/>
            <w:tcBorders>
              <w:top w:val="single" w:sz="4" w:space="0" w:color="A6A6A6" w:themeColor="background1" w:themeShade="A6"/>
              <w:left w:val="single" w:sz="4" w:space="0" w:color="A6A6A6" w:themeColor="background1" w:themeShade="A6"/>
            </w:tcBorders>
          </w:tcPr>
          <w:p>
            <w:pPr>
              <w:rPr>
                <w:rFonts w:ascii="Times New Roman" w:hAnsi="Times New Roman" w:cs="Times New Roman"/>
                <w:noProof/>
                <w:sz w:val="18"/>
                <w:szCs w:val="18"/>
                <w:lang w:eastAsia="ja-JP"/>
              </w:rPr>
            </w:pPr>
          </w:p>
        </w:tc>
        <w:tc>
          <w:tcPr>
            <w:tcW w:w="1130" w:type="dxa"/>
            <w:tcMar>
              <w:left w:w="28" w:type="dxa"/>
              <w:right w:w="28" w:type="dxa"/>
            </w:tcMar>
          </w:tcPr>
          <w:p>
            <w:pPr>
              <w:rPr>
                <w:rFonts w:ascii="Times New Roman" w:hAnsi="Times New Roman" w:cs="Times New Roman"/>
                <w:noProof/>
                <w:sz w:val="16"/>
                <w:szCs w:val="16"/>
                <w:lang w:eastAsia="ja-JP"/>
              </w:rPr>
            </w:pPr>
            <w:r>
              <w:rPr>
                <w:rFonts w:ascii="Times New Roman" w:hAnsi="Times New Roman" w:cs="Times New Roman"/>
                <w:noProof/>
                <w:sz w:val="16"/>
                <w:szCs w:val="16"/>
              </w:rPr>
              <w:t>(optional)</w:t>
            </w:r>
          </w:p>
        </w:tc>
        <w:tc>
          <w:tcPr>
            <w:tcW w:w="3123" w:type="dxa"/>
            <w:vMerge/>
            <w:tcBorders>
              <w:bottom w:val="single" w:sz="4" w:space="0" w:color="A6A6A6" w:themeColor="background1" w:themeShade="A6"/>
              <w:right w:val="single" w:sz="4" w:space="0" w:color="A6A6A6" w:themeColor="background1" w:themeShade="A6"/>
            </w:tcBorders>
          </w:tcPr>
          <w:p>
            <w:pPr>
              <w:rPr>
                <w:rFonts w:ascii="Times New Roman" w:hAnsi="Times New Roman" w:cs="Times New Roman"/>
                <w:noProof/>
                <w:lang w:eastAsia="ja-JP"/>
              </w:rPr>
            </w:pPr>
          </w:p>
        </w:tc>
        <w:tc>
          <w:tcPr>
            <w:tcW w:w="283" w:type="dxa"/>
            <w:vMerge/>
            <w:tcBorders>
              <w:left w:val="single" w:sz="4" w:space="0" w:color="A6A6A6" w:themeColor="background1" w:themeShade="A6"/>
              <w:right w:val="single" w:sz="4" w:space="0" w:color="A6A6A6" w:themeColor="background1" w:themeShade="A6"/>
            </w:tcBorders>
          </w:tcPr>
          <w:p>
            <w:pPr>
              <w:rPr>
                <w:rFonts w:ascii="Times New Roman" w:hAnsi="Times New Roman" w:cs="Times New Roman"/>
                <w:noProof/>
                <w:lang w:eastAsia="ja-JP"/>
              </w:rPr>
            </w:pPr>
          </w:p>
        </w:tc>
        <w:tc>
          <w:tcPr>
            <w:tcW w:w="4574" w:type="dxa"/>
            <w:vMerge/>
            <w:tcBorders>
              <w:left w:val="single" w:sz="4" w:space="0" w:color="A6A6A6" w:themeColor="background1" w:themeShade="A6"/>
              <w:bottom w:val="single" w:sz="4" w:space="0" w:color="A6A6A6" w:themeColor="background1" w:themeShade="A6"/>
              <w:right w:val="single" w:sz="4" w:space="0" w:color="A6A6A6" w:themeColor="background1" w:themeShade="A6"/>
            </w:tcBorders>
          </w:tcPr>
          <w:p>
            <w:pPr>
              <w:rPr>
                <w:rFonts w:ascii="Times New Roman" w:hAnsi="Times New Roman" w:cs="Times New Roman"/>
                <w:noProof/>
                <w:lang w:eastAsia="ja-JP"/>
              </w:rPr>
            </w:pPr>
          </w:p>
        </w:tc>
      </w:tr>
      <w:tr>
        <w:trPr>
          <w:trHeight w:val="36"/>
        </w:trPr>
        <w:tc>
          <w:tcPr>
            <w:tcW w:w="250" w:type="dxa"/>
            <w:tcBorders>
              <w:left w:val="single" w:sz="4" w:space="0" w:color="A6A6A6" w:themeColor="background1" w:themeShade="A6"/>
            </w:tcBorders>
          </w:tcPr>
          <w:p>
            <w:pPr>
              <w:rPr>
                <w:rFonts w:ascii="Times New Roman" w:hAnsi="Times New Roman" w:cs="Times New Roman"/>
                <w:noProof/>
                <w:sz w:val="18"/>
                <w:szCs w:val="18"/>
                <w:lang w:eastAsia="ja-JP"/>
              </w:rPr>
            </w:pPr>
          </w:p>
        </w:tc>
        <w:tc>
          <w:tcPr>
            <w:tcW w:w="1130" w:type="dxa"/>
            <w:tcMar>
              <w:left w:w="28" w:type="dxa"/>
              <w:right w:w="28" w:type="dxa"/>
            </w:tcMar>
          </w:tcPr>
          <w:p>
            <w:pPr>
              <w:rPr>
                <w:rFonts w:ascii="Times New Roman" w:hAnsi="Times New Roman" w:cs="Times New Roman"/>
                <w:noProof/>
                <w:sz w:val="16"/>
                <w:szCs w:val="16"/>
                <w:lang w:eastAsia="ja-JP"/>
              </w:rPr>
            </w:pPr>
          </w:p>
        </w:tc>
        <w:tc>
          <w:tcPr>
            <w:tcW w:w="3123" w:type="dxa"/>
            <w:vMerge/>
            <w:tcBorders>
              <w:bottom w:val="single" w:sz="4" w:space="0" w:color="A6A6A6" w:themeColor="background1" w:themeShade="A6"/>
              <w:right w:val="single" w:sz="4" w:space="0" w:color="A6A6A6" w:themeColor="background1" w:themeShade="A6"/>
            </w:tcBorders>
          </w:tcPr>
          <w:p>
            <w:pPr>
              <w:rPr>
                <w:rFonts w:ascii="Times New Roman" w:hAnsi="Times New Roman" w:cs="Times New Roman"/>
                <w:noProof/>
                <w:lang w:eastAsia="ja-JP"/>
              </w:rPr>
            </w:pPr>
          </w:p>
        </w:tc>
        <w:tc>
          <w:tcPr>
            <w:tcW w:w="283" w:type="dxa"/>
            <w:vMerge/>
            <w:tcBorders>
              <w:left w:val="single" w:sz="4" w:space="0" w:color="A6A6A6" w:themeColor="background1" w:themeShade="A6"/>
              <w:right w:val="single" w:sz="4" w:space="0" w:color="A6A6A6" w:themeColor="background1" w:themeShade="A6"/>
            </w:tcBorders>
          </w:tcPr>
          <w:p>
            <w:pPr>
              <w:rPr>
                <w:rFonts w:ascii="Times New Roman" w:hAnsi="Times New Roman" w:cs="Times New Roman"/>
                <w:noProof/>
                <w:lang w:eastAsia="ja-JP"/>
              </w:rPr>
            </w:pPr>
          </w:p>
        </w:tc>
        <w:tc>
          <w:tcPr>
            <w:tcW w:w="4574" w:type="dxa"/>
            <w:vMerge/>
            <w:tcBorders>
              <w:left w:val="single" w:sz="4" w:space="0" w:color="A6A6A6" w:themeColor="background1" w:themeShade="A6"/>
              <w:bottom w:val="single" w:sz="4" w:space="0" w:color="A6A6A6" w:themeColor="background1" w:themeShade="A6"/>
              <w:right w:val="single" w:sz="4" w:space="0" w:color="A6A6A6" w:themeColor="background1" w:themeShade="A6"/>
            </w:tcBorders>
          </w:tcPr>
          <w:p>
            <w:pPr>
              <w:rPr>
                <w:rFonts w:ascii="Times New Roman" w:hAnsi="Times New Roman" w:cs="Times New Roman"/>
                <w:noProof/>
                <w:lang w:eastAsia="ja-JP"/>
              </w:rPr>
            </w:pPr>
          </w:p>
        </w:tc>
      </w:tr>
      <w:tr>
        <w:trPr>
          <w:trHeight w:val="36"/>
        </w:trPr>
        <w:tc>
          <w:tcPr>
            <w:tcW w:w="250" w:type="dxa"/>
            <w:tcBorders>
              <w:left w:val="single" w:sz="4" w:space="0" w:color="A6A6A6" w:themeColor="background1" w:themeShade="A6"/>
            </w:tcBorders>
            <w:shd w:val="clear" w:color="auto" w:fill="365F91" w:themeFill="accent1" w:themeFillShade="BF"/>
          </w:tcPr>
          <w:p>
            <w:pPr>
              <w:rPr>
                <w:rFonts w:ascii="Times New Roman" w:hAnsi="Times New Roman" w:cs="Times New Roman"/>
                <w:noProof/>
                <w:sz w:val="18"/>
                <w:szCs w:val="18"/>
                <w:lang w:eastAsia="ja-JP"/>
              </w:rPr>
            </w:pPr>
          </w:p>
        </w:tc>
        <w:tc>
          <w:tcPr>
            <w:tcW w:w="1130" w:type="dxa"/>
            <w:tcMar>
              <w:left w:w="28" w:type="dxa"/>
              <w:right w:w="28" w:type="dxa"/>
            </w:tcMar>
          </w:tcPr>
          <w:p>
            <w:pPr>
              <w:rPr>
                <w:rFonts w:ascii="Times New Roman" w:hAnsi="Times New Roman" w:cs="Times New Roman"/>
                <w:noProof/>
                <w:sz w:val="16"/>
                <w:szCs w:val="16"/>
                <w:lang w:eastAsia="ja-JP"/>
              </w:rPr>
            </w:pPr>
            <w:r>
              <w:rPr>
                <w:rFonts w:ascii="Times New Roman" w:hAnsi="Times New Roman" w:cs="Times New Roman"/>
                <w:noProof/>
                <w:sz w:val="16"/>
                <w:szCs w:val="16"/>
                <w:lang w:eastAsia="ja-JP"/>
              </w:rPr>
              <w:t>Compulsory</w:t>
            </w:r>
          </w:p>
        </w:tc>
        <w:tc>
          <w:tcPr>
            <w:tcW w:w="3123" w:type="dxa"/>
            <w:vMerge/>
            <w:tcBorders>
              <w:bottom w:val="single" w:sz="4" w:space="0" w:color="A6A6A6" w:themeColor="background1" w:themeShade="A6"/>
              <w:right w:val="single" w:sz="4" w:space="0" w:color="A6A6A6" w:themeColor="background1" w:themeShade="A6"/>
            </w:tcBorders>
          </w:tcPr>
          <w:p>
            <w:pPr>
              <w:rPr>
                <w:rFonts w:ascii="Times New Roman" w:hAnsi="Times New Roman" w:cs="Times New Roman"/>
                <w:noProof/>
                <w:lang w:eastAsia="ja-JP"/>
              </w:rPr>
            </w:pPr>
          </w:p>
        </w:tc>
        <w:tc>
          <w:tcPr>
            <w:tcW w:w="283" w:type="dxa"/>
            <w:vMerge/>
            <w:tcBorders>
              <w:left w:val="single" w:sz="4" w:space="0" w:color="A6A6A6" w:themeColor="background1" w:themeShade="A6"/>
              <w:right w:val="single" w:sz="4" w:space="0" w:color="A6A6A6" w:themeColor="background1" w:themeShade="A6"/>
            </w:tcBorders>
          </w:tcPr>
          <w:p>
            <w:pPr>
              <w:rPr>
                <w:rFonts w:ascii="Times New Roman" w:hAnsi="Times New Roman" w:cs="Times New Roman"/>
                <w:noProof/>
                <w:lang w:eastAsia="ja-JP"/>
              </w:rPr>
            </w:pPr>
          </w:p>
        </w:tc>
        <w:tc>
          <w:tcPr>
            <w:tcW w:w="4574" w:type="dxa"/>
            <w:vMerge/>
            <w:tcBorders>
              <w:left w:val="single" w:sz="4" w:space="0" w:color="A6A6A6" w:themeColor="background1" w:themeShade="A6"/>
              <w:bottom w:val="single" w:sz="4" w:space="0" w:color="A6A6A6" w:themeColor="background1" w:themeShade="A6"/>
              <w:right w:val="single" w:sz="4" w:space="0" w:color="A6A6A6" w:themeColor="background1" w:themeShade="A6"/>
            </w:tcBorders>
          </w:tcPr>
          <w:p>
            <w:pPr>
              <w:rPr>
                <w:rFonts w:ascii="Times New Roman" w:hAnsi="Times New Roman" w:cs="Times New Roman"/>
                <w:noProof/>
                <w:lang w:eastAsia="ja-JP"/>
              </w:rPr>
            </w:pPr>
          </w:p>
        </w:tc>
      </w:tr>
      <w:tr>
        <w:trPr>
          <w:trHeight w:val="36"/>
        </w:trPr>
        <w:tc>
          <w:tcPr>
            <w:tcW w:w="250" w:type="dxa"/>
            <w:tcBorders>
              <w:left w:val="single" w:sz="4" w:space="0" w:color="A6A6A6" w:themeColor="background1" w:themeShade="A6"/>
            </w:tcBorders>
          </w:tcPr>
          <w:p>
            <w:pPr>
              <w:rPr>
                <w:rFonts w:ascii="Times New Roman" w:hAnsi="Times New Roman" w:cs="Times New Roman"/>
                <w:noProof/>
                <w:sz w:val="18"/>
                <w:szCs w:val="18"/>
                <w:lang w:eastAsia="ja-JP"/>
              </w:rPr>
            </w:pPr>
          </w:p>
        </w:tc>
        <w:tc>
          <w:tcPr>
            <w:tcW w:w="1130" w:type="dxa"/>
            <w:tcMar>
              <w:left w:w="28" w:type="dxa"/>
              <w:right w:w="28" w:type="dxa"/>
            </w:tcMar>
          </w:tcPr>
          <w:p>
            <w:pPr>
              <w:rPr>
                <w:rFonts w:ascii="Times New Roman" w:hAnsi="Times New Roman" w:cs="Times New Roman"/>
                <w:noProof/>
                <w:sz w:val="16"/>
                <w:szCs w:val="16"/>
                <w:lang w:eastAsia="ja-JP"/>
              </w:rPr>
            </w:pPr>
          </w:p>
        </w:tc>
        <w:tc>
          <w:tcPr>
            <w:tcW w:w="3123" w:type="dxa"/>
            <w:vMerge/>
            <w:tcBorders>
              <w:bottom w:val="single" w:sz="4" w:space="0" w:color="A6A6A6" w:themeColor="background1" w:themeShade="A6"/>
              <w:right w:val="single" w:sz="4" w:space="0" w:color="A6A6A6" w:themeColor="background1" w:themeShade="A6"/>
            </w:tcBorders>
          </w:tcPr>
          <w:p>
            <w:pPr>
              <w:rPr>
                <w:rFonts w:ascii="Times New Roman" w:hAnsi="Times New Roman" w:cs="Times New Roman"/>
                <w:noProof/>
                <w:lang w:eastAsia="ja-JP"/>
              </w:rPr>
            </w:pPr>
          </w:p>
        </w:tc>
        <w:tc>
          <w:tcPr>
            <w:tcW w:w="283" w:type="dxa"/>
            <w:vMerge/>
            <w:tcBorders>
              <w:left w:val="single" w:sz="4" w:space="0" w:color="A6A6A6" w:themeColor="background1" w:themeShade="A6"/>
              <w:right w:val="single" w:sz="4" w:space="0" w:color="A6A6A6" w:themeColor="background1" w:themeShade="A6"/>
            </w:tcBorders>
          </w:tcPr>
          <w:p>
            <w:pPr>
              <w:rPr>
                <w:rFonts w:ascii="Times New Roman" w:hAnsi="Times New Roman" w:cs="Times New Roman"/>
                <w:noProof/>
                <w:lang w:eastAsia="ja-JP"/>
              </w:rPr>
            </w:pPr>
          </w:p>
        </w:tc>
        <w:tc>
          <w:tcPr>
            <w:tcW w:w="4574" w:type="dxa"/>
            <w:vMerge/>
            <w:tcBorders>
              <w:left w:val="single" w:sz="4" w:space="0" w:color="A6A6A6" w:themeColor="background1" w:themeShade="A6"/>
              <w:bottom w:val="single" w:sz="4" w:space="0" w:color="A6A6A6" w:themeColor="background1" w:themeShade="A6"/>
              <w:right w:val="single" w:sz="4" w:space="0" w:color="A6A6A6" w:themeColor="background1" w:themeShade="A6"/>
            </w:tcBorders>
          </w:tcPr>
          <w:p>
            <w:pPr>
              <w:rPr>
                <w:rFonts w:ascii="Times New Roman" w:hAnsi="Times New Roman" w:cs="Times New Roman"/>
                <w:noProof/>
                <w:lang w:eastAsia="ja-JP"/>
              </w:rPr>
            </w:pPr>
          </w:p>
        </w:tc>
      </w:tr>
      <w:tr>
        <w:trPr>
          <w:trHeight w:val="36"/>
        </w:trPr>
        <w:tc>
          <w:tcPr>
            <w:tcW w:w="250" w:type="dxa"/>
            <w:tcBorders>
              <w:left w:val="single" w:sz="4" w:space="0" w:color="A6A6A6" w:themeColor="background1" w:themeShade="A6"/>
            </w:tcBorders>
            <w:shd w:val="clear" w:color="auto" w:fill="244061" w:themeFill="accent1" w:themeFillShade="80"/>
          </w:tcPr>
          <w:p>
            <w:pPr>
              <w:rPr>
                <w:rFonts w:ascii="Times New Roman" w:hAnsi="Times New Roman" w:cs="Times New Roman"/>
                <w:noProof/>
                <w:sz w:val="18"/>
                <w:szCs w:val="18"/>
                <w:lang w:eastAsia="ja-JP"/>
              </w:rPr>
            </w:pPr>
          </w:p>
        </w:tc>
        <w:tc>
          <w:tcPr>
            <w:tcW w:w="1130" w:type="dxa"/>
            <w:tcMar>
              <w:left w:w="28" w:type="dxa"/>
              <w:right w:w="28" w:type="dxa"/>
            </w:tcMar>
          </w:tcPr>
          <w:p>
            <w:pPr>
              <w:rPr>
                <w:rFonts w:ascii="Times New Roman" w:hAnsi="Times New Roman" w:cs="Times New Roman"/>
                <w:noProof/>
                <w:sz w:val="16"/>
                <w:szCs w:val="16"/>
                <w:lang w:eastAsia="ja-JP"/>
              </w:rPr>
            </w:pPr>
            <w:r>
              <w:rPr>
                <w:rFonts w:ascii="Times New Roman" w:hAnsi="Times New Roman" w:cs="Times New Roman"/>
                <w:noProof/>
                <w:sz w:val="16"/>
                <w:szCs w:val="16"/>
                <w:lang w:eastAsia="ja-JP"/>
              </w:rPr>
              <w:t>Compulsory</w:t>
            </w:r>
          </w:p>
        </w:tc>
        <w:tc>
          <w:tcPr>
            <w:tcW w:w="3123" w:type="dxa"/>
            <w:vMerge/>
            <w:tcBorders>
              <w:bottom w:val="single" w:sz="4" w:space="0" w:color="A6A6A6" w:themeColor="background1" w:themeShade="A6"/>
              <w:right w:val="single" w:sz="4" w:space="0" w:color="A6A6A6" w:themeColor="background1" w:themeShade="A6"/>
            </w:tcBorders>
          </w:tcPr>
          <w:p>
            <w:pPr>
              <w:rPr>
                <w:rFonts w:ascii="Times New Roman" w:hAnsi="Times New Roman" w:cs="Times New Roman"/>
                <w:noProof/>
                <w:lang w:eastAsia="ja-JP"/>
              </w:rPr>
            </w:pPr>
          </w:p>
        </w:tc>
        <w:tc>
          <w:tcPr>
            <w:tcW w:w="283" w:type="dxa"/>
            <w:vMerge/>
            <w:tcBorders>
              <w:left w:val="single" w:sz="4" w:space="0" w:color="A6A6A6" w:themeColor="background1" w:themeShade="A6"/>
              <w:right w:val="single" w:sz="4" w:space="0" w:color="A6A6A6" w:themeColor="background1" w:themeShade="A6"/>
            </w:tcBorders>
          </w:tcPr>
          <w:p>
            <w:pPr>
              <w:rPr>
                <w:rFonts w:ascii="Times New Roman" w:hAnsi="Times New Roman" w:cs="Times New Roman"/>
                <w:noProof/>
                <w:lang w:eastAsia="ja-JP"/>
              </w:rPr>
            </w:pPr>
          </w:p>
        </w:tc>
        <w:tc>
          <w:tcPr>
            <w:tcW w:w="4574" w:type="dxa"/>
            <w:vMerge/>
            <w:tcBorders>
              <w:left w:val="single" w:sz="4" w:space="0" w:color="A6A6A6" w:themeColor="background1" w:themeShade="A6"/>
              <w:bottom w:val="single" w:sz="4" w:space="0" w:color="A6A6A6" w:themeColor="background1" w:themeShade="A6"/>
              <w:right w:val="single" w:sz="4" w:space="0" w:color="A6A6A6" w:themeColor="background1" w:themeShade="A6"/>
            </w:tcBorders>
          </w:tcPr>
          <w:p>
            <w:pPr>
              <w:rPr>
                <w:rFonts w:ascii="Times New Roman" w:hAnsi="Times New Roman" w:cs="Times New Roman"/>
                <w:noProof/>
                <w:lang w:eastAsia="ja-JP"/>
              </w:rPr>
            </w:pPr>
          </w:p>
        </w:tc>
      </w:tr>
      <w:tr>
        <w:trPr>
          <w:trHeight w:val="36"/>
        </w:trPr>
        <w:tc>
          <w:tcPr>
            <w:tcW w:w="250" w:type="dxa"/>
            <w:tcBorders>
              <w:left w:val="single" w:sz="4" w:space="0" w:color="A6A6A6" w:themeColor="background1" w:themeShade="A6"/>
            </w:tcBorders>
          </w:tcPr>
          <w:p>
            <w:pPr>
              <w:rPr>
                <w:rFonts w:ascii="Times New Roman" w:hAnsi="Times New Roman" w:cs="Times New Roman"/>
                <w:noProof/>
                <w:sz w:val="18"/>
                <w:szCs w:val="18"/>
                <w:lang w:eastAsia="ja-JP"/>
              </w:rPr>
            </w:pPr>
          </w:p>
        </w:tc>
        <w:tc>
          <w:tcPr>
            <w:tcW w:w="1130" w:type="dxa"/>
            <w:tcMar>
              <w:left w:w="28" w:type="dxa"/>
              <w:right w:w="28" w:type="dxa"/>
            </w:tcMar>
          </w:tcPr>
          <w:p>
            <w:pPr>
              <w:rPr>
                <w:rFonts w:ascii="Times New Roman" w:hAnsi="Times New Roman" w:cs="Times New Roman"/>
                <w:noProof/>
                <w:sz w:val="18"/>
                <w:szCs w:val="18"/>
                <w:lang w:eastAsia="ja-JP"/>
              </w:rPr>
            </w:pPr>
            <w:r>
              <w:rPr>
                <w:rFonts w:ascii="Times New Roman" w:hAnsi="Times New Roman" w:cs="Times New Roman"/>
                <w:noProof/>
                <w:sz w:val="16"/>
                <w:szCs w:val="16"/>
                <w:lang w:eastAsia="ja-JP"/>
              </w:rPr>
              <w:t>(for some  taxpayers only)</w:t>
            </w:r>
          </w:p>
        </w:tc>
        <w:tc>
          <w:tcPr>
            <w:tcW w:w="3123" w:type="dxa"/>
            <w:vMerge/>
            <w:tcBorders>
              <w:bottom w:val="single" w:sz="4" w:space="0" w:color="A6A6A6" w:themeColor="background1" w:themeShade="A6"/>
              <w:right w:val="single" w:sz="4" w:space="0" w:color="A6A6A6" w:themeColor="background1" w:themeShade="A6"/>
            </w:tcBorders>
          </w:tcPr>
          <w:p>
            <w:pPr>
              <w:rPr>
                <w:rFonts w:ascii="Times New Roman" w:hAnsi="Times New Roman" w:cs="Times New Roman"/>
                <w:noProof/>
                <w:lang w:eastAsia="ja-JP"/>
              </w:rPr>
            </w:pPr>
          </w:p>
        </w:tc>
        <w:tc>
          <w:tcPr>
            <w:tcW w:w="283" w:type="dxa"/>
            <w:vMerge/>
            <w:tcBorders>
              <w:left w:val="single" w:sz="4" w:space="0" w:color="A6A6A6" w:themeColor="background1" w:themeShade="A6"/>
              <w:right w:val="single" w:sz="4" w:space="0" w:color="A6A6A6" w:themeColor="background1" w:themeShade="A6"/>
            </w:tcBorders>
          </w:tcPr>
          <w:p>
            <w:pPr>
              <w:rPr>
                <w:rFonts w:ascii="Times New Roman" w:hAnsi="Times New Roman" w:cs="Times New Roman"/>
                <w:noProof/>
                <w:lang w:eastAsia="ja-JP"/>
              </w:rPr>
            </w:pPr>
          </w:p>
        </w:tc>
        <w:tc>
          <w:tcPr>
            <w:tcW w:w="4574" w:type="dxa"/>
            <w:vMerge/>
            <w:tcBorders>
              <w:left w:val="single" w:sz="4" w:space="0" w:color="A6A6A6" w:themeColor="background1" w:themeShade="A6"/>
              <w:bottom w:val="single" w:sz="4" w:space="0" w:color="A6A6A6" w:themeColor="background1" w:themeShade="A6"/>
              <w:right w:val="single" w:sz="4" w:space="0" w:color="A6A6A6" w:themeColor="background1" w:themeShade="A6"/>
            </w:tcBorders>
          </w:tcPr>
          <w:p>
            <w:pPr>
              <w:rPr>
                <w:rFonts w:ascii="Times New Roman" w:hAnsi="Times New Roman" w:cs="Times New Roman"/>
                <w:noProof/>
                <w:lang w:eastAsia="ja-JP"/>
              </w:rPr>
            </w:pPr>
          </w:p>
        </w:tc>
      </w:tr>
      <w:tr>
        <w:trPr>
          <w:trHeight w:val="1154"/>
        </w:trPr>
        <w:tc>
          <w:tcPr>
            <w:tcW w:w="250" w:type="dxa"/>
            <w:tcBorders>
              <w:left w:val="single" w:sz="4" w:space="0" w:color="A6A6A6" w:themeColor="background1" w:themeShade="A6"/>
              <w:bottom w:val="single" w:sz="4" w:space="0" w:color="A6A6A6" w:themeColor="background1" w:themeShade="A6"/>
            </w:tcBorders>
          </w:tcPr>
          <w:p>
            <w:pPr>
              <w:rPr>
                <w:rFonts w:ascii="Times New Roman" w:hAnsi="Times New Roman" w:cs="Times New Roman"/>
                <w:noProof/>
                <w:sz w:val="18"/>
                <w:szCs w:val="18"/>
                <w:lang w:eastAsia="ja-JP"/>
              </w:rPr>
            </w:pPr>
          </w:p>
        </w:tc>
        <w:tc>
          <w:tcPr>
            <w:tcW w:w="1130" w:type="dxa"/>
            <w:tcBorders>
              <w:bottom w:val="single" w:sz="4" w:space="0" w:color="A6A6A6" w:themeColor="background1" w:themeShade="A6"/>
            </w:tcBorders>
            <w:tcMar>
              <w:left w:w="28" w:type="dxa"/>
              <w:right w:w="28" w:type="dxa"/>
            </w:tcMar>
          </w:tcPr>
          <w:p>
            <w:pPr>
              <w:rPr>
                <w:rFonts w:ascii="Times New Roman" w:hAnsi="Times New Roman" w:cs="Times New Roman"/>
                <w:noProof/>
                <w:sz w:val="18"/>
                <w:szCs w:val="18"/>
                <w:lang w:eastAsia="ja-JP"/>
              </w:rPr>
            </w:pPr>
          </w:p>
        </w:tc>
        <w:tc>
          <w:tcPr>
            <w:tcW w:w="3123" w:type="dxa"/>
            <w:vMerge/>
            <w:tcBorders>
              <w:bottom w:val="single" w:sz="4" w:space="0" w:color="A6A6A6" w:themeColor="background1" w:themeShade="A6"/>
              <w:right w:val="single" w:sz="4" w:space="0" w:color="A6A6A6" w:themeColor="background1" w:themeShade="A6"/>
            </w:tcBorders>
          </w:tcPr>
          <w:p>
            <w:pPr>
              <w:rPr>
                <w:rFonts w:ascii="Times New Roman" w:hAnsi="Times New Roman" w:cs="Times New Roman"/>
                <w:noProof/>
                <w:lang w:eastAsia="ja-JP"/>
              </w:rPr>
            </w:pPr>
          </w:p>
        </w:tc>
        <w:tc>
          <w:tcPr>
            <w:tcW w:w="283" w:type="dxa"/>
            <w:vMerge/>
            <w:tcBorders>
              <w:left w:val="single" w:sz="4" w:space="0" w:color="A6A6A6" w:themeColor="background1" w:themeShade="A6"/>
              <w:right w:val="single" w:sz="4" w:space="0" w:color="A6A6A6" w:themeColor="background1" w:themeShade="A6"/>
            </w:tcBorders>
          </w:tcPr>
          <w:p>
            <w:pPr>
              <w:rPr>
                <w:rFonts w:ascii="Times New Roman" w:hAnsi="Times New Roman" w:cs="Times New Roman"/>
                <w:noProof/>
                <w:lang w:eastAsia="ja-JP"/>
              </w:rPr>
            </w:pPr>
          </w:p>
        </w:tc>
        <w:tc>
          <w:tcPr>
            <w:tcW w:w="4574" w:type="dxa"/>
            <w:vMerge/>
            <w:tcBorders>
              <w:left w:val="single" w:sz="4" w:space="0" w:color="A6A6A6" w:themeColor="background1" w:themeShade="A6"/>
              <w:bottom w:val="single" w:sz="4" w:space="0" w:color="A6A6A6" w:themeColor="background1" w:themeShade="A6"/>
              <w:right w:val="single" w:sz="4" w:space="0" w:color="A6A6A6" w:themeColor="background1" w:themeShade="A6"/>
            </w:tcBorders>
          </w:tcPr>
          <w:p>
            <w:pPr>
              <w:rPr>
                <w:rFonts w:ascii="Times New Roman" w:hAnsi="Times New Roman" w:cs="Times New Roman"/>
                <w:noProof/>
                <w:lang w:eastAsia="ja-JP"/>
              </w:rPr>
            </w:pPr>
          </w:p>
        </w:tc>
      </w:tr>
    </w:tbl>
    <w:p>
      <w:pPr>
        <w:pStyle w:val="NORMAL0"/>
        <w:spacing w:before="120" w:after="240" w:line="276" w:lineRule="auto"/>
        <w:jc w:val="left"/>
        <w:rPr>
          <w:rFonts w:ascii="Times New Roman" w:eastAsiaTheme="minorHAnsi" w:hAnsi="Times New Roman" w:cs="Times New Roman"/>
          <w:i/>
          <w:noProof/>
          <w:sz w:val="18"/>
          <w:szCs w:val="18"/>
          <w:lang w:eastAsia="ja-JP"/>
        </w:rPr>
      </w:pPr>
      <w:r>
        <w:rPr>
          <w:rFonts w:ascii="Times New Roman" w:eastAsiaTheme="minorHAnsi" w:hAnsi="Times New Roman" w:cs="Times New Roman"/>
          <w:i/>
          <w:noProof/>
          <w:sz w:val="18"/>
          <w:szCs w:val="18"/>
          <w:lang w:eastAsia="ja-JP"/>
        </w:rPr>
        <w:t>Source: Member States' answers to 2017 Questionnaire</w:t>
      </w:r>
      <w:r>
        <w:rPr>
          <w:rFonts w:ascii="Times New Roman" w:eastAsiaTheme="minorHAnsi" w:hAnsi="Times New Roman" w:cs="Times New Roman"/>
          <w:i/>
          <w:noProof/>
          <w:sz w:val="18"/>
          <w:szCs w:val="18"/>
          <w:lang w:eastAsia="ja-JP"/>
        </w:rPr>
        <w:tab/>
        <w:t xml:space="preserve">          Source: Member States' answers to 2017 Questionnaire </w:t>
      </w:r>
    </w:p>
    <w:p>
      <w:pPr>
        <w:spacing w:after="240"/>
        <w:jc w:val="both"/>
        <w:rPr>
          <w:rFonts w:ascii="Times New Roman" w:hAnsi="Times New Roman" w:cs="Times New Roman"/>
          <w:noProof/>
          <w:sz w:val="24"/>
          <w:szCs w:val="24"/>
          <w:lang w:eastAsia="ja-JP"/>
        </w:rPr>
      </w:pPr>
      <w:r>
        <w:rPr>
          <w:rFonts w:ascii="Times New Roman" w:hAnsi="Times New Roman" w:cs="Times New Roman"/>
          <w:noProof/>
          <w:sz w:val="24"/>
          <w:szCs w:val="24"/>
          <w:lang w:eastAsia="ja-JP"/>
        </w:rPr>
        <w:t>All Member States monitor filing deadlines in an automatic way. In the period 2013 - 2015 the compliance rate for on-time filing of VAT returns increased and almost reached 89 percent in 2015. When taking into account the VAT returns submitted within 30 days after the deadline was expired, the compliance rate reached over 96 percent.</w:t>
      </w:r>
    </w:p>
    <w:p>
      <w:pPr>
        <w:pStyle w:val="Caption"/>
        <w:rPr>
          <w:i/>
          <w:noProof/>
          <w:sz w:val="24"/>
          <w:szCs w:val="24"/>
          <w:lang w:eastAsia="ja-JP"/>
        </w:rPr>
      </w:pPr>
      <w:bookmarkStart w:id="559" w:name="_Toc491340174"/>
      <w:bookmarkStart w:id="560" w:name="_Toc493139785"/>
      <w:bookmarkStart w:id="561" w:name="_Toc498335660"/>
      <w:r>
        <w:rPr>
          <w:i/>
          <w:noProof/>
          <w:sz w:val="24"/>
          <w:szCs w:val="24"/>
          <w:u w:val="single"/>
        </w:rPr>
        <w:t xml:space="preserve">Table </w:t>
      </w:r>
      <w:r>
        <w:rPr>
          <w:i/>
          <w:noProof/>
          <w:sz w:val="24"/>
          <w:szCs w:val="24"/>
          <w:u w:val="single"/>
        </w:rPr>
        <w:fldChar w:fldCharType="begin"/>
      </w:r>
      <w:r>
        <w:rPr>
          <w:i/>
          <w:noProof/>
          <w:sz w:val="24"/>
          <w:szCs w:val="24"/>
          <w:u w:val="single"/>
        </w:rPr>
        <w:instrText xml:space="preserve"> SEQ Table \* ARABIC </w:instrText>
      </w:r>
      <w:r>
        <w:rPr>
          <w:i/>
          <w:noProof/>
          <w:sz w:val="24"/>
          <w:szCs w:val="24"/>
          <w:u w:val="single"/>
        </w:rPr>
        <w:fldChar w:fldCharType="separate"/>
      </w:r>
      <w:r>
        <w:rPr>
          <w:i/>
          <w:noProof/>
          <w:sz w:val="24"/>
          <w:szCs w:val="24"/>
          <w:u w:val="single"/>
        </w:rPr>
        <w:t>2</w:t>
      </w:r>
      <w:r>
        <w:rPr>
          <w:i/>
          <w:noProof/>
          <w:sz w:val="24"/>
          <w:szCs w:val="24"/>
          <w:u w:val="single"/>
        </w:rPr>
        <w:fldChar w:fldCharType="end"/>
      </w:r>
      <w:r>
        <w:rPr>
          <w:b w:val="0"/>
          <w:i/>
          <w:noProof/>
          <w:sz w:val="24"/>
          <w:szCs w:val="24"/>
          <w:u w:val="single"/>
          <w:lang w:eastAsia="ja-JP"/>
        </w:rPr>
        <w:t>:</w:t>
      </w:r>
      <w:r>
        <w:rPr>
          <w:i/>
          <w:noProof/>
          <w:sz w:val="24"/>
          <w:szCs w:val="24"/>
          <w:lang w:eastAsia="ja-JP"/>
        </w:rPr>
        <w:t xml:space="preserve"> </w:t>
      </w:r>
      <w:r>
        <w:rPr>
          <w:b w:val="0"/>
          <w:i/>
          <w:noProof/>
          <w:sz w:val="24"/>
          <w:szCs w:val="24"/>
          <w:lang w:eastAsia="ja-JP"/>
        </w:rPr>
        <w:t>Evolution of VAT returns in EU Member States for the period 2013-2015</w:t>
      </w:r>
      <w:bookmarkEnd w:id="559"/>
      <w:bookmarkEnd w:id="560"/>
      <w:r>
        <w:rPr>
          <w:rStyle w:val="FootnoteReference"/>
          <w:b w:val="0"/>
          <w:i/>
          <w:noProof/>
          <w:sz w:val="24"/>
          <w:szCs w:val="24"/>
          <w:lang w:eastAsia="ja-JP"/>
        </w:rPr>
        <w:footnoteReference w:id="17"/>
      </w:r>
      <w:bookmarkEnd w:id="561"/>
      <w:r>
        <w:rPr>
          <w:i/>
          <w:noProof/>
          <w:sz w:val="24"/>
          <w:szCs w:val="24"/>
          <w:lang w:eastAsia="ja-JP"/>
        </w:rPr>
        <w:t xml:space="preserve"> </w:t>
      </w:r>
    </w:p>
    <w:tbl>
      <w:tblPr>
        <w:tblW w:w="4847" w:type="pct"/>
        <w:tblInd w:w="144" w:type="dxa"/>
        <w:tblBorders>
          <w:insideH w:val="single" w:sz="8" w:space="0" w:color="1F497D" w:themeColor="text2"/>
        </w:tblBorders>
        <w:tblCellMar>
          <w:left w:w="144" w:type="dxa"/>
          <w:right w:w="144" w:type="dxa"/>
        </w:tblCellMar>
        <w:tblLook w:val="04A0" w:firstRow="1" w:lastRow="0" w:firstColumn="1" w:lastColumn="0" w:noHBand="0" w:noVBand="1"/>
      </w:tblPr>
      <w:tblGrid>
        <w:gridCol w:w="5671"/>
        <w:gridCol w:w="1136"/>
        <w:gridCol w:w="1459"/>
        <w:gridCol w:w="807"/>
      </w:tblGrid>
      <w:tr>
        <w:trPr>
          <w:trHeight w:val="679"/>
        </w:trPr>
        <w:tc>
          <w:tcPr>
            <w:tcW w:w="3125" w:type="pct"/>
            <w:tcBorders>
              <w:bottom w:val="single" w:sz="12" w:space="0" w:color="1F497D" w:themeColor="text2"/>
            </w:tcBorders>
            <w:vAlign w:val="center"/>
          </w:tcPr>
          <w:p>
            <w:pPr>
              <w:spacing w:before="60" w:after="60"/>
              <w:rPr>
                <w:rFonts w:ascii="Times New Roman" w:hAnsi="Times New Roman" w:cs="Times New Roman"/>
                <w:noProof/>
                <w:color w:val="244061" w:themeColor="accent1" w:themeShade="80"/>
                <w:sz w:val="20"/>
              </w:rPr>
            </w:pPr>
          </w:p>
        </w:tc>
        <w:tc>
          <w:tcPr>
            <w:tcW w:w="626" w:type="pct"/>
            <w:tcBorders>
              <w:bottom w:val="single" w:sz="12" w:space="0" w:color="1F497D" w:themeColor="text2"/>
            </w:tcBorders>
            <w:vAlign w:val="center"/>
          </w:tcPr>
          <w:p>
            <w:pPr>
              <w:spacing w:before="60" w:after="60"/>
              <w:jc w:val="center"/>
              <w:rPr>
                <w:rFonts w:ascii="Times New Roman" w:hAnsi="Times New Roman" w:cs="Times New Roman"/>
                <w:b/>
                <w:noProof/>
                <w:color w:val="015685"/>
                <w:sz w:val="20"/>
              </w:rPr>
            </w:pPr>
            <w:r>
              <w:rPr>
                <w:rFonts w:ascii="Times New Roman" w:hAnsi="Times New Roman" w:cs="Times New Roman"/>
                <w:b/>
                <w:noProof/>
                <w:color w:val="015685"/>
                <w:sz w:val="20"/>
              </w:rPr>
              <w:t>2013</w:t>
            </w:r>
          </w:p>
        </w:tc>
        <w:tc>
          <w:tcPr>
            <w:tcW w:w="804" w:type="pct"/>
            <w:tcBorders>
              <w:bottom w:val="single" w:sz="12" w:space="0" w:color="1F497D" w:themeColor="text2"/>
            </w:tcBorders>
            <w:vAlign w:val="center"/>
          </w:tcPr>
          <w:p>
            <w:pPr>
              <w:spacing w:before="60" w:after="60"/>
              <w:jc w:val="center"/>
              <w:rPr>
                <w:rFonts w:ascii="Times New Roman" w:hAnsi="Times New Roman" w:cs="Times New Roman"/>
                <w:b/>
                <w:noProof/>
                <w:color w:val="38906C"/>
                <w:sz w:val="20"/>
              </w:rPr>
            </w:pPr>
            <w:r>
              <w:rPr>
                <w:rFonts w:ascii="Times New Roman" w:hAnsi="Times New Roman" w:cs="Times New Roman"/>
                <w:b/>
                <w:noProof/>
                <w:color w:val="38906C"/>
                <w:sz w:val="20"/>
              </w:rPr>
              <w:t>2014</w:t>
            </w:r>
          </w:p>
        </w:tc>
        <w:tc>
          <w:tcPr>
            <w:tcW w:w="445" w:type="pct"/>
            <w:tcBorders>
              <w:bottom w:val="single" w:sz="12" w:space="0" w:color="1F497D" w:themeColor="text2"/>
            </w:tcBorders>
            <w:vAlign w:val="center"/>
          </w:tcPr>
          <w:p>
            <w:pPr>
              <w:spacing w:before="60" w:after="60"/>
              <w:jc w:val="center"/>
              <w:rPr>
                <w:rFonts w:ascii="Times New Roman" w:hAnsi="Times New Roman" w:cs="Times New Roman"/>
                <w:b/>
                <w:noProof/>
                <w:color w:val="FE8D26"/>
                <w:sz w:val="20"/>
              </w:rPr>
            </w:pPr>
            <w:r>
              <w:rPr>
                <w:rFonts w:ascii="Times New Roman" w:hAnsi="Times New Roman" w:cs="Times New Roman"/>
                <w:b/>
                <w:noProof/>
                <w:color w:val="FE8D26"/>
                <w:sz w:val="20"/>
              </w:rPr>
              <w:t>2015</w:t>
            </w:r>
          </w:p>
        </w:tc>
      </w:tr>
      <w:tr>
        <w:trPr>
          <w:trHeight w:val="168"/>
        </w:trPr>
        <w:tc>
          <w:tcPr>
            <w:tcW w:w="3125" w:type="pct"/>
            <w:tcBorders>
              <w:top w:val="single" w:sz="12" w:space="0" w:color="1F497D" w:themeColor="text2"/>
              <w:bottom w:val="single" w:sz="8" w:space="0" w:color="1F497D" w:themeColor="text2"/>
            </w:tcBorders>
            <w:vAlign w:val="center"/>
          </w:tcPr>
          <w:p>
            <w:pPr>
              <w:spacing w:after="0"/>
              <w:rPr>
                <w:rFonts w:ascii="Times New Roman" w:hAnsi="Times New Roman" w:cs="Times New Roman"/>
                <w:b/>
                <w:noProof/>
                <w:color w:val="244061" w:themeColor="accent1" w:themeShade="80"/>
                <w:sz w:val="20"/>
              </w:rPr>
            </w:pPr>
            <w:r>
              <w:rPr>
                <w:rFonts w:ascii="Times New Roman" w:hAnsi="Times New Roman" w:cs="Times New Roman"/>
                <w:noProof/>
                <w:color w:val="244061" w:themeColor="accent1" w:themeShade="80"/>
                <w:sz w:val="20"/>
              </w:rPr>
              <w:t>Number of expected returns in EU Member States (million)</w:t>
            </w:r>
          </w:p>
        </w:tc>
        <w:tc>
          <w:tcPr>
            <w:tcW w:w="626" w:type="pct"/>
            <w:tcBorders>
              <w:top w:val="single" w:sz="12" w:space="0" w:color="1F497D" w:themeColor="text2"/>
              <w:bottom w:val="single" w:sz="8" w:space="0" w:color="1F497D" w:themeColor="text2"/>
            </w:tcBorders>
            <w:vAlign w:val="center"/>
          </w:tcPr>
          <w:p>
            <w:pPr>
              <w:spacing w:after="0"/>
              <w:jc w:val="center"/>
              <w:rPr>
                <w:rFonts w:ascii="Times New Roman" w:hAnsi="Times New Roman" w:cs="Times New Roman"/>
                <w:noProof/>
                <w:color w:val="015685"/>
                <w:sz w:val="20"/>
              </w:rPr>
            </w:pPr>
            <w:r>
              <w:rPr>
                <w:rFonts w:ascii="Times New Roman" w:hAnsi="Times New Roman" w:cs="Times New Roman"/>
                <w:noProof/>
                <w:color w:val="015685"/>
                <w:sz w:val="20"/>
              </w:rPr>
              <w:t>127.9</w:t>
            </w:r>
          </w:p>
        </w:tc>
        <w:tc>
          <w:tcPr>
            <w:tcW w:w="804" w:type="pct"/>
            <w:tcBorders>
              <w:top w:val="single" w:sz="12" w:space="0" w:color="1F497D" w:themeColor="text2"/>
              <w:bottom w:val="single" w:sz="8" w:space="0" w:color="1F497D" w:themeColor="text2"/>
            </w:tcBorders>
            <w:vAlign w:val="center"/>
          </w:tcPr>
          <w:p>
            <w:pPr>
              <w:spacing w:after="0"/>
              <w:jc w:val="center"/>
              <w:rPr>
                <w:rFonts w:ascii="Times New Roman" w:hAnsi="Times New Roman" w:cs="Times New Roman"/>
                <w:noProof/>
                <w:color w:val="38906C"/>
                <w:sz w:val="20"/>
              </w:rPr>
            </w:pPr>
            <w:r>
              <w:rPr>
                <w:rFonts w:ascii="Times New Roman" w:hAnsi="Times New Roman" w:cs="Times New Roman"/>
                <w:noProof/>
                <w:color w:val="38906C"/>
                <w:sz w:val="20"/>
              </w:rPr>
              <w:t>130.1</w:t>
            </w:r>
          </w:p>
        </w:tc>
        <w:tc>
          <w:tcPr>
            <w:tcW w:w="445" w:type="pct"/>
            <w:tcBorders>
              <w:top w:val="single" w:sz="12" w:space="0" w:color="1F497D" w:themeColor="text2"/>
              <w:bottom w:val="single" w:sz="8" w:space="0" w:color="1F497D" w:themeColor="text2"/>
            </w:tcBorders>
            <w:vAlign w:val="center"/>
          </w:tcPr>
          <w:p>
            <w:pPr>
              <w:spacing w:after="0"/>
              <w:jc w:val="center"/>
              <w:rPr>
                <w:rFonts w:ascii="Times New Roman" w:hAnsi="Times New Roman" w:cs="Times New Roman"/>
                <w:noProof/>
                <w:color w:val="FE8D26"/>
                <w:sz w:val="20"/>
              </w:rPr>
            </w:pPr>
            <w:r>
              <w:rPr>
                <w:rFonts w:ascii="Times New Roman" w:hAnsi="Times New Roman" w:cs="Times New Roman"/>
                <w:noProof/>
                <w:color w:val="FE8D26"/>
                <w:sz w:val="20"/>
              </w:rPr>
              <w:t>132.3</w:t>
            </w:r>
          </w:p>
        </w:tc>
      </w:tr>
      <w:tr>
        <w:trPr>
          <w:trHeight w:val="519"/>
        </w:trPr>
        <w:tc>
          <w:tcPr>
            <w:tcW w:w="3125" w:type="pct"/>
            <w:tcBorders>
              <w:top w:val="single" w:sz="8" w:space="0" w:color="1F497D" w:themeColor="text2"/>
            </w:tcBorders>
            <w:vAlign w:val="center"/>
          </w:tcPr>
          <w:p>
            <w:pPr>
              <w:spacing w:after="0"/>
              <w:rPr>
                <w:rFonts w:ascii="Times New Roman" w:hAnsi="Times New Roman" w:cs="Times New Roman"/>
                <w:b/>
                <w:noProof/>
                <w:color w:val="244061" w:themeColor="accent1" w:themeShade="80"/>
                <w:sz w:val="20"/>
              </w:rPr>
            </w:pPr>
            <w:r>
              <w:rPr>
                <w:rFonts w:ascii="Times New Roman" w:hAnsi="Times New Roman" w:cs="Times New Roman"/>
                <w:noProof/>
                <w:color w:val="244061" w:themeColor="accent1" w:themeShade="80"/>
                <w:sz w:val="20"/>
              </w:rPr>
              <w:t>VAT returns submitted on time (%)</w:t>
            </w:r>
          </w:p>
        </w:tc>
        <w:tc>
          <w:tcPr>
            <w:tcW w:w="626" w:type="pct"/>
            <w:tcBorders>
              <w:top w:val="single" w:sz="8" w:space="0" w:color="1F497D" w:themeColor="text2"/>
            </w:tcBorders>
            <w:vAlign w:val="center"/>
          </w:tcPr>
          <w:p>
            <w:pPr>
              <w:spacing w:after="0"/>
              <w:jc w:val="center"/>
              <w:rPr>
                <w:rFonts w:ascii="Times New Roman" w:hAnsi="Times New Roman" w:cs="Times New Roman"/>
                <w:noProof/>
                <w:color w:val="015685"/>
                <w:sz w:val="20"/>
              </w:rPr>
            </w:pPr>
            <w:r>
              <w:rPr>
                <w:rFonts w:ascii="Times New Roman" w:hAnsi="Times New Roman" w:cs="Times New Roman"/>
                <w:noProof/>
                <w:color w:val="015685"/>
                <w:sz w:val="20"/>
              </w:rPr>
              <w:t>87.1</w:t>
            </w:r>
          </w:p>
        </w:tc>
        <w:tc>
          <w:tcPr>
            <w:tcW w:w="804" w:type="pct"/>
            <w:tcBorders>
              <w:top w:val="single" w:sz="8" w:space="0" w:color="1F497D" w:themeColor="text2"/>
            </w:tcBorders>
            <w:vAlign w:val="center"/>
          </w:tcPr>
          <w:p>
            <w:pPr>
              <w:spacing w:after="0"/>
              <w:jc w:val="center"/>
              <w:rPr>
                <w:rFonts w:ascii="Times New Roman" w:hAnsi="Times New Roman" w:cs="Times New Roman"/>
                <w:noProof/>
                <w:color w:val="38906C"/>
                <w:sz w:val="20"/>
              </w:rPr>
            </w:pPr>
            <w:r>
              <w:rPr>
                <w:rFonts w:ascii="Times New Roman" w:hAnsi="Times New Roman" w:cs="Times New Roman"/>
                <w:noProof/>
                <w:color w:val="38906C"/>
                <w:sz w:val="20"/>
              </w:rPr>
              <w:t>88.6</w:t>
            </w:r>
          </w:p>
        </w:tc>
        <w:tc>
          <w:tcPr>
            <w:tcW w:w="445" w:type="pct"/>
            <w:tcBorders>
              <w:top w:val="single" w:sz="8" w:space="0" w:color="1F497D" w:themeColor="text2"/>
            </w:tcBorders>
            <w:vAlign w:val="center"/>
          </w:tcPr>
          <w:p>
            <w:pPr>
              <w:spacing w:after="0"/>
              <w:jc w:val="center"/>
              <w:rPr>
                <w:rFonts w:ascii="Times New Roman" w:hAnsi="Times New Roman" w:cs="Times New Roman"/>
                <w:noProof/>
                <w:color w:val="FE8D26"/>
                <w:sz w:val="20"/>
              </w:rPr>
            </w:pPr>
            <w:r>
              <w:rPr>
                <w:rFonts w:ascii="Times New Roman" w:hAnsi="Times New Roman" w:cs="Times New Roman"/>
                <w:noProof/>
                <w:color w:val="FE8D26"/>
                <w:sz w:val="20"/>
              </w:rPr>
              <w:t>88.9</w:t>
            </w:r>
          </w:p>
        </w:tc>
      </w:tr>
      <w:tr>
        <w:trPr>
          <w:trHeight w:val="519"/>
        </w:trPr>
        <w:tc>
          <w:tcPr>
            <w:tcW w:w="3125" w:type="pct"/>
            <w:tcBorders>
              <w:top w:val="single" w:sz="8" w:space="0" w:color="1F497D" w:themeColor="text2"/>
              <w:bottom w:val="single" w:sz="8" w:space="0" w:color="1F497D" w:themeColor="text2"/>
            </w:tcBorders>
            <w:vAlign w:val="center"/>
          </w:tcPr>
          <w:p>
            <w:pPr>
              <w:spacing w:after="0"/>
              <w:rPr>
                <w:rFonts w:ascii="Times New Roman" w:hAnsi="Times New Roman" w:cs="Times New Roman"/>
                <w:noProof/>
                <w:color w:val="244061" w:themeColor="accent1" w:themeShade="80"/>
                <w:sz w:val="20"/>
              </w:rPr>
            </w:pPr>
            <w:r>
              <w:rPr>
                <w:rFonts w:ascii="Times New Roman" w:hAnsi="Times New Roman" w:cs="Times New Roman"/>
                <w:noProof/>
                <w:color w:val="244061" w:themeColor="accent1" w:themeShade="80"/>
                <w:sz w:val="20"/>
              </w:rPr>
              <w:t xml:space="preserve">VAT returns delayed for </w:t>
            </w:r>
            <w:r>
              <w:rPr>
                <w:rFonts w:ascii="Times New Roman" w:hAnsi="Times New Roman" w:cs="Times New Roman"/>
                <w:noProof/>
                <w:color w:val="244061" w:themeColor="accent1" w:themeShade="80"/>
                <w:sz w:val="20"/>
                <w:u w:val="single"/>
              </w:rPr>
              <w:t>less</w:t>
            </w:r>
            <w:r>
              <w:rPr>
                <w:rFonts w:ascii="Times New Roman" w:hAnsi="Times New Roman" w:cs="Times New Roman"/>
                <w:noProof/>
                <w:color w:val="244061" w:themeColor="accent1" w:themeShade="80"/>
                <w:sz w:val="20"/>
              </w:rPr>
              <w:t xml:space="preserve"> than 30 days (%)</w:t>
            </w:r>
          </w:p>
        </w:tc>
        <w:tc>
          <w:tcPr>
            <w:tcW w:w="626" w:type="pct"/>
            <w:tcBorders>
              <w:top w:val="single" w:sz="8" w:space="0" w:color="1F497D" w:themeColor="text2"/>
              <w:bottom w:val="single" w:sz="8" w:space="0" w:color="1F497D" w:themeColor="text2"/>
            </w:tcBorders>
            <w:vAlign w:val="center"/>
          </w:tcPr>
          <w:p>
            <w:pPr>
              <w:spacing w:after="0"/>
              <w:jc w:val="center"/>
              <w:rPr>
                <w:rFonts w:ascii="Times New Roman" w:hAnsi="Times New Roman" w:cs="Times New Roman"/>
                <w:noProof/>
                <w:color w:val="015685"/>
                <w:sz w:val="20"/>
              </w:rPr>
            </w:pPr>
            <w:r>
              <w:rPr>
                <w:rFonts w:ascii="Times New Roman" w:hAnsi="Times New Roman" w:cs="Times New Roman"/>
                <w:noProof/>
                <w:color w:val="015685"/>
                <w:sz w:val="20"/>
              </w:rPr>
              <w:t>4.6</w:t>
            </w:r>
          </w:p>
        </w:tc>
        <w:tc>
          <w:tcPr>
            <w:tcW w:w="804" w:type="pct"/>
            <w:tcBorders>
              <w:top w:val="single" w:sz="8" w:space="0" w:color="1F497D" w:themeColor="text2"/>
              <w:bottom w:val="single" w:sz="8" w:space="0" w:color="1F497D" w:themeColor="text2"/>
            </w:tcBorders>
            <w:vAlign w:val="center"/>
          </w:tcPr>
          <w:p>
            <w:pPr>
              <w:spacing w:after="0"/>
              <w:jc w:val="center"/>
              <w:rPr>
                <w:rFonts w:ascii="Times New Roman" w:hAnsi="Times New Roman" w:cs="Times New Roman"/>
                <w:noProof/>
                <w:color w:val="38906C"/>
                <w:sz w:val="20"/>
              </w:rPr>
            </w:pPr>
            <w:r>
              <w:rPr>
                <w:rFonts w:ascii="Times New Roman" w:hAnsi="Times New Roman" w:cs="Times New Roman"/>
                <w:noProof/>
                <w:color w:val="38906C"/>
                <w:sz w:val="20"/>
              </w:rPr>
              <w:t>4.4</w:t>
            </w:r>
          </w:p>
        </w:tc>
        <w:tc>
          <w:tcPr>
            <w:tcW w:w="445" w:type="pct"/>
            <w:tcBorders>
              <w:top w:val="single" w:sz="8" w:space="0" w:color="1F497D" w:themeColor="text2"/>
              <w:bottom w:val="single" w:sz="8" w:space="0" w:color="1F497D" w:themeColor="text2"/>
            </w:tcBorders>
            <w:vAlign w:val="center"/>
          </w:tcPr>
          <w:p>
            <w:pPr>
              <w:spacing w:after="0"/>
              <w:jc w:val="center"/>
              <w:rPr>
                <w:rFonts w:ascii="Times New Roman" w:hAnsi="Times New Roman" w:cs="Times New Roman"/>
                <w:noProof/>
                <w:color w:val="FE8D26"/>
                <w:sz w:val="20"/>
              </w:rPr>
            </w:pPr>
            <w:r>
              <w:rPr>
                <w:rFonts w:ascii="Times New Roman" w:hAnsi="Times New Roman" w:cs="Times New Roman"/>
                <w:noProof/>
                <w:color w:val="FE8D26"/>
                <w:sz w:val="20"/>
              </w:rPr>
              <w:t>4.7</w:t>
            </w:r>
          </w:p>
        </w:tc>
      </w:tr>
      <w:tr>
        <w:trPr>
          <w:trHeight w:val="519"/>
        </w:trPr>
        <w:tc>
          <w:tcPr>
            <w:tcW w:w="3125" w:type="pct"/>
            <w:tcBorders>
              <w:top w:val="single" w:sz="8" w:space="0" w:color="1F497D" w:themeColor="text2"/>
              <w:bottom w:val="single" w:sz="8" w:space="0" w:color="1F497D" w:themeColor="text2"/>
            </w:tcBorders>
            <w:vAlign w:val="center"/>
          </w:tcPr>
          <w:p>
            <w:pPr>
              <w:spacing w:after="0"/>
              <w:rPr>
                <w:rFonts w:ascii="Times New Roman" w:hAnsi="Times New Roman" w:cs="Times New Roman"/>
                <w:b/>
                <w:noProof/>
                <w:color w:val="244061" w:themeColor="accent1" w:themeShade="80"/>
                <w:sz w:val="20"/>
              </w:rPr>
            </w:pPr>
            <w:r>
              <w:rPr>
                <w:rFonts w:ascii="Times New Roman" w:hAnsi="Times New Roman" w:cs="Times New Roman"/>
                <w:noProof/>
                <w:color w:val="244061" w:themeColor="accent1" w:themeShade="80"/>
                <w:sz w:val="20"/>
              </w:rPr>
              <w:t>Compliance rate in VAT returns (received/expected; %)</w:t>
            </w:r>
          </w:p>
        </w:tc>
        <w:tc>
          <w:tcPr>
            <w:tcW w:w="626" w:type="pct"/>
            <w:tcBorders>
              <w:top w:val="single" w:sz="8" w:space="0" w:color="1F497D" w:themeColor="text2"/>
              <w:bottom w:val="single" w:sz="8" w:space="0" w:color="1F497D" w:themeColor="text2"/>
            </w:tcBorders>
            <w:vAlign w:val="center"/>
          </w:tcPr>
          <w:p>
            <w:pPr>
              <w:spacing w:after="0"/>
              <w:jc w:val="center"/>
              <w:rPr>
                <w:rFonts w:ascii="Times New Roman" w:hAnsi="Times New Roman" w:cs="Times New Roman"/>
                <w:noProof/>
                <w:color w:val="015685"/>
                <w:sz w:val="20"/>
              </w:rPr>
            </w:pPr>
            <w:r>
              <w:rPr>
                <w:rFonts w:ascii="Times New Roman" w:hAnsi="Times New Roman" w:cs="Times New Roman"/>
                <w:noProof/>
                <w:color w:val="015685"/>
                <w:sz w:val="20"/>
              </w:rPr>
              <w:t>91.2</w:t>
            </w:r>
          </w:p>
        </w:tc>
        <w:tc>
          <w:tcPr>
            <w:tcW w:w="804" w:type="pct"/>
            <w:tcBorders>
              <w:top w:val="single" w:sz="8" w:space="0" w:color="1F497D" w:themeColor="text2"/>
              <w:bottom w:val="single" w:sz="8" w:space="0" w:color="1F497D" w:themeColor="text2"/>
            </w:tcBorders>
            <w:vAlign w:val="center"/>
          </w:tcPr>
          <w:p>
            <w:pPr>
              <w:spacing w:after="0"/>
              <w:jc w:val="center"/>
              <w:rPr>
                <w:rFonts w:ascii="Times New Roman" w:hAnsi="Times New Roman" w:cs="Times New Roman"/>
                <w:noProof/>
                <w:color w:val="38906C"/>
                <w:sz w:val="20"/>
              </w:rPr>
            </w:pPr>
            <w:r>
              <w:rPr>
                <w:rFonts w:ascii="Times New Roman" w:hAnsi="Times New Roman" w:cs="Times New Roman"/>
                <w:noProof/>
                <w:color w:val="38906C"/>
                <w:sz w:val="20"/>
              </w:rPr>
              <w:t>95.9</w:t>
            </w:r>
          </w:p>
        </w:tc>
        <w:tc>
          <w:tcPr>
            <w:tcW w:w="445" w:type="pct"/>
            <w:tcBorders>
              <w:top w:val="single" w:sz="8" w:space="0" w:color="1F497D" w:themeColor="text2"/>
              <w:bottom w:val="single" w:sz="8" w:space="0" w:color="1F497D" w:themeColor="text2"/>
            </w:tcBorders>
            <w:vAlign w:val="center"/>
          </w:tcPr>
          <w:p>
            <w:pPr>
              <w:spacing w:after="0"/>
              <w:jc w:val="center"/>
              <w:rPr>
                <w:rFonts w:ascii="Times New Roman" w:hAnsi="Times New Roman" w:cs="Times New Roman"/>
                <w:noProof/>
                <w:color w:val="FE8D26"/>
                <w:sz w:val="20"/>
              </w:rPr>
            </w:pPr>
            <w:r>
              <w:rPr>
                <w:rFonts w:ascii="Times New Roman" w:hAnsi="Times New Roman" w:cs="Times New Roman"/>
                <w:noProof/>
                <w:color w:val="FE8D26"/>
                <w:sz w:val="20"/>
              </w:rPr>
              <w:t>96.4</w:t>
            </w:r>
          </w:p>
        </w:tc>
      </w:tr>
    </w:tbl>
    <w:p>
      <w:pPr>
        <w:pStyle w:val="NORMAL0"/>
        <w:spacing w:before="120" w:after="240" w:line="276" w:lineRule="auto"/>
        <w:rPr>
          <w:rFonts w:ascii="Times New Roman" w:eastAsiaTheme="minorHAnsi" w:hAnsi="Times New Roman" w:cs="Times New Roman"/>
          <w:i/>
          <w:noProof/>
          <w:sz w:val="18"/>
          <w:szCs w:val="18"/>
          <w:lang w:eastAsia="ja-JP"/>
        </w:rPr>
      </w:pPr>
      <w:r>
        <w:rPr>
          <w:rFonts w:ascii="Times New Roman" w:eastAsiaTheme="minorHAnsi" w:hAnsi="Times New Roman" w:cs="Times New Roman"/>
          <w:i/>
          <w:noProof/>
          <w:sz w:val="18"/>
          <w:szCs w:val="18"/>
          <w:lang w:eastAsia="ja-JP"/>
        </w:rPr>
        <w:t xml:space="preserve">Source: Member States' answers to 2017 Questionnaire </w:t>
      </w:r>
    </w:p>
    <w:p>
      <w:pPr>
        <w:jc w:val="both"/>
        <w:rPr>
          <w:rFonts w:ascii="Times New Roman" w:hAnsi="Times New Roman" w:cs="Times New Roman"/>
          <w:noProof/>
          <w:sz w:val="24"/>
          <w:szCs w:val="24"/>
          <w:lang w:eastAsia="ja-JP"/>
        </w:rPr>
      </w:pPr>
      <w:r>
        <w:rPr>
          <w:rFonts w:ascii="Times New Roman" w:hAnsi="Times New Roman" w:cs="Times New Roman"/>
          <w:noProof/>
          <w:sz w:val="24"/>
          <w:szCs w:val="24"/>
          <w:lang w:eastAsia="ja-JP"/>
        </w:rPr>
        <w:t>In case of late filing, most Member States send reminders (automatically or manually) after the deadline has expired. A few Member States send alerts prior to the forthcoming deadline. According to these Member States, this practice reduced the number of late-filers.</w:t>
      </w:r>
    </w:p>
    <w:p>
      <w:pPr>
        <w:spacing w:after="240"/>
        <w:jc w:val="both"/>
        <w:rPr>
          <w:rFonts w:ascii="Times New Roman" w:hAnsi="Times New Roman" w:cs="Times New Roman"/>
          <w:noProof/>
          <w:sz w:val="24"/>
          <w:szCs w:val="24"/>
          <w:lang w:eastAsia="ja-JP"/>
        </w:rPr>
      </w:pPr>
      <w:r>
        <w:rPr>
          <w:rFonts w:ascii="Times New Roman" w:hAnsi="Times New Roman" w:cs="Times New Roman"/>
          <w:noProof/>
          <w:sz w:val="24"/>
          <w:szCs w:val="24"/>
          <w:lang w:eastAsia="ja-JP"/>
        </w:rPr>
        <w:t>All Member States have a sanction system in place to encourage taxpayers to file declarations on time. If no VAT returns are filed the majority of Member States calculate an estimation of the VAT due and add a penalty. A simplified VAT filing system for small taxpayers is applied in half of the Member States.</w:t>
      </w:r>
    </w:p>
    <w:p>
      <w:pPr>
        <w:pStyle w:val="ManualHeading3"/>
        <w:rPr>
          <w:noProof/>
        </w:rPr>
      </w:pPr>
      <w:bookmarkStart w:id="562" w:name="_Toc498335653"/>
      <w:r>
        <w:t>3.3.2.</w:t>
      </w:r>
      <w:r>
        <w:tab/>
      </w:r>
      <w:r>
        <w:rPr>
          <w:noProof/>
        </w:rPr>
        <w:t>Payment</w:t>
      </w:r>
      <w:bookmarkEnd w:id="562"/>
    </w:p>
    <w:p>
      <w:pPr>
        <w:spacing w:after="120"/>
        <w:jc w:val="both"/>
        <w:rPr>
          <w:rFonts w:ascii="Times New Roman" w:hAnsi="Times New Roman" w:cs="Times New Roman"/>
          <w:noProof/>
          <w:sz w:val="24"/>
          <w:szCs w:val="24"/>
          <w:lang w:eastAsia="ja-JP"/>
        </w:rPr>
      </w:pPr>
      <w:r>
        <w:rPr>
          <w:rFonts w:ascii="Times New Roman" w:hAnsi="Times New Roman" w:cs="Times New Roman"/>
          <w:noProof/>
          <w:sz w:val="24"/>
          <w:szCs w:val="24"/>
          <w:lang w:eastAsia="ja-JP"/>
        </w:rPr>
        <w:t>In the majority of Member States, tax authorities offer the possibility to pay the VAT due electronically. However, only in 50 percent of the Member States electronic payment of VAT is compulsory. A few Member States still offer the possibility to pay the VAT due in cash, but are promoting the use of electronic means.</w:t>
      </w:r>
    </w:p>
    <w:p>
      <w:pPr>
        <w:spacing w:after="120"/>
        <w:jc w:val="both"/>
        <w:rPr>
          <w:rFonts w:ascii="Times New Roman" w:hAnsi="Times New Roman" w:cs="Times New Roman"/>
          <w:noProof/>
          <w:sz w:val="24"/>
          <w:szCs w:val="24"/>
          <w:lang w:eastAsia="ja-JP"/>
        </w:rPr>
      </w:pPr>
      <w:r>
        <w:rPr>
          <w:rFonts w:ascii="Times New Roman" w:hAnsi="Times New Roman" w:cs="Times New Roman"/>
          <w:noProof/>
          <w:sz w:val="24"/>
          <w:szCs w:val="24"/>
          <w:lang w:eastAsia="ja-JP"/>
        </w:rPr>
        <w:t>Also payment deadlines are monitored electronically. The general practice is that when deadlines expire, the tax authorities send automatic reminders. For small taxpayers, tax authorities offer a special simplified payment regime</w:t>
      </w:r>
      <w:r>
        <w:rPr>
          <w:rStyle w:val="FootnoteReference"/>
          <w:rFonts w:ascii="Times New Roman" w:hAnsi="Times New Roman" w:cs="Times New Roman"/>
          <w:noProof/>
          <w:sz w:val="24"/>
          <w:szCs w:val="24"/>
          <w:lang w:eastAsia="ja-JP"/>
        </w:rPr>
        <w:footnoteReference w:id="18"/>
      </w:r>
      <w:r>
        <w:rPr>
          <w:rFonts w:ascii="Times New Roman" w:hAnsi="Times New Roman" w:cs="Times New Roman"/>
          <w:noProof/>
          <w:sz w:val="24"/>
          <w:szCs w:val="24"/>
          <w:lang w:eastAsia="ja-JP"/>
        </w:rPr>
        <w:t>.</w:t>
      </w:r>
    </w:p>
    <w:tbl>
      <w:tblPr>
        <w:tblStyle w:val="TableGrid"/>
        <w:tblW w:w="9434" w:type="dxa"/>
        <w:tblLayout w:type="fixed"/>
        <w:tblLook w:val="04A0" w:firstRow="1" w:lastRow="0" w:firstColumn="1" w:lastColumn="0" w:noHBand="0" w:noVBand="1"/>
      </w:tblPr>
      <w:tblGrid>
        <w:gridCol w:w="392"/>
        <w:gridCol w:w="992"/>
        <w:gridCol w:w="3313"/>
        <w:gridCol w:w="236"/>
        <w:gridCol w:w="236"/>
        <w:gridCol w:w="184"/>
        <w:gridCol w:w="1134"/>
        <w:gridCol w:w="2947"/>
      </w:tblGrid>
      <w:tr>
        <w:tc>
          <w:tcPr>
            <w:tcW w:w="4697" w:type="dxa"/>
            <w:gridSpan w:val="3"/>
            <w:tcBorders>
              <w:top w:val="single" w:sz="4" w:space="0" w:color="A6A6A6" w:themeColor="background1" w:themeShade="A6"/>
              <w:left w:val="single" w:sz="4" w:space="0" w:color="A6A6A6" w:themeColor="background1" w:themeShade="A6"/>
              <w:bottom w:val="nil"/>
              <w:right w:val="single" w:sz="4" w:space="0" w:color="A6A6A6" w:themeColor="background1" w:themeShade="A6"/>
            </w:tcBorders>
            <w:shd w:val="clear" w:color="auto" w:fill="auto"/>
          </w:tcPr>
          <w:p>
            <w:pPr>
              <w:pStyle w:val="Caption"/>
              <w:spacing w:before="60"/>
              <w:rPr>
                <w:b w:val="0"/>
                <w:i/>
                <w:noProof/>
                <w:sz w:val="22"/>
                <w:lang w:eastAsia="ja-JP"/>
              </w:rPr>
            </w:pPr>
            <w:bookmarkStart w:id="563" w:name="_Toc498335667"/>
            <w:r>
              <w:rPr>
                <w:i/>
                <w:noProof/>
              </w:rPr>
              <w:t xml:space="preserve">Figure </w:t>
            </w:r>
            <w:r>
              <w:rPr>
                <w:i/>
                <w:noProof/>
              </w:rPr>
              <w:fldChar w:fldCharType="begin"/>
            </w:r>
            <w:r>
              <w:rPr>
                <w:i/>
                <w:noProof/>
              </w:rPr>
              <w:instrText xml:space="preserve"> SEQ Figure \* ARABIC </w:instrText>
            </w:r>
            <w:r>
              <w:rPr>
                <w:i/>
                <w:noProof/>
              </w:rPr>
              <w:fldChar w:fldCharType="separate"/>
            </w:r>
            <w:r>
              <w:rPr>
                <w:i/>
                <w:noProof/>
              </w:rPr>
              <w:t>7</w:t>
            </w:r>
            <w:r>
              <w:rPr>
                <w:i/>
                <w:noProof/>
              </w:rPr>
              <w:fldChar w:fldCharType="end"/>
            </w:r>
            <w:r>
              <w:rPr>
                <w:i/>
                <w:noProof/>
                <w:lang w:eastAsia="ja-JP"/>
              </w:rPr>
              <w:t xml:space="preserve">: </w:t>
            </w:r>
            <w:r>
              <w:rPr>
                <w:b w:val="0"/>
                <w:i/>
                <w:noProof/>
                <w:lang w:eastAsia="ja-JP"/>
              </w:rPr>
              <w:t>Possibility for VAT e-Payments in 28 Member States (2013-2015)</w:t>
            </w:r>
            <w:bookmarkEnd w:id="563"/>
          </w:p>
        </w:tc>
        <w:tc>
          <w:tcPr>
            <w:tcW w:w="236" w:type="dxa"/>
            <w:tcBorders>
              <w:top w:val="nil"/>
              <w:left w:val="single" w:sz="4" w:space="0" w:color="A6A6A6" w:themeColor="background1" w:themeShade="A6"/>
              <w:bottom w:val="nil"/>
              <w:right w:val="single" w:sz="4" w:space="0" w:color="A6A6A6" w:themeColor="background1" w:themeShade="A6"/>
            </w:tcBorders>
            <w:shd w:val="clear" w:color="auto" w:fill="auto"/>
          </w:tcPr>
          <w:p>
            <w:pPr>
              <w:spacing w:line="276" w:lineRule="auto"/>
              <w:rPr>
                <w:rFonts w:ascii="Times New Roman" w:hAnsi="Times New Roman" w:cs="Times New Roman"/>
                <w:noProof/>
                <w:lang w:eastAsia="ja-JP"/>
              </w:rPr>
            </w:pPr>
          </w:p>
        </w:tc>
        <w:tc>
          <w:tcPr>
            <w:tcW w:w="4501" w:type="dxa"/>
            <w:gridSpan w:val="4"/>
            <w:tcBorders>
              <w:top w:val="single" w:sz="4" w:space="0" w:color="A6A6A6" w:themeColor="background1" w:themeShade="A6"/>
              <w:left w:val="single" w:sz="4" w:space="0" w:color="A6A6A6" w:themeColor="background1" w:themeShade="A6"/>
              <w:bottom w:val="nil"/>
              <w:right w:val="single" w:sz="4" w:space="0" w:color="A6A6A6" w:themeColor="background1" w:themeShade="A6"/>
            </w:tcBorders>
            <w:shd w:val="clear" w:color="auto" w:fill="auto"/>
          </w:tcPr>
          <w:p>
            <w:pPr>
              <w:pStyle w:val="Caption"/>
              <w:spacing w:before="60"/>
              <w:ind w:right="4"/>
              <w:rPr>
                <w:b w:val="0"/>
                <w:i/>
                <w:noProof/>
                <w:sz w:val="22"/>
                <w:lang w:eastAsia="ja-JP"/>
              </w:rPr>
            </w:pPr>
            <w:bookmarkStart w:id="564" w:name="_Toc498335668"/>
            <w:r>
              <w:rPr>
                <w:i/>
                <w:noProof/>
              </w:rPr>
              <w:t xml:space="preserve">Figure </w:t>
            </w:r>
            <w:r>
              <w:rPr>
                <w:i/>
                <w:noProof/>
              </w:rPr>
              <w:fldChar w:fldCharType="begin"/>
            </w:r>
            <w:r>
              <w:rPr>
                <w:i/>
                <w:noProof/>
              </w:rPr>
              <w:instrText xml:space="preserve"> SEQ Figure \* ARABIC </w:instrText>
            </w:r>
            <w:r>
              <w:rPr>
                <w:i/>
                <w:noProof/>
              </w:rPr>
              <w:fldChar w:fldCharType="separate"/>
            </w:r>
            <w:r>
              <w:rPr>
                <w:i/>
                <w:noProof/>
              </w:rPr>
              <w:t>8</w:t>
            </w:r>
            <w:r>
              <w:rPr>
                <w:i/>
                <w:noProof/>
              </w:rPr>
              <w:fldChar w:fldCharType="end"/>
            </w:r>
            <w:r>
              <w:rPr>
                <w:i/>
                <w:noProof/>
                <w:lang w:eastAsia="ja-JP"/>
              </w:rPr>
              <w:t xml:space="preserve">: </w:t>
            </w:r>
            <w:r>
              <w:rPr>
                <w:b w:val="0"/>
                <w:i/>
                <w:noProof/>
                <w:lang w:eastAsia="ja-JP"/>
              </w:rPr>
              <w:t>Late payment reminders in 28 Member States (2013-2015)</w:t>
            </w:r>
            <w:bookmarkEnd w:id="564"/>
          </w:p>
        </w:tc>
      </w:tr>
      <w:tr>
        <w:trPr>
          <w:trHeight w:val="174"/>
        </w:trPr>
        <w:tc>
          <w:tcPr>
            <w:tcW w:w="392" w:type="dxa"/>
            <w:tcBorders>
              <w:top w:val="nil"/>
              <w:left w:val="single" w:sz="4" w:space="0" w:color="A6A6A6" w:themeColor="background1" w:themeShade="A6"/>
              <w:bottom w:val="nil"/>
              <w:right w:val="nil"/>
            </w:tcBorders>
            <w:shd w:val="clear" w:color="auto" w:fill="auto"/>
          </w:tcPr>
          <w:p>
            <w:pPr>
              <w:jc w:val="right"/>
              <w:rPr>
                <w:rFonts w:ascii="Times New Roman" w:hAnsi="Times New Roman" w:cs="Times New Roman"/>
                <w:noProof/>
                <w:lang w:eastAsia="ja-JP"/>
              </w:rPr>
            </w:pPr>
          </w:p>
        </w:tc>
        <w:tc>
          <w:tcPr>
            <w:tcW w:w="992" w:type="dxa"/>
            <w:vMerge w:val="restart"/>
            <w:tcBorders>
              <w:top w:val="nil"/>
              <w:left w:val="nil"/>
              <w:bottom w:val="nil"/>
              <w:right w:val="nil"/>
            </w:tcBorders>
            <w:shd w:val="clear" w:color="auto" w:fill="auto"/>
          </w:tcPr>
          <w:p>
            <w:pPr>
              <w:spacing w:before="40"/>
              <w:rPr>
                <w:rFonts w:ascii="Times New Roman" w:hAnsi="Times New Roman" w:cs="Times New Roman"/>
                <w:noProof/>
                <w:sz w:val="20"/>
                <w:szCs w:val="20"/>
                <w:lang w:eastAsia="ja-JP"/>
              </w:rPr>
            </w:pPr>
          </w:p>
        </w:tc>
        <w:tc>
          <w:tcPr>
            <w:tcW w:w="3313" w:type="dxa"/>
            <w:vMerge w:val="restart"/>
            <w:tcBorders>
              <w:top w:val="nil"/>
              <w:left w:val="nil"/>
              <w:bottom w:val="nil"/>
              <w:right w:val="single" w:sz="4" w:space="0" w:color="A6A6A6" w:themeColor="background1" w:themeShade="A6"/>
            </w:tcBorders>
            <w:shd w:val="clear" w:color="auto" w:fill="auto"/>
            <w:tcMar>
              <w:left w:w="28" w:type="dxa"/>
              <w:right w:w="28" w:type="dxa"/>
            </w:tcMar>
            <w:vAlign w:val="center"/>
          </w:tcPr>
          <w:p>
            <w:pPr>
              <w:rPr>
                <w:rFonts w:ascii="Times New Roman" w:hAnsi="Times New Roman" w:cs="Times New Roman"/>
                <w:noProof/>
                <w:lang w:eastAsia="ja-JP"/>
              </w:rPr>
            </w:pPr>
            <w:r>
              <w:rPr>
                <w:rFonts w:ascii="Times New Roman" w:hAnsi="Times New Roman" w:cs="Times New Roman"/>
                <w:noProof/>
                <w:lang w:val="en-US"/>
              </w:rPr>
              <w:drawing>
                <wp:inline distT="0" distB="0" distL="0" distR="0">
                  <wp:extent cx="2114550" cy="1609725"/>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tc>
        <w:tc>
          <w:tcPr>
            <w:tcW w:w="236" w:type="dxa"/>
            <w:vMerge w:val="restart"/>
            <w:tcBorders>
              <w:top w:val="nil"/>
              <w:left w:val="single" w:sz="4" w:space="0" w:color="A6A6A6" w:themeColor="background1" w:themeShade="A6"/>
              <w:bottom w:val="nil"/>
              <w:right w:val="single" w:sz="4" w:space="0" w:color="A6A6A6" w:themeColor="background1" w:themeShade="A6"/>
            </w:tcBorders>
            <w:shd w:val="clear" w:color="auto" w:fill="auto"/>
          </w:tcPr>
          <w:p>
            <w:pPr>
              <w:spacing w:line="276" w:lineRule="auto"/>
              <w:rPr>
                <w:rFonts w:ascii="Times New Roman" w:hAnsi="Times New Roman" w:cs="Times New Roman"/>
                <w:noProof/>
                <w:lang w:eastAsia="ja-JP"/>
              </w:rPr>
            </w:pPr>
          </w:p>
        </w:tc>
        <w:tc>
          <w:tcPr>
            <w:tcW w:w="236" w:type="dxa"/>
            <w:tcBorders>
              <w:top w:val="nil"/>
              <w:left w:val="single" w:sz="4" w:space="0" w:color="A6A6A6" w:themeColor="background1" w:themeShade="A6"/>
              <w:bottom w:val="nil"/>
              <w:right w:val="nil"/>
            </w:tcBorders>
            <w:shd w:val="clear" w:color="auto" w:fill="auto"/>
          </w:tcPr>
          <w:p>
            <w:pPr>
              <w:rPr>
                <w:rFonts w:ascii="Times New Roman" w:hAnsi="Times New Roman" w:cs="Times New Roman"/>
                <w:noProof/>
                <w:lang w:eastAsia="ja-JP"/>
              </w:rPr>
            </w:pPr>
          </w:p>
        </w:tc>
        <w:tc>
          <w:tcPr>
            <w:tcW w:w="1318" w:type="dxa"/>
            <w:gridSpan w:val="2"/>
            <w:tcBorders>
              <w:top w:val="nil"/>
              <w:left w:val="nil"/>
              <w:bottom w:val="nil"/>
              <w:right w:val="nil"/>
            </w:tcBorders>
            <w:shd w:val="clear" w:color="auto" w:fill="auto"/>
          </w:tcPr>
          <w:p>
            <w:pPr>
              <w:rPr>
                <w:rFonts w:ascii="Times New Roman" w:hAnsi="Times New Roman" w:cs="Times New Roman"/>
                <w:noProof/>
                <w:lang w:eastAsia="ja-JP"/>
              </w:rPr>
            </w:pPr>
          </w:p>
        </w:tc>
        <w:tc>
          <w:tcPr>
            <w:tcW w:w="2947" w:type="dxa"/>
            <w:vMerge w:val="restart"/>
            <w:tcBorders>
              <w:top w:val="nil"/>
              <w:left w:val="nil"/>
              <w:right w:val="single" w:sz="4" w:space="0" w:color="A6A6A6" w:themeColor="background1" w:themeShade="A6"/>
            </w:tcBorders>
            <w:shd w:val="clear" w:color="auto" w:fill="auto"/>
          </w:tcPr>
          <w:p>
            <w:pPr>
              <w:rPr>
                <w:rFonts w:ascii="Times New Roman" w:hAnsi="Times New Roman" w:cs="Times New Roman"/>
                <w:noProof/>
                <w:color w:val="FFFFFF" w:themeColor="background1"/>
                <w:lang w:eastAsia="ja-JP"/>
              </w:rPr>
            </w:pPr>
            <w:r>
              <w:rPr>
                <w:rFonts w:ascii="Times New Roman" w:hAnsi="Times New Roman" w:cs="Times New Roman"/>
                <w:noProof/>
                <w:color w:val="FFFFFF" w:themeColor="background1"/>
                <w:lang w:val="en-US"/>
              </w:rPr>
              <w:drawing>
                <wp:inline distT="0" distB="0" distL="0" distR="0">
                  <wp:extent cx="1908313" cy="1725433"/>
                  <wp:effectExtent l="0" t="0" r="0" b="8255"/>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tc>
      </w:tr>
      <w:tr>
        <w:trPr>
          <w:trHeight w:val="168"/>
        </w:trPr>
        <w:tc>
          <w:tcPr>
            <w:tcW w:w="392" w:type="dxa"/>
            <w:tcBorders>
              <w:top w:val="nil"/>
              <w:left w:val="single" w:sz="4" w:space="0" w:color="A6A6A6" w:themeColor="background1" w:themeShade="A6"/>
              <w:bottom w:val="nil"/>
              <w:right w:val="nil"/>
            </w:tcBorders>
            <w:shd w:val="clear" w:color="auto" w:fill="auto"/>
          </w:tcPr>
          <w:p>
            <w:pPr>
              <w:jc w:val="right"/>
              <w:rPr>
                <w:rFonts w:ascii="Times New Roman" w:hAnsi="Times New Roman" w:cs="Times New Roman"/>
                <w:noProof/>
                <w:lang w:eastAsia="ja-JP"/>
              </w:rPr>
            </w:pPr>
          </w:p>
        </w:tc>
        <w:tc>
          <w:tcPr>
            <w:tcW w:w="992" w:type="dxa"/>
            <w:vMerge/>
            <w:tcBorders>
              <w:top w:val="nil"/>
              <w:left w:val="nil"/>
              <w:bottom w:val="nil"/>
              <w:right w:val="nil"/>
            </w:tcBorders>
            <w:shd w:val="clear" w:color="auto" w:fill="auto"/>
          </w:tcPr>
          <w:p>
            <w:pPr>
              <w:spacing w:before="40"/>
              <w:rPr>
                <w:rFonts w:ascii="Times New Roman" w:hAnsi="Times New Roman" w:cs="Times New Roman"/>
                <w:noProof/>
                <w:sz w:val="20"/>
                <w:szCs w:val="20"/>
                <w:lang w:eastAsia="ja-JP"/>
              </w:rPr>
            </w:pPr>
          </w:p>
        </w:tc>
        <w:tc>
          <w:tcPr>
            <w:tcW w:w="3313" w:type="dxa"/>
            <w:vMerge/>
            <w:tcBorders>
              <w:top w:val="nil"/>
              <w:left w:val="nil"/>
              <w:bottom w:val="nil"/>
              <w:right w:val="single" w:sz="4" w:space="0" w:color="A6A6A6" w:themeColor="background1" w:themeShade="A6"/>
            </w:tcBorders>
            <w:shd w:val="clear" w:color="auto" w:fill="auto"/>
          </w:tcPr>
          <w:p>
            <w:pPr>
              <w:jc w:val="right"/>
              <w:rPr>
                <w:rFonts w:ascii="Times New Roman" w:hAnsi="Times New Roman" w:cs="Times New Roman"/>
                <w:noProof/>
                <w:lang w:eastAsia="ja-JP"/>
              </w:rPr>
            </w:pPr>
          </w:p>
        </w:tc>
        <w:tc>
          <w:tcPr>
            <w:tcW w:w="236" w:type="dxa"/>
            <w:vMerge/>
            <w:tcBorders>
              <w:top w:val="nil"/>
              <w:left w:val="single" w:sz="4" w:space="0" w:color="A6A6A6" w:themeColor="background1" w:themeShade="A6"/>
              <w:bottom w:val="nil"/>
              <w:right w:val="single" w:sz="4" w:space="0" w:color="A6A6A6" w:themeColor="background1" w:themeShade="A6"/>
            </w:tcBorders>
            <w:shd w:val="clear" w:color="auto" w:fill="auto"/>
          </w:tcPr>
          <w:p>
            <w:pPr>
              <w:spacing w:line="276" w:lineRule="auto"/>
              <w:rPr>
                <w:rFonts w:ascii="Times New Roman" w:hAnsi="Times New Roman" w:cs="Times New Roman"/>
                <w:noProof/>
                <w:lang w:eastAsia="ja-JP"/>
              </w:rPr>
            </w:pPr>
          </w:p>
        </w:tc>
        <w:tc>
          <w:tcPr>
            <w:tcW w:w="420" w:type="dxa"/>
            <w:gridSpan w:val="2"/>
            <w:tcBorders>
              <w:top w:val="nil"/>
              <w:left w:val="single" w:sz="4" w:space="0" w:color="A6A6A6" w:themeColor="background1" w:themeShade="A6"/>
              <w:bottom w:val="nil"/>
              <w:right w:val="nil"/>
            </w:tcBorders>
            <w:shd w:val="clear" w:color="auto" w:fill="632423" w:themeFill="accent2" w:themeFillShade="80"/>
            <w:tcMar>
              <w:left w:w="0" w:type="dxa"/>
              <w:right w:w="0" w:type="dxa"/>
            </w:tcMar>
          </w:tcPr>
          <w:p>
            <w:pPr>
              <w:rPr>
                <w:rFonts w:ascii="Times New Roman" w:hAnsi="Times New Roman" w:cs="Times New Roman"/>
                <w:noProof/>
                <w:sz w:val="18"/>
                <w:szCs w:val="18"/>
                <w:lang w:eastAsia="ja-JP"/>
              </w:rPr>
            </w:pPr>
          </w:p>
        </w:tc>
        <w:tc>
          <w:tcPr>
            <w:tcW w:w="1134" w:type="dxa"/>
            <w:tcBorders>
              <w:top w:val="nil"/>
              <w:left w:val="nil"/>
              <w:bottom w:val="nil"/>
              <w:right w:val="nil"/>
            </w:tcBorders>
            <w:shd w:val="clear" w:color="auto" w:fill="auto"/>
            <w:tcMar>
              <w:left w:w="28" w:type="dxa"/>
              <w:right w:w="0" w:type="dxa"/>
            </w:tcMar>
            <w:vAlign w:val="bottom"/>
          </w:tcPr>
          <w:p>
            <w:pPr>
              <w:rPr>
                <w:rFonts w:ascii="Times New Roman" w:hAnsi="Times New Roman" w:cs="Times New Roman"/>
                <w:noProof/>
                <w:sz w:val="18"/>
                <w:szCs w:val="18"/>
                <w:lang w:eastAsia="ja-JP"/>
              </w:rPr>
            </w:pPr>
            <w:r>
              <w:rPr>
                <w:rFonts w:ascii="Times New Roman" w:hAnsi="Times New Roman" w:cs="Times New Roman"/>
                <w:noProof/>
                <w:sz w:val="18"/>
                <w:szCs w:val="18"/>
                <w:lang w:eastAsia="ja-JP"/>
              </w:rPr>
              <w:t>Issued automatically</w:t>
            </w:r>
          </w:p>
        </w:tc>
        <w:tc>
          <w:tcPr>
            <w:tcW w:w="2947" w:type="dxa"/>
            <w:vMerge/>
            <w:tcBorders>
              <w:left w:val="nil"/>
              <w:right w:val="single" w:sz="4" w:space="0" w:color="A6A6A6" w:themeColor="background1" w:themeShade="A6"/>
            </w:tcBorders>
            <w:shd w:val="clear" w:color="auto" w:fill="auto"/>
          </w:tcPr>
          <w:p>
            <w:pPr>
              <w:rPr>
                <w:rFonts w:ascii="Times New Roman" w:hAnsi="Times New Roman" w:cs="Times New Roman"/>
                <w:noProof/>
                <w:lang w:eastAsia="ja-JP"/>
              </w:rPr>
            </w:pPr>
          </w:p>
        </w:tc>
      </w:tr>
      <w:tr>
        <w:trPr>
          <w:trHeight w:val="168"/>
        </w:trPr>
        <w:tc>
          <w:tcPr>
            <w:tcW w:w="392" w:type="dxa"/>
            <w:tcBorders>
              <w:top w:val="nil"/>
              <w:left w:val="single" w:sz="4" w:space="0" w:color="A6A6A6" w:themeColor="background1" w:themeShade="A6"/>
              <w:bottom w:val="nil"/>
              <w:right w:val="nil"/>
            </w:tcBorders>
            <w:shd w:val="clear" w:color="auto" w:fill="365F91" w:themeFill="accent1" w:themeFillShade="BF"/>
          </w:tcPr>
          <w:p>
            <w:pPr>
              <w:jc w:val="right"/>
              <w:rPr>
                <w:rFonts w:ascii="Times New Roman" w:hAnsi="Times New Roman" w:cs="Times New Roman"/>
                <w:noProof/>
                <w:sz w:val="32"/>
                <w:szCs w:val="32"/>
                <w:lang w:eastAsia="ja-JP"/>
              </w:rPr>
            </w:pPr>
          </w:p>
        </w:tc>
        <w:tc>
          <w:tcPr>
            <w:tcW w:w="992" w:type="dxa"/>
            <w:vMerge w:val="restart"/>
            <w:tcBorders>
              <w:top w:val="nil"/>
              <w:left w:val="nil"/>
              <w:bottom w:val="nil"/>
              <w:right w:val="nil"/>
            </w:tcBorders>
            <w:shd w:val="clear" w:color="auto" w:fill="auto"/>
          </w:tcPr>
          <w:p>
            <w:pPr>
              <w:spacing w:before="40"/>
              <w:rPr>
                <w:rFonts w:ascii="Times New Roman" w:hAnsi="Times New Roman" w:cs="Times New Roman"/>
                <w:noProof/>
                <w:sz w:val="18"/>
                <w:szCs w:val="18"/>
                <w:lang w:eastAsia="ja-JP"/>
              </w:rPr>
            </w:pPr>
            <w:r>
              <w:rPr>
                <w:rFonts w:ascii="Times New Roman" w:hAnsi="Times New Roman" w:cs="Times New Roman"/>
                <w:noProof/>
                <w:sz w:val="18"/>
                <w:szCs w:val="18"/>
              </w:rPr>
              <w:t xml:space="preserve">Available  </w:t>
            </w:r>
          </w:p>
        </w:tc>
        <w:tc>
          <w:tcPr>
            <w:tcW w:w="3313" w:type="dxa"/>
            <w:vMerge/>
            <w:tcBorders>
              <w:top w:val="nil"/>
              <w:left w:val="nil"/>
              <w:bottom w:val="nil"/>
              <w:right w:val="single" w:sz="4" w:space="0" w:color="A6A6A6" w:themeColor="background1" w:themeShade="A6"/>
            </w:tcBorders>
            <w:shd w:val="clear" w:color="auto" w:fill="auto"/>
          </w:tcPr>
          <w:p>
            <w:pPr>
              <w:jc w:val="right"/>
              <w:rPr>
                <w:rFonts w:ascii="Times New Roman" w:hAnsi="Times New Roman" w:cs="Times New Roman"/>
                <w:noProof/>
                <w:lang w:eastAsia="ja-JP"/>
              </w:rPr>
            </w:pPr>
          </w:p>
        </w:tc>
        <w:tc>
          <w:tcPr>
            <w:tcW w:w="236" w:type="dxa"/>
            <w:vMerge/>
            <w:tcBorders>
              <w:top w:val="nil"/>
              <w:left w:val="single" w:sz="4" w:space="0" w:color="A6A6A6" w:themeColor="background1" w:themeShade="A6"/>
              <w:bottom w:val="nil"/>
              <w:right w:val="single" w:sz="4" w:space="0" w:color="A6A6A6" w:themeColor="background1" w:themeShade="A6"/>
            </w:tcBorders>
            <w:shd w:val="clear" w:color="auto" w:fill="auto"/>
          </w:tcPr>
          <w:p>
            <w:pPr>
              <w:spacing w:line="276" w:lineRule="auto"/>
              <w:rPr>
                <w:rFonts w:ascii="Times New Roman" w:hAnsi="Times New Roman" w:cs="Times New Roman"/>
                <w:noProof/>
                <w:lang w:eastAsia="ja-JP"/>
              </w:rPr>
            </w:pPr>
          </w:p>
        </w:tc>
        <w:tc>
          <w:tcPr>
            <w:tcW w:w="420" w:type="dxa"/>
            <w:gridSpan w:val="2"/>
            <w:tcBorders>
              <w:top w:val="nil"/>
              <w:left w:val="single" w:sz="4" w:space="0" w:color="A6A6A6" w:themeColor="background1" w:themeShade="A6"/>
              <w:bottom w:val="nil"/>
              <w:right w:val="nil"/>
            </w:tcBorders>
            <w:shd w:val="clear" w:color="auto" w:fill="auto"/>
            <w:tcMar>
              <w:left w:w="0" w:type="dxa"/>
              <w:right w:w="0" w:type="dxa"/>
            </w:tcMar>
          </w:tcPr>
          <w:p>
            <w:pPr>
              <w:rPr>
                <w:rFonts w:ascii="Times New Roman" w:hAnsi="Times New Roman" w:cs="Times New Roman"/>
                <w:noProof/>
                <w:sz w:val="18"/>
                <w:szCs w:val="18"/>
                <w:lang w:eastAsia="ja-JP"/>
              </w:rPr>
            </w:pPr>
          </w:p>
        </w:tc>
        <w:tc>
          <w:tcPr>
            <w:tcW w:w="1134" w:type="dxa"/>
            <w:tcBorders>
              <w:top w:val="nil"/>
              <w:left w:val="nil"/>
              <w:bottom w:val="nil"/>
              <w:right w:val="nil"/>
            </w:tcBorders>
            <w:shd w:val="clear" w:color="auto" w:fill="auto"/>
            <w:tcMar>
              <w:left w:w="28" w:type="dxa"/>
              <w:right w:w="0" w:type="dxa"/>
            </w:tcMar>
          </w:tcPr>
          <w:p>
            <w:pPr>
              <w:rPr>
                <w:rFonts w:ascii="Times New Roman" w:hAnsi="Times New Roman" w:cs="Times New Roman"/>
                <w:noProof/>
                <w:sz w:val="18"/>
                <w:szCs w:val="18"/>
                <w:lang w:eastAsia="ja-JP"/>
              </w:rPr>
            </w:pPr>
          </w:p>
        </w:tc>
        <w:tc>
          <w:tcPr>
            <w:tcW w:w="2947" w:type="dxa"/>
            <w:vMerge/>
            <w:tcBorders>
              <w:left w:val="nil"/>
              <w:right w:val="single" w:sz="4" w:space="0" w:color="A6A6A6" w:themeColor="background1" w:themeShade="A6"/>
            </w:tcBorders>
            <w:shd w:val="clear" w:color="auto" w:fill="auto"/>
          </w:tcPr>
          <w:p>
            <w:pPr>
              <w:rPr>
                <w:rFonts w:ascii="Times New Roman" w:hAnsi="Times New Roman" w:cs="Times New Roman"/>
                <w:noProof/>
                <w:lang w:eastAsia="ja-JP"/>
              </w:rPr>
            </w:pPr>
          </w:p>
        </w:tc>
      </w:tr>
      <w:tr>
        <w:trPr>
          <w:trHeight w:val="168"/>
        </w:trPr>
        <w:tc>
          <w:tcPr>
            <w:tcW w:w="392" w:type="dxa"/>
            <w:tcBorders>
              <w:top w:val="nil"/>
              <w:left w:val="single" w:sz="4" w:space="0" w:color="A6A6A6" w:themeColor="background1" w:themeShade="A6"/>
              <w:bottom w:val="nil"/>
              <w:right w:val="nil"/>
            </w:tcBorders>
            <w:shd w:val="clear" w:color="auto" w:fill="auto"/>
          </w:tcPr>
          <w:p>
            <w:pPr>
              <w:jc w:val="right"/>
              <w:rPr>
                <w:rFonts w:ascii="Times New Roman" w:hAnsi="Times New Roman" w:cs="Times New Roman"/>
                <w:noProof/>
                <w:lang w:eastAsia="ja-JP"/>
              </w:rPr>
            </w:pPr>
          </w:p>
        </w:tc>
        <w:tc>
          <w:tcPr>
            <w:tcW w:w="992" w:type="dxa"/>
            <w:vMerge/>
            <w:tcBorders>
              <w:top w:val="nil"/>
              <w:left w:val="nil"/>
              <w:bottom w:val="nil"/>
              <w:right w:val="nil"/>
            </w:tcBorders>
            <w:shd w:val="clear" w:color="auto" w:fill="auto"/>
          </w:tcPr>
          <w:p>
            <w:pPr>
              <w:spacing w:before="40"/>
              <w:rPr>
                <w:rFonts w:ascii="Times New Roman" w:hAnsi="Times New Roman" w:cs="Times New Roman"/>
                <w:noProof/>
                <w:sz w:val="18"/>
                <w:szCs w:val="18"/>
                <w:lang w:eastAsia="ja-JP"/>
              </w:rPr>
            </w:pPr>
          </w:p>
        </w:tc>
        <w:tc>
          <w:tcPr>
            <w:tcW w:w="3313" w:type="dxa"/>
            <w:vMerge/>
            <w:tcBorders>
              <w:top w:val="nil"/>
              <w:left w:val="nil"/>
              <w:bottom w:val="nil"/>
              <w:right w:val="single" w:sz="4" w:space="0" w:color="A6A6A6" w:themeColor="background1" w:themeShade="A6"/>
            </w:tcBorders>
            <w:shd w:val="clear" w:color="auto" w:fill="auto"/>
          </w:tcPr>
          <w:p>
            <w:pPr>
              <w:jc w:val="right"/>
              <w:rPr>
                <w:rFonts w:ascii="Times New Roman" w:hAnsi="Times New Roman" w:cs="Times New Roman"/>
                <w:noProof/>
                <w:lang w:eastAsia="ja-JP"/>
              </w:rPr>
            </w:pPr>
          </w:p>
        </w:tc>
        <w:tc>
          <w:tcPr>
            <w:tcW w:w="236" w:type="dxa"/>
            <w:vMerge/>
            <w:tcBorders>
              <w:top w:val="nil"/>
              <w:left w:val="single" w:sz="4" w:space="0" w:color="A6A6A6" w:themeColor="background1" w:themeShade="A6"/>
              <w:bottom w:val="nil"/>
              <w:right w:val="single" w:sz="4" w:space="0" w:color="A6A6A6" w:themeColor="background1" w:themeShade="A6"/>
            </w:tcBorders>
            <w:shd w:val="clear" w:color="auto" w:fill="auto"/>
          </w:tcPr>
          <w:p>
            <w:pPr>
              <w:spacing w:line="276" w:lineRule="auto"/>
              <w:rPr>
                <w:rFonts w:ascii="Times New Roman" w:hAnsi="Times New Roman" w:cs="Times New Roman"/>
                <w:noProof/>
                <w:lang w:eastAsia="ja-JP"/>
              </w:rPr>
            </w:pPr>
          </w:p>
        </w:tc>
        <w:tc>
          <w:tcPr>
            <w:tcW w:w="420" w:type="dxa"/>
            <w:gridSpan w:val="2"/>
            <w:tcBorders>
              <w:top w:val="nil"/>
              <w:left w:val="single" w:sz="4" w:space="0" w:color="A6A6A6" w:themeColor="background1" w:themeShade="A6"/>
              <w:bottom w:val="nil"/>
              <w:right w:val="nil"/>
            </w:tcBorders>
            <w:shd w:val="clear" w:color="auto" w:fill="943634" w:themeFill="accent2" w:themeFillShade="BF"/>
            <w:tcMar>
              <w:left w:w="0" w:type="dxa"/>
              <w:right w:w="0" w:type="dxa"/>
            </w:tcMar>
          </w:tcPr>
          <w:p>
            <w:pPr>
              <w:rPr>
                <w:rFonts w:ascii="Times New Roman" w:hAnsi="Times New Roman" w:cs="Times New Roman"/>
                <w:noProof/>
                <w:sz w:val="18"/>
                <w:szCs w:val="18"/>
                <w:lang w:eastAsia="ja-JP"/>
              </w:rPr>
            </w:pPr>
          </w:p>
        </w:tc>
        <w:tc>
          <w:tcPr>
            <w:tcW w:w="1134" w:type="dxa"/>
            <w:tcBorders>
              <w:top w:val="nil"/>
              <w:left w:val="nil"/>
              <w:bottom w:val="nil"/>
              <w:right w:val="nil"/>
            </w:tcBorders>
            <w:shd w:val="clear" w:color="auto" w:fill="auto"/>
            <w:tcMar>
              <w:left w:w="28" w:type="dxa"/>
              <w:right w:w="0" w:type="dxa"/>
            </w:tcMar>
            <w:vAlign w:val="center"/>
          </w:tcPr>
          <w:p>
            <w:pPr>
              <w:rPr>
                <w:rFonts w:ascii="Times New Roman" w:hAnsi="Times New Roman" w:cs="Times New Roman"/>
                <w:noProof/>
                <w:sz w:val="18"/>
                <w:szCs w:val="18"/>
                <w:lang w:eastAsia="ja-JP"/>
              </w:rPr>
            </w:pPr>
            <w:r>
              <w:rPr>
                <w:rFonts w:ascii="Times New Roman" w:hAnsi="Times New Roman" w:cs="Times New Roman"/>
                <w:noProof/>
                <w:sz w:val="18"/>
                <w:szCs w:val="18"/>
                <w:lang w:eastAsia="ja-JP"/>
              </w:rPr>
              <w:t>Issued</w:t>
            </w:r>
          </w:p>
          <w:p>
            <w:pPr>
              <w:rPr>
                <w:rFonts w:ascii="Times New Roman" w:hAnsi="Times New Roman" w:cs="Times New Roman"/>
                <w:noProof/>
                <w:sz w:val="18"/>
                <w:szCs w:val="18"/>
                <w:lang w:eastAsia="ja-JP"/>
              </w:rPr>
            </w:pPr>
            <w:r>
              <w:rPr>
                <w:rFonts w:ascii="Times New Roman" w:hAnsi="Times New Roman" w:cs="Times New Roman"/>
                <w:noProof/>
                <w:sz w:val="18"/>
                <w:szCs w:val="18"/>
                <w:lang w:eastAsia="ja-JP"/>
              </w:rPr>
              <w:t>ad-hoc</w:t>
            </w:r>
          </w:p>
        </w:tc>
        <w:tc>
          <w:tcPr>
            <w:tcW w:w="2947" w:type="dxa"/>
            <w:vMerge/>
            <w:tcBorders>
              <w:left w:val="nil"/>
              <w:right w:val="single" w:sz="4" w:space="0" w:color="A6A6A6" w:themeColor="background1" w:themeShade="A6"/>
            </w:tcBorders>
            <w:shd w:val="clear" w:color="auto" w:fill="auto"/>
          </w:tcPr>
          <w:p>
            <w:pPr>
              <w:rPr>
                <w:rFonts w:ascii="Times New Roman" w:hAnsi="Times New Roman" w:cs="Times New Roman"/>
                <w:noProof/>
                <w:lang w:eastAsia="ja-JP"/>
              </w:rPr>
            </w:pPr>
          </w:p>
        </w:tc>
      </w:tr>
      <w:tr>
        <w:trPr>
          <w:trHeight w:val="168"/>
        </w:trPr>
        <w:tc>
          <w:tcPr>
            <w:tcW w:w="392" w:type="dxa"/>
            <w:tcBorders>
              <w:top w:val="nil"/>
              <w:left w:val="single" w:sz="4" w:space="0" w:color="A6A6A6" w:themeColor="background1" w:themeShade="A6"/>
              <w:bottom w:val="nil"/>
              <w:right w:val="nil"/>
            </w:tcBorders>
            <w:shd w:val="clear" w:color="auto" w:fill="B8CCE4" w:themeFill="accent1" w:themeFillTint="66"/>
          </w:tcPr>
          <w:p>
            <w:pPr>
              <w:jc w:val="right"/>
              <w:rPr>
                <w:rFonts w:ascii="Times New Roman" w:hAnsi="Times New Roman" w:cs="Times New Roman"/>
                <w:noProof/>
                <w:sz w:val="32"/>
                <w:szCs w:val="32"/>
                <w:lang w:eastAsia="ja-JP"/>
              </w:rPr>
            </w:pPr>
          </w:p>
        </w:tc>
        <w:tc>
          <w:tcPr>
            <w:tcW w:w="992" w:type="dxa"/>
            <w:vMerge w:val="restart"/>
            <w:tcBorders>
              <w:top w:val="nil"/>
              <w:left w:val="nil"/>
              <w:bottom w:val="nil"/>
              <w:right w:val="nil"/>
            </w:tcBorders>
            <w:shd w:val="clear" w:color="auto" w:fill="auto"/>
          </w:tcPr>
          <w:p>
            <w:pPr>
              <w:spacing w:before="40"/>
              <w:rPr>
                <w:rFonts w:ascii="Times New Roman" w:hAnsi="Times New Roman" w:cs="Times New Roman"/>
                <w:noProof/>
                <w:sz w:val="18"/>
                <w:szCs w:val="18"/>
                <w:lang w:eastAsia="ja-JP"/>
              </w:rPr>
            </w:pPr>
            <w:r>
              <w:rPr>
                <w:rFonts w:ascii="Times New Roman" w:hAnsi="Times New Roman" w:cs="Times New Roman"/>
                <w:noProof/>
                <w:sz w:val="18"/>
                <w:szCs w:val="18"/>
              </w:rPr>
              <w:t>Not available</w:t>
            </w:r>
          </w:p>
        </w:tc>
        <w:tc>
          <w:tcPr>
            <w:tcW w:w="3313" w:type="dxa"/>
            <w:vMerge/>
            <w:tcBorders>
              <w:top w:val="nil"/>
              <w:left w:val="nil"/>
              <w:bottom w:val="nil"/>
              <w:right w:val="single" w:sz="4" w:space="0" w:color="A6A6A6" w:themeColor="background1" w:themeShade="A6"/>
            </w:tcBorders>
            <w:shd w:val="clear" w:color="auto" w:fill="auto"/>
          </w:tcPr>
          <w:p>
            <w:pPr>
              <w:jc w:val="right"/>
              <w:rPr>
                <w:rFonts w:ascii="Times New Roman" w:hAnsi="Times New Roman" w:cs="Times New Roman"/>
                <w:noProof/>
                <w:lang w:eastAsia="ja-JP"/>
              </w:rPr>
            </w:pPr>
          </w:p>
        </w:tc>
        <w:tc>
          <w:tcPr>
            <w:tcW w:w="236" w:type="dxa"/>
            <w:vMerge/>
            <w:tcBorders>
              <w:top w:val="nil"/>
              <w:left w:val="single" w:sz="4" w:space="0" w:color="A6A6A6" w:themeColor="background1" w:themeShade="A6"/>
              <w:bottom w:val="nil"/>
              <w:right w:val="single" w:sz="4" w:space="0" w:color="A6A6A6" w:themeColor="background1" w:themeShade="A6"/>
            </w:tcBorders>
            <w:shd w:val="clear" w:color="auto" w:fill="auto"/>
          </w:tcPr>
          <w:p>
            <w:pPr>
              <w:spacing w:line="276" w:lineRule="auto"/>
              <w:rPr>
                <w:rFonts w:ascii="Times New Roman" w:hAnsi="Times New Roman" w:cs="Times New Roman"/>
                <w:noProof/>
                <w:lang w:eastAsia="ja-JP"/>
              </w:rPr>
            </w:pPr>
          </w:p>
        </w:tc>
        <w:tc>
          <w:tcPr>
            <w:tcW w:w="420" w:type="dxa"/>
            <w:gridSpan w:val="2"/>
            <w:tcBorders>
              <w:top w:val="nil"/>
              <w:left w:val="single" w:sz="4" w:space="0" w:color="A6A6A6" w:themeColor="background1" w:themeShade="A6"/>
              <w:bottom w:val="nil"/>
              <w:right w:val="nil"/>
            </w:tcBorders>
            <w:shd w:val="clear" w:color="auto" w:fill="auto"/>
            <w:tcMar>
              <w:left w:w="0" w:type="dxa"/>
              <w:right w:w="0" w:type="dxa"/>
            </w:tcMar>
          </w:tcPr>
          <w:p>
            <w:pPr>
              <w:rPr>
                <w:rFonts w:ascii="Times New Roman" w:hAnsi="Times New Roman" w:cs="Times New Roman"/>
                <w:noProof/>
                <w:sz w:val="18"/>
                <w:szCs w:val="18"/>
                <w:lang w:eastAsia="ja-JP"/>
              </w:rPr>
            </w:pPr>
          </w:p>
        </w:tc>
        <w:tc>
          <w:tcPr>
            <w:tcW w:w="1134" w:type="dxa"/>
            <w:tcBorders>
              <w:top w:val="nil"/>
              <w:left w:val="nil"/>
              <w:bottom w:val="nil"/>
              <w:right w:val="nil"/>
            </w:tcBorders>
            <w:shd w:val="clear" w:color="auto" w:fill="auto"/>
            <w:tcMar>
              <w:left w:w="28" w:type="dxa"/>
              <w:right w:w="0" w:type="dxa"/>
            </w:tcMar>
          </w:tcPr>
          <w:p>
            <w:pPr>
              <w:rPr>
                <w:rFonts w:ascii="Times New Roman" w:hAnsi="Times New Roman" w:cs="Times New Roman"/>
                <w:noProof/>
                <w:sz w:val="18"/>
                <w:szCs w:val="18"/>
                <w:lang w:eastAsia="ja-JP"/>
              </w:rPr>
            </w:pPr>
          </w:p>
        </w:tc>
        <w:tc>
          <w:tcPr>
            <w:tcW w:w="2947" w:type="dxa"/>
            <w:vMerge/>
            <w:tcBorders>
              <w:left w:val="nil"/>
              <w:right w:val="single" w:sz="4" w:space="0" w:color="A6A6A6" w:themeColor="background1" w:themeShade="A6"/>
            </w:tcBorders>
            <w:shd w:val="clear" w:color="auto" w:fill="auto"/>
          </w:tcPr>
          <w:p>
            <w:pPr>
              <w:rPr>
                <w:rFonts w:ascii="Times New Roman" w:hAnsi="Times New Roman" w:cs="Times New Roman"/>
                <w:noProof/>
                <w:lang w:eastAsia="ja-JP"/>
              </w:rPr>
            </w:pPr>
          </w:p>
        </w:tc>
      </w:tr>
      <w:tr>
        <w:trPr>
          <w:trHeight w:val="168"/>
        </w:trPr>
        <w:tc>
          <w:tcPr>
            <w:tcW w:w="392" w:type="dxa"/>
            <w:tcBorders>
              <w:top w:val="nil"/>
              <w:left w:val="single" w:sz="4" w:space="0" w:color="A6A6A6" w:themeColor="background1" w:themeShade="A6"/>
              <w:bottom w:val="nil"/>
              <w:right w:val="nil"/>
            </w:tcBorders>
            <w:shd w:val="clear" w:color="auto" w:fill="auto"/>
          </w:tcPr>
          <w:p>
            <w:pPr>
              <w:jc w:val="right"/>
              <w:rPr>
                <w:rFonts w:ascii="Times New Roman" w:hAnsi="Times New Roman" w:cs="Times New Roman"/>
                <w:noProof/>
                <w:lang w:eastAsia="ja-JP"/>
              </w:rPr>
            </w:pPr>
          </w:p>
        </w:tc>
        <w:tc>
          <w:tcPr>
            <w:tcW w:w="992" w:type="dxa"/>
            <w:vMerge/>
            <w:tcBorders>
              <w:top w:val="nil"/>
              <w:left w:val="nil"/>
              <w:bottom w:val="nil"/>
              <w:right w:val="nil"/>
            </w:tcBorders>
            <w:shd w:val="clear" w:color="auto" w:fill="auto"/>
          </w:tcPr>
          <w:p>
            <w:pPr>
              <w:spacing w:before="40"/>
              <w:rPr>
                <w:rFonts w:ascii="Times New Roman" w:hAnsi="Times New Roman" w:cs="Times New Roman"/>
                <w:noProof/>
                <w:sz w:val="20"/>
                <w:szCs w:val="20"/>
                <w:lang w:eastAsia="ja-JP"/>
              </w:rPr>
            </w:pPr>
          </w:p>
        </w:tc>
        <w:tc>
          <w:tcPr>
            <w:tcW w:w="3313" w:type="dxa"/>
            <w:vMerge/>
            <w:tcBorders>
              <w:top w:val="nil"/>
              <w:left w:val="nil"/>
              <w:bottom w:val="nil"/>
              <w:right w:val="single" w:sz="4" w:space="0" w:color="A6A6A6" w:themeColor="background1" w:themeShade="A6"/>
            </w:tcBorders>
            <w:shd w:val="clear" w:color="auto" w:fill="auto"/>
          </w:tcPr>
          <w:p>
            <w:pPr>
              <w:jc w:val="right"/>
              <w:rPr>
                <w:rFonts w:ascii="Times New Roman" w:hAnsi="Times New Roman" w:cs="Times New Roman"/>
                <w:noProof/>
                <w:lang w:eastAsia="ja-JP"/>
              </w:rPr>
            </w:pPr>
          </w:p>
        </w:tc>
        <w:tc>
          <w:tcPr>
            <w:tcW w:w="236" w:type="dxa"/>
            <w:vMerge/>
            <w:tcBorders>
              <w:top w:val="nil"/>
              <w:left w:val="single" w:sz="4" w:space="0" w:color="A6A6A6" w:themeColor="background1" w:themeShade="A6"/>
              <w:bottom w:val="nil"/>
              <w:right w:val="single" w:sz="4" w:space="0" w:color="A6A6A6" w:themeColor="background1" w:themeShade="A6"/>
            </w:tcBorders>
            <w:shd w:val="clear" w:color="auto" w:fill="auto"/>
          </w:tcPr>
          <w:p>
            <w:pPr>
              <w:spacing w:line="276" w:lineRule="auto"/>
              <w:rPr>
                <w:rFonts w:ascii="Times New Roman" w:hAnsi="Times New Roman" w:cs="Times New Roman"/>
                <w:noProof/>
                <w:lang w:eastAsia="ja-JP"/>
              </w:rPr>
            </w:pPr>
          </w:p>
        </w:tc>
        <w:tc>
          <w:tcPr>
            <w:tcW w:w="420" w:type="dxa"/>
            <w:gridSpan w:val="2"/>
            <w:tcBorders>
              <w:top w:val="nil"/>
              <w:left w:val="single" w:sz="4" w:space="0" w:color="A6A6A6" w:themeColor="background1" w:themeShade="A6"/>
              <w:bottom w:val="nil"/>
              <w:right w:val="nil"/>
            </w:tcBorders>
            <w:shd w:val="clear" w:color="auto" w:fill="E5B8B7" w:themeFill="accent2" w:themeFillTint="66"/>
            <w:tcMar>
              <w:left w:w="0" w:type="dxa"/>
              <w:right w:w="0" w:type="dxa"/>
            </w:tcMar>
          </w:tcPr>
          <w:p>
            <w:pPr>
              <w:rPr>
                <w:rFonts w:ascii="Times New Roman" w:hAnsi="Times New Roman" w:cs="Times New Roman"/>
                <w:noProof/>
                <w:sz w:val="18"/>
                <w:szCs w:val="18"/>
                <w:lang w:eastAsia="ja-JP"/>
              </w:rPr>
            </w:pPr>
          </w:p>
        </w:tc>
        <w:tc>
          <w:tcPr>
            <w:tcW w:w="1134" w:type="dxa"/>
            <w:tcBorders>
              <w:top w:val="nil"/>
              <w:left w:val="nil"/>
              <w:bottom w:val="nil"/>
              <w:right w:val="nil"/>
            </w:tcBorders>
            <w:shd w:val="clear" w:color="auto" w:fill="auto"/>
            <w:tcMar>
              <w:left w:w="28" w:type="dxa"/>
              <w:right w:w="0" w:type="dxa"/>
            </w:tcMar>
            <w:vAlign w:val="bottom"/>
          </w:tcPr>
          <w:p>
            <w:pPr>
              <w:rPr>
                <w:rFonts w:ascii="Times New Roman" w:hAnsi="Times New Roman" w:cs="Times New Roman"/>
                <w:noProof/>
                <w:sz w:val="18"/>
                <w:szCs w:val="18"/>
                <w:lang w:eastAsia="ja-JP"/>
              </w:rPr>
            </w:pPr>
            <w:r>
              <w:rPr>
                <w:rFonts w:ascii="Times New Roman" w:hAnsi="Times New Roman" w:cs="Times New Roman"/>
                <w:noProof/>
                <w:sz w:val="18"/>
                <w:szCs w:val="18"/>
                <w:lang w:eastAsia="ja-JP"/>
              </w:rPr>
              <w:t>Not</w:t>
            </w:r>
          </w:p>
          <w:p>
            <w:pPr>
              <w:rPr>
                <w:rFonts w:ascii="Times New Roman" w:hAnsi="Times New Roman" w:cs="Times New Roman"/>
                <w:noProof/>
                <w:sz w:val="18"/>
                <w:szCs w:val="18"/>
                <w:lang w:eastAsia="ja-JP"/>
              </w:rPr>
            </w:pPr>
            <w:r>
              <w:rPr>
                <w:rFonts w:ascii="Times New Roman" w:hAnsi="Times New Roman" w:cs="Times New Roman"/>
                <w:noProof/>
                <w:sz w:val="18"/>
                <w:szCs w:val="18"/>
                <w:lang w:eastAsia="ja-JP"/>
              </w:rPr>
              <w:t>issued</w:t>
            </w:r>
          </w:p>
        </w:tc>
        <w:tc>
          <w:tcPr>
            <w:tcW w:w="2947" w:type="dxa"/>
            <w:vMerge/>
            <w:tcBorders>
              <w:left w:val="nil"/>
              <w:right w:val="single" w:sz="4" w:space="0" w:color="A6A6A6" w:themeColor="background1" w:themeShade="A6"/>
            </w:tcBorders>
            <w:shd w:val="clear" w:color="auto" w:fill="auto"/>
          </w:tcPr>
          <w:p>
            <w:pPr>
              <w:rPr>
                <w:rFonts w:ascii="Times New Roman" w:hAnsi="Times New Roman" w:cs="Times New Roman"/>
                <w:noProof/>
                <w:lang w:eastAsia="ja-JP"/>
              </w:rPr>
            </w:pPr>
          </w:p>
        </w:tc>
      </w:tr>
      <w:tr>
        <w:trPr>
          <w:trHeight w:val="168"/>
        </w:trPr>
        <w:tc>
          <w:tcPr>
            <w:tcW w:w="392" w:type="dxa"/>
            <w:tcBorders>
              <w:top w:val="nil"/>
              <w:left w:val="single" w:sz="4" w:space="0" w:color="A6A6A6" w:themeColor="background1" w:themeShade="A6"/>
              <w:bottom w:val="nil"/>
              <w:right w:val="nil"/>
            </w:tcBorders>
            <w:shd w:val="clear" w:color="auto" w:fill="auto"/>
          </w:tcPr>
          <w:p>
            <w:pPr>
              <w:jc w:val="right"/>
              <w:rPr>
                <w:rFonts w:ascii="Times New Roman" w:hAnsi="Times New Roman" w:cs="Times New Roman"/>
                <w:noProof/>
                <w:lang w:eastAsia="ja-JP"/>
              </w:rPr>
            </w:pPr>
          </w:p>
        </w:tc>
        <w:tc>
          <w:tcPr>
            <w:tcW w:w="992" w:type="dxa"/>
            <w:vMerge w:val="restart"/>
            <w:tcBorders>
              <w:top w:val="nil"/>
              <w:left w:val="nil"/>
              <w:bottom w:val="nil"/>
              <w:right w:val="nil"/>
            </w:tcBorders>
            <w:shd w:val="clear" w:color="auto" w:fill="auto"/>
          </w:tcPr>
          <w:p>
            <w:pPr>
              <w:spacing w:before="40"/>
              <w:rPr>
                <w:rFonts w:ascii="Times New Roman" w:hAnsi="Times New Roman" w:cs="Times New Roman"/>
                <w:noProof/>
                <w:sz w:val="20"/>
                <w:szCs w:val="20"/>
                <w:lang w:eastAsia="ja-JP"/>
              </w:rPr>
            </w:pPr>
          </w:p>
        </w:tc>
        <w:tc>
          <w:tcPr>
            <w:tcW w:w="3313" w:type="dxa"/>
            <w:vMerge/>
            <w:tcBorders>
              <w:top w:val="nil"/>
              <w:left w:val="nil"/>
              <w:bottom w:val="nil"/>
              <w:right w:val="single" w:sz="4" w:space="0" w:color="A6A6A6" w:themeColor="background1" w:themeShade="A6"/>
            </w:tcBorders>
            <w:shd w:val="clear" w:color="auto" w:fill="auto"/>
          </w:tcPr>
          <w:p>
            <w:pPr>
              <w:jc w:val="right"/>
              <w:rPr>
                <w:rFonts w:ascii="Times New Roman" w:hAnsi="Times New Roman" w:cs="Times New Roman"/>
                <w:noProof/>
                <w:lang w:eastAsia="ja-JP"/>
              </w:rPr>
            </w:pPr>
          </w:p>
        </w:tc>
        <w:tc>
          <w:tcPr>
            <w:tcW w:w="236" w:type="dxa"/>
            <w:vMerge/>
            <w:tcBorders>
              <w:top w:val="nil"/>
              <w:left w:val="single" w:sz="4" w:space="0" w:color="A6A6A6" w:themeColor="background1" w:themeShade="A6"/>
              <w:bottom w:val="nil"/>
              <w:right w:val="single" w:sz="4" w:space="0" w:color="A6A6A6" w:themeColor="background1" w:themeShade="A6"/>
            </w:tcBorders>
            <w:shd w:val="clear" w:color="auto" w:fill="auto"/>
          </w:tcPr>
          <w:p>
            <w:pPr>
              <w:spacing w:line="276" w:lineRule="auto"/>
              <w:rPr>
                <w:rFonts w:ascii="Times New Roman" w:hAnsi="Times New Roman" w:cs="Times New Roman"/>
                <w:noProof/>
                <w:lang w:eastAsia="ja-JP"/>
              </w:rPr>
            </w:pPr>
          </w:p>
        </w:tc>
        <w:tc>
          <w:tcPr>
            <w:tcW w:w="420" w:type="dxa"/>
            <w:gridSpan w:val="2"/>
            <w:vMerge w:val="restart"/>
            <w:tcBorders>
              <w:top w:val="nil"/>
              <w:left w:val="single" w:sz="4" w:space="0" w:color="A6A6A6" w:themeColor="background1" w:themeShade="A6"/>
              <w:right w:val="nil"/>
            </w:tcBorders>
            <w:shd w:val="clear" w:color="auto" w:fill="auto"/>
            <w:tcMar>
              <w:left w:w="0" w:type="dxa"/>
              <w:right w:w="0" w:type="dxa"/>
            </w:tcMar>
          </w:tcPr>
          <w:p>
            <w:pPr>
              <w:rPr>
                <w:rFonts w:ascii="Times New Roman" w:hAnsi="Times New Roman" w:cs="Times New Roman"/>
                <w:noProof/>
                <w:sz w:val="18"/>
                <w:szCs w:val="18"/>
                <w:lang w:eastAsia="ja-JP"/>
              </w:rPr>
            </w:pPr>
          </w:p>
        </w:tc>
        <w:tc>
          <w:tcPr>
            <w:tcW w:w="1134" w:type="dxa"/>
            <w:vMerge w:val="restart"/>
            <w:tcBorders>
              <w:top w:val="nil"/>
              <w:left w:val="nil"/>
              <w:right w:val="nil"/>
            </w:tcBorders>
            <w:shd w:val="clear" w:color="auto" w:fill="auto"/>
            <w:tcMar>
              <w:left w:w="28" w:type="dxa"/>
              <w:right w:w="0" w:type="dxa"/>
            </w:tcMar>
            <w:vAlign w:val="center"/>
          </w:tcPr>
          <w:p>
            <w:pPr>
              <w:rPr>
                <w:rFonts w:ascii="Times New Roman" w:hAnsi="Times New Roman" w:cs="Times New Roman"/>
                <w:noProof/>
                <w:sz w:val="18"/>
                <w:szCs w:val="18"/>
                <w:lang w:eastAsia="ja-JP"/>
              </w:rPr>
            </w:pPr>
          </w:p>
        </w:tc>
        <w:tc>
          <w:tcPr>
            <w:tcW w:w="2947" w:type="dxa"/>
            <w:vMerge/>
            <w:tcBorders>
              <w:left w:val="nil"/>
              <w:right w:val="single" w:sz="4" w:space="0" w:color="A6A6A6" w:themeColor="background1" w:themeShade="A6"/>
            </w:tcBorders>
            <w:shd w:val="clear" w:color="auto" w:fill="auto"/>
          </w:tcPr>
          <w:p>
            <w:pPr>
              <w:rPr>
                <w:rFonts w:ascii="Times New Roman" w:hAnsi="Times New Roman" w:cs="Times New Roman"/>
                <w:noProof/>
                <w:lang w:eastAsia="ja-JP"/>
              </w:rPr>
            </w:pPr>
          </w:p>
        </w:tc>
      </w:tr>
      <w:tr>
        <w:trPr>
          <w:trHeight w:val="108"/>
        </w:trPr>
        <w:tc>
          <w:tcPr>
            <w:tcW w:w="392" w:type="dxa"/>
            <w:tcBorders>
              <w:top w:val="nil"/>
              <w:left w:val="single" w:sz="4" w:space="0" w:color="A6A6A6" w:themeColor="background1" w:themeShade="A6"/>
              <w:bottom w:val="single" w:sz="4" w:space="0" w:color="A6A6A6" w:themeColor="background1" w:themeShade="A6"/>
              <w:right w:val="nil"/>
            </w:tcBorders>
            <w:shd w:val="clear" w:color="auto" w:fill="auto"/>
          </w:tcPr>
          <w:p>
            <w:pPr>
              <w:jc w:val="right"/>
              <w:rPr>
                <w:rFonts w:ascii="Times New Roman" w:hAnsi="Times New Roman" w:cs="Times New Roman"/>
                <w:noProof/>
                <w:lang w:eastAsia="ja-JP"/>
              </w:rPr>
            </w:pPr>
          </w:p>
        </w:tc>
        <w:tc>
          <w:tcPr>
            <w:tcW w:w="992" w:type="dxa"/>
            <w:vMerge/>
            <w:tcBorders>
              <w:top w:val="nil"/>
              <w:left w:val="nil"/>
              <w:bottom w:val="single" w:sz="4" w:space="0" w:color="A6A6A6" w:themeColor="background1" w:themeShade="A6"/>
              <w:right w:val="nil"/>
            </w:tcBorders>
            <w:shd w:val="clear" w:color="auto" w:fill="auto"/>
          </w:tcPr>
          <w:p>
            <w:pPr>
              <w:rPr>
                <w:rFonts w:ascii="Times New Roman" w:hAnsi="Times New Roman" w:cs="Times New Roman"/>
                <w:noProof/>
                <w:lang w:eastAsia="ja-JP"/>
              </w:rPr>
            </w:pPr>
          </w:p>
        </w:tc>
        <w:tc>
          <w:tcPr>
            <w:tcW w:w="3313" w:type="dxa"/>
            <w:vMerge/>
            <w:tcBorders>
              <w:top w:val="nil"/>
              <w:left w:val="nil"/>
              <w:bottom w:val="single" w:sz="4" w:space="0" w:color="A6A6A6" w:themeColor="background1" w:themeShade="A6"/>
              <w:right w:val="single" w:sz="4" w:space="0" w:color="A6A6A6" w:themeColor="background1" w:themeShade="A6"/>
            </w:tcBorders>
            <w:shd w:val="clear" w:color="auto" w:fill="auto"/>
          </w:tcPr>
          <w:p>
            <w:pPr>
              <w:jc w:val="right"/>
              <w:rPr>
                <w:rFonts w:ascii="Times New Roman" w:hAnsi="Times New Roman" w:cs="Times New Roman"/>
                <w:noProof/>
                <w:lang w:eastAsia="ja-JP"/>
              </w:rPr>
            </w:pPr>
          </w:p>
        </w:tc>
        <w:tc>
          <w:tcPr>
            <w:tcW w:w="236" w:type="dxa"/>
            <w:vMerge/>
            <w:tcBorders>
              <w:top w:val="nil"/>
              <w:left w:val="single" w:sz="4" w:space="0" w:color="A6A6A6" w:themeColor="background1" w:themeShade="A6"/>
              <w:bottom w:val="nil"/>
              <w:right w:val="single" w:sz="4" w:space="0" w:color="A6A6A6" w:themeColor="background1" w:themeShade="A6"/>
            </w:tcBorders>
            <w:shd w:val="clear" w:color="auto" w:fill="auto"/>
          </w:tcPr>
          <w:p>
            <w:pPr>
              <w:spacing w:line="276" w:lineRule="auto"/>
              <w:rPr>
                <w:rFonts w:ascii="Times New Roman" w:hAnsi="Times New Roman" w:cs="Times New Roman"/>
                <w:noProof/>
                <w:lang w:eastAsia="ja-JP"/>
              </w:rPr>
            </w:pPr>
          </w:p>
        </w:tc>
        <w:tc>
          <w:tcPr>
            <w:tcW w:w="420" w:type="dxa"/>
            <w:gridSpan w:val="2"/>
            <w:vMerge/>
            <w:tcBorders>
              <w:left w:val="single" w:sz="4" w:space="0" w:color="A6A6A6" w:themeColor="background1" w:themeShade="A6"/>
              <w:bottom w:val="single" w:sz="4" w:space="0" w:color="A6A6A6" w:themeColor="background1" w:themeShade="A6"/>
              <w:right w:val="nil"/>
            </w:tcBorders>
            <w:shd w:val="clear" w:color="auto" w:fill="auto"/>
            <w:tcMar>
              <w:left w:w="0" w:type="dxa"/>
              <w:right w:w="0" w:type="dxa"/>
            </w:tcMar>
          </w:tcPr>
          <w:p>
            <w:pPr>
              <w:rPr>
                <w:rFonts w:ascii="Times New Roman" w:hAnsi="Times New Roman" w:cs="Times New Roman"/>
                <w:noProof/>
                <w:sz w:val="18"/>
                <w:szCs w:val="18"/>
                <w:lang w:eastAsia="ja-JP"/>
              </w:rPr>
            </w:pPr>
          </w:p>
        </w:tc>
        <w:tc>
          <w:tcPr>
            <w:tcW w:w="1134" w:type="dxa"/>
            <w:vMerge/>
            <w:tcBorders>
              <w:left w:val="nil"/>
              <w:bottom w:val="single" w:sz="4" w:space="0" w:color="A6A6A6" w:themeColor="background1" w:themeShade="A6"/>
              <w:right w:val="nil"/>
            </w:tcBorders>
            <w:shd w:val="clear" w:color="auto" w:fill="auto"/>
            <w:tcMar>
              <w:left w:w="28" w:type="dxa"/>
              <w:right w:w="0" w:type="dxa"/>
            </w:tcMar>
          </w:tcPr>
          <w:p>
            <w:pPr>
              <w:rPr>
                <w:rFonts w:ascii="Times New Roman" w:hAnsi="Times New Roman" w:cs="Times New Roman"/>
                <w:noProof/>
                <w:sz w:val="18"/>
                <w:szCs w:val="18"/>
                <w:lang w:eastAsia="ja-JP"/>
              </w:rPr>
            </w:pPr>
          </w:p>
        </w:tc>
        <w:tc>
          <w:tcPr>
            <w:tcW w:w="2947" w:type="dxa"/>
            <w:vMerge/>
            <w:tcBorders>
              <w:left w:val="nil"/>
              <w:bottom w:val="single" w:sz="4" w:space="0" w:color="A6A6A6" w:themeColor="background1" w:themeShade="A6"/>
              <w:right w:val="single" w:sz="4" w:space="0" w:color="A6A6A6" w:themeColor="background1" w:themeShade="A6"/>
            </w:tcBorders>
            <w:shd w:val="clear" w:color="auto" w:fill="auto"/>
          </w:tcPr>
          <w:p>
            <w:pPr>
              <w:rPr>
                <w:rFonts w:ascii="Times New Roman" w:hAnsi="Times New Roman" w:cs="Times New Roman"/>
                <w:noProof/>
                <w:lang w:eastAsia="ja-JP"/>
              </w:rPr>
            </w:pPr>
          </w:p>
        </w:tc>
      </w:tr>
    </w:tbl>
    <w:p>
      <w:pPr>
        <w:pStyle w:val="NORMAL0"/>
        <w:spacing w:after="240" w:line="276" w:lineRule="auto"/>
        <w:rPr>
          <w:rFonts w:ascii="Times New Roman" w:eastAsiaTheme="minorHAnsi" w:hAnsi="Times New Roman" w:cs="Times New Roman"/>
          <w:i/>
          <w:noProof/>
          <w:sz w:val="18"/>
          <w:szCs w:val="18"/>
          <w:lang w:eastAsia="ja-JP"/>
        </w:rPr>
      </w:pPr>
      <w:r>
        <w:rPr>
          <w:rFonts w:ascii="Times New Roman" w:eastAsiaTheme="minorHAnsi" w:hAnsi="Times New Roman" w:cs="Times New Roman"/>
          <w:i/>
          <w:noProof/>
          <w:sz w:val="18"/>
          <w:szCs w:val="18"/>
          <w:lang w:eastAsia="ja-JP"/>
        </w:rPr>
        <w:t xml:space="preserve">Source: Member States' answers to 2017 Questionnaire </w:t>
      </w:r>
      <w:r>
        <w:rPr>
          <w:rFonts w:ascii="Times New Roman" w:eastAsiaTheme="minorHAnsi" w:hAnsi="Times New Roman" w:cs="Times New Roman"/>
          <w:i/>
          <w:noProof/>
          <w:sz w:val="18"/>
          <w:szCs w:val="18"/>
          <w:lang w:eastAsia="ja-JP"/>
        </w:rPr>
        <w:tab/>
        <w:t xml:space="preserve">             Source: Member States' answers to 2017 Questionnaire </w:t>
      </w:r>
    </w:p>
    <w:p>
      <w:pPr>
        <w:spacing w:after="240"/>
        <w:jc w:val="both"/>
        <w:rPr>
          <w:rFonts w:ascii="Times New Roman" w:hAnsi="Times New Roman" w:cs="Times New Roman"/>
          <w:noProof/>
          <w:sz w:val="24"/>
          <w:szCs w:val="24"/>
          <w:lang w:eastAsia="ja-JP"/>
        </w:rPr>
      </w:pPr>
      <w:r>
        <w:rPr>
          <w:rFonts w:ascii="Times New Roman" w:hAnsi="Times New Roman" w:cs="Times New Roman"/>
          <w:noProof/>
          <w:sz w:val="24"/>
          <w:szCs w:val="24"/>
          <w:lang w:eastAsia="ja-JP"/>
        </w:rPr>
        <w:t xml:space="preserve">In case of late payment, all Member States apply a penalty and interest system. </w:t>
      </w:r>
      <w:r>
        <w:rPr>
          <w:rFonts w:ascii="Times New Roman" w:hAnsi="Times New Roman" w:cs="Times New Roman"/>
          <w:b/>
          <w:noProof/>
          <w:sz w:val="24"/>
          <w:szCs w:val="24"/>
        </w:rPr>
        <w:t>The Commission is currently in the process of identifying Member States' practices in the field of imposing penalties, so as to analyse legal constraints and the impact of penalties on compliance</w:t>
      </w:r>
      <w:r>
        <w:rPr>
          <w:rFonts w:ascii="Times New Roman" w:hAnsi="Times New Roman" w:cs="Times New Roman"/>
          <w:b/>
          <w:noProof/>
          <w:sz w:val="24"/>
          <w:szCs w:val="24"/>
          <w:vertAlign w:val="superscript"/>
        </w:rPr>
        <w:footnoteReference w:id="19"/>
      </w:r>
      <w:r>
        <w:rPr>
          <w:rFonts w:ascii="Times New Roman" w:hAnsi="Times New Roman" w:cs="Times New Roman"/>
          <w:b/>
          <w:noProof/>
          <w:sz w:val="24"/>
          <w:szCs w:val="24"/>
        </w:rPr>
        <w:t>.</w:t>
      </w:r>
    </w:p>
    <w:p>
      <w:pPr>
        <w:pStyle w:val="ManualHeading2"/>
        <w:rPr>
          <w:noProof/>
        </w:rPr>
      </w:pPr>
      <w:bookmarkStart w:id="565" w:name="_Toc498335654"/>
      <w:r>
        <w:t>3.4.</w:t>
      </w:r>
      <w:r>
        <w:tab/>
      </w:r>
      <w:r>
        <w:rPr>
          <w:noProof/>
        </w:rPr>
        <w:t>Recovery of VAT debts</w:t>
      </w:r>
      <w:bookmarkEnd w:id="565"/>
    </w:p>
    <w:p>
      <w:pPr>
        <w:jc w:val="both"/>
        <w:rPr>
          <w:rFonts w:ascii="Times New Roman" w:hAnsi="Times New Roman" w:cs="Times New Roman"/>
          <w:noProof/>
          <w:sz w:val="24"/>
          <w:szCs w:val="24"/>
        </w:rPr>
      </w:pPr>
      <w:r>
        <w:rPr>
          <w:rFonts w:ascii="Times New Roman" w:hAnsi="Times New Roman" w:cs="Times New Roman"/>
          <w:noProof/>
          <w:sz w:val="24"/>
          <w:szCs w:val="24"/>
        </w:rPr>
        <w:t>VAT collection is based on self-assessment and voluntary payment. Tax administrations aim at achieving high rates of voluntary on-time payment and low numbers of tax arrears. To reach this goal, a high level of on-time filing of VAT returns is required for establishing the amounts of VAT owed and a quick follow-up action is needed when payment is overdue. In general this action consists of imposing penalties and interest and executing a debt recovery plan.</w:t>
      </w:r>
    </w:p>
    <w:p>
      <w:pPr>
        <w:jc w:val="both"/>
        <w:rPr>
          <w:rFonts w:ascii="Times New Roman" w:hAnsi="Times New Roman" w:cs="Times New Roman"/>
          <w:noProof/>
          <w:color w:val="000000"/>
          <w:sz w:val="24"/>
          <w:szCs w:val="24"/>
        </w:rPr>
      </w:pPr>
      <w:r>
        <w:rPr>
          <w:rFonts w:ascii="Times New Roman" w:hAnsi="Times New Roman" w:cs="Times New Roman"/>
          <w:noProof/>
          <w:sz w:val="24"/>
          <w:szCs w:val="24"/>
        </w:rPr>
        <w:t>To improve efficiency, all Member States have established dedicated debt collection units or trained specialist debt recovery staff in their tax administration, or outsourced the recovery of debts to a semi-governmental body. In case of "in-house" recovery activities, these are mainly operated</w:t>
      </w:r>
      <w:r>
        <w:rPr>
          <w:rFonts w:ascii="Times New Roman" w:hAnsi="Times New Roman" w:cs="Times New Roman"/>
          <w:noProof/>
          <w:color w:val="000000"/>
          <w:sz w:val="24"/>
          <w:szCs w:val="24"/>
        </w:rPr>
        <w:t xml:space="preserve"> at national level.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vast majority of tax administrations have an accurate overview of the VAT arrears, often classified by year, amount or origin (i.e. self-assessed or a result of an audit). For some of the Member States this overview is real-time available. </w:t>
      </w:r>
    </w:p>
    <w:p>
      <w:pPr>
        <w:pStyle w:val="Caption"/>
        <w:rPr>
          <w:i/>
          <w:noProof/>
          <w:sz w:val="24"/>
          <w:szCs w:val="24"/>
          <w:lang w:eastAsia="ja-JP"/>
        </w:rPr>
      </w:pPr>
      <w:bookmarkStart w:id="566" w:name="_Toc498335669"/>
      <w:r>
        <w:rPr>
          <w:i/>
          <w:noProof/>
          <w:sz w:val="24"/>
          <w:szCs w:val="24"/>
          <w:u w:val="single"/>
        </w:rPr>
        <w:t xml:space="preserve">Figure </w:t>
      </w:r>
      <w:r>
        <w:rPr>
          <w:i/>
          <w:noProof/>
          <w:sz w:val="24"/>
          <w:szCs w:val="24"/>
          <w:u w:val="single"/>
        </w:rPr>
        <w:fldChar w:fldCharType="begin"/>
      </w:r>
      <w:r>
        <w:rPr>
          <w:i/>
          <w:noProof/>
          <w:sz w:val="24"/>
          <w:szCs w:val="24"/>
          <w:u w:val="single"/>
        </w:rPr>
        <w:instrText xml:space="preserve"> SEQ Figure \* ARABIC </w:instrText>
      </w:r>
      <w:r>
        <w:rPr>
          <w:i/>
          <w:noProof/>
          <w:sz w:val="24"/>
          <w:szCs w:val="24"/>
          <w:u w:val="single"/>
        </w:rPr>
        <w:fldChar w:fldCharType="separate"/>
      </w:r>
      <w:r>
        <w:rPr>
          <w:i/>
          <w:noProof/>
          <w:sz w:val="24"/>
          <w:szCs w:val="24"/>
          <w:u w:val="single"/>
        </w:rPr>
        <w:t>9</w:t>
      </w:r>
      <w:r>
        <w:rPr>
          <w:i/>
          <w:noProof/>
          <w:sz w:val="24"/>
          <w:szCs w:val="24"/>
          <w:u w:val="single"/>
        </w:rPr>
        <w:fldChar w:fldCharType="end"/>
      </w:r>
      <w:r>
        <w:rPr>
          <w:i/>
          <w:noProof/>
          <w:sz w:val="24"/>
          <w:szCs w:val="24"/>
          <w:u w:val="single"/>
          <w:lang w:eastAsia="ja-JP"/>
        </w:rPr>
        <w:t>:</w:t>
      </w:r>
      <w:r>
        <w:rPr>
          <w:i/>
          <w:noProof/>
          <w:sz w:val="24"/>
          <w:szCs w:val="24"/>
          <w:lang w:eastAsia="ja-JP"/>
        </w:rPr>
        <w:t xml:space="preserve">  </w:t>
      </w:r>
      <w:r>
        <w:rPr>
          <w:b w:val="0"/>
          <w:i/>
          <w:noProof/>
          <w:sz w:val="24"/>
          <w:szCs w:val="24"/>
          <w:lang w:eastAsia="ja-JP"/>
        </w:rPr>
        <w:t>Recovery of VAT debts - overview of main tools and practices used in 28 EU Member States (2016)</w:t>
      </w:r>
      <w:bookmarkEnd w:id="566"/>
      <w:r>
        <w:rPr>
          <w:i/>
          <w:noProof/>
          <w:sz w:val="24"/>
          <w:szCs w:val="24"/>
          <w:lang w:eastAsia="ja-JP"/>
        </w:rPr>
        <w:t xml:space="preserve"> </w:t>
      </w:r>
    </w:p>
    <w:tbl>
      <w:tblPr>
        <w:tblW w:w="9221" w:type="dxa"/>
        <w:tblLayout w:type="fixed"/>
        <w:tblLook w:val="04A0" w:firstRow="1" w:lastRow="0" w:firstColumn="1" w:lastColumn="0" w:noHBand="0" w:noVBand="1"/>
      </w:tblPr>
      <w:tblGrid>
        <w:gridCol w:w="76"/>
        <w:gridCol w:w="1667"/>
        <w:gridCol w:w="7478"/>
      </w:tblGrid>
      <w:tr>
        <w:trPr>
          <w:trHeight w:val="1509"/>
        </w:trPr>
        <w:tc>
          <w:tcPr>
            <w:tcW w:w="76" w:type="dxa"/>
            <w:tcMar>
              <w:left w:w="28" w:type="dxa"/>
              <w:right w:w="28" w:type="dxa"/>
            </w:tcMar>
            <w:vAlign w:val="center"/>
          </w:tcPr>
          <w:p>
            <w:pPr>
              <w:ind w:left="849"/>
              <w:contextualSpacing/>
              <w:rPr>
                <w:rFonts w:ascii="Times New Roman" w:hAnsi="Times New Roman" w:cs="Times New Roman"/>
                <w:noProof/>
                <w:color w:val="7F7F7F" w:themeColor="text1" w:themeTint="80"/>
                <w:sz w:val="16"/>
                <w:szCs w:val="16"/>
                <w:lang w:eastAsia="ja-JP"/>
              </w:rPr>
            </w:pPr>
          </w:p>
        </w:tc>
        <w:tc>
          <w:tcPr>
            <w:tcW w:w="1667" w:type="dxa"/>
            <w:vAlign w:val="center"/>
          </w:tcPr>
          <w:p>
            <w:pPr>
              <w:spacing w:before="180" w:after="60"/>
              <w:rPr>
                <w:rFonts w:ascii="Times New Roman" w:hAnsi="Times New Roman" w:cs="Times New Roman"/>
                <w:noProof/>
                <w:sz w:val="16"/>
                <w:szCs w:val="16"/>
                <w:lang w:eastAsia="ja-JP"/>
              </w:rPr>
            </w:pPr>
            <w:r>
              <w:rPr>
                <w:rFonts w:ascii="Times New Roman" w:hAnsi="Times New Roman" w:cs="Times New Roman"/>
                <w:noProof/>
                <w:sz w:val="16"/>
                <w:szCs w:val="16"/>
                <w:lang w:eastAsia="ja-JP"/>
              </w:rPr>
              <w:t>New debtors</w:t>
            </w:r>
            <w:r>
              <w:rPr>
                <w:rFonts w:ascii="Times New Roman" w:hAnsi="Times New Roman" w:cs="Times New Roman"/>
                <w:noProof/>
                <w:sz w:val="16"/>
                <w:szCs w:val="16"/>
                <w:lang w:val="en-US" w:eastAsia="ja-JP"/>
              </w:rPr>
              <w:t xml:space="preserve">: </w:t>
            </w:r>
            <w:r>
              <w:rPr>
                <w:rFonts w:ascii="Times New Roman" w:hAnsi="Times New Roman" w:cs="Times New Roman"/>
                <w:noProof/>
                <w:sz w:val="16"/>
                <w:szCs w:val="16"/>
                <w:lang w:eastAsia="ja-JP"/>
              </w:rPr>
              <w:t>early contacting  procedure</w:t>
            </w:r>
          </w:p>
          <w:p>
            <w:pPr>
              <w:spacing w:before="180" w:after="60"/>
              <w:rPr>
                <w:rFonts w:ascii="Times New Roman" w:hAnsi="Times New Roman" w:cs="Times New Roman"/>
                <w:noProof/>
                <w:sz w:val="16"/>
                <w:szCs w:val="16"/>
                <w:lang w:eastAsia="ja-JP"/>
              </w:rPr>
            </w:pPr>
            <w:r>
              <w:rPr>
                <w:rFonts w:ascii="Times New Roman" w:hAnsi="Times New Roman" w:cs="Times New Roman"/>
                <w:noProof/>
                <w:sz w:val="16"/>
                <w:szCs w:val="16"/>
                <w:lang w:eastAsia="ja-JP"/>
              </w:rPr>
              <w:t xml:space="preserve">Procedure for offsetting tax credits </w:t>
            </w:r>
          </w:p>
          <w:p>
            <w:pPr>
              <w:spacing w:before="240"/>
              <w:rPr>
                <w:rFonts w:ascii="Times New Roman" w:hAnsi="Times New Roman" w:cs="Times New Roman"/>
                <w:noProof/>
                <w:sz w:val="16"/>
                <w:szCs w:val="16"/>
                <w:lang w:eastAsia="ja-JP"/>
              </w:rPr>
            </w:pPr>
            <w:r>
              <w:rPr>
                <w:rFonts w:ascii="Times New Roman" w:hAnsi="Times New Roman" w:cs="Times New Roman"/>
                <w:noProof/>
                <w:sz w:val="16"/>
                <w:szCs w:val="16"/>
                <w:lang w:eastAsia="ja-JP"/>
              </w:rPr>
              <w:t>Use  of instalment plans</w:t>
            </w:r>
          </w:p>
          <w:p>
            <w:pPr>
              <w:spacing w:before="180"/>
              <w:rPr>
                <w:rFonts w:ascii="Times New Roman" w:hAnsi="Times New Roman" w:cs="Times New Roman"/>
                <w:noProof/>
                <w:sz w:val="16"/>
                <w:szCs w:val="16"/>
                <w:lang w:eastAsia="ja-JP"/>
              </w:rPr>
            </w:pPr>
            <w:r>
              <w:rPr>
                <w:rFonts w:ascii="Times New Roman" w:hAnsi="Times New Roman" w:cs="Times New Roman"/>
                <w:noProof/>
                <w:sz w:val="16"/>
                <w:szCs w:val="16"/>
                <w:lang w:eastAsia="ja-JP"/>
              </w:rPr>
              <w:t>Possibility to write-off uncollectable debts</w:t>
            </w:r>
          </w:p>
          <w:p>
            <w:pPr>
              <w:rPr>
                <w:rFonts w:ascii="Times New Roman" w:hAnsi="Times New Roman" w:cs="Times New Roman"/>
                <w:noProof/>
                <w:sz w:val="16"/>
                <w:szCs w:val="16"/>
                <w:lang w:eastAsia="ja-JP"/>
              </w:rPr>
            </w:pPr>
            <w:r>
              <w:rPr>
                <w:rFonts w:ascii="Times New Roman" w:hAnsi="Times New Roman" w:cs="Times New Roman"/>
                <w:noProof/>
                <w:sz w:val="16"/>
                <w:szCs w:val="16"/>
                <w:lang w:eastAsia="ja-JP"/>
              </w:rPr>
              <w:t>Liability of company's management for VAT</w:t>
            </w:r>
          </w:p>
          <w:p>
            <w:pPr>
              <w:rPr>
                <w:rFonts w:ascii="Times New Roman" w:hAnsi="Times New Roman" w:cs="Times New Roman"/>
                <w:noProof/>
                <w:sz w:val="16"/>
                <w:szCs w:val="16"/>
                <w:lang w:eastAsia="ja-JP"/>
              </w:rPr>
            </w:pPr>
            <w:r>
              <w:rPr>
                <w:rFonts w:ascii="Times New Roman" w:hAnsi="Times New Roman" w:cs="Times New Roman"/>
                <w:noProof/>
                <w:sz w:val="16"/>
                <w:szCs w:val="16"/>
                <w:lang w:eastAsia="ja-JP"/>
              </w:rPr>
              <w:t xml:space="preserve">VAT can be paid by the buyer (outside the reverse charge) </w:t>
            </w:r>
          </w:p>
        </w:tc>
        <w:tc>
          <w:tcPr>
            <w:tcW w:w="7478" w:type="dxa"/>
          </w:tcPr>
          <w:p>
            <w:pPr>
              <w:rPr>
                <w:rFonts w:ascii="Times New Roman" w:hAnsi="Times New Roman" w:cs="Times New Roman"/>
                <w:noProof/>
                <w:lang w:eastAsia="ja-JP"/>
              </w:rPr>
            </w:pPr>
            <w:r>
              <w:rPr>
                <w:rFonts w:ascii="Times New Roman" w:hAnsi="Times New Roman" w:cs="Times New Roman"/>
                <w:i/>
                <w:noProof/>
                <w:lang w:val="en-US"/>
              </w:rPr>
              <w:drawing>
                <wp:inline distT="0" distB="0" distL="0" distR="0">
                  <wp:extent cx="4708478" cy="2518012"/>
                  <wp:effectExtent l="0" t="0" r="16510" b="15875"/>
                  <wp:docPr id="21"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tc>
      </w:tr>
    </w:tbl>
    <w:p>
      <w:pPr>
        <w:pStyle w:val="NORMAL0"/>
        <w:spacing w:after="240" w:line="276" w:lineRule="auto"/>
        <w:rPr>
          <w:rFonts w:ascii="Times New Roman" w:eastAsiaTheme="minorHAnsi" w:hAnsi="Times New Roman" w:cs="Times New Roman"/>
          <w:i/>
          <w:noProof/>
          <w:sz w:val="18"/>
          <w:szCs w:val="18"/>
          <w:lang w:eastAsia="ja-JP"/>
        </w:rPr>
      </w:pPr>
      <w:r>
        <w:rPr>
          <w:rFonts w:ascii="Times New Roman" w:eastAsiaTheme="minorHAnsi" w:hAnsi="Times New Roman" w:cs="Times New Roman"/>
          <w:i/>
          <w:noProof/>
          <w:sz w:val="18"/>
          <w:szCs w:val="18"/>
          <w:lang w:eastAsia="ja-JP"/>
        </w:rPr>
        <w:t xml:space="preserve">Source: Member States' answers to 2017 Questionnaire </w:t>
      </w:r>
    </w:p>
    <w:p>
      <w:pPr>
        <w:spacing w:after="240"/>
        <w:jc w:val="both"/>
        <w:rPr>
          <w:rFonts w:ascii="Times New Roman" w:hAnsi="Times New Roman" w:cs="Times New Roman"/>
          <w:noProof/>
          <w:sz w:val="24"/>
          <w:szCs w:val="24"/>
        </w:rPr>
      </w:pPr>
      <w:r>
        <w:rPr>
          <w:rFonts w:ascii="Times New Roman" w:hAnsi="Times New Roman" w:cs="Times New Roman"/>
          <w:noProof/>
          <w:color w:val="000000"/>
          <w:sz w:val="24"/>
          <w:szCs w:val="24"/>
        </w:rPr>
        <w:t xml:space="preserve">The legal tools and approaches for debt collection differ between the Member States. </w:t>
      </w:r>
      <w:r>
        <w:rPr>
          <w:rFonts w:ascii="Times New Roman" w:hAnsi="Times New Roman" w:cs="Times New Roman"/>
          <w:noProof/>
          <w:sz w:val="24"/>
          <w:szCs w:val="24"/>
        </w:rPr>
        <w:t>The general approach in tax debt collection is to put resources where there is a chance of collecting the money. Many Member States have a procedure in place that provides for early contacts with new debtors</w:t>
      </w:r>
      <w:r>
        <w:rPr>
          <w:rStyle w:val="FootnoteReference"/>
          <w:rFonts w:ascii="Times New Roman" w:hAnsi="Times New Roman" w:cs="Times New Roman"/>
          <w:noProof/>
          <w:sz w:val="24"/>
          <w:szCs w:val="24"/>
        </w:rPr>
        <w:footnoteReference w:id="20"/>
      </w:r>
      <w:r>
        <w:rPr>
          <w:rFonts w:ascii="Times New Roman" w:hAnsi="Times New Roman" w:cs="Times New Roman"/>
          <w:noProof/>
          <w:sz w:val="24"/>
          <w:szCs w:val="24"/>
        </w:rPr>
        <w:t xml:space="preserve"> (by phone or email), either systematically or occasionally. Furthermore, emphasis is put on "young" claims for which assets have been identified. Practice indeed shows that the rate of success in recovering old debts is more limited.</w:t>
      </w:r>
      <w:r>
        <w:rPr>
          <w:rStyle w:val="FootnoteReference"/>
          <w:rFonts w:ascii="Times New Roman" w:hAnsi="Times New Roman" w:cs="Times New Roman"/>
          <w:noProof/>
          <w:sz w:val="24"/>
          <w:szCs w:val="24"/>
        </w:rPr>
        <w:footnoteReference w:id="21"/>
      </w:r>
      <w:r>
        <w:rPr>
          <w:rFonts w:ascii="Times New Roman" w:hAnsi="Times New Roman" w:cs="Times New Roman"/>
          <w:noProof/>
          <w:sz w:val="24"/>
          <w:szCs w:val="24"/>
        </w:rPr>
        <w:t xml:space="preserve"> However, some tax administrations have a legal obligation to enforce all their claims, and recovered amounts are first imputed on their oldest claims. </w:t>
      </w:r>
    </w:p>
    <w:p>
      <w:pPr>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 xml:space="preserve">Instalment arrangements and offsetting </w:t>
      </w:r>
      <w:r>
        <w:rPr>
          <w:rFonts w:ascii="Times New Roman" w:hAnsi="Times New Roman" w:cs="Times New Roman"/>
          <w:noProof/>
          <w:sz w:val="24"/>
          <w:szCs w:val="24"/>
        </w:rPr>
        <w:t>tax credit entitlements (e.g. VAT refunds) against outstanding VAT debts</w:t>
      </w:r>
      <w:r>
        <w:rPr>
          <w:rFonts w:ascii="Times New Roman" w:hAnsi="Times New Roman" w:cs="Times New Roman"/>
          <w:noProof/>
          <w:color w:val="000000"/>
          <w:sz w:val="24"/>
          <w:szCs w:val="24"/>
        </w:rPr>
        <w:t xml:space="preserve"> are common practice. </w:t>
      </w:r>
      <w:r>
        <w:rPr>
          <w:rFonts w:ascii="Times New Roman" w:hAnsi="Times New Roman" w:cs="Times New Roman"/>
          <w:b/>
          <w:noProof/>
          <w:color w:val="000000"/>
          <w:sz w:val="24"/>
          <w:szCs w:val="24"/>
        </w:rPr>
        <w:t>Less conventional and under discussion is the offsetting of a foreign VAT debt against a foreign VAT refund</w:t>
      </w:r>
      <w:r>
        <w:rPr>
          <w:rFonts w:ascii="Times New Roman" w:hAnsi="Times New Roman" w:cs="Times New Roman"/>
          <w:noProof/>
          <w:color w:val="000000"/>
          <w:sz w:val="24"/>
          <w:szCs w:val="24"/>
        </w:rPr>
        <w:t xml:space="preserve">. </w:t>
      </w:r>
    </w:p>
    <w:p>
      <w:pPr>
        <w:jc w:val="both"/>
        <w:rPr>
          <w:rFonts w:ascii="Times New Roman" w:hAnsi="Times New Roman" w:cs="Times New Roman"/>
          <w:noProof/>
          <w:sz w:val="24"/>
          <w:szCs w:val="24"/>
        </w:rPr>
      </w:pPr>
      <w:r>
        <w:rPr>
          <w:rFonts w:ascii="Times New Roman" w:hAnsi="Times New Roman" w:cs="Times New Roman"/>
          <w:noProof/>
          <w:sz w:val="24"/>
          <w:szCs w:val="24"/>
        </w:rPr>
        <w:t>In case of uncollectable tax debts, a large number of tax administrations may apply write-off procedures, as part of their management of public tax debts. Although several Member States have the legal possibility to enforce VAT arrears against a company's management or a buyer (joint and/or several liability), this tool is difficult to apply because the burden of proof is on the tax administration.</w:t>
      </w:r>
    </w:p>
    <w:p>
      <w:pPr>
        <w:spacing w:after="240"/>
        <w:jc w:val="both"/>
        <w:rPr>
          <w:rFonts w:ascii="Times New Roman" w:eastAsiaTheme="minorEastAsia" w:hAnsi="Times New Roman" w:cs="Times New Roman"/>
          <w:noProof/>
          <w:sz w:val="24"/>
          <w:szCs w:val="24"/>
          <w:lang w:eastAsia="ja-JP"/>
        </w:rPr>
      </w:pPr>
      <w:r>
        <w:rPr>
          <w:rFonts w:ascii="Times New Roman" w:eastAsiaTheme="minorEastAsia" w:hAnsi="Times New Roman" w:cs="Times New Roman"/>
          <w:noProof/>
          <w:sz w:val="24"/>
          <w:szCs w:val="24"/>
          <w:lang w:eastAsia="ja-JP"/>
        </w:rPr>
        <w:t>The Commission is publishing an evaluation of the Directive on mutual assistance in the field of recovery. Member States are invited to take notice of this report.</w:t>
      </w:r>
    </w:p>
    <w:p>
      <w:pPr>
        <w:pStyle w:val="Caption"/>
        <w:spacing w:line="276" w:lineRule="auto"/>
        <w:rPr>
          <w:noProof/>
          <w:sz w:val="24"/>
          <w:szCs w:val="24"/>
        </w:rPr>
      </w:pPr>
      <w:bookmarkStart w:id="567" w:name="_Toc498335680"/>
      <w:r>
        <w:rPr>
          <w:noProof/>
          <w:sz w:val="24"/>
          <w:szCs w:val="24"/>
        </w:rPr>
        <w:t xml:space="preserve">Recommendation </w:t>
      </w:r>
      <w:r>
        <w:rPr>
          <w:noProof/>
          <w:sz w:val="24"/>
          <w:szCs w:val="24"/>
        </w:rPr>
        <w:fldChar w:fldCharType="begin"/>
      </w:r>
      <w:r>
        <w:rPr>
          <w:noProof/>
          <w:sz w:val="24"/>
          <w:szCs w:val="24"/>
        </w:rPr>
        <w:instrText xml:space="preserve"> SEQ Recommendation \* ARABIC </w:instrText>
      </w:r>
      <w:r>
        <w:rPr>
          <w:noProof/>
          <w:sz w:val="24"/>
          <w:szCs w:val="24"/>
        </w:rPr>
        <w:fldChar w:fldCharType="separate"/>
      </w:r>
      <w:r>
        <w:rPr>
          <w:noProof/>
          <w:sz w:val="24"/>
          <w:szCs w:val="24"/>
        </w:rPr>
        <w:t>8</w:t>
      </w:r>
      <w:r>
        <w:rPr>
          <w:noProof/>
          <w:sz w:val="24"/>
          <w:szCs w:val="24"/>
        </w:rPr>
        <w:fldChar w:fldCharType="end"/>
      </w:r>
      <w:r>
        <w:rPr>
          <w:noProof/>
          <w:sz w:val="24"/>
          <w:szCs w:val="24"/>
        </w:rPr>
        <w:t>: Post registration controls</w:t>
      </w:r>
      <w:bookmarkEnd w:id="567"/>
    </w:p>
    <w:p>
      <w:pPr>
        <w:pBdr>
          <w:top w:val="single" w:sz="4" w:space="1" w:color="auto"/>
          <w:left w:val="single" w:sz="4" w:space="4" w:color="auto"/>
          <w:bottom w:val="single" w:sz="4" w:space="1" w:color="auto"/>
          <w:right w:val="single" w:sz="4" w:space="4" w:color="auto"/>
        </w:pBdr>
        <w:spacing w:after="240"/>
        <w:rPr>
          <w:rFonts w:ascii="Times New Roman" w:hAnsi="Times New Roman" w:cs="Times New Roman"/>
          <w:i/>
          <w:noProof/>
          <w:sz w:val="24"/>
          <w:szCs w:val="24"/>
        </w:rPr>
      </w:pPr>
      <w:r>
        <w:rPr>
          <w:rFonts w:ascii="Times New Roman" w:eastAsiaTheme="minorEastAsia" w:hAnsi="Times New Roman" w:cs="Times New Roman"/>
          <w:i/>
          <w:noProof/>
          <w:sz w:val="24"/>
          <w:szCs w:val="24"/>
          <w:lang w:eastAsia="ja-JP"/>
        </w:rPr>
        <w:t>As recovery contributes to tax fairness, Member States should enhance the use of all available recovery instruments, including the mutual assistance mechanism.</w:t>
      </w:r>
    </w:p>
    <w:p>
      <w:pPr>
        <w:pStyle w:val="ManualHeading2"/>
        <w:rPr>
          <w:noProof/>
        </w:rPr>
      </w:pPr>
      <w:bookmarkStart w:id="568" w:name="_Toc492395854"/>
      <w:bookmarkStart w:id="569" w:name="_Toc492396214"/>
      <w:bookmarkStart w:id="570" w:name="_Toc498335655"/>
      <w:bookmarkEnd w:id="568"/>
      <w:bookmarkEnd w:id="569"/>
      <w:r>
        <w:t>3.5.</w:t>
      </w:r>
      <w:r>
        <w:tab/>
      </w:r>
      <w:r>
        <w:rPr>
          <w:noProof/>
        </w:rPr>
        <w:t>VAT refund</w:t>
      </w:r>
      <w:bookmarkEnd w:id="570"/>
      <w:r>
        <w:rPr>
          <w:noProof/>
        </w:rPr>
        <w:t xml:space="preserve"> </w:t>
      </w:r>
    </w:p>
    <w:p>
      <w:pPr>
        <w:spacing w:after="120"/>
        <w:jc w:val="both"/>
        <w:rPr>
          <w:rFonts w:ascii="Times New Roman" w:hAnsi="Times New Roman" w:cs="Times New Roman"/>
          <w:noProof/>
          <w:sz w:val="24"/>
          <w:szCs w:val="24"/>
          <w:lang w:eastAsia="ja-JP"/>
        </w:rPr>
      </w:pPr>
      <w:r>
        <w:rPr>
          <w:rFonts w:ascii="Times New Roman" w:hAnsi="Times New Roman" w:cs="Times New Roman"/>
          <w:noProof/>
          <w:sz w:val="24"/>
          <w:szCs w:val="24"/>
          <w:lang w:eastAsia="ja-JP"/>
        </w:rPr>
        <w:t xml:space="preserve">Resource constraints on the side of the tax administration and the need for businesses to receive the money within due time require that tax authorities strike the right balance between a swift repayment of VAT to legitimate businesses and a thorough control in case of mistakes and fraud. </w:t>
      </w:r>
    </w:p>
    <w:p>
      <w:pPr>
        <w:spacing w:after="120"/>
        <w:jc w:val="both"/>
        <w:rPr>
          <w:rFonts w:ascii="Times New Roman" w:hAnsi="Times New Roman" w:cs="Times New Roman"/>
          <w:b/>
          <w:noProof/>
          <w:sz w:val="24"/>
          <w:szCs w:val="24"/>
          <w:lang w:eastAsia="ja-JP"/>
        </w:rPr>
      </w:pPr>
      <w:r>
        <w:rPr>
          <w:rFonts w:ascii="Times New Roman" w:hAnsi="Times New Roman" w:cs="Times New Roman"/>
          <w:noProof/>
          <w:sz w:val="24"/>
          <w:szCs w:val="24"/>
          <w:lang w:eastAsia="ja-JP"/>
        </w:rPr>
        <w:t xml:space="preserve">Almost all Member States' tax administrations have procedures in place based on risk assessment methods, which ensure that a significant part of low-risk VAT refund requests are promptly processed, while the risky ones are closely controlled. In most Member States, these procedures are automated through electronic processes. In a few Member States, all requests for VAT refunds need to be controlled before the payment can be made (systematic prior controls), which may cause a delay in the refund procedure. Budget constraints may also have an impact on the timeline for refunding VAT. </w:t>
      </w:r>
      <w:r>
        <w:rPr>
          <w:rFonts w:ascii="Times New Roman" w:hAnsi="Times New Roman" w:cs="Times New Roman"/>
          <w:b/>
          <w:noProof/>
          <w:sz w:val="24"/>
          <w:szCs w:val="24"/>
          <w:lang w:eastAsia="ja-JP"/>
        </w:rPr>
        <w:t xml:space="preserve">Both situations (systematic prior controls and late refunds due to budget constraints) put financial pressure on legitimate businesses and cause an obstacle for cross-border trade. </w:t>
      </w:r>
    </w:p>
    <w:p>
      <w:pPr>
        <w:pStyle w:val="Caption"/>
        <w:spacing w:line="276" w:lineRule="auto"/>
        <w:rPr>
          <w:noProof/>
          <w:sz w:val="24"/>
        </w:rPr>
      </w:pPr>
      <w:bookmarkStart w:id="571" w:name="_Toc498335681"/>
      <w:r>
        <w:rPr>
          <w:noProof/>
          <w:sz w:val="24"/>
        </w:rPr>
        <w:t xml:space="preserve">Recommendation </w:t>
      </w:r>
      <w:r>
        <w:rPr>
          <w:noProof/>
          <w:sz w:val="24"/>
        </w:rPr>
        <w:fldChar w:fldCharType="begin"/>
      </w:r>
      <w:r>
        <w:rPr>
          <w:noProof/>
          <w:sz w:val="24"/>
        </w:rPr>
        <w:instrText xml:space="preserve"> SEQ Recommendation \* ARABIC </w:instrText>
      </w:r>
      <w:r>
        <w:rPr>
          <w:noProof/>
          <w:sz w:val="24"/>
        </w:rPr>
        <w:fldChar w:fldCharType="separate"/>
      </w:r>
      <w:r>
        <w:rPr>
          <w:noProof/>
          <w:sz w:val="24"/>
        </w:rPr>
        <w:t>9</w:t>
      </w:r>
      <w:r>
        <w:rPr>
          <w:noProof/>
          <w:sz w:val="24"/>
        </w:rPr>
        <w:fldChar w:fldCharType="end"/>
      </w:r>
      <w:r>
        <w:rPr>
          <w:noProof/>
          <w:sz w:val="24"/>
        </w:rPr>
        <w:t>: Late VAT refund payments</w:t>
      </w:r>
      <w:bookmarkEnd w:id="571"/>
    </w:p>
    <w:p>
      <w:pPr>
        <w:pStyle w:val="Text1"/>
        <w:pBdr>
          <w:top w:val="single" w:sz="4" w:space="1" w:color="auto"/>
          <w:left w:val="single" w:sz="4" w:space="4" w:color="auto"/>
          <w:bottom w:val="single" w:sz="4" w:space="1" w:color="auto"/>
          <w:right w:val="single" w:sz="4" w:space="4" w:color="auto"/>
        </w:pBdr>
        <w:spacing w:after="240" w:line="276" w:lineRule="auto"/>
        <w:ind w:left="0"/>
        <w:rPr>
          <w:i/>
          <w:noProof/>
        </w:rPr>
      </w:pPr>
      <w:r>
        <w:rPr>
          <w:rFonts w:eastAsiaTheme="minorEastAsia"/>
          <w:i/>
          <w:noProof/>
          <w:lang w:eastAsia="ja-JP"/>
        </w:rPr>
        <w:t>The Commission launched a study on domestic and cross border VAT refunds. In the context of this study, and together with Member States, it will explore how to improve and speed up this process.</w:t>
      </w:r>
    </w:p>
    <w:p>
      <w:pPr>
        <w:pStyle w:val="ManualHeading2"/>
        <w:rPr>
          <w:noProof/>
        </w:rPr>
      </w:pPr>
      <w:bookmarkStart w:id="572" w:name="_Toc498335656"/>
      <w:r>
        <w:t>3.6.</w:t>
      </w:r>
      <w:r>
        <w:tab/>
      </w:r>
      <w:r>
        <w:rPr>
          <w:noProof/>
        </w:rPr>
        <w:t>VAT audit and investigation</w:t>
      </w:r>
      <w:bookmarkEnd w:id="572"/>
    </w:p>
    <w:p>
      <w:pPr>
        <w:spacing w:after="240"/>
        <w:jc w:val="both"/>
        <w:rPr>
          <w:rFonts w:ascii="Times New Roman" w:hAnsi="Times New Roman" w:cs="Times New Roman"/>
          <w:noProof/>
          <w:sz w:val="24"/>
          <w:szCs w:val="24"/>
          <w:lang w:eastAsia="ja-JP"/>
        </w:rPr>
      </w:pPr>
      <w:r>
        <w:rPr>
          <w:rFonts w:ascii="Times New Roman" w:hAnsi="Times New Roman" w:cs="Times New Roman"/>
          <w:noProof/>
          <w:sz w:val="24"/>
          <w:szCs w:val="24"/>
          <w:lang w:eastAsia="ja-JP"/>
        </w:rPr>
        <w:t>All tax administrations have audit departments within their organisation that in many cases also include dedicated anti-fraud units. Furthermore, in addition to the traditional way of auditing, all tax administrations implemented e-audit techniques.</w:t>
      </w:r>
      <w:r>
        <w:rPr>
          <w:rStyle w:val="FootnoteReference"/>
          <w:rFonts w:ascii="Times New Roman" w:hAnsi="Times New Roman" w:cs="Times New Roman"/>
          <w:noProof/>
          <w:sz w:val="24"/>
          <w:szCs w:val="24"/>
          <w:lang w:eastAsia="ja-JP"/>
        </w:rPr>
        <w:footnoteReference w:id="22"/>
      </w:r>
      <w:r>
        <w:rPr>
          <w:rFonts w:ascii="Times New Roman" w:hAnsi="Times New Roman" w:cs="Times New Roman"/>
          <w:noProof/>
          <w:sz w:val="24"/>
          <w:szCs w:val="24"/>
          <w:lang w:eastAsia="ja-JP"/>
        </w:rPr>
        <w:t xml:space="preserve"> </w:t>
      </w:r>
    </w:p>
    <w:p>
      <w:pPr>
        <w:jc w:val="both"/>
        <w:rPr>
          <w:rFonts w:ascii="Times New Roman" w:hAnsi="Times New Roman" w:cs="Times New Roman"/>
          <w:noProof/>
          <w:sz w:val="24"/>
          <w:szCs w:val="24"/>
          <w:lang w:eastAsia="ja-JP"/>
        </w:rPr>
      </w:pPr>
      <w:r>
        <w:rPr>
          <w:rFonts w:ascii="Times New Roman" w:hAnsi="Times New Roman" w:cs="Times New Roman"/>
          <w:noProof/>
          <w:sz w:val="24"/>
          <w:szCs w:val="24"/>
          <w:lang w:eastAsia="ja-JP"/>
        </w:rPr>
        <w:t>General audit strategies and/or programmes are designed; often targeted ones for VAT are added. A variety of VAT audits (comprehensive field audits, issue-related audits, desk audits, etc.) are carried out to check the correctness of the data declared in the VAT returns. However, audit is an expensive tool as it is time-consuming and requires a large number of human resources. Moreover, the percentage of audit contribution to the total VAT collection is limited.</w:t>
      </w:r>
    </w:p>
    <w:p>
      <w:pPr>
        <w:jc w:val="both"/>
        <w:rPr>
          <w:rFonts w:ascii="Times New Roman" w:hAnsi="Times New Roman" w:cs="Times New Roman"/>
          <w:noProof/>
          <w:sz w:val="24"/>
          <w:szCs w:val="24"/>
          <w:lang w:eastAsia="ja-JP"/>
        </w:rPr>
      </w:pPr>
      <w:r>
        <w:rPr>
          <w:rFonts w:ascii="Times New Roman" w:hAnsi="Times New Roman" w:cs="Times New Roman"/>
          <w:noProof/>
          <w:sz w:val="24"/>
          <w:szCs w:val="24"/>
          <w:lang w:eastAsia="ja-JP"/>
        </w:rPr>
        <w:t xml:space="preserve">Nowadays, </w:t>
      </w:r>
      <w:r>
        <w:rPr>
          <w:rFonts w:ascii="Times New Roman" w:hAnsi="Times New Roman" w:cs="Times New Roman"/>
          <w:b/>
          <w:noProof/>
          <w:sz w:val="24"/>
          <w:szCs w:val="24"/>
          <w:lang w:eastAsia="ja-JP"/>
        </w:rPr>
        <w:t xml:space="preserve">many tax administrations recognise that (full) audit coverage is no longer expected to be the most efficient and effective means to deter non-compliant behaviour. </w:t>
      </w:r>
      <w:r>
        <w:rPr>
          <w:rFonts w:ascii="Times New Roman" w:hAnsi="Times New Roman" w:cs="Times New Roman"/>
          <w:noProof/>
          <w:sz w:val="24"/>
          <w:szCs w:val="24"/>
          <w:lang w:eastAsia="ja-JP"/>
        </w:rPr>
        <w:t xml:space="preserve">Instead, these administrations consider audit as an ultimate enforcement measure to be applied when other proactive initiatives that focus on enhancing voluntary compliance with the tax laws and obligations are not or no longer effective. Striking the right balance between compliance increasing initiatives and VAT control is one of the major challenges of a tax administration. </w:t>
      </w:r>
    </w:p>
    <w:p>
      <w:pPr>
        <w:spacing w:after="0"/>
        <w:rPr>
          <w:rFonts w:ascii="Times New Roman" w:hAnsi="Times New Roman" w:cs="Times New Roman"/>
          <w:i/>
          <w:noProof/>
          <w:sz w:val="24"/>
          <w:szCs w:val="24"/>
          <w:lang w:eastAsia="ja-JP"/>
        </w:rPr>
      </w:pPr>
      <w:bookmarkStart w:id="573" w:name="_Toc498335670"/>
      <w:r>
        <w:rPr>
          <w:rFonts w:ascii="Times New Roman" w:hAnsi="Times New Roman" w:cs="Times New Roman"/>
          <w:b/>
          <w:i/>
          <w:noProof/>
          <w:sz w:val="24"/>
          <w:szCs w:val="24"/>
          <w:u w:val="single"/>
        </w:rPr>
        <w:t xml:space="preserve">Figure </w:t>
      </w:r>
      <w:r>
        <w:rPr>
          <w:rFonts w:ascii="Times New Roman" w:hAnsi="Times New Roman" w:cs="Times New Roman"/>
          <w:b/>
          <w:i/>
          <w:noProof/>
          <w:sz w:val="24"/>
          <w:szCs w:val="24"/>
          <w:u w:val="single"/>
        </w:rPr>
        <w:fldChar w:fldCharType="begin"/>
      </w:r>
      <w:r>
        <w:rPr>
          <w:rFonts w:ascii="Times New Roman" w:hAnsi="Times New Roman" w:cs="Times New Roman"/>
          <w:b/>
          <w:i/>
          <w:noProof/>
          <w:sz w:val="24"/>
          <w:szCs w:val="24"/>
          <w:u w:val="single"/>
        </w:rPr>
        <w:instrText xml:space="preserve"> SEQ Figure \* ARABIC </w:instrText>
      </w:r>
      <w:r>
        <w:rPr>
          <w:rFonts w:ascii="Times New Roman" w:hAnsi="Times New Roman" w:cs="Times New Roman"/>
          <w:b/>
          <w:i/>
          <w:noProof/>
          <w:sz w:val="24"/>
          <w:szCs w:val="24"/>
          <w:u w:val="single"/>
        </w:rPr>
        <w:fldChar w:fldCharType="separate"/>
      </w:r>
      <w:r>
        <w:rPr>
          <w:rFonts w:ascii="Times New Roman" w:hAnsi="Times New Roman" w:cs="Times New Roman"/>
          <w:b/>
          <w:i/>
          <w:noProof/>
          <w:sz w:val="24"/>
          <w:szCs w:val="24"/>
          <w:u w:val="single"/>
        </w:rPr>
        <w:t>10</w:t>
      </w:r>
      <w:r>
        <w:rPr>
          <w:rFonts w:ascii="Times New Roman" w:hAnsi="Times New Roman" w:cs="Times New Roman"/>
          <w:b/>
          <w:i/>
          <w:noProof/>
          <w:sz w:val="24"/>
          <w:szCs w:val="24"/>
          <w:u w:val="single"/>
        </w:rPr>
        <w:fldChar w:fldCharType="end"/>
      </w:r>
      <w:r>
        <w:rPr>
          <w:rFonts w:ascii="Times New Roman" w:hAnsi="Times New Roman" w:cs="Times New Roman"/>
          <w:i/>
          <w:noProof/>
          <w:sz w:val="24"/>
          <w:szCs w:val="24"/>
          <w:u w:val="single"/>
          <w:lang w:eastAsia="ja-JP"/>
        </w:rPr>
        <w:t>:</w:t>
      </w:r>
      <w:r>
        <w:rPr>
          <w:rFonts w:ascii="Times New Roman" w:hAnsi="Times New Roman" w:cs="Times New Roman"/>
          <w:i/>
          <w:noProof/>
          <w:sz w:val="24"/>
          <w:szCs w:val="24"/>
          <w:lang w:eastAsia="ja-JP"/>
        </w:rPr>
        <w:t xml:space="preserve"> VAT collection and VAT assessed after audits in 22 EU Member States</w:t>
      </w:r>
      <w:r>
        <w:rPr>
          <w:rStyle w:val="FootnoteReference"/>
          <w:rFonts w:ascii="Times New Roman" w:hAnsi="Times New Roman" w:cs="Times New Roman"/>
          <w:i/>
          <w:noProof/>
          <w:sz w:val="24"/>
          <w:szCs w:val="24"/>
          <w:lang w:eastAsia="ja-JP"/>
        </w:rPr>
        <w:footnoteReference w:id="23"/>
      </w:r>
      <w:r>
        <w:rPr>
          <w:rFonts w:ascii="Times New Roman" w:hAnsi="Times New Roman" w:cs="Times New Roman"/>
          <w:i/>
          <w:noProof/>
          <w:sz w:val="24"/>
          <w:szCs w:val="24"/>
          <w:lang w:eastAsia="ja-JP"/>
        </w:rPr>
        <w:t xml:space="preserve"> (2013 – 2015)</w:t>
      </w:r>
      <w:bookmarkEnd w:id="573"/>
    </w:p>
    <w:p>
      <w:pPr>
        <w:spacing w:after="60"/>
        <w:rPr>
          <w:rFonts w:ascii="Times New Roman" w:hAnsi="Times New Roman" w:cs="Times New Roman"/>
          <w:noProof/>
          <w:lang w:eastAsia="ja-JP"/>
        </w:rPr>
      </w:pPr>
      <w:r>
        <w:rPr>
          <w:rFonts w:ascii="Times New Roman" w:hAnsi="Times New Roman" w:cs="Times New Roman"/>
          <w:noProof/>
          <w:lang w:val="en-US"/>
        </w:rPr>
        <w:drawing>
          <wp:inline distT="0" distB="0" distL="0" distR="0">
            <wp:extent cx="5486400" cy="3211032"/>
            <wp:effectExtent l="0" t="0" r="19050" b="2794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pPr>
        <w:pStyle w:val="NORMAL0"/>
        <w:spacing w:before="120" w:after="240" w:line="276" w:lineRule="auto"/>
        <w:rPr>
          <w:rFonts w:ascii="Times New Roman" w:eastAsiaTheme="minorHAnsi" w:hAnsi="Times New Roman" w:cs="Times New Roman"/>
          <w:i/>
          <w:noProof/>
          <w:sz w:val="18"/>
          <w:szCs w:val="18"/>
          <w:lang w:eastAsia="ja-JP"/>
        </w:rPr>
      </w:pPr>
      <w:r>
        <w:rPr>
          <w:rFonts w:ascii="Times New Roman" w:eastAsiaTheme="minorHAnsi" w:hAnsi="Times New Roman" w:cs="Times New Roman"/>
          <w:i/>
          <w:noProof/>
          <w:sz w:val="18"/>
          <w:szCs w:val="18"/>
          <w:lang w:eastAsia="ja-JP"/>
        </w:rPr>
        <w:t xml:space="preserve">Source: Member States' answers to 2017 Questionnaire </w:t>
      </w:r>
    </w:p>
    <w:p>
      <w:pPr>
        <w:jc w:val="both"/>
        <w:rPr>
          <w:rFonts w:ascii="Times New Roman" w:hAnsi="Times New Roman" w:cs="Times New Roman"/>
          <w:noProof/>
          <w:sz w:val="24"/>
          <w:szCs w:val="24"/>
          <w:lang w:eastAsia="ja-JP"/>
        </w:rPr>
      </w:pPr>
      <w:r>
        <w:rPr>
          <w:rFonts w:ascii="Times New Roman" w:hAnsi="Times New Roman" w:cs="Times New Roman"/>
          <w:noProof/>
          <w:sz w:val="24"/>
          <w:szCs w:val="24"/>
          <w:lang w:eastAsia="ja-JP"/>
        </w:rPr>
        <w:t>Other tax administrations base their (VAT) compliance approach mainly on monitoring and control. Under this approach, it is standard practice to use risk management techniques to improve the effectiveness of audits, in particular in audit case selection. Measures are taken to support risk analysis, for instance by introducing control statements that allow the tax authorities to cross-check sales and purchases at domestic level. Also, the increased use of third party information contributes to a more targeted audit approach. The information gathered from this approach proved to be an important element for the detection of fraud.</w:t>
      </w:r>
    </w:p>
    <w:p>
      <w:pPr>
        <w:spacing w:after="240"/>
        <w:jc w:val="both"/>
        <w:rPr>
          <w:rFonts w:ascii="Times New Roman" w:hAnsi="Times New Roman" w:cs="Times New Roman"/>
          <w:bCs/>
          <w:noProof/>
          <w:sz w:val="24"/>
          <w:szCs w:val="24"/>
        </w:rPr>
      </w:pPr>
      <w:r>
        <w:rPr>
          <w:rFonts w:ascii="Times New Roman" w:hAnsi="Times New Roman" w:cs="Times New Roman"/>
          <w:bCs/>
          <w:noProof/>
          <w:sz w:val="24"/>
          <w:szCs w:val="24"/>
        </w:rPr>
        <w:t xml:space="preserve">An obstacle from moving away from an audit approach to preventative measures is the way tax administration’s efficiency is measured. If the efficiency is measured based on audit/collection statistics, shifting to a compliance-based approach requires that other metrics are used, such as VAT Gaps and the assessment by businesses of fairness in treatment received from the tax administration within the competitive environment. </w:t>
      </w:r>
    </w:p>
    <w:p>
      <w:pPr>
        <w:pStyle w:val="Caption"/>
        <w:spacing w:line="276" w:lineRule="auto"/>
        <w:rPr>
          <w:noProof/>
          <w:sz w:val="24"/>
        </w:rPr>
      </w:pPr>
      <w:bookmarkStart w:id="574" w:name="_Toc498335682"/>
      <w:r>
        <w:rPr>
          <w:noProof/>
          <w:sz w:val="24"/>
        </w:rPr>
        <w:t xml:space="preserve">Recommendation </w:t>
      </w:r>
      <w:r>
        <w:rPr>
          <w:noProof/>
          <w:sz w:val="24"/>
        </w:rPr>
        <w:fldChar w:fldCharType="begin"/>
      </w:r>
      <w:r>
        <w:rPr>
          <w:noProof/>
          <w:sz w:val="24"/>
        </w:rPr>
        <w:instrText xml:space="preserve"> SEQ Recommendation \* ARABIC </w:instrText>
      </w:r>
      <w:r>
        <w:rPr>
          <w:noProof/>
          <w:sz w:val="24"/>
        </w:rPr>
        <w:fldChar w:fldCharType="separate"/>
      </w:r>
      <w:r>
        <w:rPr>
          <w:noProof/>
          <w:sz w:val="24"/>
        </w:rPr>
        <w:t>10</w:t>
      </w:r>
      <w:r>
        <w:rPr>
          <w:noProof/>
          <w:sz w:val="24"/>
        </w:rPr>
        <w:fldChar w:fldCharType="end"/>
      </w:r>
      <w:r>
        <w:rPr>
          <w:noProof/>
          <w:sz w:val="24"/>
        </w:rPr>
        <w:t>: Audit and compliance strategy</w:t>
      </w:r>
      <w:bookmarkEnd w:id="574"/>
    </w:p>
    <w:p>
      <w:pPr>
        <w:pStyle w:val="Text1"/>
        <w:pBdr>
          <w:top w:val="single" w:sz="4" w:space="1" w:color="auto"/>
          <w:left w:val="single" w:sz="4" w:space="4" w:color="auto"/>
          <w:bottom w:val="single" w:sz="4" w:space="1" w:color="auto"/>
          <w:right w:val="single" w:sz="4" w:space="4" w:color="auto"/>
        </w:pBdr>
        <w:spacing w:after="240" w:line="276" w:lineRule="auto"/>
        <w:ind w:left="0"/>
        <w:rPr>
          <w:i/>
          <w:noProof/>
        </w:rPr>
      </w:pPr>
      <w:r>
        <w:rPr>
          <w:rFonts w:eastAsiaTheme="minorEastAsia"/>
          <w:i/>
          <w:noProof/>
          <w:lang w:eastAsia="ja-JP"/>
        </w:rPr>
        <w:t>Member States should ensure that their audit strategy is part of an overall (VAT) compliance strategy and not a stand-alone approach.</w:t>
      </w:r>
    </w:p>
    <w:p>
      <w:pPr>
        <w:spacing w:after="240"/>
        <w:jc w:val="both"/>
        <w:rPr>
          <w:rFonts w:ascii="Times New Roman" w:hAnsi="Times New Roman" w:cs="Times New Roman"/>
          <w:bCs/>
          <w:noProof/>
          <w:sz w:val="24"/>
          <w:szCs w:val="24"/>
        </w:rPr>
      </w:pPr>
      <w:r>
        <w:rPr>
          <w:rFonts w:ascii="Times New Roman" w:hAnsi="Times New Roman" w:cs="Times New Roman"/>
          <w:bCs/>
          <w:noProof/>
          <w:sz w:val="24"/>
          <w:szCs w:val="24"/>
        </w:rPr>
        <w:t>Finally, combatting VAT fraud is still one of the priorities of tax administrations and of the Commission.</w:t>
      </w:r>
      <w:r>
        <w:rPr>
          <w:rStyle w:val="FootnoteReference"/>
          <w:rFonts w:ascii="Times New Roman" w:hAnsi="Times New Roman" w:cs="Times New Roman"/>
          <w:bCs/>
          <w:noProof/>
          <w:sz w:val="24"/>
          <w:szCs w:val="24"/>
        </w:rPr>
        <w:footnoteReference w:id="24"/>
      </w:r>
      <w:r>
        <w:rPr>
          <w:rFonts w:ascii="Times New Roman" w:hAnsi="Times New Roman" w:cs="Times New Roman"/>
          <w:bCs/>
          <w:noProof/>
          <w:sz w:val="24"/>
          <w:szCs w:val="24"/>
        </w:rPr>
        <w:t xml:space="preserve"> In particular in the case of combatting cross-border VAT fraud, administrative cooperation between Member States' tax authorities needs to be strengthened. This is why the </w:t>
      </w:r>
      <w:r>
        <w:rPr>
          <w:rFonts w:ascii="Times New Roman" w:hAnsi="Times New Roman" w:cs="Times New Roman"/>
          <w:b/>
          <w:bCs/>
          <w:noProof/>
          <w:sz w:val="24"/>
          <w:szCs w:val="24"/>
        </w:rPr>
        <w:t>Commission has evaluated the current administrative cooperation arrangements and is tabling a proposal to amend the Council Regulation on Administrative Cooperation in the field of VAT</w:t>
      </w:r>
      <w:r>
        <w:rPr>
          <w:rFonts w:ascii="Times New Roman" w:hAnsi="Times New Roman" w:cs="Times New Roman"/>
          <w:bCs/>
          <w:noProof/>
          <w:sz w:val="24"/>
          <w:szCs w:val="24"/>
        </w:rPr>
        <w:t>.</w:t>
      </w:r>
    </w:p>
    <w:p>
      <w:pPr>
        <w:spacing w:after="240"/>
        <w:jc w:val="both"/>
        <w:rPr>
          <w:rFonts w:ascii="Times New Roman" w:hAnsi="Times New Roman" w:cs="Times New Roman"/>
          <w:bCs/>
          <w:noProof/>
          <w:sz w:val="24"/>
          <w:szCs w:val="24"/>
        </w:rPr>
      </w:pPr>
    </w:p>
    <w:p>
      <w:pPr>
        <w:pStyle w:val="ManualHeading1"/>
        <w:rPr>
          <w:noProof/>
        </w:rPr>
      </w:pPr>
      <w:bookmarkStart w:id="575" w:name="_Toc492395860"/>
      <w:bookmarkStart w:id="576" w:name="_Toc492396220"/>
      <w:bookmarkStart w:id="577" w:name="_Toc492395861"/>
      <w:bookmarkStart w:id="578" w:name="_Toc492396221"/>
      <w:bookmarkStart w:id="579" w:name="_Toc492395862"/>
      <w:bookmarkStart w:id="580" w:name="_Toc492396222"/>
      <w:bookmarkStart w:id="581" w:name="_Toc492395863"/>
      <w:bookmarkStart w:id="582" w:name="_Toc492396223"/>
      <w:bookmarkStart w:id="583" w:name="_Toc492395864"/>
      <w:bookmarkStart w:id="584" w:name="_Toc492396224"/>
      <w:bookmarkStart w:id="585" w:name="_Toc492395865"/>
      <w:bookmarkStart w:id="586" w:name="_Toc492396225"/>
      <w:bookmarkStart w:id="587" w:name="_Toc492395869"/>
      <w:bookmarkStart w:id="588" w:name="_Toc492396229"/>
      <w:bookmarkStart w:id="589" w:name="_Toc498335657"/>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r>
        <w:t>4.</w:t>
      </w:r>
      <w:r>
        <w:tab/>
      </w:r>
      <w:r>
        <w:rPr>
          <w:noProof/>
        </w:rPr>
        <w:t>Implementation of recommendations from the Seventh Article 12 Report and Staff Working Document</w:t>
      </w:r>
      <w:r>
        <w:rPr>
          <w:rStyle w:val="FootnoteReference"/>
          <w:noProof/>
          <w:szCs w:val="24"/>
        </w:rPr>
        <w:footnoteReference w:id="25"/>
      </w:r>
      <w:bookmarkEnd w:id="589"/>
    </w:p>
    <w:p>
      <w:pPr>
        <w:spacing w:after="240"/>
        <w:jc w:val="both"/>
        <w:rPr>
          <w:rFonts w:ascii="Times New Roman" w:hAnsi="Times New Roman" w:cs="Times New Roman"/>
          <w:noProof/>
          <w:sz w:val="24"/>
          <w:szCs w:val="24"/>
          <w:lang w:eastAsia="ja-JP"/>
        </w:rPr>
      </w:pPr>
      <w:r>
        <w:rPr>
          <w:rFonts w:ascii="Times New Roman" w:hAnsi="Times New Roman" w:cs="Times New Roman"/>
          <w:noProof/>
          <w:sz w:val="24"/>
          <w:szCs w:val="24"/>
          <w:lang w:eastAsia="ja-JP"/>
        </w:rPr>
        <w:t>The seventh Article 12 report and accompanying Staff Working Document include 32 recommendations addressed to twenty-seven Member States.</w:t>
      </w:r>
      <w:r>
        <w:rPr>
          <w:rStyle w:val="FootnoteReference"/>
          <w:rFonts w:ascii="Times New Roman" w:hAnsi="Times New Roman" w:cs="Times New Roman"/>
          <w:noProof/>
          <w:sz w:val="24"/>
          <w:szCs w:val="24"/>
          <w:lang w:eastAsia="ja-JP"/>
        </w:rPr>
        <w:footnoteReference w:id="26"/>
      </w:r>
      <w:r>
        <w:rPr>
          <w:rFonts w:ascii="Times New Roman" w:hAnsi="Times New Roman" w:cs="Times New Roman"/>
          <w:noProof/>
          <w:sz w:val="24"/>
          <w:szCs w:val="24"/>
          <w:lang w:eastAsia="ja-JP"/>
        </w:rPr>
        <w:t xml:space="preserve"> The recommendations were grouped into seven sections: (a) VAT Identification, registration and deregistration; (b) Customs Procedure 42; (c) Filing and Payment of VAT returns; (d) VAT collection and debt recovery; (e) VAT audit and investigation; (f) Tax dispute resolution and (g) VAT compliance. Each recommendation was applicable for at least two up to twenty-seven Member States. </w:t>
      </w:r>
    </w:p>
    <w:p>
      <w:pPr>
        <w:pStyle w:val="Caption"/>
        <w:rPr>
          <w:b w:val="0"/>
          <w:i/>
          <w:noProof/>
          <w:sz w:val="24"/>
          <w:szCs w:val="24"/>
          <w:lang w:eastAsia="ja-JP"/>
        </w:rPr>
      </w:pPr>
      <w:bookmarkStart w:id="590" w:name="_Toc498335671"/>
      <w:r>
        <w:rPr>
          <w:i/>
          <w:noProof/>
          <w:sz w:val="24"/>
          <w:szCs w:val="24"/>
          <w:u w:val="single"/>
        </w:rPr>
        <w:t xml:space="preserve">Figure </w:t>
      </w:r>
      <w:r>
        <w:rPr>
          <w:i/>
          <w:noProof/>
          <w:sz w:val="24"/>
          <w:szCs w:val="24"/>
          <w:u w:val="single"/>
        </w:rPr>
        <w:fldChar w:fldCharType="begin"/>
      </w:r>
      <w:r>
        <w:rPr>
          <w:i/>
          <w:noProof/>
          <w:sz w:val="24"/>
          <w:szCs w:val="24"/>
          <w:u w:val="single"/>
        </w:rPr>
        <w:instrText xml:space="preserve"> SEQ Figure \* ARABIC </w:instrText>
      </w:r>
      <w:r>
        <w:rPr>
          <w:i/>
          <w:noProof/>
          <w:sz w:val="24"/>
          <w:szCs w:val="24"/>
          <w:u w:val="single"/>
        </w:rPr>
        <w:fldChar w:fldCharType="separate"/>
      </w:r>
      <w:r>
        <w:rPr>
          <w:i/>
          <w:noProof/>
          <w:sz w:val="24"/>
          <w:szCs w:val="24"/>
          <w:u w:val="single"/>
        </w:rPr>
        <w:t>11</w:t>
      </w:r>
      <w:r>
        <w:rPr>
          <w:i/>
          <w:noProof/>
          <w:sz w:val="24"/>
          <w:szCs w:val="24"/>
          <w:u w:val="single"/>
        </w:rPr>
        <w:fldChar w:fldCharType="end"/>
      </w:r>
      <w:r>
        <w:rPr>
          <w:i/>
          <w:noProof/>
          <w:sz w:val="24"/>
          <w:szCs w:val="24"/>
          <w:u w:val="single"/>
          <w:lang w:eastAsia="ja-JP"/>
        </w:rPr>
        <w:t>:</w:t>
      </w:r>
      <w:r>
        <w:rPr>
          <w:i/>
          <w:noProof/>
          <w:sz w:val="24"/>
          <w:szCs w:val="24"/>
          <w:lang w:eastAsia="ja-JP"/>
        </w:rPr>
        <w:t xml:space="preserve"> </w:t>
      </w:r>
      <w:r>
        <w:rPr>
          <w:b w:val="0"/>
          <w:i/>
          <w:noProof/>
          <w:sz w:val="24"/>
          <w:szCs w:val="24"/>
          <w:lang w:eastAsia="ja-JP"/>
        </w:rPr>
        <w:t>Implementation rate of the recommendations per section for 27 Member States</w:t>
      </w:r>
      <w:r>
        <w:rPr>
          <w:rStyle w:val="FootnoteReference"/>
          <w:b w:val="0"/>
          <w:i/>
          <w:noProof/>
          <w:sz w:val="24"/>
          <w:szCs w:val="24"/>
          <w:lang w:eastAsia="ja-JP"/>
        </w:rPr>
        <w:footnoteReference w:id="27"/>
      </w:r>
      <w:bookmarkEnd w:id="590"/>
    </w:p>
    <w:p>
      <w:pPr>
        <w:spacing w:after="240"/>
        <w:rPr>
          <w:rFonts w:ascii="Times New Roman" w:hAnsi="Times New Roman" w:cs="Times New Roman"/>
          <w:i/>
          <w:noProof/>
          <w:sz w:val="18"/>
          <w:szCs w:val="18"/>
          <w:lang w:eastAsia="ja-JP"/>
        </w:rPr>
      </w:pPr>
      <w:r>
        <w:rPr>
          <w:rFonts w:ascii="Times New Roman" w:hAnsi="Times New Roman" w:cs="Times New Roman"/>
          <w:noProof/>
          <w:sz w:val="24"/>
          <w:szCs w:val="24"/>
          <w:lang w:val="en-US"/>
        </w:rPr>
        <w:drawing>
          <wp:inline distT="0" distB="0" distL="0" distR="0">
            <wp:extent cx="5759355" cy="2251880"/>
            <wp:effectExtent l="0" t="0" r="13335" b="15240"/>
            <wp:docPr id="10"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r>
        <w:rPr>
          <w:rFonts w:ascii="Times New Roman" w:hAnsi="Times New Roman" w:cs="Times New Roman"/>
          <w:i/>
          <w:noProof/>
          <w:sz w:val="18"/>
          <w:szCs w:val="18"/>
          <w:lang w:eastAsia="ja-JP"/>
        </w:rPr>
        <w:t xml:space="preserve">Source: Seventh Article 12 Report (previous recommendations); Member States' answers to 2017 Questionnaire </w:t>
      </w:r>
    </w:p>
    <w:p>
      <w:pPr>
        <w:spacing w:after="240"/>
        <w:jc w:val="both"/>
        <w:rPr>
          <w:rFonts w:ascii="Times New Roman" w:hAnsi="Times New Roman" w:cs="Times New Roman"/>
          <w:noProof/>
          <w:sz w:val="24"/>
          <w:szCs w:val="24"/>
          <w:lang w:eastAsia="ja-JP"/>
        </w:rPr>
      </w:pPr>
      <w:r>
        <w:rPr>
          <w:rFonts w:ascii="Times New Roman" w:hAnsi="Times New Roman" w:cs="Times New Roman"/>
          <w:noProof/>
          <w:sz w:val="24"/>
          <w:szCs w:val="24"/>
          <w:lang w:eastAsia="ja-JP"/>
        </w:rPr>
        <w:t>Based on the Member States’ replies, it appears that over two third of the recommendations were fully or partially taken on board. However, a closer look at the individual implementation rates per Member State and per recommendation shows a considerable variation. Some Member States hardly took the proposals on board, while others implemented most of the suggestions. Some recommendations were well received (for instance on VAT registration and audit), while others were hardly implemented (for instance in the field of dispute resolution).</w:t>
      </w:r>
    </w:p>
    <w:p>
      <w:pPr>
        <w:pStyle w:val="NORMAL0"/>
        <w:spacing w:before="120" w:after="120" w:line="276" w:lineRule="auto"/>
        <w:rPr>
          <w:rFonts w:ascii="Times New Roman" w:eastAsia="Times New Roman" w:hAnsi="Times New Roman" w:cs="Times New Roman"/>
          <w:noProof/>
          <w:sz w:val="24"/>
          <w:lang w:eastAsia="ja-JP"/>
        </w:rPr>
      </w:pPr>
      <w:r>
        <w:rPr>
          <w:rFonts w:ascii="Times New Roman" w:eastAsia="Times New Roman" w:hAnsi="Times New Roman" w:cs="Times New Roman"/>
          <w:noProof/>
          <w:sz w:val="24"/>
          <w:lang w:eastAsia="ja-JP"/>
        </w:rPr>
        <w:t xml:space="preserve">In particular, </w:t>
      </w:r>
      <w:r>
        <w:rPr>
          <w:rFonts w:ascii="Times New Roman" w:eastAsia="Times New Roman" w:hAnsi="Times New Roman" w:cs="Times New Roman"/>
          <w:b/>
          <w:noProof/>
          <w:sz w:val="24"/>
          <w:lang w:eastAsia="ja-JP"/>
        </w:rPr>
        <w:t>keeping the VIES system accurate and up-to-date remains a major concern</w:t>
      </w:r>
      <w:r>
        <w:rPr>
          <w:rFonts w:ascii="Times New Roman" w:eastAsia="Times New Roman" w:hAnsi="Times New Roman" w:cs="Times New Roman"/>
          <w:noProof/>
          <w:sz w:val="24"/>
          <w:lang w:eastAsia="ja-JP"/>
        </w:rPr>
        <w:t xml:space="preserve">. Still today in a number of Member States the validity of the data in the VIES system is not checked on a regular basis, which causes considerable difficulties for traders doing business in the internal market (see also paragraph 2.2.3). </w:t>
      </w:r>
    </w:p>
    <w:p>
      <w:pPr>
        <w:pStyle w:val="Caption"/>
        <w:rPr>
          <w:b w:val="0"/>
          <w:i/>
          <w:noProof/>
          <w:sz w:val="24"/>
          <w:szCs w:val="24"/>
          <w:lang w:eastAsia="ja-JP"/>
        </w:rPr>
      </w:pPr>
      <w:bookmarkStart w:id="591" w:name="_Toc498335672"/>
      <w:r>
        <w:rPr>
          <w:i/>
          <w:noProof/>
          <w:sz w:val="24"/>
          <w:szCs w:val="24"/>
          <w:u w:val="single"/>
        </w:rPr>
        <w:t xml:space="preserve">Figure </w:t>
      </w:r>
      <w:r>
        <w:rPr>
          <w:i/>
          <w:noProof/>
          <w:sz w:val="24"/>
          <w:szCs w:val="24"/>
          <w:u w:val="single"/>
        </w:rPr>
        <w:fldChar w:fldCharType="begin"/>
      </w:r>
      <w:r>
        <w:rPr>
          <w:i/>
          <w:noProof/>
          <w:sz w:val="24"/>
          <w:szCs w:val="24"/>
          <w:u w:val="single"/>
        </w:rPr>
        <w:instrText xml:space="preserve"> SEQ Figure \* ARABIC </w:instrText>
      </w:r>
      <w:r>
        <w:rPr>
          <w:i/>
          <w:noProof/>
          <w:sz w:val="24"/>
          <w:szCs w:val="24"/>
          <w:u w:val="single"/>
        </w:rPr>
        <w:fldChar w:fldCharType="separate"/>
      </w:r>
      <w:r>
        <w:rPr>
          <w:i/>
          <w:noProof/>
          <w:sz w:val="24"/>
          <w:szCs w:val="24"/>
          <w:u w:val="single"/>
        </w:rPr>
        <w:t>12</w:t>
      </w:r>
      <w:r>
        <w:rPr>
          <w:i/>
          <w:noProof/>
          <w:sz w:val="24"/>
          <w:szCs w:val="24"/>
          <w:u w:val="single"/>
        </w:rPr>
        <w:fldChar w:fldCharType="end"/>
      </w:r>
      <w:r>
        <w:rPr>
          <w:i/>
          <w:noProof/>
          <w:sz w:val="24"/>
          <w:szCs w:val="24"/>
          <w:u w:val="single"/>
          <w:lang w:eastAsia="ja-JP"/>
        </w:rPr>
        <w:t>:</w:t>
      </w:r>
      <w:r>
        <w:rPr>
          <w:b w:val="0"/>
          <w:noProof/>
          <w:sz w:val="24"/>
          <w:szCs w:val="24"/>
          <w:lang w:eastAsia="ja-JP"/>
        </w:rPr>
        <w:t xml:space="preserve"> </w:t>
      </w:r>
      <w:r>
        <w:rPr>
          <w:b w:val="0"/>
          <w:i/>
          <w:noProof/>
          <w:sz w:val="24"/>
          <w:szCs w:val="24"/>
          <w:lang w:eastAsia="ja-JP"/>
        </w:rPr>
        <w:t>Overall implementation rate</w:t>
      </w:r>
      <w:r>
        <w:rPr>
          <w:rStyle w:val="FootnoteReference"/>
          <w:b w:val="0"/>
          <w:i/>
          <w:noProof/>
          <w:sz w:val="24"/>
          <w:szCs w:val="24"/>
          <w:lang w:eastAsia="ja-JP"/>
        </w:rPr>
        <w:footnoteReference w:id="28"/>
      </w:r>
      <w:r>
        <w:rPr>
          <w:b w:val="0"/>
          <w:i/>
          <w:noProof/>
          <w:sz w:val="24"/>
          <w:szCs w:val="24"/>
          <w:lang w:eastAsia="ja-JP"/>
        </w:rPr>
        <w:t xml:space="preserve"> of previous recommendations</w:t>
      </w:r>
      <w:bookmarkEnd w:id="591"/>
      <w:r>
        <w:rPr>
          <w:b w:val="0"/>
          <w:i/>
          <w:noProof/>
          <w:sz w:val="24"/>
          <w:szCs w:val="24"/>
          <w:lang w:eastAsia="ja-JP"/>
        </w:rPr>
        <w:t xml:space="preserve"> </w:t>
      </w:r>
    </w:p>
    <w:tbl>
      <w:tblPr>
        <w:tblStyle w:val="TableGrid"/>
        <w:tblW w:w="0" w:type="auto"/>
        <w:tblLayout w:type="fixed"/>
        <w:tblLook w:val="04A0" w:firstRow="1" w:lastRow="0" w:firstColumn="1" w:lastColumn="0" w:noHBand="0" w:noVBand="1"/>
      </w:tblPr>
      <w:tblGrid>
        <w:gridCol w:w="6912"/>
        <w:gridCol w:w="425"/>
        <w:gridCol w:w="1843"/>
      </w:tblGrid>
      <w:tr>
        <w:trPr>
          <w:trHeight w:val="452"/>
        </w:trPr>
        <w:tc>
          <w:tcPr>
            <w:tcW w:w="6912" w:type="dxa"/>
            <w:vMerge w:val="restart"/>
            <w:tcBorders>
              <w:top w:val="nil"/>
              <w:left w:val="nil"/>
              <w:bottom w:val="nil"/>
              <w:right w:val="single" w:sz="4" w:space="0" w:color="BFBFBF" w:themeColor="background1" w:themeShade="BF"/>
            </w:tcBorders>
          </w:tcPr>
          <w:p>
            <w:pPr>
              <w:spacing w:before="60" w:after="60" w:line="276" w:lineRule="auto"/>
              <w:rPr>
                <w:rFonts w:ascii="Times New Roman" w:hAnsi="Times New Roman" w:cs="Times New Roman"/>
                <w:i/>
                <w:noProof/>
                <w:color w:val="FFFFFF" w:themeColor="background1"/>
              </w:rPr>
            </w:pPr>
            <w:r>
              <w:rPr>
                <w:rFonts w:ascii="Times New Roman" w:hAnsi="Times New Roman" w:cs="Times New Roman"/>
                <w:i/>
                <w:noProof/>
                <w:color w:val="FFFFFF" w:themeColor="background1"/>
                <w:lang w:val="en-US"/>
              </w:rPr>
              <w:drawing>
                <wp:inline distT="0" distB="0" distL="0" distR="0">
                  <wp:extent cx="4242816" cy="1404518"/>
                  <wp:effectExtent l="0" t="0" r="5715" b="5715"/>
                  <wp:docPr id="4"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tc>
        <w:tc>
          <w:tcPr>
            <w:tcW w:w="425"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FEA34F"/>
          </w:tcPr>
          <w:p>
            <w:pPr>
              <w:spacing w:line="276" w:lineRule="auto"/>
              <w:rPr>
                <w:rFonts w:ascii="Times New Roman" w:hAnsi="Times New Roman" w:cs="Times New Roman"/>
                <w:i/>
                <w:noProof/>
                <w:sz w:val="16"/>
                <w:szCs w:val="16"/>
                <w:lang w:eastAsia="ja-JP"/>
              </w:rPr>
            </w:pPr>
          </w:p>
        </w:tc>
        <w:tc>
          <w:tcPr>
            <w:tcW w:w="1843"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vAlign w:val="center"/>
          </w:tcPr>
          <w:p>
            <w:pPr>
              <w:spacing w:line="276" w:lineRule="auto"/>
              <w:rPr>
                <w:rFonts w:ascii="Times New Roman" w:hAnsi="Times New Roman" w:cs="Times New Roman"/>
                <w:i/>
                <w:noProof/>
                <w:sz w:val="18"/>
                <w:szCs w:val="18"/>
                <w:lang w:eastAsia="ja-JP"/>
              </w:rPr>
            </w:pPr>
            <w:r>
              <w:rPr>
                <w:rFonts w:ascii="Times New Roman" w:hAnsi="Times New Roman" w:cs="Times New Roman"/>
                <w:i/>
                <w:noProof/>
                <w:sz w:val="18"/>
                <w:szCs w:val="18"/>
                <w:lang w:eastAsia="ja-JP"/>
              </w:rPr>
              <w:t>Not implemented</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
        </w:trPr>
        <w:tc>
          <w:tcPr>
            <w:tcW w:w="6912" w:type="dxa"/>
            <w:vMerge/>
          </w:tcPr>
          <w:p>
            <w:pPr>
              <w:spacing w:before="60" w:after="60" w:line="276" w:lineRule="auto"/>
              <w:rPr>
                <w:rFonts w:ascii="Times New Roman" w:hAnsi="Times New Roman" w:cs="Times New Roman"/>
                <w:i/>
                <w:noProof/>
                <w:lang w:eastAsia="ja-JP"/>
              </w:rPr>
            </w:pPr>
          </w:p>
        </w:tc>
        <w:tc>
          <w:tcPr>
            <w:tcW w:w="425" w:type="dxa"/>
            <w:tcBorders>
              <w:top w:val="single" w:sz="4" w:space="0" w:color="BFBFBF" w:themeColor="background1" w:themeShade="BF"/>
              <w:bottom w:val="single" w:sz="4" w:space="0" w:color="BFBFBF" w:themeColor="background1" w:themeShade="BF"/>
            </w:tcBorders>
          </w:tcPr>
          <w:p>
            <w:pPr>
              <w:spacing w:line="276" w:lineRule="auto"/>
              <w:rPr>
                <w:rFonts w:ascii="Times New Roman" w:hAnsi="Times New Roman" w:cs="Times New Roman"/>
                <w:i/>
                <w:noProof/>
                <w:sz w:val="16"/>
                <w:szCs w:val="16"/>
                <w:lang w:eastAsia="ja-JP"/>
              </w:rPr>
            </w:pPr>
          </w:p>
        </w:tc>
        <w:tc>
          <w:tcPr>
            <w:tcW w:w="1843" w:type="dxa"/>
            <w:tcBorders>
              <w:top w:val="single" w:sz="4" w:space="0" w:color="BFBFBF" w:themeColor="background1" w:themeShade="BF"/>
              <w:bottom w:val="single" w:sz="4" w:space="0" w:color="BFBFBF" w:themeColor="background1" w:themeShade="BF"/>
            </w:tcBorders>
            <w:vAlign w:val="center"/>
          </w:tcPr>
          <w:p>
            <w:pPr>
              <w:spacing w:line="276" w:lineRule="auto"/>
              <w:rPr>
                <w:rFonts w:ascii="Times New Roman" w:hAnsi="Times New Roman" w:cs="Times New Roman"/>
                <w:i/>
                <w:noProof/>
                <w:sz w:val="18"/>
                <w:szCs w:val="18"/>
                <w:lang w:eastAsia="ja-JP"/>
              </w:rP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1"/>
        </w:trPr>
        <w:tc>
          <w:tcPr>
            <w:tcW w:w="6912" w:type="dxa"/>
            <w:vMerge/>
            <w:tcBorders>
              <w:right w:val="single" w:sz="4" w:space="0" w:color="BFBFBF" w:themeColor="background1" w:themeShade="BF"/>
            </w:tcBorders>
          </w:tcPr>
          <w:p>
            <w:pPr>
              <w:spacing w:before="60" w:after="60" w:line="276" w:lineRule="auto"/>
              <w:rPr>
                <w:rFonts w:ascii="Times New Roman" w:hAnsi="Times New Roman" w:cs="Times New Roman"/>
                <w:i/>
                <w:noProof/>
                <w:color w:val="FFFFFF" w:themeColor="background1"/>
              </w:rPr>
            </w:pPr>
          </w:p>
        </w:tc>
        <w:tc>
          <w:tcPr>
            <w:tcW w:w="425" w:type="dxa"/>
            <w:tcBorders>
              <w:top w:val="single" w:sz="4" w:space="0" w:color="BFBFBF" w:themeColor="background1" w:themeShade="BF"/>
              <w:left w:val="single" w:sz="4" w:space="0" w:color="BFBFBF" w:themeColor="background1" w:themeShade="BF"/>
            </w:tcBorders>
            <w:shd w:val="clear" w:color="auto" w:fill="016AA3"/>
          </w:tcPr>
          <w:p>
            <w:pPr>
              <w:spacing w:line="276" w:lineRule="auto"/>
              <w:rPr>
                <w:rFonts w:ascii="Times New Roman" w:hAnsi="Times New Roman" w:cs="Times New Roman"/>
                <w:i/>
                <w:noProof/>
                <w:sz w:val="16"/>
                <w:szCs w:val="16"/>
                <w:lang w:eastAsia="ja-JP"/>
              </w:rPr>
            </w:pPr>
          </w:p>
        </w:tc>
        <w:tc>
          <w:tcPr>
            <w:tcW w:w="1843" w:type="dxa"/>
            <w:tcBorders>
              <w:top w:val="single" w:sz="4" w:space="0" w:color="BFBFBF" w:themeColor="background1" w:themeShade="BF"/>
              <w:right w:val="single" w:sz="4" w:space="0" w:color="BFBFBF" w:themeColor="background1" w:themeShade="BF"/>
            </w:tcBorders>
            <w:vAlign w:val="center"/>
          </w:tcPr>
          <w:p>
            <w:pPr>
              <w:spacing w:line="276" w:lineRule="auto"/>
              <w:rPr>
                <w:rFonts w:ascii="Times New Roman" w:hAnsi="Times New Roman" w:cs="Times New Roman"/>
                <w:i/>
                <w:noProof/>
                <w:sz w:val="18"/>
                <w:szCs w:val="18"/>
                <w:lang w:eastAsia="ja-JP"/>
              </w:rPr>
            </w:pPr>
            <w:r>
              <w:rPr>
                <w:rFonts w:ascii="Times New Roman" w:hAnsi="Times New Roman" w:cs="Times New Roman"/>
                <w:i/>
                <w:noProof/>
                <w:sz w:val="18"/>
                <w:szCs w:val="18"/>
                <w:lang w:eastAsia="ja-JP"/>
              </w:rPr>
              <w:t>Implemented</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6"/>
        </w:trPr>
        <w:tc>
          <w:tcPr>
            <w:tcW w:w="6912" w:type="dxa"/>
            <w:vMerge/>
            <w:tcBorders>
              <w:right w:val="single" w:sz="4" w:space="0" w:color="BFBFBF" w:themeColor="background1" w:themeShade="BF"/>
            </w:tcBorders>
          </w:tcPr>
          <w:p>
            <w:pPr>
              <w:spacing w:before="60" w:after="60" w:line="276" w:lineRule="auto"/>
              <w:rPr>
                <w:rFonts w:ascii="Times New Roman" w:hAnsi="Times New Roman" w:cs="Times New Roman"/>
                <w:i/>
                <w:noProof/>
                <w:color w:val="FFFFFF" w:themeColor="background1"/>
              </w:rPr>
            </w:pPr>
          </w:p>
        </w:tc>
        <w:tc>
          <w:tcPr>
            <w:tcW w:w="425" w:type="dxa"/>
            <w:tcBorders>
              <w:left w:val="single" w:sz="4" w:space="0" w:color="BFBFBF" w:themeColor="background1" w:themeShade="BF"/>
            </w:tcBorders>
          </w:tcPr>
          <w:p>
            <w:pPr>
              <w:spacing w:line="276" w:lineRule="auto"/>
              <w:rPr>
                <w:rFonts w:ascii="Times New Roman" w:hAnsi="Times New Roman" w:cs="Times New Roman"/>
                <w:i/>
                <w:noProof/>
                <w:sz w:val="16"/>
                <w:szCs w:val="16"/>
                <w:lang w:eastAsia="ja-JP"/>
              </w:rPr>
            </w:pPr>
          </w:p>
        </w:tc>
        <w:tc>
          <w:tcPr>
            <w:tcW w:w="1843" w:type="dxa"/>
            <w:tcBorders>
              <w:right w:val="single" w:sz="4" w:space="0" w:color="BFBFBF" w:themeColor="background1" w:themeShade="BF"/>
            </w:tcBorders>
          </w:tcPr>
          <w:p>
            <w:pPr>
              <w:spacing w:line="276" w:lineRule="auto"/>
              <w:rPr>
                <w:rFonts w:ascii="Times New Roman" w:hAnsi="Times New Roman" w:cs="Times New Roman"/>
                <w:i/>
                <w:noProof/>
                <w:color w:val="808080" w:themeColor="background1" w:themeShade="80"/>
                <w:sz w:val="18"/>
                <w:szCs w:val="18"/>
                <w:lang w:eastAsia="ja-JP"/>
              </w:rPr>
            </w:pPr>
            <w:r>
              <w:rPr>
                <w:rFonts w:ascii="Times New Roman" w:hAnsi="Times New Roman" w:cs="Times New Roman"/>
                <w:i/>
                <w:noProof/>
                <w:color w:val="808080" w:themeColor="background1" w:themeShade="80"/>
                <w:sz w:val="18"/>
                <w:szCs w:val="18"/>
                <w:lang w:eastAsia="ja-JP"/>
              </w:rPr>
              <w:t xml:space="preserve">out of which: </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2"/>
        </w:trPr>
        <w:tc>
          <w:tcPr>
            <w:tcW w:w="6912" w:type="dxa"/>
            <w:vMerge/>
            <w:tcBorders>
              <w:right w:val="single" w:sz="4" w:space="0" w:color="BFBFBF" w:themeColor="background1" w:themeShade="BF"/>
            </w:tcBorders>
          </w:tcPr>
          <w:p>
            <w:pPr>
              <w:spacing w:before="60" w:after="60" w:line="276" w:lineRule="auto"/>
              <w:rPr>
                <w:rFonts w:ascii="Times New Roman" w:hAnsi="Times New Roman" w:cs="Times New Roman"/>
                <w:i/>
                <w:noProof/>
                <w:color w:val="FFFFFF" w:themeColor="background1"/>
              </w:rPr>
            </w:pPr>
          </w:p>
        </w:tc>
        <w:tc>
          <w:tcPr>
            <w:tcW w:w="425" w:type="dxa"/>
            <w:tcBorders>
              <w:left w:val="single" w:sz="4" w:space="0" w:color="BFBFBF" w:themeColor="background1" w:themeShade="BF"/>
            </w:tcBorders>
            <w:shd w:val="clear" w:color="auto" w:fill="38906C"/>
          </w:tcPr>
          <w:p>
            <w:pPr>
              <w:rPr>
                <w:rFonts w:ascii="Times New Roman" w:hAnsi="Times New Roman" w:cs="Times New Roman"/>
                <w:i/>
                <w:noProof/>
                <w:sz w:val="16"/>
                <w:szCs w:val="16"/>
                <w:lang w:eastAsia="ja-JP"/>
              </w:rPr>
            </w:pPr>
          </w:p>
        </w:tc>
        <w:tc>
          <w:tcPr>
            <w:tcW w:w="1843" w:type="dxa"/>
            <w:tcBorders>
              <w:right w:val="single" w:sz="4" w:space="0" w:color="BFBFBF" w:themeColor="background1" w:themeShade="BF"/>
            </w:tcBorders>
            <w:vAlign w:val="center"/>
          </w:tcPr>
          <w:p>
            <w:pPr>
              <w:rPr>
                <w:rFonts w:ascii="Times New Roman" w:hAnsi="Times New Roman" w:cs="Times New Roman"/>
                <w:i/>
                <w:noProof/>
                <w:sz w:val="18"/>
                <w:szCs w:val="18"/>
                <w:lang w:eastAsia="ja-JP"/>
              </w:rPr>
            </w:pPr>
            <w:r>
              <w:rPr>
                <w:rFonts w:ascii="Times New Roman" w:hAnsi="Times New Roman" w:cs="Times New Roman"/>
                <w:i/>
                <w:noProof/>
                <w:sz w:val="18"/>
                <w:szCs w:val="18"/>
                <w:lang w:eastAsia="ja-JP"/>
              </w:rPr>
              <w:t>Fully implemented</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6"/>
        </w:trPr>
        <w:tc>
          <w:tcPr>
            <w:tcW w:w="6912" w:type="dxa"/>
            <w:vMerge/>
            <w:tcBorders>
              <w:right w:val="single" w:sz="4" w:space="0" w:color="BFBFBF" w:themeColor="background1" w:themeShade="BF"/>
            </w:tcBorders>
          </w:tcPr>
          <w:p>
            <w:pPr>
              <w:spacing w:before="60" w:after="60" w:line="276" w:lineRule="auto"/>
              <w:rPr>
                <w:rFonts w:ascii="Times New Roman" w:hAnsi="Times New Roman" w:cs="Times New Roman"/>
                <w:i/>
                <w:noProof/>
                <w:color w:val="FFFFFF" w:themeColor="background1"/>
              </w:rPr>
            </w:pPr>
          </w:p>
        </w:tc>
        <w:tc>
          <w:tcPr>
            <w:tcW w:w="425" w:type="dxa"/>
            <w:tcBorders>
              <w:left w:val="single" w:sz="4" w:space="0" w:color="BFBFBF" w:themeColor="background1" w:themeShade="BF"/>
            </w:tcBorders>
            <w:shd w:val="clear" w:color="auto" w:fill="FFFFFF" w:themeFill="background1"/>
          </w:tcPr>
          <w:p>
            <w:pPr>
              <w:spacing w:line="276" w:lineRule="auto"/>
              <w:rPr>
                <w:rFonts w:ascii="Times New Roman" w:hAnsi="Times New Roman" w:cs="Times New Roman"/>
                <w:i/>
                <w:noProof/>
                <w:sz w:val="16"/>
                <w:szCs w:val="16"/>
                <w:lang w:eastAsia="ja-JP"/>
              </w:rPr>
            </w:pPr>
          </w:p>
        </w:tc>
        <w:tc>
          <w:tcPr>
            <w:tcW w:w="1843" w:type="dxa"/>
            <w:tcBorders>
              <w:right w:val="single" w:sz="4" w:space="0" w:color="BFBFBF" w:themeColor="background1" w:themeShade="BF"/>
            </w:tcBorders>
            <w:vAlign w:val="center"/>
          </w:tcPr>
          <w:p>
            <w:pPr>
              <w:spacing w:line="276" w:lineRule="auto"/>
              <w:rPr>
                <w:rFonts w:ascii="Times New Roman" w:hAnsi="Times New Roman" w:cs="Times New Roman"/>
                <w:i/>
                <w:noProof/>
                <w:sz w:val="18"/>
                <w:szCs w:val="18"/>
                <w:lang w:eastAsia="ja-JP"/>
              </w:rP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2"/>
        </w:trPr>
        <w:tc>
          <w:tcPr>
            <w:tcW w:w="6912" w:type="dxa"/>
            <w:vMerge/>
            <w:tcBorders>
              <w:right w:val="single" w:sz="4" w:space="0" w:color="BFBFBF" w:themeColor="background1" w:themeShade="BF"/>
            </w:tcBorders>
          </w:tcPr>
          <w:p>
            <w:pPr>
              <w:spacing w:before="60" w:after="60" w:line="276" w:lineRule="auto"/>
              <w:rPr>
                <w:rFonts w:ascii="Times New Roman" w:hAnsi="Times New Roman" w:cs="Times New Roman"/>
                <w:i/>
                <w:noProof/>
                <w:color w:val="FFFFFF" w:themeColor="background1"/>
              </w:rPr>
            </w:pPr>
          </w:p>
        </w:tc>
        <w:tc>
          <w:tcPr>
            <w:tcW w:w="425" w:type="dxa"/>
            <w:tcBorders>
              <w:left w:val="single" w:sz="4" w:space="0" w:color="BFBFBF" w:themeColor="background1" w:themeShade="BF"/>
              <w:bottom w:val="single" w:sz="4" w:space="0" w:color="BFBFBF" w:themeColor="background1" w:themeShade="BF"/>
            </w:tcBorders>
            <w:shd w:val="clear" w:color="auto" w:fill="7ACCAB"/>
          </w:tcPr>
          <w:p>
            <w:pPr>
              <w:spacing w:line="276" w:lineRule="auto"/>
              <w:rPr>
                <w:rFonts w:ascii="Times New Roman" w:hAnsi="Times New Roman" w:cs="Times New Roman"/>
                <w:i/>
                <w:noProof/>
                <w:sz w:val="16"/>
                <w:szCs w:val="16"/>
                <w:lang w:eastAsia="ja-JP"/>
              </w:rPr>
            </w:pPr>
          </w:p>
        </w:tc>
        <w:tc>
          <w:tcPr>
            <w:tcW w:w="1843" w:type="dxa"/>
            <w:tcBorders>
              <w:bottom w:val="single" w:sz="4" w:space="0" w:color="BFBFBF" w:themeColor="background1" w:themeShade="BF"/>
              <w:right w:val="single" w:sz="4" w:space="0" w:color="BFBFBF" w:themeColor="background1" w:themeShade="BF"/>
            </w:tcBorders>
            <w:vAlign w:val="center"/>
          </w:tcPr>
          <w:p>
            <w:pPr>
              <w:spacing w:line="276" w:lineRule="auto"/>
              <w:rPr>
                <w:rFonts w:ascii="Times New Roman" w:hAnsi="Times New Roman" w:cs="Times New Roman"/>
                <w:i/>
                <w:noProof/>
                <w:sz w:val="18"/>
                <w:szCs w:val="18"/>
                <w:lang w:eastAsia="ja-JP"/>
              </w:rPr>
            </w:pPr>
            <w:r>
              <w:rPr>
                <w:rFonts w:ascii="Times New Roman" w:hAnsi="Times New Roman" w:cs="Times New Roman"/>
                <w:i/>
                <w:noProof/>
                <w:sz w:val="18"/>
                <w:szCs w:val="18"/>
                <w:lang w:eastAsia="ja-JP"/>
              </w:rPr>
              <w:t>Partially implemented</w:t>
            </w:r>
          </w:p>
        </w:tc>
      </w:tr>
    </w:tbl>
    <w:p>
      <w:pPr>
        <w:pStyle w:val="NORMAL0"/>
        <w:spacing w:before="120" w:after="240" w:line="276" w:lineRule="auto"/>
        <w:rPr>
          <w:rFonts w:ascii="Times New Roman" w:eastAsiaTheme="minorHAnsi" w:hAnsi="Times New Roman" w:cs="Times New Roman"/>
          <w:i/>
          <w:noProof/>
          <w:sz w:val="18"/>
          <w:szCs w:val="18"/>
          <w:lang w:eastAsia="ja-JP"/>
        </w:rPr>
      </w:pPr>
      <w:r>
        <w:rPr>
          <w:rFonts w:ascii="Times New Roman" w:eastAsiaTheme="minorHAnsi" w:hAnsi="Times New Roman" w:cs="Times New Roman"/>
          <w:i/>
          <w:noProof/>
          <w:sz w:val="18"/>
          <w:szCs w:val="18"/>
          <w:lang w:eastAsia="ja-JP"/>
        </w:rPr>
        <w:t>Source: 7</w:t>
      </w:r>
      <w:r>
        <w:rPr>
          <w:rFonts w:ascii="Times New Roman" w:eastAsiaTheme="minorHAnsi" w:hAnsi="Times New Roman" w:cs="Times New Roman"/>
          <w:i/>
          <w:noProof/>
          <w:sz w:val="18"/>
          <w:szCs w:val="18"/>
          <w:vertAlign w:val="superscript"/>
          <w:lang w:eastAsia="ja-JP"/>
        </w:rPr>
        <w:t>th</w:t>
      </w:r>
      <w:r>
        <w:rPr>
          <w:rFonts w:ascii="Times New Roman" w:eastAsiaTheme="minorHAnsi" w:hAnsi="Times New Roman" w:cs="Times New Roman"/>
          <w:i/>
          <w:noProof/>
          <w:sz w:val="18"/>
          <w:szCs w:val="18"/>
          <w:lang w:eastAsia="ja-JP"/>
        </w:rPr>
        <w:t xml:space="preserve"> Article 12 Report (previous recommendations); Member States' answers to 2017 Questionnaire</w:t>
      </w:r>
    </w:p>
    <w:p>
      <w:pPr>
        <w:pStyle w:val="NORMAL0"/>
        <w:spacing w:before="120" w:after="120" w:line="276" w:lineRule="auto"/>
        <w:rPr>
          <w:rFonts w:ascii="Times New Roman" w:eastAsia="Times New Roman" w:hAnsi="Times New Roman" w:cs="Times New Roman"/>
          <w:noProof/>
          <w:sz w:val="24"/>
          <w:lang w:eastAsia="ja-JP"/>
        </w:rPr>
      </w:pPr>
      <w:r>
        <w:rPr>
          <w:rFonts w:ascii="Times New Roman" w:eastAsia="Times New Roman" w:hAnsi="Times New Roman" w:cs="Times New Roman"/>
          <w:noProof/>
          <w:sz w:val="24"/>
          <w:lang w:eastAsia="ja-JP"/>
        </w:rPr>
        <w:t>Furthermore, as also stressed by the European Court of Auditors</w:t>
      </w:r>
      <w:r>
        <w:rPr>
          <w:rStyle w:val="FootnoteReference"/>
          <w:rFonts w:ascii="Times New Roman" w:eastAsia="Times New Roman" w:hAnsi="Times New Roman" w:cs="Times New Roman"/>
          <w:noProof/>
          <w:sz w:val="24"/>
          <w:lang w:eastAsia="ja-JP"/>
        </w:rPr>
        <w:footnoteReference w:id="29"/>
      </w:r>
      <w:r>
        <w:rPr>
          <w:rFonts w:ascii="Times New Roman" w:eastAsia="Times New Roman" w:hAnsi="Times New Roman" w:cs="Times New Roman"/>
          <w:noProof/>
          <w:sz w:val="24"/>
          <w:lang w:eastAsia="ja-JP"/>
        </w:rPr>
        <w:t xml:space="preserve">, </w:t>
      </w:r>
      <w:r>
        <w:rPr>
          <w:rFonts w:ascii="Times New Roman" w:eastAsia="Times New Roman" w:hAnsi="Times New Roman" w:cs="Times New Roman"/>
          <w:b/>
          <w:noProof/>
          <w:sz w:val="24"/>
          <w:lang w:eastAsia="ja-JP"/>
        </w:rPr>
        <w:t>the application of the Customs 42 procedure</w:t>
      </w:r>
      <w:r>
        <w:rPr>
          <w:rStyle w:val="FootnoteReference"/>
          <w:rFonts w:ascii="Times New Roman" w:eastAsia="Times New Roman" w:hAnsi="Times New Roman" w:cs="Times New Roman"/>
          <w:b/>
          <w:noProof/>
          <w:sz w:val="24"/>
          <w:lang w:eastAsia="ja-JP"/>
        </w:rPr>
        <w:footnoteReference w:id="30"/>
      </w:r>
      <w:r>
        <w:rPr>
          <w:rFonts w:ascii="Times New Roman" w:eastAsia="Times New Roman" w:hAnsi="Times New Roman" w:cs="Times New Roman"/>
          <w:b/>
          <w:noProof/>
          <w:sz w:val="24"/>
          <w:lang w:eastAsia="ja-JP"/>
        </w:rPr>
        <w:t xml:space="preserve"> continues to be problematic. </w:t>
      </w:r>
      <w:r>
        <w:rPr>
          <w:rFonts w:ascii="Times New Roman" w:eastAsia="Times New Roman" w:hAnsi="Times New Roman" w:cs="Times New Roman"/>
          <w:noProof/>
          <w:sz w:val="24"/>
          <w:lang w:eastAsia="ja-JP"/>
        </w:rPr>
        <w:t>A systematic check by customs of the VAT number in VIES is still lacking, as well as the transmission of data to the national tax authority, the inclusion of risk criteria, etc.</w:t>
      </w:r>
    </w:p>
    <w:p>
      <w:pPr>
        <w:pStyle w:val="NORMAL0"/>
        <w:spacing w:before="120" w:after="120" w:line="276" w:lineRule="auto"/>
        <w:rPr>
          <w:rFonts w:ascii="Times New Roman" w:eastAsia="Times New Roman" w:hAnsi="Times New Roman" w:cs="Times New Roman"/>
          <w:noProof/>
          <w:sz w:val="24"/>
          <w:lang w:eastAsia="ja-JP"/>
        </w:rPr>
      </w:pPr>
      <w:r>
        <w:rPr>
          <w:rFonts w:ascii="Times New Roman" w:eastAsia="Times New Roman" w:hAnsi="Times New Roman" w:cs="Times New Roman"/>
          <w:b/>
          <w:noProof/>
          <w:sz w:val="24"/>
          <w:lang w:eastAsia="ja-JP"/>
        </w:rPr>
        <w:t>The weaknesses relating to the functioning of the VIES and the Customs 42 procedure have serious consequences and affect the functioning of the internal market.</w:t>
      </w:r>
      <w:r>
        <w:rPr>
          <w:rFonts w:ascii="Times New Roman" w:eastAsia="Times New Roman" w:hAnsi="Times New Roman" w:cs="Times New Roman"/>
          <w:noProof/>
          <w:sz w:val="24"/>
          <w:lang w:eastAsia="ja-JP"/>
        </w:rPr>
        <w:t xml:space="preserve"> In fact, fraudsters take profit of these shortcomings by remaining in the VAT system and thus causing VAT losses to Member States' Budgets and consequently having a negative impact on the VAT own resources. </w:t>
      </w:r>
    </w:p>
    <w:p>
      <w:pPr>
        <w:spacing w:after="240"/>
        <w:jc w:val="both"/>
        <w:rPr>
          <w:rFonts w:ascii="Times New Roman" w:eastAsiaTheme="minorEastAsia" w:hAnsi="Times New Roman" w:cs="Times New Roman"/>
          <w:noProof/>
          <w:sz w:val="24"/>
          <w:szCs w:val="24"/>
          <w:lang w:eastAsia="ja-JP"/>
        </w:rPr>
      </w:pPr>
      <w:r>
        <w:rPr>
          <w:rFonts w:ascii="Times New Roman" w:hAnsi="Times New Roman" w:cs="Times New Roman"/>
          <w:noProof/>
          <w:sz w:val="24"/>
          <w:szCs w:val="24"/>
          <w:lang w:eastAsia="ja-JP"/>
        </w:rPr>
        <w:t xml:space="preserve">This demonstrates that the overall 70.8 percent implementation rate of the recommendations (as resulting from the answers received by the Member States) does not give as such a real indication of the improvement of tax administrations' efficiency in VAT collection. Other self-assessment tools could help Member States to carry out a more systematic and reliable evaluation of the performance of their tax administration. </w:t>
      </w:r>
      <w:r>
        <w:rPr>
          <w:rFonts w:ascii="Times New Roman" w:eastAsiaTheme="minorEastAsia" w:hAnsi="Times New Roman" w:cs="Times New Roman"/>
          <w:noProof/>
          <w:sz w:val="24"/>
          <w:szCs w:val="24"/>
          <w:lang w:eastAsia="ja-JP"/>
        </w:rPr>
        <w:t>Tools such as the Fiscal Blueprints</w:t>
      </w:r>
      <w:r>
        <w:rPr>
          <w:rStyle w:val="FootnoteReference"/>
          <w:rFonts w:ascii="Times New Roman" w:eastAsiaTheme="minorEastAsia" w:hAnsi="Times New Roman" w:cs="Times New Roman"/>
          <w:noProof/>
          <w:sz w:val="24"/>
          <w:szCs w:val="24"/>
          <w:lang w:eastAsia="ja-JP"/>
        </w:rPr>
        <w:footnoteReference w:id="31"/>
      </w:r>
      <w:r>
        <w:rPr>
          <w:rFonts w:ascii="Times New Roman" w:eastAsiaTheme="minorEastAsia" w:hAnsi="Times New Roman" w:cs="Times New Roman"/>
          <w:noProof/>
          <w:sz w:val="24"/>
          <w:szCs w:val="24"/>
          <w:lang w:eastAsia="ja-JP"/>
        </w:rPr>
        <w:t xml:space="preserve"> and the Tax Administration Diagnostic Assessment Tool</w:t>
      </w:r>
      <w:r>
        <w:rPr>
          <w:rStyle w:val="FootnoteReference"/>
          <w:rFonts w:ascii="Times New Roman" w:eastAsiaTheme="minorEastAsia" w:hAnsi="Times New Roman" w:cs="Times New Roman"/>
          <w:noProof/>
          <w:sz w:val="24"/>
          <w:szCs w:val="24"/>
          <w:lang w:eastAsia="ja-JP"/>
        </w:rPr>
        <w:footnoteReference w:id="32"/>
      </w:r>
      <w:r>
        <w:rPr>
          <w:rFonts w:ascii="Times New Roman" w:eastAsiaTheme="minorEastAsia" w:hAnsi="Times New Roman" w:cs="Times New Roman"/>
          <w:noProof/>
          <w:sz w:val="24"/>
          <w:szCs w:val="24"/>
          <w:lang w:eastAsia="ja-JP"/>
        </w:rPr>
        <w:t xml:space="preserve"> are publicly available to support Member States in this exercise. </w:t>
      </w:r>
    </w:p>
    <w:p>
      <w:pPr>
        <w:pStyle w:val="Caption"/>
        <w:spacing w:line="276" w:lineRule="auto"/>
        <w:rPr>
          <w:noProof/>
          <w:sz w:val="24"/>
        </w:rPr>
      </w:pPr>
      <w:bookmarkStart w:id="592" w:name="_Toc498335683"/>
      <w:r>
        <w:rPr>
          <w:noProof/>
          <w:sz w:val="24"/>
        </w:rPr>
        <w:t xml:space="preserve">Recommendation </w:t>
      </w:r>
      <w:r>
        <w:rPr>
          <w:noProof/>
          <w:sz w:val="24"/>
        </w:rPr>
        <w:fldChar w:fldCharType="begin"/>
      </w:r>
      <w:r>
        <w:rPr>
          <w:noProof/>
          <w:sz w:val="24"/>
        </w:rPr>
        <w:instrText xml:space="preserve"> SEQ Recommendation \* ARABIC </w:instrText>
      </w:r>
      <w:r>
        <w:rPr>
          <w:noProof/>
          <w:sz w:val="24"/>
        </w:rPr>
        <w:fldChar w:fldCharType="separate"/>
      </w:r>
      <w:r>
        <w:rPr>
          <w:noProof/>
          <w:sz w:val="24"/>
        </w:rPr>
        <w:t>11</w:t>
      </w:r>
      <w:r>
        <w:rPr>
          <w:noProof/>
          <w:sz w:val="24"/>
        </w:rPr>
        <w:fldChar w:fldCharType="end"/>
      </w:r>
      <w:r>
        <w:rPr>
          <w:noProof/>
          <w:sz w:val="24"/>
        </w:rPr>
        <w:t>: Customs 42 procedure</w:t>
      </w:r>
      <w:bookmarkEnd w:id="592"/>
    </w:p>
    <w:p>
      <w:pPr>
        <w:pBdr>
          <w:top w:val="single" w:sz="4" w:space="1" w:color="auto"/>
          <w:left w:val="single" w:sz="4" w:space="4" w:color="auto"/>
          <w:bottom w:val="single" w:sz="4" w:space="1" w:color="auto"/>
          <w:right w:val="single" w:sz="4" w:space="4" w:color="auto"/>
        </w:pBdr>
        <w:spacing w:after="240"/>
        <w:rPr>
          <w:rFonts w:ascii="Times New Roman" w:eastAsiaTheme="minorEastAsia" w:hAnsi="Times New Roman" w:cs="Times New Roman"/>
          <w:noProof/>
          <w:sz w:val="24"/>
          <w:szCs w:val="24"/>
          <w:lang w:eastAsia="ja-JP"/>
        </w:rPr>
      </w:pPr>
      <w:r>
        <w:rPr>
          <w:rFonts w:ascii="Times New Roman" w:eastAsiaTheme="minorEastAsia" w:hAnsi="Times New Roman" w:cs="Times New Roman"/>
          <w:i/>
          <w:noProof/>
          <w:sz w:val="24"/>
          <w:szCs w:val="24"/>
          <w:lang w:eastAsia="ja-JP"/>
        </w:rPr>
        <w:t>Recalling the recommendation in the previous report, Member States should still ensure that the Customs authorities check the VIES number and exchange the information with the tax authorities.</w:t>
      </w:r>
    </w:p>
    <w:p>
      <w:pPr>
        <w:pStyle w:val="ManualHeading1"/>
        <w:rPr>
          <w:bCs/>
          <w:noProof/>
        </w:rPr>
      </w:pPr>
      <w:bookmarkStart w:id="593" w:name="_Toc498335658"/>
      <w:r>
        <w:t>5.</w:t>
      </w:r>
      <w:r>
        <w:tab/>
      </w:r>
      <w:r>
        <w:rPr>
          <w:noProof/>
        </w:rPr>
        <w:t>Towards better Tax (VAT) Administration by cooperation</w:t>
      </w:r>
      <w:bookmarkEnd w:id="593"/>
    </w:p>
    <w:p>
      <w:pPr>
        <w:jc w:val="both"/>
        <w:rPr>
          <w:rFonts w:ascii="Times New Roman" w:hAnsi="Times New Roman" w:cs="Times New Roman"/>
          <w:noProof/>
          <w:sz w:val="24"/>
          <w:szCs w:val="24"/>
          <w:lang w:eastAsia="ko-KR"/>
        </w:rPr>
      </w:pPr>
      <w:bookmarkStart w:id="594" w:name="_Toc492395887"/>
      <w:bookmarkStart w:id="595" w:name="_Toc492396244"/>
      <w:bookmarkStart w:id="596" w:name="_Toc492395888"/>
      <w:bookmarkStart w:id="597" w:name="_Toc492396245"/>
      <w:bookmarkStart w:id="598" w:name="_Toc492395889"/>
      <w:bookmarkStart w:id="599" w:name="_Toc492396246"/>
      <w:bookmarkStart w:id="600" w:name="_Toc492395890"/>
      <w:bookmarkStart w:id="601" w:name="_Toc492396247"/>
      <w:bookmarkStart w:id="602" w:name="_Toc492395891"/>
      <w:bookmarkStart w:id="603" w:name="_Toc492396248"/>
      <w:bookmarkStart w:id="604" w:name="_Toc492395892"/>
      <w:bookmarkStart w:id="605" w:name="_Toc492396249"/>
      <w:bookmarkStart w:id="606" w:name="_Toc492395893"/>
      <w:bookmarkStart w:id="607" w:name="_Toc492396250"/>
      <w:bookmarkStart w:id="608" w:name="_Toc492395894"/>
      <w:bookmarkStart w:id="609" w:name="_Toc492396251"/>
      <w:bookmarkStart w:id="610" w:name="_Toc492395895"/>
      <w:bookmarkStart w:id="611" w:name="_Toc492396252"/>
      <w:bookmarkStart w:id="612" w:name="_Toc492395896"/>
      <w:bookmarkStart w:id="613" w:name="_Toc492396253"/>
      <w:bookmarkStart w:id="614" w:name="_Toc492395897"/>
      <w:bookmarkStart w:id="615" w:name="_Toc492396254"/>
      <w:bookmarkStart w:id="616" w:name="_Toc492395898"/>
      <w:bookmarkStart w:id="617" w:name="_Toc492396255"/>
      <w:bookmarkStart w:id="618" w:name="_Toc492395899"/>
      <w:bookmarkStart w:id="619" w:name="_Toc492396256"/>
      <w:bookmarkStart w:id="620" w:name="_Toc492395900"/>
      <w:bookmarkStart w:id="621" w:name="_Toc492396257"/>
      <w:bookmarkStart w:id="622" w:name="_Toc492395901"/>
      <w:bookmarkStart w:id="623" w:name="_Toc492396258"/>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r>
        <w:rPr>
          <w:rFonts w:ascii="Times New Roman" w:hAnsi="Times New Roman" w:cs="Times New Roman"/>
          <w:b/>
          <w:noProof/>
          <w:sz w:val="24"/>
          <w:szCs w:val="24"/>
          <w:lang w:eastAsia="ko-KR"/>
        </w:rPr>
        <w:t>In a continuously changing environment, the collection of taxes is becoming increasingly challenging</w:t>
      </w:r>
      <w:r>
        <w:rPr>
          <w:rFonts w:ascii="Times New Roman" w:hAnsi="Times New Roman" w:cs="Times New Roman"/>
          <w:noProof/>
          <w:sz w:val="24"/>
          <w:szCs w:val="24"/>
          <w:lang w:eastAsia="ko-KR"/>
        </w:rPr>
        <w:t>. Digitalisation, globalisation, new business models, tax fraud and avoidance, and resource constraints urge tax administrations to review their practices and find additional or alternative ways of collecting taxes. Also, t</w:t>
      </w:r>
      <w:r>
        <w:rPr>
          <w:rFonts w:ascii="Times New Roman" w:eastAsiaTheme="majorEastAsia" w:hAnsi="Times New Roman" w:cs="Times New Roman"/>
          <w:noProof/>
          <w:sz w:val="24"/>
          <w:szCs w:val="24"/>
        </w:rPr>
        <w:t>he quality of tax administration in terms of efficiency and effectiveness should be ensured to avoid impacting the collection of VAT revenues in their own and other Member States.</w:t>
      </w:r>
    </w:p>
    <w:p>
      <w:pPr>
        <w:pStyle w:val="Text1"/>
        <w:spacing w:line="276" w:lineRule="auto"/>
        <w:ind w:left="0"/>
        <w:rPr>
          <w:noProof/>
          <w:lang w:eastAsia="ko-KR"/>
        </w:rPr>
      </w:pPr>
      <w:r>
        <w:rPr>
          <w:b/>
          <w:noProof/>
          <w:lang w:eastAsia="ko-KR"/>
        </w:rPr>
        <w:t xml:space="preserve">Thus, </w:t>
      </w:r>
      <w:r>
        <w:rPr>
          <w:rFonts w:eastAsiaTheme="majorEastAsia"/>
          <w:b/>
          <w:noProof/>
        </w:rPr>
        <w:t xml:space="preserve">it is time to act and work together. </w:t>
      </w:r>
      <w:r>
        <w:rPr>
          <w:noProof/>
          <w:lang w:eastAsia="ko-KR"/>
        </w:rPr>
        <w:t>Many tax administrations realize that they can no longer act in isolation.</w:t>
      </w:r>
      <w:r>
        <w:rPr>
          <w:rFonts w:eastAsiaTheme="majorEastAsia"/>
          <w:noProof/>
        </w:rPr>
        <w:t xml:space="preserve"> </w:t>
      </w:r>
      <w:r>
        <w:rPr>
          <w:noProof/>
          <w:lang w:eastAsia="ko-KR"/>
        </w:rPr>
        <w:t>Already today, tax authorities of smaller Member States are working closely together on common issues so as to benefit from economies of scale (Benelux, Nordic countries and Baltic States). Topics in the field of IT, compliance approaches, risk management, fight against tax fraud and administrative capacity building appear on their agendas. However, the beneficiaries of these regional initiatives are confronted to the limits of their geographical coverage in a larger Union, and often try to expand their initiatives to the EU level. Sometimes the Member States do not manage to give a proper follow-up to their commitments because of lack of resources or political engagement. In addition, some tax administrations are engaged in structural reforms and would like to share their experiences. With the support of the Commission, these Member States can inform and assist other administrations when reforming their organisation. There are already tools such as the Fiscalis 2020 Programme</w:t>
      </w:r>
      <w:r>
        <w:rPr>
          <w:rStyle w:val="FootnoteReference"/>
          <w:noProof/>
          <w:lang w:eastAsia="ko-KR"/>
        </w:rPr>
        <w:footnoteReference w:id="33"/>
      </w:r>
      <w:r>
        <w:rPr>
          <w:noProof/>
          <w:lang w:eastAsia="ko-KR"/>
        </w:rPr>
        <w:t xml:space="preserve"> and the Structural Reform Support Programme</w:t>
      </w:r>
      <w:r>
        <w:rPr>
          <w:rStyle w:val="FootnoteReference"/>
          <w:noProof/>
          <w:lang w:eastAsia="ko-KR"/>
        </w:rPr>
        <w:footnoteReference w:id="34"/>
      </w:r>
      <w:r>
        <w:rPr>
          <w:noProof/>
          <w:lang w:eastAsia="ko-KR"/>
        </w:rPr>
        <w:t xml:space="preserve"> that can be used by Member States to enhance their tax administrations capacities. </w:t>
      </w:r>
    </w:p>
    <w:p>
      <w:pPr>
        <w:pStyle w:val="Text1"/>
        <w:spacing w:line="276" w:lineRule="auto"/>
        <w:ind w:left="0"/>
        <w:rPr>
          <w:noProof/>
        </w:rPr>
      </w:pPr>
      <w:r>
        <w:rPr>
          <w:noProof/>
          <w:lang w:eastAsia="ko-KR"/>
        </w:rPr>
        <w:t xml:space="preserve">In view of the above, Member States may benefit from a </w:t>
      </w:r>
      <w:r>
        <w:rPr>
          <w:b/>
          <w:noProof/>
          <w:lang w:eastAsia="ko-KR"/>
        </w:rPr>
        <w:t>structured strategic dialogue at EU level</w:t>
      </w:r>
      <w:r>
        <w:rPr>
          <w:noProof/>
          <w:lang w:eastAsia="ko-KR"/>
        </w:rPr>
        <w:t xml:space="preserve"> </w:t>
      </w:r>
      <w:r>
        <w:rPr>
          <w:b/>
          <w:noProof/>
          <w:lang w:eastAsia="ko-KR"/>
        </w:rPr>
        <w:t>on the main challenges</w:t>
      </w:r>
      <w:r>
        <w:rPr>
          <w:b/>
          <w:noProof/>
        </w:rPr>
        <w:t xml:space="preserve"> </w:t>
      </w:r>
      <w:r>
        <w:rPr>
          <w:noProof/>
        </w:rPr>
        <w:t>such as</w:t>
      </w:r>
      <w:r>
        <w:rPr>
          <w:b/>
          <w:noProof/>
        </w:rPr>
        <w:t xml:space="preserve"> </w:t>
      </w:r>
      <w:r>
        <w:rPr>
          <w:noProof/>
        </w:rPr>
        <w:t xml:space="preserve">the impact of the digital economy and new technologies, the use of administrative cooperation to fight against VAT fraud, investing in data analytics tools and processes and in IT collaboration, sharing experiences in reforming tax administrations and assess their performance, </w:t>
      </w:r>
      <w:r>
        <w:rPr>
          <w:noProof/>
          <w:lang w:eastAsia="ko-KR"/>
        </w:rPr>
        <w:t>compliance approaches and risk management</w:t>
      </w:r>
      <w:r>
        <w:rPr>
          <w:noProof/>
        </w:rPr>
        <w:t>.</w:t>
      </w:r>
    </w:p>
    <w:p>
      <w:pPr>
        <w:pStyle w:val="ListParagraph"/>
        <w:spacing w:after="120"/>
        <w:ind w:left="0"/>
        <w:contextualSpacing w:val="0"/>
        <w:jc w:val="both"/>
        <w:rPr>
          <w:rFonts w:ascii="Times New Roman" w:eastAsiaTheme="majorEastAsia" w:hAnsi="Times New Roman" w:cs="Times New Roman"/>
          <w:noProof/>
          <w:sz w:val="24"/>
          <w:szCs w:val="20"/>
          <w:lang w:val="en-GB" w:eastAsia="en-GB"/>
        </w:rPr>
      </w:pPr>
      <w:bookmarkStart w:id="624" w:name="_Toc495915888"/>
      <w:r>
        <w:rPr>
          <w:rFonts w:ascii="Times New Roman" w:eastAsiaTheme="majorEastAsia" w:hAnsi="Times New Roman" w:cs="Times New Roman"/>
          <w:noProof/>
          <w:sz w:val="24"/>
          <w:szCs w:val="20"/>
          <w:lang w:val="en-GB" w:eastAsia="en-GB"/>
        </w:rPr>
        <w:t xml:space="preserve">Together with the Member States, the Commission will organise a meeting for Heads of Tax Administration in 2018 to discuss these challenges and how to address them. </w:t>
      </w:r>
    </w:p>
    <w:bookmarkEnd w:id="624"/>
    <w:p>
      <w:pPr>
        <w:pStyle w:val="ListParagraph"/>
        <w:spacing w:after="120"/>
        <w:ind w:left="0"/>
        <w:contextualSpacing w:val="0"/>
        <w:jc w:val="both"/>
        <w:rPr>
          <w:rFonts w:ascii="Times New Roman" w:eastAsiaTheme="majorEastAsia" w:hAnsi="Times New Roman" w:cs="Times New Roman"/>
          <w:noProof/>
          <w:sz w:val="24"/>
          <w:szCs w:val="20"/>
          <w:lang w:val="en-GB" w:eastAsia="en-GB"/>
        </w:rPr>
      </w:pPr>
      <w:r>
        <w:rPr>
          <w:rFonts w:ascii="Times New Roman" w:eastAsiaTheme="majorEastAsia" w:hAnsi="Times New Roman" w:cs="Times New Roman"/>
          <w:noProof/>
          <w:sz w:val="24"/>
          <w:szCs w:val="20"/>
          <w:lang w:val="en-GB" w:eastAsia="en-GB"/>
        </w:rPr>
        <w:t>Furthermore, IT systems are essential for the implementation of tax policies, the fight against fraud and the use of data for better policy-making. Tax administrations are increasingly relying on data collected from different sources (taxpayers, other government bodies and institutions, other Member States, etc.). Handling this enormous amount of data has become a major challenge as it can no longer be dealt with in a traditional way. New tools are needed to be able to process and analyse the data. Thus, Member States are forced to continue investing in IT solutions. Further cooperation, coordination and transparency between EU Member States in this area would help to significantly reducing costs by benefiting from a joint approach and economies of scale.</w:t>
      </w:r>
      <w:r>
        <w:rPr>
          <w:rStyle w:val="FootnoteReference"/>
          <w:rFonts w:ascii="Times New Roman" w:eastAsia="Times New Roman" w:hAnsi="Times New Roman" w:cs="Times New Roman"/>
          <w:noProof/>
          <w:lang w:val="en-GB" w:eastAsia="ko-KR"/>
        </w:rPr>
        <w:footnoteReference w:id="35"/>
      </w:r>
      <w:r>
        <w:rPr>
          <w:rStyle w:val="FootnoteReference"/>
          <w:rFonts w:ascii="Times New Roman" w:eastAsia="Times New Roman" w:hAnsi="Times New Roman" w:cs="Times New Roman"/>
          <w:noProof/>
          <w:lang w:val="en-GB" w:eastAsia="ko-KR"/>
        </w:rPr>
        <w:t xml:space="preserve"> </w:t>
      </w:r>
    </w:p>
    <w:p>
      <w:pPr>
        <w:pStyle w:val="ListParagraph"/>
        <w:ind w:left="0"/>
        <w:contextualSpacing w:val="0"/>
        <w:jc w:val="both"/>
        <w:rPr>
          <w:rFonts w:ascii="Times New Roman" w:eastAsiaTheme="majorEastAsia" w:hAnsi="Times New Roman" w:cs="Times New Roman"/>
          <w:noProof/>
          <w:sz w:val="24"/>
          <w:szCs w:val="20"/>
          <w:lang w:val="en-GB" w:eastAsia="en-GB"/>
        </w:rPr>
      </w:pPr>
      <w:r>
        <w:rPr>
          <w:rFonts w:ascii="Times New Roman" w:eastAsiaTheme="majorEastAsia" w:hAnsi="Times New Roman" w:cs="Times New Roman"/>
          <w:noProof/>
          <w:sz w:val="24"/>
          <w:szCs w:val="20"/>
          <w:lang w:val="en-GB" w:eastAsia="en-GB"/>
        </w:rPr>
        <w:t>Member States as well as the Commission are exploring the use of new technological products and digital techniques for data sharing and analytics. Enhanced collaboration between the Commission and the Member States’ tax administrations, and between these administrations, is the best way to bring compatible benefits for all in the single market. Moreover, it would facilitate the implementation by the Member States of their commitments in the field of tax administration.</w:t>
      </w:r>
    </w:p>
    <w:sectPr>
      <w:headerReference w:type="even" r:id="rId29"/>
      <w:headerReference w:type="default" r:id="rId30"/>
      <w:footerReference w:type="even" r:id="rId31"/>
      <w:footerReference w:type="default" r:id="rId32"/>
      <w:headerReference w:type="first" r:id="rId33"/>
      <w:footerReference w:type="first" r:id="rId34"/>
      <w:pgSz w:w="11907" w:h="16839" w:code="9"/>
      <w:pgMar w:top="993" w:right="1418" w:bottom="1134" w:left="1418" w:header="709"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862815"/>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pPr>
      <w:r>
        <w:rPr>
          <w:rStyle w:val="FootnoteReference"/>
        </w:rPr>
        <w:footnoteRef/>
      </w:r>
      <w:r>
        <w:t xml:space="preserve"> </w:t>
      </w:r>
      <w:r>
        <w:tab/>
      </w:r>
      <w:hyperlink r:id="rId1" w:history="1">
        <w:r>
          <w:rPr>
            <w:rStyle w:val="Hyperlink"/>
          </w:rPr>
          <w:t>https://ec.europa.eu/taxation_customs/sites/taxation/files/study_and_reports_on_the_vat_gap_2017.pdf</w:t>
        </w:r>
      </w:hyperlink>
      <w:r>
        <w:t xml:space="preserve"> </w:t>
      </w:r>
    </w:p>
  </w:footnote>
  <w:footnote w:id="2">
    <w:p>
      <w:pPr>
        <w:pStyle w:val="FootnoteText"/>
        <w:spacing w:after="120"/>
      </w:pPr>
      <w:r>
        <w:rPr>
          <w:rStyle w:val="FootnoteReference"/>
        </w:rPr>
        <w:footnoteRef/>
      </w:r>
      <w:r>
        <w:t xml:space="preserve"> </w:t>
      </w:r>
      <w:r>
        <w:tab/>
        <w:t>Tax administration can be described as a set of measures, procedures and tools, which a Tax Authority uses to administer and manage the tax policy decisions, with the aim of collecting the correct amount of revenue according to the laws in the most effective way and at the least administrative costs.</w:t>
      </w:r>
    </w:p>
  </w:footnote>
  <w:footnote w:id="3">
    <w:p>
      <w:pPr>
        <w:pStyle w:val="FootnoteText"/>
        <w:pageBreakBefore w:val="0"/>
      </w:pPr>
      <w:r>
        <w:rPr>
          <w:rStyle w:val="FootnoteReference"/>
        </w:rPr>
        <w:footnoteRef/>
      </w:r>
      <w:r>
        <w:t xml:space="preserve"> </w:t>
      </w:r>
      <w:r>
        <w:tab/>
        <w:t xml:space="preserve">The Mini One Stop Shop legislation is in force as of 1 January 2015. It concerns the place of supply for telecommunication services, radio and television services and electronically supplied services. </w:t>
      </w:r>
      <w:r>
        <w:rPr>
          <w:bCs/>
        </w:rPr>
        <w:t xml:space="preserve">Council Regulation (EU) No 967/2012 of 9 October 2012 amending Implementing Regulation (EU) No 282/2011 as regards the special schemes for non-established taxable persons supplying telecommunications services, broadcasting services or electronic services to non-taxable persons. </w:t>
      </w:r>
    </w:p>
  </w:footnote>
  <w:footnote w:id="4">
    <w:p>
      <w:pPr>
        <w:pStyle w:val="FootnoteText"/>
        <w:pageBreakBefore w:val="0"/>
      </w:pPr>
      <w:r>
        <w:rPr>
          <w:rStyle w:val="FootnoteReference"/>
        </w:rPr>
        <w:footnoteRef/>
      </w:r>
      <w:r>
        <w:t xml:space="preserve"> </w:t>
      </w:r>
      <w:r>
        <w:tab/>
        <w:t>The scheme allows taxpayers to account for VAT on the basis of received payments instead of issued invoices</w:t>
      </w:r>
    </w:p>
  </w:footnote>
  <w:footnote w:id="5">
    <w:p>
      <w:pPr>
        <w:pStyle w:val="FootnoteText"/>
      </w:pPr>
      <w:r>
        <w:rPr>
          <w:rStyle w:val="FootnoteReference"/>
        </w:rPr>
        <w:footnoteRef/>
      </w:r>
      <w:r>
        <w:t xml:space="preserve"> </w:t>
      </w:r>
      <w:r>
        <w:tab/>
        <w:t xml:space="preserve">Control statements cover the VAT invoices, enabling the tax authorities to cross-check transactions  </w:t>
      </w:r>
    </w:p>
  </w:footnote>
  <w:footnote w:id="6">
    <w:p>
      <w:pPr>
        <w:pStyle w:val="FootnoteText"/>
        <w:spacing w:after="120"/>
      </w:pPr>
      <w:r>
        <w:rPr>
          <w:rStyle w:val="FootnoteReference"/>
        </w:rPr>
        <w:footnoteRef/>
      </w:r>
      <w:r>
        <w:t xml:space="preserve"> </w:t>
      </w:r>
      <w:r>
        <w:tab/>
        <w:t xml:space="preserve">The purpose of the TNA-software is to apply a data mining technique to VAT-related data in order to rebuild fraudulent networks. This tool is to improve the current working practices of Eurofisc.  </w:t>
      </w:r>
    </w:p>
  </w:footnote>
  <w:footnote w:id="7">
    <w:p>
      <w:pPr>
        <w:pStyle w:val="FootnoteText"/>
        <w:spacing w:after="120"/>
      </w:pPr>
      <w:r>
        <w:rPr>
          <w:rStyle w:val="FootnoteReference"/>
        </w:rPr>
        <w:footnoteRef/>
      </w:r>
      <w:r>
        <w:t xml:space="preserve"> </w:t>
      </w:r>
      <w:r>
        <w:tab/>
        <w:t>Examples: Bulgaria, Estonia and Slovak Republic – Domestic control statements; Belgium – Transaction network analysis for detection of VAT fraud.</w:t>
      </w:r>
    </w:p>
  </w:footnote>
  <w:footnote w:id="8">
    <w:p>
      <w:pPr>
        <w:pStyle w:val="FootnoteText"/>
        <w:spacing w:after="120"/>
      </w:pPr>
      <w:r>
        <w:rPr>
          <w:rStyle w:val="FootnoteReference"/>
        </w:rPr>
        <w:footnoteRef/>
      </w:r>
      <w:r>
        <w:t xml:space="preserve"> </w:t>
      </w:r>
      <w:r>
        <w:tab/>
        <w:t>Council Directive 2006/112/EC on the common system of Value Added Tax, 28 November 2006, Article 214.</w:t>
      </w:r>
    </w:p>
  </w:footnote>
  <w:footnote w:id="9">
    <w:p>
      <w:pPr>
        <w:pStyle w:val="FootnoteText"/>
        <w:spacing w:after="120"/>
      </w:pPr>
      <w:r>
        <w:rPr>
          <w:rStyle w:val="FootnoteReference"/>
        </w:rPr>
        <w:footnoteRef/>
      </w:r>
      <w:r>
        <w:t xml:space="preserve"> </w:t>
      </w:r>
      <w:r>
        <w:tab/>
        <w:t>VIES is the VAT Information Exchange System. The information available through VIES and the use of the system are regulated in Chapter V of Council Regulation (EU) No 904/2010.</w:t>
      </w:r>
    </w:p>
  </w:footnote>
  <w:footnote w:id="10">
    <w:p>
      <w:pPr>
        <w:pStyle w:val="FootnoteText"/>
      </w:pPr>
      <w:r>
        <w:rPr>
          <w:rStyle w:val="FootnoteReference"/>
        </w:rPr>
        <w:footnoteRef/>
      </w:r>
      <w:r>
        <w:t xml:space="preserve"> </w:t>
      </w:r>
      <w:r>
        <w:tab/>
        <w:t>Data is available only for 21 out of 28 Member States (no data sets for Austria, Croatia, Finland, France, Germany, Luxembourg and Sweden)</w:t>
      </w:r>
    </w:p>
    <w:p>
      <w:pPr>
        <w:pStyle w:val="FootnoteText"/>
      </w:pPr>
    </w:p>
  </w:footnote>
  <w:footnote w:id="11">
    <w:p>
      <w:pPr>
        <w:pStyle w:val="FootnoteText"/>
        <w:spacing w:after="120"/>
      </w:pPr>
      <w:r>
        <w:rPr>
          <w:rStyle w:val="FootnoteReference"/>
        </w:rPr>
        <w:footnoteRef/>
      </w:r>
      <w:r>
        <w:t xml:space="preserve"> </w:t>
      </w:r>
      <w:r>
        <w:tab/>
        <w:t>In 25 Member States it is possible to register for VAT on-line (currently Croatia, Cyprus and Romania do not offer on-line VAT registration).</w:t>
      </w:r>
    </w:p>
  </w:footnote>
  <w:footnote w:id="12">
    <w:p>
      <w:pPr>
        <w:pStyle w:val="FootnoteText"/>
        <w:spacing w:after="120"/>
      </w:pPr>
      <w:r>
        <w:rPr>
          <w:rStyle w:val="FootnoteReference"/>
        </w:rPr>
        <w:footnoteRef/>
      </w:r>
      <w:r>
        <w:t xml:space="preserve"> </w:t>
      </w:r>
      <w:r>
        <w:tab/>
        <w:t>For instance by separating the requests for registration in a green line (no risk - immediate registration) and a red line (potential risk - further enquiries needed before registering).</w:t>
      </w:r>
    </w:p>
  </w:footnote>
  <w:footnote w:id="13">
    <w:p>
      <w:pPr>
        <w:pStyle w:val="FootnoteText"/>
        <w:spacing w:after="120"/>
      </w:pPr>
      <w:r>
        <w:rPr>
          <w:rStyle w:val="FootnoteReference"/>
          <w:szCs w:val="18"/>
        </w:rPr>
        <w:footnoteRef/>
      </w:r>
      <w:r>
        <w:rPr>
          <w:szCs w:val="18"/>
        </w:rPr>
        <w:t xml:space="preserve"> </w:t>
      </w:r>
      <w:r>
        <w:rPr>
          <w:szCs w:val="18"/>
        </w:rPr>
        <w:tab/>
        <w:t>Data is available for 22 out of 28 Member States (no data sets for Cyprus, Estonia, Finland, France, Ireland and Spain).</w:t>
      </w:r>
    </w:p>
  </w:footnote>
  <w:footnote w:id="14">
    <w:p>
      <w:pPr>
        <w:pStyle w:val="FootnoteText"/>
        <w:spacing w:after="120"/>
      </w:pPr>
      <w:r>
        <w:rPr>
          <w:rStyle w:val="FootnoteReference"/>
        </w:rPr>
        <w:footnoteRef/>
      </w:r>
      <w:r>
        <w:t xml:space="preserve"> </w:t>
      </w:r>
      <w:r>
        <w:tab/>
        <w:t>For example in the tourism sector taxpayers are made aware via media to register when they rent their apartments during the holiday season.</w:t>
      </w:r>
    </w:p>
  </w:footnote>
  <w:footnote w:id="15">
    <w:p>
      <w:pPr>
        <w:pStyle w:val="FootnoteText"/>
      </w:pPr>
      <w:r>
        <w:rPr>
          <w:rStyle w:val="FootnoteReference"/>
        </w:rPr>
        <w:footnoteRef/>
      </w:r>
      <w:r>
        <w:t xml:space="preserve"> </w:t>
      </w:r>
      <w:r>
        <w:tab/>
        <w:t xml:space="preserve">Domestic control statements are submitted by VAT taxpayers and include declarations of sales and purchases within the territory of registration. </w:t>
      </w:r>
    </w:p>
  </w:footnote>
  <w:footnote w:id="16">
    <w:p>
      <w:pPr>
        <w:pStyle w:val="FootnoteText"/>
      </w:pPr>
      <w:r>
        <w:rPr>
          <w:rStyle w:val="FootnoteReference"/>
        </w:rPr>
        <w:footnoteRef/>
      </w:r>
      <w:r>
        <w:t xml:space="preserve"> </w:t>
      </w:r>
      <w:r>
        <w:tab/>
        <w:t>According to Article 22 of Council Regulation (EU) 904/2010 Member States are obliged to conduct post registration controls if they conduct only preliminary checks before registration.</w:t>
      </w:r>
    </w:p>
  </w:footnote>
  <w:footnote w:id="17">
    <w:p>
      <w:pPr>
        <w:pStyle w:val="FootnoteText"/>
      </w:pPr>
      <w:r>
        <w:rPr>
          <w:rStyle w:val="FootnoteReference"/>
        </w:rPr>
        <w:footnoteRef/>
      </w:r>
      <w:r>
        <w:t xml:space="preserve"> </w:t>
      </w:r>
      <w:r>
        <w:tab/>
        <w:t xml:space="preserve">Based on complete datasets from 21 Member States and 6 partial datasets; no datasets for Croatia were    available. Data was collected in 2017 for years 2013-2015. For EU figures, </w:t>
      </w:r>
      <w:r>
        <w:rPr>
          <w:i/>
          <w:u w:val="single"/>
        </w:rPr>
        <w:t>median</w:t>
      </w:r>
      <w:r>
        <w:t xml:space="preserve"> values are used.</w:t>
      </w:r>
    </w:p>
  </w:footnote>
  <w:footnote w:id="18">
    <w:p>
      <w:pPr>
        <w:pStyle w:val="FootnoteText"/>
        <w:spacing w:after="120"/>
      </w:pPr>
      <w:r>
        <w:rPr>
          <w:rStyle w:val="FootnoteReference"/>
        </w:rPr>
        <w:footnoteRef/>
      </w:r>
      <w:r>
        <w:t xml:space="preserve"> </w:t>
      </w:r>
      <w:r>
        <w:tab/>
        <w:t>An example is the VAT cash accounting scheme, which allows small businesses to pay their VAT due when they have received the money from their buyers (which in practice is later than in the standard practice where they have to pay when the invoice is issued).</w:t>
      </w:r>
    </w:p>
  </w:footnote>
  <w:footnote w:id="19">
    <w:p>
      <w:pPr>
        <w:pStyle w:val="FootnoteText"/>
      </w:pPr>
      <w:r>
        <w:rPr>
          <w:rStyle w:val="FootnoteReference"/>
        </w:rPr>
        <w:footnoteRef/>
      </w:r>
      <w:r>
        <w:t xml:space="preserve"> </w:t>
      </w:r>
      <w:r>
        <w:tab/>
        <w:t xml:space="preserve">See: </w:t>
      </w:r>
      <w:r>
        <w:rPr>
          <w:i/>
        </w:rPr>
        <w:t>Twenty measures to tackle the VAT Gap.</w:t>
      </w:r>
      <w:r>
        <w:t xml:space="preserve"> </w:t>
      </w:r>
    </w:p>
    <w:p>
      <w:pPr>
        <w:pStyle w:val="FootnoteText"/>
        <w:spacing w:after="120"/>
        <w:ind w:firstLine="0"/>
      </w:pPr>
      <w:hyperlink r:id="rId2" w:history="1">
        <w:r>
          <w:rPr>
            <w:rStyle w:val="Hyperlink"/>
          </w:rPr>
          <w:t>https://ec.europa.eu/taxation_customs/sites/taxation/files/resources/documents/taxation/tax_cooperation/vat_gap/2016-03_20_measures_en.pdf</w:t>
        </w:r>
      </w:hyperlink>
      <w:r>
        <w:rPr>
          <w:rStyle w:val="Hyperlink"/>
        </w:rPr>
        <w:t xml:space="preserve">. </w:t>
      </w:r>
    </w:p>
  </w:footnote>
  <w:footnote w:id="20">
    <w:p>
      <w:pPr>
        <w:pStyle w:val="FootnoteText"/>
        <w:spacing w:after="60"/>
      </w:pPr>
      <w:r>
        <w:rPr>
          <w:rStyle w:val="FootnoteReference"/>
        </w:rPr>
        <w:footnoteRef/>
      </w:r>
      <w:r>
        <w:t xml:space="preserve"> </w:t>
      </w:r>
      <w:r>
        <w:tab/>
        <w:t>New debtors are VAT taxpayers that enter into the debt collection database for the first time.</w:t>
      </w:r>
    </w:p>
  </w:footnote>
  <w:footnote w:id="21">
    <w:p>
      <w:pPr>
        <w:pStyle w:val="FootnoteText"/>
        <w:spacing w:after="60"/>
      </w:pPr>
      <w:r>
        <w:rPr>
          <w:rStyle w:val="FootnoteReference"/>
        </w:rPr>
        <w:footnoteRef/>
      </w:r>
      <w:r>
        <w:t xml:space="preserve"> </w:t>
      </w:r>
      <w:r>
        <w:tab/>
        <w:t xml:space="preserve">See: OEDC, Forum on Tax administration, </w:t>
      </w:r>
      <w:r>
        <w:rPr>
          <w:i/>
        </w:rPr>
        <w:t>Working smarter in tax debt management</w:t>
      </w:r>
      <w:r>
        <w:t>, September 2013.</w:t>
      </w:r>
    </w:p>
    <w:p>
      <w:pPr>
        <w:pStyle w:val="FootnoteText"/>
      </w:pPr>
    </w:p>
  </w:footnote>
  <w:footnote w:id="22">
    <w:p>
      <w:pPr>
        <w:pStyle w:val="FootnoteText"/>
        <w:spacing w:after="60"/>
      </w:pPr>
      <w:r>
        <w:rPr>
          <w:rStyle w:val="FootnoteReference"/>
        </w:rPr>
        <w:footnoteRef/>
      </w:r>
      <w:r>
        <w:t xml:space="preserve"> </w:t>
      </w:r>
      <w:r>
        <w:tab/>
        <w:t>In a traditional audit the auditor visits the premises of the taxpayer or his accountant to check the bookkeeping.  E-audit is an audit methodology with data acquisition via internet-connected applications so that auditors can access financial and non-financial data in real time from their office.</w:t>
      </w:r>
    </w:p>
  </w:footnote>
  <w:footnote w:id="23">
    <w:p>
      <w:pPr>
        <w:pStyle w:val="FootnoteText"/>
        <w:spacing w:after="60"/>
      </w:pPr>
      <w:r>
        <w:rPr>
          <w:rStyle w:val="FootnoteReference"/>
        </w:rPr>
        <w:footnoteRef/>
      </w:r>
      <w:r>
        <w:t xml:space="preserve"> </w:t>
      </w:r>
      <w:r>
        <w:tab/>
        <w:t>Data is available for 22 out of 28 Member States (no data sets for Belgium, Germany, France, Netherlands, Sweden and United Kingdom</w:t>
      </w:r>
      <w:r>
        <w:rPr>
          <w:sz w:val="18"/>
          <w:szCs w:val="18"/>
        </w:rPr>
        <w:t>).</w:t>
      </w:r>
    </w:p>
  </w:footnote>
  <w:footnote w:id="24">
    <w:p>
      <w:pPr>
        <w:pStyle w:val="FootnoteText"/>
        <w:spacing w:after="60"/>
      </w:pPr>
      <w:r>
        <w:rPr>
          <w:rStyle w:val="FootnoteReference"/>
        </w:rPr>
        <w:footnoteRef/>
      </w:r>
      <w:r>
        <w:t xml:space="preserve"> </w:t>
      </w:r>
      <w:r>
        <w:tab/>
        <w:t xml:space="preserve">The Commission has recently released a video about VAT carousel fraud to raise awareness of EU citizens. </w:t>
      </w:r>
      <w:hyperlink r:id="rId3" w:history="1">
        <w:r>
          <w:rPr>
            <w:rStyle w:val="Hyperlink"/>
          </w:rPr>
          <w:t>https://www.youtube.com/watch?v=7rPzXzCoxkI</w:t>
        </w:r>
      </w:hyperlink>
    </w:p>
  </w:footnote>
  <w:footnote w:id="25">
    <w:p>
      <w:pPr>
        <w:pStyle w:val="FootnoteText"/>
        <w:spacing w:after="60"/>
      </w:pPr>
      <w:r>
        <w:rPr>
          <w:rStyle w:val="FootnoteReference"/>
        </w:rPr>
        <w:footnoteRef/>
      </w:r>
      <w:r>
        <w:t xml:space="preserve"> </w:t>
      </w:r>
      <w:r>
        <w:tab/>
        <w:t xml:space="preserve">Report from the Commission to the Council and the European Parliament, </w:t>
      </w:r>
      <w:r>
        <w:rPr>
          <w:i/>
        </w:rPr>
        <w:t>Seventh report under Article 12 of Regulation (EEC, Euratom) no. 1553/89</w:t>
      </w:r>
      <w:r>
        <w:t xml:space="preserve"> on VAT collection and control procedures, COM (2014) 69 final; Commission Staff Working Document accompanying the document </w:t>
      </w:r>
      <w:r>
        <w:rPr>
          <w:i/>
        </w:rPr>
        <w:t>Seventh report under Article 12 of Regulation (EEC, Euratom) no. 1553/89</w:t>
      </w:r>
      <w:r>
        <w:t>, SWD (2014) 38 final.</w:t>
      </w:r>
    </w:p>
  </w:footnote>
  <w:footnote w:id="26">
    <w:p>
      <w:pPr>
        <w:pStyle w:val="FootnoteText"/>
        <w:spacing w:after="60"/>
      </w:pPr>
      <w:r>
        <w:rPr>
          <w:rStyle w:val="FootnoteReference"/>
        </w:rPr>
        <w:footnoteRef/>
      </w:r>
      <w:r>
        <w:t xml:space="preserve"> </w:t>
      </w:r>
      <w:r>
        <w:tab/>
        <w:t>Croatia was not part of the EU at that time.</w:t>
      </w:r>
    </w:p>
  </w:footnote>
  <w:footnote w:id="27">
    <w:p>
      <w:pPr>
        <w:pStyle w:val="CommentText"/>
        <w:spacing w:before="0" w:after="60"/>
        <w:ind w:left="709" w:hanging="709"/>
      </w:pPr>
      <w:r>
        <w:rPr>
          <w:rStyle w:val="FootnoteReference"/>
        </w:rPr>
        <w:footnoteRef/>
      </w:r>
      <w:r>
        <w:t xml:space="preserve"> </w:t>
      </w:r>
      <w:r>
        <w:tab/>
        <w:t>For the computation of the "Implementation rate" (%) the total number of previous recommendations and the number of recommendations appearing as implemented is used. The calculation is based on Member States' replies (self-evaluation) and takes into account only the Member States who were concerned by the respective recommendations.</w:t>
      </w:r>
    </w:p>
  </w:footnote>
  <w:footnote w:id="28">
    <w:p>
      <w:pPr>
        <w:pStyle w:val="FootnoteText"/>
        <w:spacing w:after="60"/>
      </w:pPr>
      <w:r>
        <w:rPr>
          <w:rStyle w:val="FootnoteReference"/>
        </w:rPr>
        <w:footnoteRef/>
      </w:r>
      <w:r>
        <w:t xml:space="preserve"> </w:t>
      </w:r>
      <w:r>
        <w:tab/>
        <w:t>T</w:t>
      </w:r>
      <w:r>
        <w:rPr>
          <w:lang w:eastAsia="ja-JP"/>
        </w:rPr>
        <w:t>he line between "not implemented" and "partially implemented" is not very clear and the degree of partial implementation varies from one Member State to another. The data result from a self-assessment by the Member State providing the answers.</w:t>
      </w:r>
    </w:p>
  </w:footnote>
  <w:footnote w:id="29">
    <w:p>
      <w:pPr>
        <w:pStyle w:val="FootnoteText"/>
        <w:spacing w:after="60"/>
      </w:pPr>
      <w:r>
        <w:rPr>
          <w:rStyle w:val="FootnoteReference"/>
        </w:rPr>
        <w:footnoteRef/>
      </w:r>
      <w:r>
        <w:t xml:space="preserve"> </w:t>
      </w:r>
      <w:r>
        <w:tab/>
        <w:t>Court’s Special Report No 24/2015 “Tackling intra-Community VAT fraud: More action needed”, paragraph 83.</w:t>
      </w:r>
    </w:p>
  </w:footnote>
  <w:footnote w:id="30">
    <w:p>
      <w:pPr>
        <w:pStyle w:val="FootnoteText"/>
        <w:spacing w:after="60"/>
        <w:rPr>
          <w:lang w:eastAsia="ja-JP"/>
        </w:rPr>
      </w:pPr>
      <w:r>
        <w:rPr>
          <w:rStyle w:val="FootnoteReference"/>
        </w:rPr>
        <w:footnoteRef/>
      </w:r>
      <w:r>
        <w:rPr>
          <w:lang w:eastAsia="ja-JP"/>
        </w:rPr>
        <w:t xml:space="preserve"> </w:t>
      </w:r>
      <w:r>
        <w:rPr>
          <w:lang w:eastAsia="ja-JP"/>
        </w:rPr>
        <w:tab/>
        <w:t xml:space="preserve">Customs procedure 42 is a mechanism an EU importer uses in order to obtain a VAT exemption. It is applied when goods imported from outside the EU into one Member State will be transported to another Member State. In such cases, the VAT is due in the latter Member State of destination. </w:t>
      </w:r>
    </w:p>
  </w:footnote>
  <w:footnote w:id="31">
    <w:p>
      <w:pPr>
        <w:pStyle w:val="FootnoteText"/>
        <w:keepNext w:val="0"/>
        <w:keepLines w:val="0"/>
        <w:widowControl w:val="0"/>
        <w:spacing w:after="60"/>
        <w:rPr>
          <w:lang w:eastAsia="ja-JP"/>
        </w:rPr>
      </w:pPr>
      <w:r>
        <w:rPr>
          <w:rStyle w:val="FootnoteReference"/>
        </w:rPr>
        <w:footnoteRef/>
      </w:r>
      <w:r>
        <w:rPr>
          <w:lang w:eastAsia="ja-JP"/>
        </w:rPr>
        <w:t xml:space="preserve"> </w:t>
      </w:r>
      <w:r>
        <w:rPr>
          <w:lang w:eastAsia="ja-JP"/>
        </w:rPr>
        <w:tab/>
        <w:t xml:space="preserve">See: </w:t>
      </w:r>
      <w:hyperlink r:id="rId4" w:history="1">
        <w:r>
          <w:rPr>
            <w:rStyle w:val="Hyperlink"/>
            <w:lang w:eastAsia="ja-JP"/>
          </w:rPr>
          <w:t>https://ec.europa.eu/taxation_customs/sites/taxation/files/resources/documents/common/publications/info_docs/taxation/fiscal_blueprint_en.pdf</w:t>
        </w:r>
      </w:hyperlink>
    </w:p>
  </w:footnote>
  <w:footnote w:id="32">
    <w:p>
      <w:pPr>
        <w:pStyle w:val="FootnoteText"/>
        <w:spacing w:after="60"/>
      </w:pPr>
      <w:r>
        <w:rPr>
          <w:rStyle w:val="FootnoteReference"/>
        </w:rPr>
        <w:footnoteRef/>
      </w:r>
      <w:r>
        <w:rPr>
          <w:rStyle w:val="FootnoteReference"/>
        </w:rPr>
        <w:t xml:space="preserve"> </w:t>
      </w:r>
      <w:r>
        <w:rPr>
          <w:lang w:eastAsia="ja-JP"/>
        </w:rPr>
        <w:tab/>
        <w:t xml:space="preserve">See: </w:t>
      </w:r>
      <w:hyperlink r:id="rId5" w:history="1">
        <w:r>
          <w:rPr>
            <w:rStyle w:val="Hyperlink"/>
            <w:lang w:eastAsia="ja-JP"/>
          </w:rPr>
          <w:t>http://www.tadat.org/</w:t>
        </w:r>
      </w:hyperlink>
    </w:p>
  </w:footnote>
  <w:footnote w:id="33">
    <w:p>
      <w:pPr>
        <w:pStyle w:val="FootnoteText"/>
        <w:spacing w:after="60"/>
      </w:pPr>
      <w:r>
        <w:rPr>
          <w:rStyle w:val="FootnoteReference"/>
        </w:rPr>
        <w:footnoteRef/>
      </w:r>
      <w:r>
        <w:t xml:space="preserve"> </w:t>
      </w:r>
      <w:r>
        <w:tab/>
        <w:t>Fiscalis 2020 is an EU cooperation programme enabling national tax administrations to create and exchange information and expertise. It allows developing and operating major trans-European IT systems in partnership, as well as establishing various person to person networks by bringing together national officials from across Europe.</w:t>
      </w:r>
    </w:p>
  </w:footnote>
  <w:footnote w:id="34">
    <w:p>
      <w:pPr>
        <w:pStyle w:val="FootnoteText"/>
        <w:spacing w:after="60"/>
      </w:pPr>
      <w:r>
        <w:rPr>
          <w:rStyle w:val="FootnoteReference"/>
        </w:rPr>
        <w:footnoteRef/>
      </w:r>
      <w:r>
        <w:t xml:space="preserve"> </w:t>
      </w:r>
      <w:r>
        <w:tab/>
        <w:t>The EU structural reform support programme is intended to help Member States to design and implement institutional, administrative and structural reforms and to use EU funds that are available for such purposes more efficiently and effectively.</w:t>
      </w:r>
    </w:p>
  </w:footnote>
  <w:footnote w:id="35">
    <w:p>
      <w:pPr>
        <w:pStyle w:val="FootnoteText"/>
        <w:spacing w:after="60"/>
      </w:pPr>
      <w:r>
        <w:rPr>
          <w:rStyle w:val="FootnoteReference"/>
        </w:rPr>
        <w:footnoteRef/>
      </w:r>
      <w:r>
        <w:t xml:space="preserve"> </w:t>
      </w:r>
      <w:r>
        <w:tab/>
        <w:t>An example of such collaboration is the Commission expert group: the IT Catalyst Group</w:t>
      </w:r>
    </w:p>
    <w:p>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E754BE"/>
    <w:multiLevelType w:val="hybridMultilevel"/>
    <w:tmpl w:val="A8A2D5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195C23DE"/>
    <w:multiLevelType w:val="hybridMultilevel"/>
    <w:tmpl w:val="76C840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1B3C78B8"/>
    <w:multiLevelType w:val="multilevel"/>
    <w:tmpl w:val="2ED4F4D0"/>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3">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2AF76E7A"/>
    <w:multiLevelType w:val="singleLevel"/>
    <w:tmpl w:val="C74C5A32"/>
    <w:name w:val="Bullet 1"/>
    <w:lvl w:ilvl="0">
      <w:start w:val="1"/>
      <w:numFmt w:val="bullet"/>
      <w:lvlRestart w:val="0"/>
      <w:pStyle w:val="ListNumber4"/>
      <w:lvlText w:val=""/>
      <w:lvlJc w:val="left"/>
      <w:pPr>
        <w:tabs>
          <w:tab w:val="num" w:pos="1417"/>
        </w:tabs>
        <w:ind w:left="1417" w:hanging="567"/>
      </w:pPr>
      <w:rPr>
        <w:rFonts w:ascii="Symbol" w:hAnsi="Symbol" w:hint="default"/>
      </w:rPr>
    </w:lvl>
  </w:abstractNum>
  <w:abstractNum w:abstractNumId="5">
    <w:nsid w:val="2CB72C6E"/>
    <w:multiLevelType w:val="singleLevel"/>
    <w:tmpl w:val="10ACD464"/>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6">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7">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8">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9">
    <w:nsid w:val="4552127F"/>
    <w:multiLevelType w:val="singleLevel"/>
    <w:tmpl w:val="057A5296"/>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0">
    <w:nsid w:val="48842C30"/>
    <w:multiLevelType w:val="singleLevel"/>
    <w:tmpl w:val="4FA60B90"/>
    <w:name w:val="Bullet 4"/>
    <w:lvl w:ilvl="0">
      <w:start w:val="1"/>
      <w:numFmt w:val="bullet"/>
      <w:lvlRestart w:val="0"/>
      <w:pStyle w:val="ListBullet3"/>
      <w:lvlText w:val=""/>
      <w:lvlJc w:val="left"/>
      <w:pPr>
        <w:tabs>
          <w:tab w:val="num" w:pos="3118"/>
        </w:tabs>
        <w:ind w:left="3118" w:hanging="567"/>
      </w:pPr>
      <w:rPr>
        <w:rFonts w:ascii="Symbol" w:hAnsi="Symbol" w:hint="default"/>
      </w:rPr>
    </w:lvl>
  </w:abstractNum>
  <w:abstractNum w:abstractNumId="11">
    <w:nsid w:val="50FE6EDF"/>
    <w:multiLevelType w:val="hybridMultilevel"/>
    <w:tmpl w:val="3C7EFE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4593082"/>
    <w:multiLevelType w:val="singleLevel"/>
    <w:tmpl w:val="EDE069AC"/>
    <w:name w:val="Bullet 0"/>
    <w:lvl w:ilvl="0">
      <w:start w:val="1"/>
      <w:numFmt w:val="bullet"/>
      <w:lvlRestart w:val="0"/>
      <w:pStyle w:val="ListNumber3"/>
      <w:lvlText w:val=""/>
      <w:lvlJc w:val="left"/>
      <w:pPr>
        <w:tabs>
          <w:tab w:val="num" w:pos="850"/>
        </w:tabs>
        <w:ind w:left="850" w:hanging="850"/>
      </w:pPr>
      <w:rPr>
        <w:rFonts w:ascii="Symbol" w:hAnsi="Symbol" w:hint="default"/>
      </w:rPr>
    </w:lvl>
  </w:abstractNum>
  <w:abstractNum w:abstractNumId="13">
    <w:nsid w:val="555F5F0A"/>
    <w:multiLevelType w:val="multilevel"/>
    <w:tmpl w:val="646E578A"/>
    <w:lvl w:ilvl="0">
      <w:start w:val="1"/>
      <w:numFmt w:val="decimal"/>
      <w:lvlText w:val="%1"/>
      <w:lvlJc w:val="left"/>
      <w:pPr>
        <w:ind w:left="432" w:hanging="432"/>
      </w:pPr>
      <w:rPr>
        <w:rFonts w:ascii="Times New Roman" w:hAnsi="Times New Roman" w:cs="Times New Roman" w:hint="default"/>
        <w:b/>
        <w:sz w:val="24"/>
        <w:szCs w:val="24"/>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nsid w:val="556E1D63"/>
    <w:multiLevelType w:val="singleLevel"/>
    <w:tmpl w:val="493AAFF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5">
    <w:nsid w:val="5B395AAA"/>
    <w:multiLevelType w:val="singleLevel"/>
    <w:tmpl w:val="96D02E8A"/>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6">
    <w:nsid w:val="5C056EE5"/>
    <w:multiLevelType w:val="singleLevel"/>
    <w:tmpl w:val="3378D27C"/>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7">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8">
    <w:nsid w:val="5F342530"/>
    <w:multiLevelType w:val="singleLevel"/>
    <w:tmpl w:val="D5444702"/>
    <w:name w:val="Bullet 3"/>
    <w:lvl w:ilvl="0">
      <w:start w:val="1"/>
      <w:numFmt w:val="bullet"/>
      <w:lvlRestart w:val="0"/>
      <w:pStyle w:val="ListBullet2"/>
      <w:lvlText w:val=""/>
      <w:lvlJc w:val="left"/>
      <w:pPr>
        <w:tabs>
          <w:tab w:val="num" w:pos="2551"/>
        </w:tabs>
        <w:ind w:left="2551" w:hanging="567"/>
      </w:pPr>
      <w:rPr>
        <w:rFonts w:ascii="Symbol" w:hAnsi="Symbol" w:hint="default"/>
      </w:rPr>
    </w:lvl>
  </w:abstractNum>
  <w:abstractNum w:abstractNumId="19">
    <w:nsid w:val="5F9C40AA"/>
    <w:multiLevelType w:val="singleLevel"/>
    <w:tmpl w:val="B89CB5A2"/>
    <w:name w:val="Bullet 2"/>
    <w:lvl w:ilvl="0">
      <w:start w:val="1"/>
      <w:numFmt w:val="bullet"/>
      <w:lvlRestart w:val="0"/>
      <w:pStyle w:val="ListBullet"/>
      <w:lvlText w:val=""/>
      <w:lvlJc w:val="left"/>
      <w:pPr>
        <w:tabs>
          <w:tab w:val="num" w:pos="1984"/>
        </w:tabs>
        <w:ind w:left="1984" w:hanging="567"/>
      </w:pPr>
      <w:rPr>
        <w:rFonts w:ascii="Symbol" w:hAnsi="Symbol" w:hint="default"/>
      </w:rPr>
    </w:lvl>
  </w:abstractNum>
  <w:abstractNum w:abstractNumId="20">
    <w:nsid w:val="64A12FA4"/>
    <w:multiLevelType w:val="multilevel"/>
    <w:tmpl w:val="E0FCC288"/>
    <w:lvl w:ilvl="0">
      <w:start w:val="1"/>
      <w:numFmt w:val="decimal"/>
      <w:lvlRestart w:val="0"/>
      <w:pStyle w:val="Heading1"/>
      <w:lvlText w:val="%1."/>
      <w:lvlJc w:val="left"/>
      <w:pPr>
        <w:tabs>
          <w:tab w:val="num" w:pos="850"/>
        </w:tabs>
        <w:ind w:left="850" w:hanging="850"/>
      </w:pPr>
      <w:rPr>
        <w:b/>
      </w:r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69995580"/>
    <w:multiLevelType w:val="singleLevel"/>
    <w:tmpl w:val="75CC7CBA"/>
    <w:name w:val="Considérant"/>
    <w:lvl w:ilvl="0">
      <w:start w:val="1"/>
      <w:numFmt w:val="decimal"/>
      <w:lvlRestart w:val="0"/>
      <w:pStyle w:val="ListBullet4"/>
      <w:lvlText w:val="(%1)"/>
      <w:lvlJc w:val="left"/>
      <w:pPr>
        <w:tabs>
          <w:tab w:val="num" w:pos="709"/>
        </w:tabs>
        <w:ind w:left="709" w:hanging="709"/>
      </w:pPr>
      <w:rPr>
        <w:rFonts w:cs="Times New Roman"/>
      </w:rPr>
    </w:lvl>
  </w:abstractNum>
  <w:abstractNum w:abstractNumId="23">
    <w:nsid w:val="6E9B7988"/>
    <w:multiLevelType w:val="multilevel"/>
    <w:tmpl w:val="646E578A"/>
    <w:lvl w:ilvl="0">
      <w:start w:val="1"/>
      <w:numFmt w:val="decimal"/>
      <w:lvlText w:val="%1"/>
      <w:lvlJc w:val="left"/>
      <w:pPr>
        <w:ind w:left="432" w:hanging="432"/>
      </w:pPr>
      <w:rPr>
        <w:rFonts w:ascii="Times New Roman" w:hAnsi="Times New Roman" w:cs="Times New Roman" w:hint="default"/>
        <w:b/>
        <w:sz w:val="24"/>
        <w:szCs w:val="24"/>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nsid w:val="70BD45F7"/>
    <w:multiLevelType w:val="hybridMultilevel"/>
    <w:tmpl w:val="6D943D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72796D4C"/>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6">
    <w:nsid w:val="75C26F71"/>
    <w:multiLevelType w:val="multilevel"/>
    <w:tmpl w:val="E01E7708"/>
    <w:name w:val="Heading"/>
    <w:lvl w:ilvl="0">
      <w:start w:val="1"/>
      <w:numFmt w:val="decimal"/>
      <w:lvlRestart w:val="0"/>
      <w:pStyle w:val="ListNumber"/>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7">
    <w:nsid w:val="75D41756"/>
    <w:multiLevelType w:val="hybridMultilevel"/>
    <w:tmpl w:val="D3BAF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BE95D7F"/>
    <w:multiLevelType w:val="multilevel"/>
    <w:tmpl w:val="F126F780"/>
    <w:name w:val="Point"/>
    <w:lvl w:ilvl="0">
      <w:start w:val="1"/>
      <w:numFmt w:val="decimal"/>
      <w:lvlRestart w:val="0"/>
      <w:pStyle w:val="ListNumber2"/>
      <w:lvlText w:val="(%1)"/>
      <w:lvlJc w:val="left"/>
      <w:pPr>
        <w:tabs>
          <w:tab w:val="num" w:pos="850"/>
        </w:tabs>
        <w:ind w:left="850" w:hanging="850"/>
      </w:pPr>
      <w:rPr>
        <w:rFonts w:cs="Times New Roman"/>
      </w:rPr>
    </w:lvl>
    <w:lvl w:ilvl="1">
      <w:start w:val="1"/>
      <w:numFmt w:val="lowerLetter"/>
      <w:lvlText w:val="(%2)"/>
      <w:lvlJc w:val="left"/>
      <w:pPr>
        <w:tabs>
          <w:tab w:val="num" w:pos="850"/>
        </w:tabs>
        <w:ind w:left="850" w:hanging="850"/>
      </w:pPr>
      <w:rPr>
        <w:rFonts w:cs="Times New Roman"/>
      </w:rPr>
    </w:lvl>
    <w:lvl w:ilvl="2">
      <w:start w:val="1"/>
      <w:numFmt w:val="decimal"/>
      <w:lvlText w:val="(%3)"/>
      <w:lvlJc w:val="left"/>
      <w:pPr>
        <w:tabs>
          <w:tab w:val="num" w:pos="1417"/>
        </w:tabs>
        <w:ind w:left="1417" w:hanging="567"/>
      </w:pPr>
      <w:rPr>
        <w:rFonts w:cs="Times New Roman"/>
      </w:rPr>
    </w:lvl>
    <w:lvl w:ilvl="3">
      <w:start w:val="1"/>
      <w:numFmt w:val="lowerLetter"/>
      <w:lvlText w:val="(%4)"/>
      <w:lvlJc w:val="left"/>
      <w:pPr>
        <w:tabs>
          <w:tab w:val="num" w:pos="1417"/>
        </w:tabs>
        <w:ind w:left="1417" w:hanging="567"/>
      </w:pPr>
      <w:rPr>
        <w:rFonts w:cs="Times New Roman"/>
      </w:rPr>
    </w:lvl>
    <w:lvl w:ilvl="4">
      <w:start w:val="1"/>
      <w:numFmt w:val="decimal"/>
      <w:lvlText w:val="(%5)"/>
      <w:lvlJc w:val="left"/>
      <w:pPr>
        <w:tabs>
          <w:tab w:val="num" w:pos="1984"/>
        </w:tabs>
        <w:ind w:left="1984" w:hanging="567"/>
      </w:pPr>
      <w:rPr>
        <w:rFonts w:cs="Times New Roman"/>
      </w:rPr>
    </w:lvl>
    <w:lvl w:ilvl="5">
      <w:start w:val="1"/>
      <w:numFmt w:val="lowerLetter"/>
      <w:lvlText w:val="(%6)"/>
      <w:lvlJc w:val="left"/>
      <w:pPr>
        <w:tabs>
          <w:tab w:val="num" w:pos="1984"/>
        </w:tabs>
        <w:ind w:left="1984" w:hanging="567"/>
      </w:pPr>
      <w:rPr>
        <w:rFonts w:cs="Times New Roman"/>
      </w:rPr>
    </w:lvl>
    <w:lvl w:ilvl="6">
      <w:start w:val="1"/>
      <w:numFmt w:val="decimal"/>
      <w:lvlText w:val="(%7)"/>
      <w:lvlJc w:val="left"/>
      <w:pPr>
        <w:tabs>
          <w:tab w:val="num" w:pos="2551"/>
        </w:tabs>
        <w:ind w:left="2551" w:hanging="567"/>
      </w:pPr>
      <w:rPr>
        <w:rFonts w:cs="Times New Roman"/>
      </w:rPr>
    </w:lvl>
    <w:lvl w:ilvl="7">
      <w:start w:val="1"/>
      <w:numFmt w:val="lowerLetter"/>
      <w:lvlText w:val="(%8)"/>
      <w:lvlJc w:val="left"/>
      <w:pPr>
        <w:tabs>
          <w:tab w:val="num" w:pos="2551"/>
        </w:tabs>
        <w:ind w:left="2551" w:hanging="567"/>
      </w:pPr>
      <w:rPr>
        <w:rFonts w:cs="Times New Roman"/>
      </w:rPr>
    </w:lvl>
    <w:lvl w:ilvl="8">
      <w:start w:val="1"/>
      <w:numFmt w:val="lowerLetter"/>
      <w:lvlText w:val="(%9)"/>
      <w:lvlJc w:val="left"/>
      <w:pPr>
        <w:tabs>
          <w:tab w:val="num" w:pos="3118"/>
        </w:tabs>
        <w:ind w:left="3118" w:hanging="567"/>
      </w:pPr>
      <w:rPr>
        <w:rFonts w:cs="Times New Roman"/>
      </w:rPr>
    </w:lvl>
  </w:abstractNum>
  <w:abstractNum w:abstractNumId="29">
    <w:nsid w:val="7CBE4812"/>
    <w:multiLevelType w:val="singleLevel"/>
    <w:tmpl w:val="23C821E4"/>
    <w:lvl w:ilvl="0">
      <w:start w:val="1"/>
      <w:numFmt w:val="decimal"/>
      <w:lvlRestart w:val="0"/>
      <w:pStyle w:val="Considrant"/>
      <w:lvlText w:val="(%1)"/>
      <w:lvlJc w:val="left"/>
      <w:pPr>
        <w:tabs>
          <w:tab w:val="num" w:pos="709"/>
        </w:tabs>
        <w:ind w:left="709" w:hanging="709"/>
      </w:pPr>
    </w:lvl>
  </w:abstractNum>
  <w:num w:numId="1">
    <w:abstractNumId w:val="26"/>
  </w:num>
  <w:num w:numId="2">
    <w:abstractNumId w:val="28"/>
  </w:num>
  <w:num w:numId="3">
    <w:abstractNumId w:val="12"/>
  </w:num>
  <w:num w:numId="4">
    <w:abstractNumId w:val="4"/>
  </w:num>
  <w:num w:numId="5">
    <w:abstractNumId w:val="19"/>
  </w:num>
  <w:num w:numId="6">
    <w:abstractNumId w:val="18"/>
  </w:num>
  <w:num w:numId="7">
    <w:abstractNumId w:val="10"/>
  </w:num>
  <w:num w:numId="8">
    <w:abstractNumId w:val="22"/>
  </w:num>
  <w:num w:numId="9">
    <w:abstractNumId w:val="20"/>
  </w:num>
  <w:num w:numId="10">
    <w:abstractNumId w:val="17"/>
  </w:num>
  <w:num w:numId="11">
    <w:abstractNumId w:val="7"/>
  </w:num>
  <w:num w:numId="12">
    <w:abstractNumId w:val="21"/>
  </w:num>
  <w:num w:numId="13">
    <w:abstractNumId w:val="6"/>
  </w:num>
  <w:num w:numId="14">
    <w:abstractNumId w:val="8"/>
  </w:num>
  <w:num w:numId="15">
    <w:abstractNumId w:val="3"/>
  </w:num>
  <w:num w:numId="16">
    <w:abstractNumId w:val="2"/>
  </w:num>
  <w:num w:numId="17">
    <w:abstractNumId w:val="9"/>
  </w:num>
  <w:num w:numId="18">
    <w:abstractNumId w:val="15"/>
  </w:num>
  <w:num w:numId="19">
    <w:abstractNumId w:val="16"/>
  </w:num>
  <w:num w:numId="20">
    <w:abstractNumId w:val="5"/>
  </w:num>
  <w:num w:numId="21">
    <w:abstractNumId w:val="14"/>
  </w:num>
  <w:num w:numId="22">
    <w:abstractNumId w:val="29"/>
  </w:num>
  <w:num w:numId="23">
    <w:abstractNumId w:val="1"/>
  </w:num>
  <w:num w:numId="24">
    <w:abstractNumId w:val="24"/>
  </w:num>
  <w:num w:numId="25">
    <w:abstractNumId w:val="13"/>
  </w:num>
  <w:num w:numId="26">
    <w:abstractNumId w:val="0"/>
  </w:num>
  <w:num w:numId="27">
    <w:abstractNumId w:val="25"/>
  </w:num>
  <w:num w:numId="28">
    <w:abstractNumId w:val="27"/>
  </w:num>
  <w:num w:numId="29">
    <w:abstractNumId w:val="11"/>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hideGrammaticalErrors/>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lt;UNUSED&gt;"/>
    <w:docVar w:name="LW_CORRIGENDUM" w:val="&lt;UNUSED&gt;"/>
    <w:docVar w:name="LW_COVERPAGE_EXISTS" w:val="True"/>
    <w:docVar w:name="LW_COVERPAGE_GUID" w:val="B00BADE9-7A84-4909-9DA2-A4F1E34D9ED3"/>
    <w:docVar w:name="LW_COVERPAGE_TYPE" w:val="1"/>
    <w:docVar w:name="LW_CROSSREFERENCE" w:val="&lt;UNUSED&gt;"/>
    <w:docVar w:name="LW_DATE.ADOPT.CP_ISODATE" w:val="&lt;EMPTY&gt;"/>
    <w:docVar w:name="LW_DocType" w:val="NORMAL"/>
    <w:docVar w:name="LW_EMISSION" w:val="18.12.2017"/>
    <w:docVar w:name="LW_EMISSION_ISODATE" w:val="2017-12-18"/>
    <w:docVar w:name="LW_EMISSION_LOCATION" w:val="BRX"/>
    <w:docVar w:name="LW_EMISSION_PREFIX" w:val="Brussels, "/>
    <w:docVar w:name="LW_EMISSION_SUFFIX" w:val=" "/>
    <w:docVar w:name="LW_ID_DOCTYPE_NONLW" w:val="CP-005"/>
    <w:docVar w:name="LW_INTERETEEE.CP" w:val="&lt;UNUSED&gt;"/>
    <w:docVar w:name="LW_LANGUE" w:val="EN"/>
    <w:docVar w:name="LW_LANGUESFAISANTFOI.CP" w:val="&lt;UNUSED&gt;"/>
    <w:docVar w:name="LW_LEVEL_OF_SENSITIVITY" w:val="Standard treatment"/>
    <w:docVar w:name="LW_NOM.INST" w:val="EUROPEAN COMMISSION"/>
    <w:docVar w:name="LW_NOM.INST_JOINTDOC" w:val="&lt;EMPTY&gt;"/>
    <w:docVar w:name="LW_OBJETACTEPRINCIPAL.CP" w:val="&lt;UNUSED&gt;"/>
    <w:docVar w:name="LW_PART_NBR" w:val="1"/>
    <w:docVar w:name="LW_PART_NBR_TOTAL" w:val="1"/>
    <w:docVar w:name="LW_REF.II.NEW.CP" w:val="&lt;UNUSED&gt;"/>
    <w:docVar w:name="LW_REF.II.NEW.CP_NUMBER" w:val="&lt;UNUSED&gt;"/>
    <w:docVar w:name="LW_REF.II.NEW.CP_YEAR" w:val="2017"/>
    <w:docVar w:name="LW_REF.INST.NEW" w:val="COM"/>
    <w:docVar w:name="LW_REF.INST.NEW_ADOPTED" w:val="final"/>
    <w:docVar w:name="LW_REF.INST.NEW_TEXT" w:val="(2017) 78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Eighth report under Article 12 of Regulation (EEC, Euratom) n° 1553/89 on VAT collection and control procedures"/>
    <w:docVar w:name="LW_TYPE.DOC.CP" w:val="REPORT FROM THE COMMISSION TO THE COUNCIL AND THE EUROPEAN PARLIAMENT"/>
    <w:docVar w:name="LW_TYPEACTEPRINCIPAL.CP" w:val="&lt;UNUSED&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caption" w:uiPriority="0" w:qFormat="1"/>
    <w:lsdException w:name="footnote reference"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uiPriority w:val="9"/>
    <w:qFormat/>
    <w:pPr>
      <w:keepNext/>
      <w:numPr>
        <w:numId w:val="9"/>
      </w:numPr>
      <w:spacing w:before="360" w:after="120" w:line="240" w:lineRule="auto"/>
      <w:jc w:val="both"/>
      <w:outlineLvl w:val="0"/>
    </w:pPr>
    <w:rPr>
      <w:rFonts w:ascii="Times New Roman" w:eastAsia="Times New Roman" w:hAnsi="Times New Roman" w:cs="Times New Roman"/>
      <w:b/>
      <w:bCs/>
      <w:caps/>
      <w:sz w:val="24"/>
      <w:szCs w:val="28"/>
      <w:lang w:eastAsia="en-GB"/>
    </w:rPr>
  </w:style>
  <w:style w:type="paragraph" w:styleId="Heading2">
    <w:name w:val="heading 2"/>
    <w:basedOn w:val="Normal"/>
    <w:next w:val="Text1"/>
    <w:link w:val="Heading2Char"/>
    <w:uiPriority w:val="9"/>
    <w:unhideWhenUsed/>
    <w:qFormat/>
    <w:pPr>
      <w:keepNext/>
      <w:numPr>
        <w:ilvl w:val="1"/>
        <w:numId w:val="9"/>
      </w:numPr>
      <w:spacing w:before="120" w:after="120" w:line="240" w:lineRule="auto"/>
      <w:jc w:val="both"/>
      <w:outlineLvl w:val="1"/>
    </w:pPr>
    <w:rPr>
      <w:rFonts w:ascii="Times New Roman" w:eastAsia="Times New Roman" w:hAnsi="Times New Roman" w:cs="Times New Roman"/>
      <w:b/>
      <w:bCs/>
      <w:sz w:val="24"/>
      <w:lang w:eastAsia="en-GB"/>
    </w:rPr>
  </w:style>
  <w:style w:type="paragraph" w:styleId="Heading3">
    <w:name w:val="heading 3"/>
    <w:basedOn w:val="Normal"/>
    <w:next w:val="Text1"/>
    <w:link w:val="Heading3Char"/>
    <w:uiPriority w:val="9"/>
    <w:unhideWhenUsed/>
    <w:qFormat/>
    <w:pPr>
      <w:keepNext/>
      <w:numPr>
        <w:ilvl w:val="2"/>
        <w:numId w:val="9"/>
      </w:numPr>
      <w:spacing w:before="120" w:after="120" w:line="240" w:lineRule="auto"/>
      <w:jc w:val="both"/>
      <w:outlineLvl w:val="2"/>
    </w:pPr>
    <w:rPr>
      <w:rFonts w:ascii="Times New Roman" w:eastAsia="Times New Roman" w:hAnsi="Times New Roman" w:cs="Times New Roman"/>
      <w:bCs/>
      <w:i/>
      <w:sz w:val="24"/>
      <w:szCs w:val="20"/>
      <w:lang w:eastAsia="en-GB"/>
    </w:rPr>
  </w:style>
  <w:style w:type="paragraph" w:styleId="Heading4">
    <w:name w:val="heading 4"/>
    <w:basedOn w:val="Normal"/>
    <w:next w:val="Text1"/>
    <w:link w:val="Heading4Char"/>
    <w:uiPriority w:val="9"/>
    <w:semiHidden/>
    <w:unhideWhenUsed/>
    <w:qFormat/>
    <w:pPr>
      <w:keepNext/>
      <w:numPr>
        <w:ilvl w:val="3"/>
        <w:numId w:val="9"/>
      </w:numPr>
      <w:spacing w:before="120" w:after="120" w:line="240" w:lineRule="auto"/>
      <w:jc w:val="both"/>
      <w:outlineLvl w:val="3"/>
    </w:pPr>
    <w:rPr>
      <w:rFonts w:ascii="Times New Roman" w:eastAsia="Times New Roman" w:hAnsi="Times New Roman" w:cs="Times New Roman"/>
      <w:bCs/>
      <w:iCs/>
      <w:sz w:val="24"/>
      <w:szCs w:val="20"/>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uiPriority w:val="9"/>
    <w:rPr>
      <w:rFonts w:ascii="Times New Roman" w:eastAsia="Times New Roman" w:hAnsi="Times New Roman" w:cs="Times New Roman"/>
      <w:b/>
      <w:bCs/>
      <w:caps/>
      <w:sz w:val="24"/>
      <w:szCs w:val="28"/>
      <w:lang w:eastAsia="en-GB"/>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24"/>
      <w:lang w:eastAsia="en-GB"/>
    </w:rPr>
  </w:style>
  <w:style w:type="character" w:customStyle="1" w:styleId="Heading3Char">
    <w:name w:val="Heading 3 Char"/>
    <w:basedOn w:val="DefaultParagraphFont"/>
    <w:link w:val="Heading3"/>
    <w:uiPriority w:val="9"/>
    <w:rPr>
      <w:rFonts w:ascii="Times New Roman" w:eastAsia="Times New Roman" w:hAnsi="Times New Roman" w:cs="Times New Roman"/>
      <w:bCs/>
      <w:i/>
      <w:sz w:val="24"/>
      <w:szCs w:val="20"/>
      <w:lang w:eastAsia="en-GB"/>
    </w:rPr>
  </w:style>
  <w:style w:type="character" w:customStyle="1" w:styleId="Heading4Char">
    <w:name w:val="Heading 4 Char"/>
    <w:basedOn w:val="DefaultParagraphFont"/>
    <w:link w:val="Heading4"/>
    <w:uiPriority w:val="9"/>
    <w:semiHidden/>
    <w:rPr>
      <w:rFonts w:ascii="Times New Roman" w:eastAsia="Times New Roman" w:hAnsi="Times New Roman" w:cs="Times New Roman"/>
      <w:bCs/>
      <w:iCs/>
      <w:sz w:val="24"/>
      <w:szCs w:val="20"/>
      <w:lang w:eastAsia="en-GB"/>
    </w:rPr>
  </w:style>
  <w:style w:type="character" w:styleId="Hyperlink">
    <w:name w:val="Hyperlink"/>
    <w:uiPriority w:val="99"/>
    <w:rPr>
      <w:color w:val="0000FF"/>
      <w:u w:val="single"/>
    </w:rPr>
  </w:style>
  <w:style w:type="paragraph" w:customStyle="1" w:styleId="ZCom">
    <w:name w:val="Z_Com"/>
    <w:basedOn w:val="Normal"/>
    <w:next w:val="ZDGName"/>
    <w:pPr>
      <w:widowControl w:val="0"/>
      <w:spacing w:after="0" w:line="240" w:lineRule="auto"/>
      <w:ind w:right="85"/>
      <w:jc w:val="both"/>
    </w:pPr>
    <w:rPr>
      <w:rFonts w:ascii="Arial" w:eastAsia="Times New Roman" w:hAnsi="Arial" w:cs="Times New Roman"/>
      <w:sz w:val="24"/>
      <w:szCs w:val="20"/>
      <w:lang w:eastAsia="en-GB"/>
    </w:rPr>
  </w:style>
  <w:style w:type="paragraph" w:customStyle="1" w:styleId="ZDGName">
    <w:name w:val="Z_DGName"/>
    <w:basedOn w:val="Normal"/>
    <w:pPr>
      <w:widowControl w:val="0"/>
      <w:spacing w:after="0" w:line="240" w:lineRule="auto"/>
      <w:ind w:right="85"/>
      <w:jc w:val="both"/>
    </w:pPr>
    <w:rPr>
      <w:rFonts w:ascii="Arial" w:eastAsia="Times New Roman" w:hAnsi="Arial" w:cs="Times New Roman"/>
      <w:sz w:val="16"/>
      <w:szCs w:val="20"/>
      <w:lang w:eastAsia="en-GB"/>
    </w:rPr>
  </w:style>
  <w:style w:type="paragraph" w:customStyle="1" w:styleId="Default">
    <w:name w:val="Default"/>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paragraph" w:styleId="ListNumber">
    <w:name w:val="List Number"/>
    <w:basedOn w:val="Normal"/>
    <w:uiPriority w:val="99"/>
    <w:pPr>
      <w:numPr>
        <w:numId w:val="1"/>
      </w:numPr>
      <w:spacing w:before="120" w:after="120" w:line="240" w:lineRule="auto"/>
      <w:ind w:left="360" w:hanging="360"/>
      <w:contextualSpacing/>
      <w:jc w:val="both"/>
    </w:pPr>
    <w:rPr>
      <w:rFonts w:ascii="Times New Roman" w:eastAsia="Times New Roman" w:hAnsi="Times New Roman" w:cs="Times New Roman"/>
      <w:sz w:val="24"/>
      <w:szCs w:val="20"/>
      <w:lang w:eastAsia="en-GB"/>
    </w:rPr>
  </w:style>
  <w:style w:type="paragraph" w:styleId="ListNumber2">
    <w:name w:val="List Number 2"/>
    <w:basedOn w:val="Normal"/>
    <w:uiPriority w:val="99"/>
    <w:pPr>
      <w:numPr>
        <w:numId w:val="2"/>
      </w:numPr>
      <w:tabs>
        <w:tab w:val="num" w:pos="643"/>
      </w:tabs>
      <w:spacing w:before="120" w:after="120" w:line="240" w:lineRule="auto"/>
      <w:ind w:left="643" w:hanging="360"/>
      <w:contextualSpacing/>
      <w:jc w:val="both"/>
    </w:pPr>
    <w:rPr>
      <w:rFonts w:ascii="Times New Roman" w:eastAsia="Times New Roman" w:hAnsi="Times New Roman" w:cs="Times New Roman"/>
      <w:sz w:val="24"/>
      <w:szCs w:val="20"/>
      <w:lang w:eastAsia="en-GB"/>
    </w:rPr>
  </w:style>
  <w:style w:type="paragraph" w:styleId="ListNumber3">
    <w:name w:val="List Number 3"/>
    <w:basedOn w:val="Normal"/>
    <w:uiPriority w:val="99"/>
    <w:pPr>
      <w:numPr>
        <w:numId w:val="3"/>
      </w:numPr>
      <w:tabs>
        <w:tab w:val="num" w:pos="926"/>
      </w:tabs>
      <w:spacing w:before="120" w:after="120" w:line="240" w:lineRule="auto"/>
      <w:ind w:left="926" w:hanging="360"/>
      <w:contextualSpacing/>
      <w:jc w:val="both"/>
    </w:pPr>
    <w:rPr>
      <w:rFonts w:ascii="Times New Roman" w:eastAsia="Times New Roman" w:hAnsi="Times New Roman" w:cs="Times New Roman"/>
      <w:sz w:val="24"/>
      <w:szCs w:val="20"/>
      <w:lang w:eastAsia="en-GB"/>
    </w:rPr>
  </w:style>
  <w:style w:type="paragraph" w:styleId="ListNumber4">
    <w:name w:val="List Number 4"/>
    <w:basedOn w:val="Normal"/>
    <w:uiPriority w:val="99"/>
    <w:pPr>
      <w:numPr>
        <w:numId w:val="4"/>
      </w:numPr>
      <w:tabs>
        <w:tab w:val="num" w:pos="1209"/>
      </w:tabs>
      <w:spacing w:before="120" w:after="120" w:line="240" w:lineRule="auto"/>
      <w:ind w:left="1209" w:hanging="360"/>
      <w:contextualSpacing/>
      <w:jc w:val="both"/>
    </w:pPr>
    <w:rPr>
      <w:rFonts w:ascii="Times New Roman" w:eastAsia="Times New Roman" w:hAnsi="Times New Roman" w:cs="Times New Roman"/>
      <w:sz w:val="24"/>
      <w:szCs w:val="20"/>
      <w:lang w:eastAsia="en-GB"/>
    </w:rPr>
  </w:style>
  <w:style w:type="paragraph" w:styleId="ListBullet">
    <w:name w:val="List Bullet"/>
    <w:basedOn w:val="Normal"/>
    <w:uiPriority w:val="99"/>
    <w:pPr>
      <w:numPr>
        <w:numId w:val="5"/>
      </w:numPr>
      <w:spacing w:before="120" w:after="120" w:line="240" w:lineRule="auto"/>
      <w:ind w:left="360" w:hanging="360"/>
      <w:contextualSpacing/>
      <w:jc w:val="both"/>
    </w:pPr>
    <w:rPr>
      <w:rFonts w:ascii="Times New Roman" w:eastAsia="Times New Roman" w:hAnsi="Times New Roman" w:cs="Times New Roman"/>
      <w:sz w:val="24"/>
      <w:szCs w:val="20"/>
      <w:lang w:eastAsia="en-GB"/>
    </w:rPr>
  </w:style>
  <w:style w:type="paragraph" w:styleId="ListBullet2">
    <w:name w:val="List Bullet 2"/>
    <w:basedOn w:val="Normal"/>
    <w:uiPriority w:val="99"/>
    <w:pPr>
      <w:numPr>
        <w:numId w:val="6"/>
      </w:numPr>
      <w:tabs>
        <w:tab w:val="num" w:pos="643"/>
      </w:tabs>
      <w:spacing w:before="120" w:after="120" w:line="240" w:lineRule="auto"/>
      <w:ind w:left="643" w:hanging="360"/>
      <w:contextualSpacing/>
      <w:jc w:val="both"/>
    </w:pPr>
    <w:rPr>
      <w:rFonts w:ascii="Times New Roman" w:eastAsia="Times New Roman" w:hAnsi="Times New Roman" w:cs="Times New Roman"/>
      <w:sz w:val="24"/>
      <w:szCs w:val="20"/>
      <w:lang w:eastAsia="en-GB"/>
    </w:rPr>
  </w:style>
  <w:style w:type="paragraph" w:styleId="ListBullet3">
    <w:name w:val="List Bullet 3"/>
    <w:basedOn w:val="Normal"/>
    <w:uiPriority w:val="99"/>
    <w:pPr>
      <w:numPr>
        <w:numId w:val="7"/>
      </w:numPr>
      <w:tabs>
        <w:tab w:val="num" w:pos="926"/>
      </w:tabs>
      <w:spacing w:before="120" w:after="120" w:line="240" w:lineRule="auto"/>
      <w:ind w:left="926" w:hanging="360"/>
      <w:contextualSpacing/>
      <w:jc w:val="both"/>
    </w:pPr>
    <w:rPr>
      <w:rFonts w:ascii="Times New Roman" w:eastAsia="Times New Roman" w:hAnsi="Times New Roman" w:cs="Times New Roman"/>
      <w:sz w:val="24"/>
      <w:szCs w:val="20"/>
      <w:lang w:eastAsia="en-GB"/>
    </w:rPr>
  </w:style>
  <w:style w:type="paragraph" w:styleId="ListBullet4">
    <w:name w:val="List Bullet 4"/>
    <w:basedOn w:val="Normal"/>
    <w:uiPriority w:val="99"/>
    <w:pPr>
      <w:numPr>
        <w:numId w:val="8"/>
      </w:numPr>
      <w:tabs>
        <w:tab w:val="num" w:pos="1209"/>
      </w:tabs>
      <w:spacing w:before="120" w:after="120" w:line="240" w:lineRule="auto"/>
      <w:ind w:left="1209" w:hanging="360"/>
      <w:contextualSpacing/>
      <w:jc w:val="both"/>
    </w:pPr>
    <w:rPr>
      <w:rFonts w:ascii="Times New Roman" w:eastAsia="Times New Roman" w:hAnsi="Times New Roman" w:cs="Times New Roman"/>
      <w:sz w:val="24"/>
      <w:szCs w:val="20"/>
      <w:lang w:eastAsia="en-GB"/>
    </w:rPr>
  </w:style>
  <w:style w:type="paragraph" w:styleId="BalloonText">
    <w:name w:val="Balloon Text"/>
    <w:basedOn w:val="Normal"/>
    <w:link w:val="BalloonTextChar"/>
    <w:uiPriority w:val="99"/>
    <w:pPr>
      <w:spacing w:after="0" w:line="240" w:lineRule="auto"/>
      <w:jc w:val="both"/>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uiPriority w:val="99"/>
    <w:rPr>
      <w:rFonts w:ascii="Tahoma" w:eastAsia="Times New Roman" w:hAnsi="Tahoma" w:cs="Tahoma"/>
      <w:sz w:val="16"/>
      <w:szCs w:val="16"/>
      <w:lang w:eastAsia="en-GB"/>
    </w:rPr>
  </w:style>
  <w:style w:type="paragraph" w:styleId="EndnoteText">
    <w:name w:val="endnote text"/>
    <w:basedOn w:val="Normal"/>
    <w:link w:val="EndnoteTextChar"/>
    <w:uiPriority w:val="99"/>
    <w:pPr>
      <w:spacing w:before="120" w:after="120" w:line="240" w:lineRule="auto"/>
      <w:jc w:val="both"/>
    </w:pPr>
    <w:rPr>
      <w:rFonts w:ascii="Times New Roman" w:eastAsia="Times New Roman" w:hAnsi="Times New Roman" w:cs="Times New Roman"/>
      <w:sz w:val="20"/>
      <w:szCs w:val="20"/>
      <w:lang w:eastAsia="en-GB"/>
    </w:rPr>
  </w:style>
  <w:style w:type="character" w:customStyle="1" w:styleId="EndnoteTextChar">
    <w:name w:val="Endnote Text Char"/>
    <w:basedOn w:val="DefaultParagraphFont"/>
    <w:link w:val="EndnoteText"/>
    <w:uiPriority w:val="99"/>
    <w:rPr>
      <w:rFonts w:ascii="Times New Roman" w:eastAsia="Times New Roman" w:hAnsi="Times New Roman" w:cs="Times New Roman"/>
      <w:sz w:val="20"/>
      <w:szCs w:val="20"/>
      <w:lang w:eastAsia="en-GB"/>
    </w:rPr>
  </w:style>
  <w:style w:type="character" w:styleId="EndnoteReference">
    <w:name w:val="endnote reference"/>
    <w:uiPriority w:val="99"/>
    <w:rPr>
      <w:vertAlign w:val="superscript"/>
    </w:rPr>
  </w:style>
  <w:style w:type="paragraph" w:styleId="Caption">
    <w:name w:val="caption"/>
    <w:basedOn w:val="Normal"/>
    <w:next w:val="Normal"/>
    <w:unhideWhenUsed/>
    <w:qFormat/>
    <w:pPr>
      <w:spacing w:before="120" w:after="120" w:line="240" w:lineRule="auto"/>
      <w:jc w:val="both"/>
    </w:pPr>
    <w:rPr>
      <w:rFonts w:ascii="Times New Roman" w:eastAsia="Times New Roman" w:hAnsi="Times New Roman" w:cs="Times New Roman"/>
      <w:b/>
      <w:bCs/>
      <w:sz w:val="20"/>
      <w:szCs w:val="20"/>
      <w:lang w:eastAsia="en-GB"/>
    </w:rPr>
  </w:style>
  <w:style w:type="paragraph" w:styleId="TableofFigures">
    <w:name w:val="table of figures"/>
    <w:basedOn w:val="Normal"/>
    <w:next w:val="Normal"/>
    <w:uiPriority w:val="99"/>
    <w:pPr>
      <w:spacing w:before="120" w:after="120" w:line="240" w:lineRule="auto"/>
      <w:jc w:val="both"/>
    </w:pPr>
    <w:rPr>
      <w:rFonts w:ascii="Times New Roman" w:eastAsia="Times New Roman" w:hAnsi="Times New Roman" w:cs="Times New Roman"/>
      <w:sz w:val="24"/>
      <w:szCs w:val="20"/>
      <w:lang w:eastAsia="en-GB"/>
    </w:rPr>
  </w:style>
  <w:style w:type="character" w:styleId="CommentReference">
    <w:name w:val="annotation reference"/>
    <w:uiPriority w:val="99"/>
    <w:qFormat/>
    <w:rPr>
      <w:sz w:val="16"/>
      <w:szCs w:val="16"/>
    </w:rPr>
  </w:style>
  <w:style w:type="paragraph" w:styleId="CommentText">
    <w:name w:val="annotation text"/>
    <w:basedOn w:val="Normal"/>
    <w:link w:val="CommentTextChar"/>
    <w:uiPriority w:val="99"/>
    <w:qFormat/>
    <w:pPr>
      <w:spacing w:before="120" w:after="120" w:line="240" w:lineRule="auto"/>
      <w:jc w:val="both"/>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uiPriority w:val="99"/>
    <w:qFormat/>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eastAsia="en-GB"/>
    </w:rPr>
  </w:style>
  <w:style w:type="paragraph" w:styleId="FootnoteText">
    <w:name w:val="footnote text"/>
    <w:aliases w:val="fn,footnote text,Footnotes,Footnote ak,fn Char,footnote text Char,Footnotes Char,Footnote ak Char,ft,fn cafc,Footnotes Char Char,Footnote Text Char Char,fn Char Char,footnote text Char Char Char Ch,fn1,footnote text1,ft1,Car,Fußnotentextf"/>
    <w:basedOn w:val="Normal"/>
    <w:link w:val="FootnoteTextChar"/>
    <w:uiPriority w:val="99"/>
    <w:unhideWhenUsed/>
    <w:qFormat/>
    <w:pPr>
      <w:keepNext/>
      <w:keepLines/>
      <w:pageBreakBefore/>
      <w:spacing w:after="0" w:line="240" w:lineRule="auto"/>
      <w:ind w:left="720" w:hanging="720"/>
      <w:jc w:val="both"/>
    </w:pPr>
    <w:rPr>
      <w:rFonts w:ascii="Times New Roman" w:eastAsia="Times New Roman" w:hAnsi="Times New Roman" w:cs="Times New Roman"/>
      <w:sz w:val="20"/>
      <w:szCs w:val="20"/>
      <w:lang w:eastAsia="en-GB"/>
    </w:rPr>
  </w:style>
  <w:style w:type="character" w:customStyle="1" w:styleId="FootnoteTextChar">
    <w:name w:val="Footnote Text Char"/>
    <w:aliases w:val="fn Char1,footnote text Char1,Footnotes Char1,Footnote ak Char1,fn Char Char1,footnote text Char Char,Footnotes Char Char1,Footnote ak Char Char,ft Char,fn cafc Char,Footnotes Char Char Char,Footnote Text Char Char Char,fn1 Char"/>
    <w:basedOn w:val="DefaultParagraphFont"/>
    <w:link w:val="FootnoteText"/>
    <w:uiPriority w:val="99"/>
    <w:rPr>
      <w:rFonts w:ascii="Times New Roman" w:eastAsia="Times New Roman" w:hAnsi="Times New Roman" w:cs="Times New Roman"/>
      <w:sz w:val="20"/>
      <w:szCs w:val="20"/>
      <w:lang w:eastAsia="en-GB"/>
    </w:rPr>
  </w:style>
  <w:style w:type="paragraph" w:styleId="TOCHeading">
    <w:name w:val="TOC Heading"/>
    <w:basedOn w:val="Normal"/>
    <w:next w:val="Normal"/>
    <w:uiPriority w:val="39"/>
    <w:semiHidden/>
    <w:unhideWhenUsed/>
    <w:qFormat/>
    <w:pPr>
      <w:spacing w:before="120" w:after="240" w:line="240" w:lineRule="auto"/>
      <w:jc w:val="center"/>
    </w:pPr>
    <w:rPr>
      <w:rFonts w:ascii="Times New Roman" w:eastAsia="Times New Roman" w:hAnsi="Times New Roman" w:cs="Times New Roman"/>
      <w:b/>
      <w:sz w:val="28"/>
      <w:szCs w:val="20"/>
      <w:lang w:eastAsia="en-GB"/>
    </w:rPr>
  </w:style>
  <w:style w:type="paragraph" w:styleId="TOC1">
    <w:name w:val="toc 1"/>
    <w:basedOn w:val="Normal"/>
    <w:next w:val="Normal"/>
    <w:uiPriority w:val="39"/>
    <w:unhideWhenUsed/>
    <w:qFormat/>
    <w:pPr>
      <w:tabs>
        <w:tab w:val="right" w:leader="dot" w:pos="9071"/>
      </w:tabs>
      <w:spacing w:before="60" w:after="120" w:line="240" w:lineRule="auto"/>
      <w:ind w:left="850" w:hanging="850"/>
    </w:pPr>
    <w:rPr>
      <w:rFonts w:ascii="Times New Roman" w:eastAsia="Times New Roman" w:hAnsi="Times New Roman" w:cs="Times New Roman"/>
      <w:sz w:val="24"/>
      <w:szCs w:val="20"/>
      <w:lang w:eastAsia="en-GB"/>
    </w:rPr>
  </w:style>
  <w:style w:type="paragraph" w:styleId="TOC2">
    <w:name w:val="toc 2"/>
    <w:basedOn w:val="Normal"/>
    <w:next w:val="Normal"/>
    <w:uiPriority w:val="39"/>
    <w:unhideWhenUsed/>
    <w:qFormat/>
    <w:pPr>
      <w:tabs>
        <w:tab w:val="right" w:leader="dot" w:pos="9071"/>
      </w:tabs>
      <w:spacing w:before="60" w:after="120" w:line="240" w:lineRule="auto"/>
      <w:ind w:left="850" w:hanging="850"/>
    </w:pPr>
    <w:rPr>
      <w:rFonts w:ascii="Times New Roman" w:eastAsia="Times New Roman" w:hAnsi="Times New Roman" w:cs="Times New Roman"/>
      <w:sz w:val="24"/>
      <w:szCs w:val="20"/>
      <w:lang w:eastAsia="en-GB"/>
    </w:rPr>
  </w:style>
  <w:style w:type="paragraph" w:styleId="TOC3">
    <w:name w:val="toc 3"/>
    <w:basedOn w:val="Normal"/>
    <w:next w:val="Normal"/>
    <w:uiPriority w:val="39"/>
    <w:unhideWhenUsed/>
    <w:qFormat/>
    <w:pPr>
      <w:tabs>
        <w:tab w:val="right" w:leader="dot" w:pos="9071"/>
      </w:tabs>
      <w:spacing w:before="60" w:after="120" w:line="240" w:lineRule="auto"/>
      <w:ind w:left="850" w:hanging="850"/>
    </w:pPr>
    <w:rPr>
      <w:rFonts w:ascii="Times New Roman" w:eastAsia="Times New Roman" w:hAnsi="Times New Roman" w:cs="Times New Roman"/>
      <w:sz w:val="24"/>
      <w:szCs w:val="20"/>
      <w:lang w:eastAsia="en-GB"/>
    </w:rPr>
  </w:style>
  <w:style w:type="paragraph" w:styleId="TOC4">
    <w:name w:val="toc 4"/>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szCs w:val="20"/>
      <w:lang w:eastAsia="en-GB"/>
    </w:rPr>
  </w:style>
  <w:style w:type="paragraph" w:styleId="TOC5">
    <w:name w:val="toc 5"/>
    <w:basedOn w:val="Normal"/>
    <w:next w:val="Normal"/>
    <w:uiPriority w:val="39"/>
    <w:semiHidden/>
    <w:unhideWhenUsed/>
    <w:pPr>
      <w:tabs>
        <w:tab w:val="right" w:leader="dot" w:pos="9071"/>
      </w:tabs>
      <w:spacing w:before="300" w:after="120" w:line="240" w:lineRule="auto"/>
    </w:pPr>
    <w:rPr>
      <w:rFonts w:ascii="Times New Roman" w:eastAsia="Times New Roman" w:hAnsi="Times New Roman" w:cs="Times New Roman"/>
      <w:sz w:val="24"/>
      <w:szCs w:val="20"/>
      <w:lang w:eastAsia="en-GB"/>
    </w:rPr>
  </w:style>
  <w:style w:type="paragraph" w:styleId="TOC6">
    <w:name w:val="toc 6"/>
    <w:basedOn w:val="Normal"/>
    <w:next w:val="Normal"/>
    <w:uiPriority w:val="39"/>
    <w:semiHidden/>
    <w:unhideWhenUsed/>
    <w:pPr>
      <w:tabs>
        <w:tab w:val="right" w:leader="dot" w:pos="9071"/>
      </w:tabs>
      <w:spacing w:before="240" w:after="120" w:line="240" w:lineRule="auto"/>
    </w:pPr>
    <w:rPr>
      <w:rFonts w:ascii="Times New Roman" w:eastAsia="Times New Roman" w:hAnsi="Times New Roman" w:cs="Times New Roman"/>
      <w:sz w:val="24"/>
      <w:szCs w:val="20"/>
      <w:lang w:eastAsia="en-GB"/>
    </w:rPr>
  </w:style>
  <w:style w:type="paragraph" w:styleId="TOC7">
    <w:name w:val="toc 7"/>
    <w:basedOn w:val="Normal"/>
    <w:next w:val="Normal"/>
    <w:uiPriority w:val="39"/>
    <w:semiHidden/>
    <w:unhideWhenUsed/>
    <w:pPr>
      <w:tabs>
        <w:tab w:val="right" w:leader="dot" w:pos="9071"/>
      </w:tabs>
      <w:spacing w:before="180" w:after="120" w:line="240" w:lineRule="auto"/>
    </w:pPr>
    <w:rPr>
      <w:rFonts w:ascii="Times New Roman" w:eastAsia="Times New Roman" w:hAnsi="Times New Roman" w:cs="Times New Roman"/>
      <w:sz w:val="24"/>
      <w:szCs w:val="20"/>
      <w:lang w:eastAsia="en-GB"/>
    </w:rPr>
  </w:style>
  <w:style w:type="paragraph" w:styleId="TOC8">
    <w:name w:val="toc 8"/>
    <w:basedOn w:val="Normal"/>
    <w:next w:val="Normal"/>
    <w:uiPriority w:val="39"/>
    <w:semiHidden/>
    <w:unhideWhenUsed/>
    <w:pPr>
      <w:tabs>
        <w:tab w:val="right" w:leader="dot" w:pos="9071"/>
      </w:tabs>
      <w:spacing w:before="120" w:after="120" w:line="240" w:lineRule="auto"/>
    </w:pPr>
    <w:rPr>
      <w:rFonts w:ascii="Times New Roman" w:eastAsia="Times New Roman" w:hAnsi="Times New Roman" w:cs="Times New Roman"/>
      <w:sz w:val="24"/>
      <w:szCs w:val="20"/>
      <w:lang w:eastAsia="en-GB"/>
    </w:rPr>
  </w:style>
  <w:style w:type="paragraph" w:styleId="TOC9">
    <w:name w:val="toc 9"/>
    <w:basedOn w:val="Normal"/>
    <w:next w:val="Normal"/>
    <w:uiPriority w:val="39"/>
    <w:semiHidden/>
    <w:unhideWhenUsed/>
    <w:pPr>
      <w:tabs>
        <w:tab w:val="right" w:leader="dot" w:pos="9071"/>
      </w:tabs>
      <w:spacing w:before="120" w:after="120" w:line="240" w:lineRule="auto"/>
      <w:jc w:val="both"/>
    </w:pPr>
    <w:rPr>
      <w:rFonts w:ascii="Times New Roman" w:eastAsia="Times New Roman" w:hAnsi="Times New Roman" w:cs="Times New Roman"/>
      <w:sz w:val="24"/>
      <w:szCs w:val="20"/>
      <w:lang w:eastAsia="en-GB"/>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character" w:styleId="FootnoteReference">
    <w:name w:val="footnote reference"/>
    <w:aliases w:val="Ref,de nota al pie,Ref1,de nota al pie1,Ref2,de nota al pie2,Ref11,de nota al pie11, BVI fnr,BVI fnr,Footnote symbol,Footnote reference number,Times 10 Point,Exposant 3 Point,note TESI,SUPERS,EN Footnote text,number,E F,Nota,styl"/>
    <w:uiPriority w:val="99"/>
    <w:unhideWhenUsed/>
    <w:qFormat/>
    <w:rPr>
      <w:shd w:val="clear" w:color="auto" w:fill="auto"/>
      <w:vertAlign w:val="superscript"/>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szCs w:val="20"/>
      <w:lang w:eastAsia="en-GB"/>
    </w:rPr>
  </w:style>
  <w:style w:type="paragraph" w:customStyle="1" w:styleId="Text2">
    <w:name w:val="Text 2"/>
    <w:basedOn w:val="Normal"/>
    <w:pPr>
      <w:spacing w:before="120" w:after="120" w:line="240" w:lineRule="auto"/>
      <w:ind w:left="1417"/>
      <w:jc w:val="both"/>
    </w:pPr>
    <w:rPr>
      <w:rFonts w:ascii="Times New Roman" w:eastAsia="Times New Roman" w:hAnsi="Times New Roman" w:cs="Times New Roman"/>
      <w:sz w:val="24"/>
      <w:szCs w:val="20"/>
      <w:lang w:eastAsia="en-GB"/>
    </w:rPr>
  </w:style>
  <w:style w:type="paragraph" w:customStyle="1" w:styleId="Text3">
    <w:name w:val="Text 3"/>
    <w:basedOn w:val="Normal"/>
    <w:pPr>
      <w:spacing w:before="120" w:after="120" w:line="240" w:lineRule="auto"/>
      <w:ind w:left="1984"/>
      <w:jc w:val="both"/>
    </w:pPr>
    <w:rPr>
      <w:rFonts w:ascii="Times New Roman" w:eastAsia="Times New Roman" w:hAnsi="Times New Roman" w:cs="Times New Roman"/>
      <w:sz w:val="24"/>
      <w:szCs w:val="20"/>
      <w:lang w:eastAsia="en-GB"/>
    </w:rPr>
  </w:style>
  <w:style w:type="paragraph" w:customStyle="1" w:styleId="Text4">
    <w:name w:val="Text 4"/>
    <w:basedOn w:val="Normal"/>
    <w:pPr>
      <w:spacing w:before="120" w:after="120" w:line="240" w:lineRule="auto"/>
      <w:ind w:left="2551"/>
      <w:jc w:val="both"/>
    </w:pPr>
    <w:rPr>
      <w:rFonts w:ascii="Times New Roman" w:eastAsia="Times New Roman" w:hAnsi="Times New Roman" w:cs="Times New Roman"/>
      <w:sz w:val="24"/>
      <w:szCs w:val="20"/>
      <w:lang w:eastAsia="en-GB"/>
    </w:rPr>
  </w:style>
  <w:style w:type="paragraph" w:customStyle="1" w:styleId="NormalCentered">
    <w:name w:val="Normal Centered"/>
    <w:basedOn w:val="Normal"/>
    <w:pPr>
      <w:spacing w:before="120" w:after="120" w:line="240" w:lineRule="auto"/>
      <w:jc w:val="center"/>
    </w:pPr>
    <w:rPr>
      <w:rFonts w:ascii="Times New Roman" w:eastAsia="Times New Roman" w:hAnsi="Times New Roman" w:cs="Times New Roman"/>
      <w:sz w:val="24"/>
      <w:szCs w:val="20"/>
      <w:lang w:eastAsia="en-GB"/>
    </w:rPr>
  </w:style>
  <w:style w:type="paragraph" w:customStyle="1" w:styleId="NormalLeft">
    <w:name w:val="Normal Left"/>
    <w:basedOn w:val="Normal"/>
    <w:pPr>
      <w:spacing w:before="120" w:after="120" w:line="240" w:lineRule="auto"/>
    </w:pPr>
    <w:rPr>
      <w:rFonts w:ascii="Times New Roman" w:eastAsia="Times New Roman" w:hAnsi="Times New Roman" w:cs="Times New Roman"/>
      <w:sz w:val="24"/>
      <w:szCs w:val="20"/>
      <w:lang w:eastAsia="en-GB"/>
    </w:rPr>
  </w:style>
  <w:style w:type="paragraph" w:customStyle="1" w:styleId="NormalRight">
    <w:name w:val="Normal Right"/>
    <w:basedOn w:val="Normal"/>
    <w:pPr>
      <w:spacing w:before="120" w:after="120" w:line="240" w:lineRule="auto"/>
      <w:jc w:val="right"/>
    </w:pPr>
    <w:rPr>
      <w:rFonts w:ascii="Times New Roman" w:eastAsia="Times New Roman" w:hAnsi="Times New Roman" w:cs="Times New Roman"/>
      <w:sz w:val="24"/>
      <w:szCs w:val="20"/>
      <w:lang w:eastAsia="en-GB"/>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cs="Times New Roman"/>
      <w:sz w:val="24"/>
      <w:szCs w:val="20"/>
      <w:lang w:eastAsia="en-GB"/>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cs="Times New Roman"/>
      <w:sz w:val="24"/>
      <w:szCs w:val="20"/>
      <w:lang w:eastAsia="en-GB"/>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cs="Times New Roman"/>
      <w:sz w:val="24"/>
      <w:szCs w:val="20"/>
      <w:lang w:eastAsia="en-GB"/>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cs="Times New Roman"/>
      <w:sz w:val="24"/>
      <w:szCs w:val="20"/>
      <w:lang w:eastAsia="en-GB"/>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cs="Times New Roman"/>
      <w:sz w:val="24"/>
      <w:szCs w:val="20"/>
      <w:lang w:eastAsia="en-GB"/>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cs="Times New Roman"/>
      <w:sz w:val="24"/>
      <w:szCs w:val="20"/>
      <w:lang w:eastAsia="en-GB"/>
    </w:r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tabs>
        <w:tab w:val="clear" w:pos="2551"/>
        <w:tab w:val="num" w:pos="360"/>
      </w:tabs>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cs="Times New Roman"/>
      <w:sz w:val="24"/>
      <w:szCs w:val="20"/>
      <w:lang w:eastAsia="en-GB"/>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cs="Times New Roman"/>
      <w:sz w:val="24"/>
      <w:szCs w:val="20"/>
      <w:lang w:eastAsia="en-GB"/>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cs="Times New Roman"/>
      <w:sz w:val="24"/>
      <w:szCs w:val="20"/>
      <w:lang w:eastAsia="en-GB"/>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cs="Times New Roman"/>
      <w:sz w:val="24"/>
      <w:szCs w:val="20"/>
      <w:lang w:eastAsia="en-GB"/>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cs="Times New Roman"/>
      <w:sz w:val="24"/>
      <w:szCs w:val="20"/>
      <w:lang w:eastAsia="en-GB"/>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cs="Times New Roman"/>
      <w:sz w:val="24"/>
      <w:szCs w:val="20"/>
      <w:lang w:eastAsia="en-GB"/>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cs="Times New Roman"/>
      <w:sz w:val="24"/>
      <w:szCs w:val="20"/>
      <w:lang w:eastAsia="en-GB"/>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cs="Times New Roman"/>
      <w:sz w:val="24"/>
      <w:szCs w:val="20"/>
      <w:lang w:eastAsia="en-GB"/>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cs="Times New Roman"/>
      <w:sz w:val="24"/>
      <w:szCs w:val="20"/>
      <w:lang w:eastAsia="en-GB"/>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cs="Times New Roman"/>
      <w:sz w:val="24"/>
      <w:szCs w:val="20"/>
      <w:lang w:eastAsia="en-GB"/>
    </w:rPr>
  </w:style>
  <w:style w:type="paragraph" w:customStyle="1" w:styleId="NumPar1">
    <w:name w:val="NumPar 1"/>
    <w:basedOn w:val="Normal"/>
    <w:next w:val="Text1"/>
    <w:pPr>
      <w:numPr>
        <w:numId w:val="15"/>
      </w:numPr>
      <w:spacing w:before="120" w:after="120" w:line="240" w:lineRule="auto"/>
      <w:jc w:val="both"/>
    </w:pPr>
    <w:rPr>
      <w:rFonts w:ascii="Times New Roman" w:eastAsia="Times New Roman" w:hAnsi="Times New Roman" w:cs="Times New Roman"/>
      <w:sz w:val="24"/>
      <w:szCs w:val="20"/>
      <w:lang w:eastAsia="en-GB"/>
    </w:rPr>
  </w:style>
  <w:style w:type="paragraph" w:customStyle="1" w:styleId="NumPar2">
    <w:name w:val="NumPar 2"/>
    <w:basedOn w:val="Normal"/>
    <w:next w:val="Text1"/>
    <w:pPr>
      <w:numPr>
        <w:ilvl w:val="1"/>
        <w:numId w:val="15"/>
      </w:numPr>
      <w:spacing w:before="120" w:after="120" w:line="240" w:lineRule="auto"/>
      <w:jc w:val="both"/>
    </w:pPr>
    <w:rPr>
      <w:rFonts w:ascii="Times New Roman" w:eastAsia="Times New Roman" w:hAnsi="Times New Roman" w:cs="Times New Roman"/>
      <w:sz w:val="24"/>
      <w:szCs w:val="20"/>
      <w:lang w:eastAsia="en-GB"/>
    </w:rPr>
  </w:style>
  <w:style w:type="paragraph" w:customStyle="1" w:styleId="NumPar3">
    <w:name w:val="NumPar 3"/>
    <w:basedOn w:val="Normal"/>
    <w:next w:val="Text1"/>
    <w:pPr>
      <w:numPr>
        <w:ilvl w:val="2"/>
        <w:numId w:val="15"/>
      </w:numPr>
      <w:spacing w:before="120" w:after="120" w:line="240" w:lineRule="auto"/>
      <w:jc w:val="both"/>
    </w:pPr>
    <w:rPr>
      <w:rFonts w:ascii="Times New Roman" w:eastAsia="Times New Roman" w:hAnsi="Times New Roman" w:cs="Times New Roman"/>
      <w:sz w:val="24"/>
      <w:szCs w:val="20"/>
      <w:lang w:eastAsia="en-GB"/>
    </w:rPr>
  </w:style>
  <w:style w:type="paragraph" w:customStyle="1" w:styleId="NumPar4">
    <w:name w:val="NumPar 4"/>
    <w:basedOn w:val="Normal"/>
    <w:next w:val="Text1"/>
    <w:pPr>
      <w:numPr>
        <w:ilvl w:val="3"/>
        <w:numId w:val="15"/>
      </w:numPr>
      <w:spacing w:before="120" w:after="120" w:line="240" w:lineRule="auto"/>
      <w:jc w:val="both"/>
    </w:pPr>
    <w:rPr>
      <w:rFonts w:ascii="Times New Roman" w:eastAsia="Times New Roman" w:hAnsi="Times New Roman" w:cs="Times New Roman"/>
      <w:sz w:val="24"/>
      <w:szCs w:val="20"/>
      <w:lang w:eastAsia="en-GB"/>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cs="Times New Roman"/>
      <w:sz w:val="24"/>
      <w:szCs w:val="20"/>
      <w:lang w:eastAsia="en-GB"/>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cs="Times New Roman"/>
      <w:sz w:val="24"/>
      <w:szCs w:val="20"/>
      <w:lang w:eastAsia="en-GB"/>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cs="Times New Roman"/>
      <w:sz w:val="24"/>
      <w:szCs w:val="20"/>
      <w:lang w:eastAsia="en-GB"/>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cs="Times New Roman"/>
      <w:sz w:val="24"/>
      <w:szCs w:val="20"/>
      <w:lang w:eastAsia="en-GB"/>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cs="Times New Roman"/>
      <w:sz w:val="24"/>
      <w:szCs w:val="20"/>
      <w:lang w:eastAsia="en-GB"/>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szCs w:val="20"/>
      <w:lang w:eastAsia="en-GB"/>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szCs w:val="20"/>
      <w:lang w:eastAsia="en-GB"/>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szCs w:val="20"/>
      <w:lang w:eastAsia="en-GB"/>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cs="Times New Roman"/>
      <w:sz w:val="24"/>
      <w:szCs w:val="20"/>
      <w:lang w:eastAsia="en-GB"/>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cs="Times New Roman"/>
      <w:b/>
      <w:sz w:val="32"/>
      <w:szCs w:val="20"/>
      <w:lang w:eastAsia="en-GB"/>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cs="Times New Roman"/>
      <w:b/>
      <w:sz w:val="36"/>
      <w:szCs w:val="20"/>
      <w:lang w:eastAsia="en-GB"/>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cs="Times New Roman"/>
      <w:b/>
      <w:smallCaps/>
      <w:sz w:val="28"/>
      <w:szCs w:val="20"/>
      <w:lang w:eastAsia="en-GB"/>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cs="Times New Roman"/>
      <w:b/>
      <w:sz w:val="24"/>
      <w:szCs w:val="20"/>
      <w:lang w:eastAsia="en-GB"/>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Point0number">
    <w:name w:val="Point 0 (number)"/>
    <w:basedOn w:val="Normal"/>
    <w:pPr>
      <w:numPr>
        <w:numId w:val="16"/>
      </w:numPr>
      <w:spacing w:before="120" w:after="120" w:line="240" w:lineRule="auto"/>
      <w:jc w:val="both"/>
    </w:pPr>
    <w:rPr>
      <w:rFonts w:ascii="Times New Roman" w:eastAsia="Times New Roman" w:hAnsi="Times New Roman" w:cs="Times New Roman"/>
      <w:sz w:val="24"/>
      <w:szCs w:val="20"/>
      <w:lang w:eastAsia="en-GB"/>
    </w:rPr>
  </w:style>
  <w:style w:type="paragraph" w:customStyle="1" w:styleId="Point1number">
    <w:name w:val="Point 1 (number)"/>
    <w:basedOn w:val="Normal"/>
    <w:pPr>
      <w:numPr>
        <w:ilvl w:val="2"/>
        <w:numId w:val="16"/>
      </w:numPr>
      <w:spacing w:before="120" w:after="120" w:line="240" w:lineRule="auto"/>
      <w:jc w:val="both"/>
    </w:pPr>
    <w:rPr>
      <w:rFonts w:ascii="Times New Roman" w:eastAsia="Times New Roman" w:hAnsi="Times New Roman" w:cs="Times New Roman"/>
      <w:sz w:val="24"/>
      <w:szCs w:val="20"/>
      <w:lang w:eastAsia="en-GB"/>
    </w:rPr>
  </w:style>
  <w:style w:type="paragraph" w:customStyle="1" w:styleId="Point2number">
    <w:name w:val="Point 2 (number)"/>
    <w:basedOn w:val="Normal"/>
    <w:pPr>
      <w:numPr>
        <w:ilvl w:val="4"/>
        <w:numId w:val="16"/>
      </w:numPr>
      <w:spacing w:before="120" w:after="120" w:line="240" w:lineRule="auto"/>
      <w:jc w:val="both"/>
    </w:pPr>
    <w:rPr>
      <w:rFonts w:ascii="Times New Roman" w:eastAsia="Times New Roman" w:hAnsi="Times New Roman" w:cs="Times New Roman"/>
      <w:sz w:val="24"/>
      <w:szCs w:val="20"/>
      <w:lang w:eastAsia="en-GB"/>
    </w:rPr>
  </w:style>
  <w:style w:type="paragraph" w:customStyle="1" w:styleId="Point3number">
    <w:name w:val="Point 3 (number)"/>
    <w:basedOn w:val="Normal"/>
    <w:pPr>
      <w:numPr>
        <w:ilvl w:val="6"/>
        <w:numId w:val="16"/>
      </w:numPr>
      <w:spacing w:before="120" w:after="120" w:line="240" w:lineRule="auto"/>
      <w:jc w:val="both"/>
    </w:pPr>
    <w:rPr>
      <w:rFonts w:ascii="Times New Roman" w:eastAsia="Times New Roman" w:hAnsi="Times New Roman" w:cs="Times New Roman"/>
      <w:sz w:val="24"/>
      <w:szCs w:val="20"/>
      <w:lang w:eastAsia="en-GB"/>
    </w:rPr>
  </w:style>
  <w:style w:type="paragraph" w:customStyle="1" w:styleId="Point0letter">
    <w:name w:val="Point 0 (letter)"/>
    <w:basedOn w:val="Normal"/>
    <w:pPr>
      <w:numPr>
        <w:ilvl w:val="1"/>
        <w:numId w:val="16"/>
      </w:numPr>
      <w:spacing w:before="120" w:after="120" w:line="240" w:lineRule="auto"/>
      <w:jc w:val="both"/>
    </w:pPr>
    <w:rPr>
      <w:rFonts w:ascii="Times New Roman" w:eastAsia="Times New Roman" w:hAnsi="Times New Roman" w:cs="Times New Roman"/>
      <w:sz w:val="24"/>
      <w:szCs w:val="20"/>
      <w:lang w:eastAsia="en-GB"/>
    </w:rPr>
  </w:style>
  <w:style w:type="paragraph" w:customStyle="1" w:styleId="Point1letter">
    <w:name w:val="Point 1 (letter)"/>
    <w:basedOn w:val="Normal"/>
    <w:pPr>
      <w:numPr>
        <w:ilvl w:val="3"/>
        <w:numId w:val="16"/>
      </w:numPr>
      <w:spacing w:before="120" w:after="120" w:line="240" w:lineRule="auto"/>
      <w:jc w:val="both"/>
    </w:pPr>
    <w:rPr>
      <w:rFonts w:ascii="Times New Roman" w:eastAsia="Times New Roman" w:hAnsi="Times New Roman" w:cs="Times New Roman"/>
      <w:sz w:val="24"/>
      <w:szCs w:val="20"/>
      <w:lang w:eastAsia="en-GB"/>
    </w:rPr>
  </w:style>
  <w:style w:type="paragraph" w:customStyle="1" w:styleId="Point2letter">
    <w:name w:val="Point 2 (letter)"/>
    <w:basedOn w:val="Normal"/>
    <w:pPr>
      <w:numPr>
        <w:ilvl w:val="5"/>
        <w:numId w:val="16"/>
      </w:numPr>
      <w:spacing w:before="120" w:after="120" w:line="240" w:lineRule="auto"/>
      <w:jc w:val="both"/>
    </w:pPr>
    <w:rPr>
      <w:rFonts w:ascii="Times New Roman" w:eastAsia="Times New Roman" w:hAnsi="Times New Roman" w:cs="Times New Roman"/>
      <w:sz w:val="24"/>
      <w:szCs w:val="20"/>
      <w:lang w:eastAsia="en-GB"/>
    </w:rPr>
  </w:style>
  <w:style w:type="paragraph" w:customStyle="1" w:styleId="Point3letter">
    <w:name w:val="Point 3 (letter)"/>
    <w:basedOn w:val="Normal"/>
    <w:pPr>
      <w:numPr>
        <w:ilvl w:val="7"/>
        <w:numId w:val="16"/>
      </w:numPr>
      <w:spacing w:before="120" w:after="120" w:line="240" w:lineRule="auto"/>
      <w:jc w:val="both"/>
    </w:pPr>
    <w:rPr>
      <w:rFonts w:ascii="Times New Roman" w:eastAsia="Times New Roman" w:hAnsi="Times New Roman" w:cs="Times New Roman"/>
      <w:sz w:val="24"/>
      <w:szCs w:val="20"/>
      <w:lang w:eastAsia="en-GB"/>
    </w:rPr>
  </w:style>
  <w:style w:type="paragraph" w:customStyle="1" w:styleId="Point4letter">
    <w:name w:val="Point 4 (letter)"/>
    <w:basedOn w:val="Normal"/>
    <w:pPr>
      <w:numPr>
        <w:ilvl w:val="8"/>
        <w:numId w:val="16"/>
      </w:numPr>
      <w:spacing w:before="120" w:after="120" w:line="240" w:lineRule="auto"/>
      <w:jc w:val="both"/>
    </w:pPr>
    <w:rPr>
      <w:rFonts w:ascii="Times New Roman" w:eastAsia="Times New Roman" w:hAnsi="Times New Roman" w:cs="Times New Roman"/>
      <w:sz w:val="24"/>
      <w:szCs w:val="20"/>
      <w:lang w:eastAsia="en-GB"/>
    </w:rPr>
  </w:style>
  <w:style w:type="paragraph" w:customStyle="1" w:styleId="Bullet0">
    <w:name w:val="Bullet 0"/>
    <w:basedOn w:val="Normal"/>
    <w:pPr>
      <w:numPr>
        <w:numId w:val="17"/>
      </w:numPr>
      <w:spacing w:before="120" w:after="120" w:line="240" w:lineRule="auto"/>
      <w:jc w:val="both"/>
    </w:pPr>
    <w:rPr>
      <w:rFonts w:ascii="Times New Roman" w:eastAsia="Times New Roman" w:hAnsi="Times New Roman" w:cs="Times New Roman"/>
      <w:sz w:val="24"/>
      <w:szCs w:val="20"/>
      <w:lang w:eastAsia="en-GB"/>
    </w:rPr>
  </w:style>
  <w:style w:type="paragraph" w:customStyle="1" w:styleId="Bullet1">
    <w:name w:val="Bullet 1"/>
    <w:basedOn w:val="Normal"/>
    <w:pPr>
      <w:numPr>
        <w:numId w:val="18"/>
      </w:numPr>
      <w:spacing w:before="120" w:after="120" w:line="240" w:lineRule="auto"/>
      <w:jc w:val="both"/>
    </w:pPr>
    <w:rPr>
      <w:rFonts w:ascii="Times New Roman" w:eastAsia="Times New Roman" w:hAnsi="Times New Roman" w:cs="Times New Roman"/>
      <w:sz w:val="24"/>
      <w:szCs w:val="20"/>
      <w:lang w:eastAsia="en-GB"/>
    </w:rPr>
  </w:style>
  <w:style w:type="paragraph" w:customStyle="1" w:styleId="Bullet2">
    <w:name w:val="Bullet 2"/>
    <w:basedOn w:val="Normal"/>
    <w:pPr>
      <w:numPr>
        <w:numId w:val="19"/>
      </w:numPr>
      <w:spacing w:before="120" w:after="120" w:line="240" w:lineRule="auto"/>
      <w:jc w:val="both"/>
    </w:pPr>
    <w:rPr>
      <w:rFonts w:ascii="Times New Roman" w:eastAsia="Times New Roman" w:hAnsi="Times New Roman" w:cs="Times New Roman"/>
      <w:sz w:val="24"/>
      <w:szCs w:val="20"/>
      <w:lang w:eastAsia="en-GB"/>
    </w:rPr>
  </w:style>
  <w:style w:type="paragraph" w:customStyle="1" w:styleId="Bullet3">
    <w:name w:val="Bullet 3"/>
    <w:basedOn w:val="Normal"/>
    <w:pPr>
      <w:numPr>
        <w:numId w:val="20"/>
      </w:numPr>
      <w:spacing w:before="120" w:after="120" w:line="240" w:lineRule="auto"/>
      <w:jc w:val="both"/>
    </w:pPr>
    <w:rPr>
      <w:rFonts w:ascii="Times New Roman" w:eastAsia="Times New Roman" w:hAnsi="Times New Roman" w:cs="Times New Roman"/>
      <w:sz w:val="24"/>
      <w:szCs w:val="20"/>
      <w:lang w:eastAsia="en-GB"/>
    </w:rPr>
  </w:style>
  <w:style w:type="paragraph" w:customStyle="1" w:styleId="Bullet4">
    <w:name w:val="Bullet 4"/>
    <w:basedOn w:val="Normal"/>
    <w:pPr>
      <w:numPr>
        <w:numId w:val="21"/>
      </w:numPr>
      <w:spacing w:before="120" w:after="120" w:line="240" w:lineRule="auto"/>
      <w:jc w:val="both"/>
    </w:pPr>
    <w:rPr>
      <w:rFonts w:ascii="Times New Roman" w:eastAsia="Times New Roman" w:hAnsi="Times New Roman" w:cs="Times New Roman"/>
      <w:sz w:val="24"/>
      <w:szCs w:val="20"/>
      <w:lang w:eastAsia="en-GB"/>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cs="Times New Roman"/>
      <w:b/>
      <w:sz w:val="24"/>
      <w:szCs w:val="20"/>
      <w:u w:val="single"/>
      <w:lang w:eastAsia="en-GB"/>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cs="Times New Roman"/>
      <w:b/>
      <w:sz w:val="24"/>
      <w:szCs w:val="20"/>
      <w:u w:val="single"/>
      <w:lang w:eastAsia="en-GB"/>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cs="Times New Roman"/>
      <w:b/>
      <w:sz w:val="24"/>
      <w:szCs w:val="20"/>
      <w:u w:val="single"/>
      <w:lang w:eastAsia="en-GB"/>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cs="Times New Roman"/>
      <w:sz w:val="24"/>
      <w:szCs w:val="20"/>
      <w:lang w:eastAsia="en-GB"/>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cs="Times New Roman"/>
      <w:sz w:val="24"/>
      <w:szCs w:val="20"/>
      <w:u w:val="single"/>
      <w:lang w:eastAsia="en-GB"/>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cs="Times New Roman"/>
      <w:sz w:val="24"/>
      <w:szCs w:val="20"/>
      <w:lang w:eastAsia="en-GB"/>
    </w:rPr>
  </w:style>
  <w:style w:type="paragraph" w:customStyle="1" w:styleId="Confidentialit">
    <w:name w:val="Confidentialité"/>
    <w:basedOn w:val="Normal"/>
    <w:next w:val="TypedudocumentPagedecouverture"/>
    <w:pPr>
      <w:spacing w:before="240" w:after="240" w:line="240" w:lineRule="auto"/>
      <w:ind w:left="5103"/>
    </w:pPr>
    <w:rPr>
      <w:rFonts w:ascii="Times New Roman" w:eastAsia="Times New Roman" w:hAnsi="Times New Roman" w:cs="Times New Roman"/>
      <w:i/>
      <w:sz w:val="32"/>
      <w:szCs w:val="20"/>
      <w:lang w:eastAsia="en-GB"/>
    </w:rPr>
  </w:style>
  <w:style w:type="paragraph" w:customStyle="1" w:styleId="Considrant">
    <w:name w:val="Considérant"/>
    <w:basedOn w:val="Normal"/>
    <w:pPr>
      <w:numPr>
        <w:numId w:val="22"/>
      </w:numPr>
      <w:spacing w:before="120" w:after="120" w:line="240" w:lineRule="auto"/>
      <w:jc w:val="both"/>
    </w:pPr>
    <w:rPr>
      <w:rFonts w:ascii="Times New Roman" w:eastAsia="Times New Roman" w:hAnsi="Times New Roman" w:cs="Times New Roman"/>
      <w:sz w:val="24"/>
      <w:szCs w:val="20"/>
      <w:lang w:eastAsia="en-GB"/>
    </w:rPr>
  </w:style>
  <w:style w:type="paragraph" w:customStyle="1" w:styleId="Corrigendum">
    <w:name w:val="Corrigendum"/>
    <w:basedOn w:val="Normal"/>
    <w:next w:val="Normal"/>
    <w:pPr>
      <w:spacing w:after="240" w:line="240" w:lineRule="auto"/>
    </w:pPr>
    <w:rPr>
      <w:rFonts w:ascii="Times New Roman" w:eastAsia="Times New Roman" w:hAnsi="Times New Roman" w:cs="Times New Roman"/>
      <w:sz w:val="24"/>
      <w:szCs w:val="20"/>
      <w:lang w:eastAsia="en-GB"/>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cs="Times New Roman"/>
      <w:b/>
      <w:sz w:val="24"/>
      <w:szCs w:val="20"/>
      <w:lang w:eastAsia="en-GB"/>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cs="Times New Roman"/>
      <w:sz w:val="24"/>
      <w:szCs w:val="20"/>
      <w:lang w:eastAsia="en-GB"/>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szCs w:val="20"/>
      <w:u w:val="single"/>
      <w:lang w:eastAsia="en-GB"/>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cs="Times New Roman"/>
      <w:sz w:val="24"/>
      <w:szCs w:val="20"/>
      <w:lang w:eastAsia="en-GB"/>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cs="Times New Roman"/>
      <w:sz w:val="24"/>
      <w:szCs w:val="20"/>
      <w:lang w:eastAsia="en-GB"/>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cs="Times New Roman"/>
      <w:sz w:val="24"/>
      <w:szCs w:val="20"/>
      <w:lang w:eastAsia="en-GB"/>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cs="Times New Roman"/>
      <w:i/>
      <w:sz w:val="24"/>
      <w:szCs w:val="20"/>
      <w:lang w:eastAsia="en-GB"/>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cs="Times New Roman"/>
      <w:b/>
      <w:caps/>
      <w:sz w:val="24"/>
      <w:szCs w:val="20"/>
      <w:lang w:eastAsia="en-GB"/>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cs="Times New Roman"/>
      <w:sz w:val="24"/>
      <w:szCs w:val="20"/>
      <w:lang w:eastAsia="en-GB"/>
    </w:rPr>
  </w:style>
  <w:style w:type="paragraph" w:customStyle="1" w:styleId="Nomdelinstitution">
    <w:name w:val="Nom de l'institution"/>
    <w:basedOn w:val="Normal"/>
    <w:next w:val="Emission"/>
    <w:pPr>
      <w:spacing w:after="0" w:line="240" w:lineRule="auto"/>
    </w:pPr>
    <w:rPr>
      <w:rFonts w:ascii="Arial" w:eastAsia="Times New Roman" w:hAnsi="Arial" w:cs="Arial"/>
      <w:sz w:val="24"/>
      <w:szCs w:val="20"/>
      <w:lang w:eastAsia="en-GB"/>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cs="Times New Roman"/>
      <w:i/>
      <w:sz w:val="24"/>
      <w:szCs w:val="20"/>
      <w:lang w:eastAsia="en-GB"/>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cs="Times New Roman"/>
      <w:sz w:val="24"/>
      <w:szCs w:val="20"/>
      <w:lang w:eastAsia="en-GB"/>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cs="Times New Roman"/>
      <w:sz w:val="24"/>
      <w:szCs w:val="20"/>
      <w:lang w:eastAsia="en-GB"/>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cs="Times New Roman"/>
      <w:sz w:val="24"/>
      <w:szCs w:val="20"/>
      <w:lang w:eastAsia="en-GB"/>
    </w:rPr>
  </w:style>
  <w:style w:type="paragraph" w:customStyle="1" w:styleId="Sous-titreobjet">
    <w:name w:val="Sous-titre objet"/>
    <w:basedOn w:val="Normal"/>
    <w:pPr>
      <w:spacing w:after="0" w:line="240" w:lineRule="auto"/>
      <w:jc w:val="center"/>
    </w:pPr>
    <w:rPr>
      <w:rFonts w:ascii="Times New Roman" w:eastAsia="Times New Roman" w:hAnsi="Times New Roman" w:cs="Times New Roman"/>
      <w:b/>
      <w:sz w:val="24"/>
      <w:szCs w:val="20"/>
      <w:lang w:eastAsia="en-GB"/>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cs="Times New Roman"/>
      <w:sz w:val="24"/>
      <w:szCs w:val="20"/>
      <w:lang w:eastAsia="en-GB"/>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cs="Times New Roman"/>
      <w:i/>
      <w:sz w:val="24"/>
      <w:szCs w:val="20"/>
      <w:lang w:eastAsia="en-GB"/>
    </w:rPr>
  </w:style>
  <w:style w:type="paragraph" w:customStyle="1" w:styleId="Titreobjet">
    <w:name w:val="Titre objet"/>
    <w:basedOn w:val="Normal"/>
    <w:next w:val="Sous-titreobjet"/>
    <w:pPr>
      <w:spacing w:before="360" w:after="360" w:line="240" w:lineRule="auto"/>
      <w:jc w:val="center"/>
    </w:pPr>
    <w:rPr>
      <w:rFonts w:ascii="Times New Roman" w:eastAsia="Times New Roman" w:hAnsi="Times New Roman" w:cs="Times New Roman"/>
      <w:b/>
      <w:sz w:val="24"/>
      <w:szCs w:val="20"/>
      <w:lang w:eastAsia="en-GB"/>
    </w:rPr>
  </w:style>
  <w:style w:type="paragraph" w:customStyle="1" w:styleId="Typedudocument">
    <w:name w:val="Type du document"/>
    <w:basedOn w:val="Normal"/>
    <w:next w:val="Titreobjet"/>
    <w:pPr>
      <w:spacing w:before="360" w:after="0" w:line="240" w:lineRule="auto"/>
      <w:jc w:val="center"/>
    </w:pPr>
    <w:rPr>
      <w:rFonts w:ascii="Times New Roman" w:eastAsia="Times New Roman" w:hAnsi="Times New Roman" w:cs="Times New Roman"/>
      <w:b/>
      <w:sz w:val="24"/>
      <w:szCs w:val="20"/>
      <w:lang w:eastAsia="en-GB"/>
    </w:rPr>
  </w:style>
  <w:style w:type="character" w:customStyle="1" w:styleId="Added">
    <w:name w:val="Added"/>
    <w:rPr>
      <w:b/>
      <w:u w:val="single"/>
      <w:shd w:val="clear" w:color="auto" w:fill="auto"/>
    </w:rPr>
  </w:style>
  <w:style w:type="character" w:customStyle="1" w:styleId="Deleted">
    <w:name w:val="Deleted"/>
    <w:rPr>
      <w:strike/>
      <w:dstrike w:val="0"/>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cs="Times New Roman"/>
      <w:sz w:val="24"/>
      <w:szCs w:val="20"/>
      <w:lang w:eastAsia="en-GB"/>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cs="Times New Roman"/>
      <w:i/>
      <w:caps/>
      <w:sz w:val="24"/>
      <w:szCs w:val="20"/>
      <w:lang w:eastAsia="en-GB"/>
    </w:rPr>
  </w:style>
  <w:style w:type="paragraph" w:customStyle="1" w:styleId="Supertitre">
    <w:name w:val="Supertitre"/>
    <w:basedOn w:val="Normal"/>
    <w:next w:val="Normal"/>
    <w:pPr>
      <w:spacing w:after="600" w:line="240" w:lineRule="auto"/>
      <w:jc w:val="center"/>
    </w:pPr>
    <w:rPr>
      <w:rFonts w:ascii="Times New Roman" w:eastAsia="Times New Roman" w:hAnsi="Times New Roman" w:cs="Times New Roman"/>
      <w:b/>
      <w:sz w:val="24"/>
      <w:szCs w:val="20"/>
      <w:lang w:eastAsia="en-GB"/>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cs="Times New Roman"/>
      <w:sz w:val="24"/>
      <w:szCs w:val="20"/>
      <w:lang w:eastAsia="en-GB"/>
    </w:rPr>
  </w:style>
  <w:style w:type="paragraph" w:customStyle="1" w:styleId="Rfrencecroise">
    <w:name w:val="Référence croisée"/>
    <w:basedOn w:val="Normal"/>
    <w:pPr>
      <w:spacing w:after="0" w:line="240" w:lineRule="auto"/>
      <w:jc w:val="center"/>
    </w:pPr>
    <w:rPr>
      <w:rFonts w:ascii="Times New Roman" w:eastAsia="Times New Roman" w:hAnsi="Times New Roman" w:cs="Times New Roman"/>
      <w:sz w:val="24"/>
      <w:szCs w:val="20"/>
      <w:lang w:eastAsia="en-GB"/>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cs="Times New Roman"/>
      <w:b/>
      <w:sz w:val="24"/>
      <w:szCs w:val="20"/>
      <w:u w:val="single"/>
      <w:lang w:eastAsia="en-GB"/>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cs="Times New Roman"/>
      <w:sz w:val="24"/>
      <w:szCs w:val="20"/>
      <w:lang w:eastAsia="en-GB"/>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cs="Times New Roman"/>
      <w:b/>
      <w:i/>
      <w:sz w:val="24"/>
      <w:szCs w:val="20"/>
      <w:lang w:eastAsia="en-GB"/>
    </w:r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cs="Times New Roman"/>
      <w:b/>
      <w:sz w:val="24"/>
      <w:szCs w:val="20"/>
      <w:lang w:eastAsia="en-GB"/>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cs="Times New Roman"/>
      <w:b/>
      <w:sz w:val="24"/>
      <w:szCs w:val="20"/>
      <w:lang w:eastAsia="en-G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cs="Times New Roman"/>
      <w:sz w:val="24"/>
      <w:szCs w:val="20"/>
      <w:lang w:eastAsia="en-GB"/>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odernPaper">
    <w:name w:val="Modern Paper"/>
    <w:basedOn w:val="TableNormal"/>
    <w:uiPriority w:val="99"/>
    <w:pPr>
      <w:spacing w:before="200" w:line="240" w:lineRule="auto"/>
    </w:pPr>
    <w:rPr>
      <w:color w:val="1F497D" w:themeColor="text2"/>
      <w:lang w:val="en-US" w:eastAsia="ja-JP"/>
    </w:rPr>
    <w:tblPr>
      <w:tblInd w:w="0" w:type="dxa"/>
      <w:tblBorders>
        <w:insideH w:val="single" w:sz="8" w:space="0" w:color="1F497D" w:themeColor="text2"/>
      </w:tblBorders>
      <w:tblCellMar>
        <w:top w:w="0" w:type="dxa"/>
        <w:left w:w="144" w:type="dxa"/>
        <w:bottom w:w="0" w:type="dxa"/>
        <w:right w:w="144" w:type="dxa"/>
      </w:tblCellMar>
    </w:tblPr>
    <w:tcPr>
      <w:vAlign w:val="center"/>
    </w:tcPr>
    <w:tblStylePr w:type="firstRow">
      <w:pPr>
        <w:wordWrap/>
        <w:spacing w:beforeLines="0" w:beforeAutospacing="0" w:afterLines="0" w:afterAutospacing="0" w:line="216" w:lineRule="auto"/>
        <w:contextualSpacing w:val="0"/>
      </w:pPr>
      <w:rPr>
        <w:rFonts w:asciiTheme="majorHAnsi" w:hAnsiTheme="majorHAnsi"/>
        <w:b/>
        <w:i w:val="0"/>
        <w:color w:val="244061" w:themeColor="accent1" w:themeShade="80"/>
        <w:sz w:val="28"/>
      </w:rPr>
      <w:tblPr/>
      <w:trPr>
        <w:tblHeader/>
      </w:trPr>
      <w:tcPr>
        <w:tcBorders>
          <w:top w:val="nil"/>
          <w:left w:val="nil"/>
          <w:bottom w:val="single" w:sz="24" w:space="0" w:color="1F497D" w:themeColor="text2"/>
          <w:right w:val="nil"/>
          <w:insideH w:val="nil"/>
          <w:insideV w:val="nil"/>
          <w:tl2br w:val="nil"/>
          <w:tr2bl w:val="nil"/>
        </w:tcBorders>
      </w:tcPr>
    </w:tblStylePr>
    <w:tblStylePr w:type="firstCol">
      <w:pPr>
        <w:wordWrap/>
        <w:jc w:val="right"/>
      </w:pPr>
      <w:rPr>
        <w:b/>
      </w:rPr>
      <w:tblPr/>
      <w:tcPr>
        <w:tcMar>
          <w:top w:w="0" w:type="nil"/>
          <w:left w:w="0" w:type="nil"/>
          <w:bottom w:w="0" w:type="nil"/>
          <w:right w:w="432" w:type="dxa"/>
        </w:tcMar>
      </w:tcPr>
    </w:tblStylePr>
    <w:tblStylePr w:type="nwCell">
      <w:pPr>
        <w:wordWrap/>
        <w:jc w:val="left"/>
      </w:pPr>
    </w:tblStyle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ORMAL0">
    <w:name w:val="_NORMAL"/>
    <w:basedOn w:val="Normal"/>
    <w:qFormat/>
    <w:pPr>
      <w:spacing w:after="160" w:line="300" w:lineRule="exact"/>
      <w:jc w:val="both"/>
    </w:pPr>
    <w:rPr>
      <w:rFonts w:ascii="Calibri" w:eastAsiaTheme="minorEastAsia" w:hAnsi="Calibri" w:cs="Tahoma"/>
      <w:szCs w:val="20"/>
    </w:rPr>
  </w:style>
  <w:style w:type="paragraph" w:styleId="ListParagraph">
    <w:name w:val="List Paragraph"/>
    <w:aliases w:val="Dot pt,F5 List Paragraph,List Paragraph1,No Spacing1,List Paragraph Char Char Char,Indicator Text,Colorful List - Accent 11,Numbered Para 1,Bullet Points,MAIN CONTENT,List Paragraph11,List Paragraph12,List Paragraph2,OBC Bullet,L"/>
    <w:basedOn w:val="Normal"/>
    <w:link w:val="ListParagraphChar"/>
    <w:uiPriority w:val="34"/>
    <w:qFormat/>
    <w:pPr>
      <w:ind w:left="720"/>
      <w:contextualSpacing/>
    </w:pPr>
    <w:rPr>
      <w:lang w:val="hr-HR"/>
    </w:rPr>
  </w:style>
  <w:style w:type="character" w:styleId="Strong">
    <w:name w:val="Strong"/>
    <w:basedOn w:val="DefaultParagraphFont"/>
    <w:uiPriority w:val="22"/>
    <w:qFormat/>
    <w:rPr>
      <w:b/>
      <w:bCs/>
    </w:rPr>
  </w:style>
  <w:style w:type="table" w:styleId="LightShading-Accent1">
    <w:name w:val="Light Shading Accent 1"/>
    <w:basedOn w:val="TableNormal"/>
    <w:uiPriority w:val="60"/>
    <w:pPr>
      <w:spacing w:after="0" w:line="240" w:lineRule="auto"/>
    </w:pPr>
    <w:rPr>
      <w:rFonts w:ascii="Times New Roman" w:eastAsia="Times New Roman" w:hAnsi="Times New Roman" w:cs="Times New Roman"/>
      <w:color w:val="365F91" w:themeColor="accent1" w:themeShade="BF"/>
      <w:sz w:val="20"/>
      <w:szCs w:val="20"/>
      <w:lang w:val="nl-NL" w:eastAsia="nl-NL"/>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0"/>
      <w:lang w:eastAsia="en-GB"/>
    </w:rPr>
  </w:style>
  <w:style w:type="character" w:styleId="FollowedHyperlink">
    <w:name w:val="FollowedHyperlink"/>
    <w:basedOn w:val="DefaultParagraphFont"/>
    <w:semiHidden/>
    <w:unhideWhenUsed/>
    <w:rPr>
      <w:color w:val="800080" w:themeColor="followedHyperlink"/>
      <w:u w:val="single"/>
    </w:rPr>
  </w:style>
  <w:style w:type="table" w:customStyle="1" w:styleId="TableGrid1">
    <w:name w:val="Table Grid1"/>
    <w:basedOn w:val="TableNormal"/>
    <w:next w:val="TableGrid"/>
    <w:uiPriority w:val="59"/>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Points Char,MAIN CONTENT Char,OBC Bullet Char"/>
    <w:basedOn w:val="DefaultParagraphFont"/>
    <w:link w:val="ListParagraph"/>
    <w:uiPriority w:val="34"/>
    <w:qFormat/>
    <w:rPr>
      <w:lang w:val="hr-HR"/>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caption" w:uiPriority="0" w:qFormat="1"/>
    <w:lsdException w:name="footnote reference"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uiPriority w:val="9"/>
    <w:qFormat/>
    <w:pPr>
      <w:keepNext/>
      <w:numPr>
        <w:numId w:val="9"/>
      </w:numPr>
      <w:spacing w:before="360" w:after="120" w:line="240" w:lineRule="auto"/>
      <w:jc w:val="both"/>
      <w:outlineLvl w:val="0"/>
    </w:pPr>
    <w:rPr>
      <w:rFonts w:ascii="Times New Roman" w:eastAsia="Times New Roman" w:hAnsi="Times New Roman" w:cs="Times New Roman"/>
      <w:b/>
      <w:bCs/>
      <w:caps/>
      <w:sz w:val="24"/>
      <w:szCs w:val="28"/>
      <w:lang w:eastAsia="en-GB"/>
    </w:rPr>
  </w:style>
  <w:style w:type="paragraph" w:styleId="Heading2">
    <w:name w:val="heading 2"/>
    <w:basedOn w:val="Normal"/>
    <w:next w:val="Text1"/>
    <w:link w:val="Heading2Char"/>
    <w:uiPriority w:val="9"/>
    <w:unhideWhenUsed/>
    <w:qFormat/>
    <w:pPr>
      <w:keepNext/>
      <w:numPr>
        <w:ilvl w:val="1"/>
        <w:numId w:val="9"/>
      </w:numPr>
      <w:spacing w:before="120" w:after="120" w:line="240" w:lineRule="auto"/>
      <w:jc w:val="both"/>
      <w:outlineLvl w:val="1"/>
    </w:pPr>
    <w:rPr>
      <w:rFonts w:ascii="Times New Roman" w:eastAsia="Times New Roman" w:hAnsi="Times New Roman" w:cs="Times New Roman"/>
      <w:b/>
      <w:bCs/>
      <w:sz w:val="24"/>
      <w:lang w:eastAsia="en-GB"/>
    </w:rPr>
  </w:style>
  <w:style w:type="paragraph" w:styleId="Heading3">
    <w:name w:val="heading 3"/>
    <w:basedOn w:val="Normal"/>
    <w:next w:val="Text1"/>
    <w:link w:val="Heading3Char"/>
    <w:uiPriority w:val="9"/>
    <w:unhideWhenUsed/>
    <w:qFormat/>
    <w:pPr>
      <w:keepNext/>
      <w:numPr>
        <w:ilvl w:val="2"/>
        <w:numId w:val="9"/>
      </w:numPr>
      <w:spacing w:before="120" w:after="120" w:line="240" w:lineRule="auto"/>
      <w:jc w:val="both"/>
      <w:outlineLvl w:val="2"/>
    </w:pPr>
    <w:rPr>
      <w:rFonts w:ascii="Times New Roman" w:eastAsia="Times New Roman" w:hAnsi="Times New Roman" w:cs="Times New Roman"/>
      <w:bCs/>
      <w:i/>
      <w:sz w:val="24"/>
      <w:szCs w:val="20"/>
      <w:lang w:eastAsia="en-GB"/>
    </w:rPr>
  </w:style>
  <w:style w:type="paragraph" w:styleId="Heading4">
    <w:name w:val="heading 4"/>
    <w:basedOn w:val="Normal"/>
    <w:next w:val="Text1"/>
    <w:link w:val="Heading4Char"/>
    <w:uiPriority w:val="9"/>
    <w:semiHidden/>
    <w:unhideWhenUsed/>
    <w:qFormat/>
    <w:pPr>
      <w:keepNext/>
      <w:numPr>
        <w:ilvl w:val="3"/>
        <w:numId w:val="9"/>
      </w:numPr>
      <w:spacing w:before="120" w:after="120" w:line="240" w:lineRule="auto"/>
      <w:jc w:val="both"/>
      <w:outlineLvl w:val="3"/>
    </w:pPr>
    <w:rPr>
      <w:rFonts w:ascii="Times New Roman" w:eastAsia="Times New Roman" w:hAnsi="Times New Roman" w:cs="Times New Roman"/>
      <w:bCs/>
      <w:iCs/>
      <w:sz w:val="24"/>
      <w:szCs w:val="20"/>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uiPriority w:val="9"/>
    <w:rPr>
      <w:rFonts w:ascii="Times New Roman" w:eastAsia="Times New Roman" w:hAnsi="Times New Roman" w:cs="Times New Roman"/>
      <w:b/>
      <w:bCs/>
      <w:caps/>
      <w:sz w:val="24"/>
      <w:szCs w:val="28"/>
      <w:lang w:eastAsia="en-GB"/>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24"/>
      <w:lang w:eastAsia="en-GB"/>
    </w:rPr>
  </w:style>
  <w:style w:type="character" w:customStyle="1" w:styleId="Heading3Char">
    <w:name w:val="Heading 3 Char"/>
    <w:basedOn w:val="DefaultParagraphFont"/>
    <w:link w:val="Heading3"/>
    <w:uiPriority w:val="9"/>
    <w:rPr>
      <w:rFonts w:ascii="Times New Roman" w:eastAsia="Times New Roman" w:hAnsi="Times New Roman" w:cs="Times New Roman"/>
      <w:bCs/>
      <w:i/>
      <w:sz w:val="24"/>
      <w:szCs w:val="20"/>
      <w:lang w:eastAsia="en-GB"/>
    </w:rPr>
  </w:style>
  <w:style w:type="character" w:customStyle="1" w:styleId="Heading4Char">
    <w:name w:val="Heading 4 Char"/>
    <w:basedOn w:val="DefaultParagraphFont"/>
    <w:link w:val="Heading4"/>
    <w:uiPriority w:val="9"/>
    <w:semiHidden/>
    <w:rPr>
      <w:rFonts w:ascii="Times New Roman" w:eastAsia="Times New Roman" w:hAnsi="Times New Roman" w:cs="Times New Roman"/>
      <w:bCs/>
      <w:iCs/>
      <w:sz w:val="24"/>
      <w:szCs w:val="20"/>
      <w:lang w:eastAsia="en-GB"/>
    </w:rPr>
  </w:style>
  <w:style w:type="character" w:styleId="Hyperlink">
    <w:name w:val="Hyperlink"/>
    <w:uiPriority w:val="99"/>
    <w:rPr>
      <w:color w:val="0000FF"/>
      <w:u w:val="single"/>
    </w:rPr>
  </w:style>
  <w:style w:type="paragraph" w:customStyle="1" w:styleId="ZCom">
    <w:name w:val="Z_Com"/>
    <w:basedOn w:val="Normal"/>
    <w:next w:val="ZDGName"/>
    <w:pPr>
      <w:widowControl w:val="0"/>
      <w:spacing w:after="0" w:line="240" w:lineRule="auto"/>
      <w:ind w:right="85"/>
      <w:jc w:val="both"/>
    </w:pPr>
    <w:rPr>
      <w:rFonts w:ascii="Arial" w:eastAsia="Times New Roman" w:hAnsi="Arial" w:cs="Times New Roman"/>
      <w:sz w:val="24"/>
      <w:szCs w:val="20"/>
      <w:lang w:eastAsia="en-GB"/>
    </w:rPr>
  </w:style>
  <w:style w:type="paragraph" w:customStyle="1" w:styleId="ZDGName">
    <w:name w:val="Z_DGName"/>
    <w:basedOn w:val="Normal"/>
    <w:pPr>
      <w:widowControl w:val="0"/>
      <w:spacing w:after="0" w:line="240" w:lineRule="auto"/>
      <w:ind w:right="85"/>
      <w:jc w:val="both"/>
    </w:pPr>
    <w:rPr>
      <w:rFonts w:ascii="Arial" w:eastAsia="Times New Roman" w:hAnsi="Arial" w:cs="Times New Roman"/>
      <w:sz w:val="16"/>
      <w:szCs w:val="20"/>
      <w:lang w:eastAsia="en-GB"/>
    </w:rPr>
  </w:style>
  <w:style w:type="paragraph" w:customStyle="1" w:styleId="Default">
    <w:name w:val="Default"/>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paragraph" w:styleId="ListNumber">
    <w:name w:val="List Number"/>
    <w:basedOn w:val="Normal"/>
    <w:uiPriority w:val="99"/>
    <w:pPr>
      <w:numPr>
        <w:numId w:val="1"/>
      </w:numPr>
      <w:spacing w:before="120" w:after="120" w:line="240" w:lineRule="auto"/>
      <w:ind w:left="360" w:hanging="360"/>
      <w:contextualSpacing/>
      <w:jc w:val="both"/>
    </w:pPr>
    <w:rPr>
      <w:rFonts w:ascii="Times New Roman" w:eastAsia="Times New Roman" w:hAnsi="Times New Roman" w:cs="Times New Roman"/>
      <w:sz w:val="24"/>
      <w:szCs w:val="20"/>
      <w:lang w:eastAsia="en-GB"/>
    </w:rPr>
  </w:style>
  <w:style w:type="paragraph" w:styleId="ListNumber2">
    <w:name w:val="List Number 2"/>
    <w:basedOn w:val="Normal"/>
    <w:uiPriority w:val="99"/>
    <w:pPr>
      <w:numPr>
        <w:numId w:val="2"/>
      </w:numPr>
      <w:tabs>
        <w:tab w:val="num" w:pos="643"/>
      </w:tabs>
      <w:spacing w:before="120" w:after="120" w:line="240" w:lineRule="auto"/>
      <w:ind w:left="643" w:hanging="360"/>
      <w:contextualSpacing/>
      <w:jc w:val="both"/>
    </w:pPr>
    <w:rPr>
      <w:rFonts w:ascii="Times New Roman" w:eastAsia="Times New Roman" w:hAnsi="Times New Roman" w:cs="Times New Roman"/>
      <w:sz w:val="24"/>
      <w:szCs w:val="20"/>
      <w:lang w:eastAsia="en-GB"/>
    </w:rPr>
  </w:style>
  <w:style w:type="paragraph" w:styleId="ListNumber3">
    <w:name w:val="List Number 3"/>
    <w:basedOn w:val="Normal"/>
    <w:uiPriority w:val="99"/>
    <w:pPr>
      <w:numPr>
        <w:numId w:val="3"/>
      </w:numPr>
      <w:tabs>
        <w:tab w:val="num" w:pos="926"/>
      </w:tabs>
      <w:spacing w:before="120" w:after="120" w:line="240" w:lineRule="auto"/>
      <w:ind w:left="926" w:hanging="360"/>
      <w:contextualSpacing/>
      <w:jc w:val="both"/>
    </w:pPr>
    <w:rPr>
      <w:rFonts w:ascii="Times New Roman" w:eastAsia="Times New Roman" w:hAnsi="Times New Roman" w:cs="Times New Roman"/>
      <w:sz w:val="24"/>
      <w:szCs w:val="20"/>
      <w:lang w:eastAsia="en-GB"/>
    </w:rPr>
  </w:style>
  <w:style w:type="paragraph" w:styleId="ListNumber4">
    <w:name w:val="List Number 4"/>
    <w:basedOn w:val="Normal"/>
    <w:uiPriority w:val="99"/>
    <w:pPr>
      <w:numPr>
        <w:numId w:val="4"/>
      </w:numPr>
      <w:tabs>
        <w:tab w:val="num" w:pos="1209"/>
      </w:tabs>
      <w:spacing w:before="120" w:after="120" w:line="240" w:lineRule="auto"/>
      <w:ind w:left="1209" w:hanging="360"/>
      <w:contextualSpacing/>
      <w:jc w:val="both"/>
    </w:pPr>
    <w:rPr>
      <w:rFonts w:ascii="Times New Roman" w:eastAsia="Times New Roman" w:hAnsi="Times New Roman" w:cs="Times New Roman"/>
      <w:sz w:val="24"/>
      <w:szCs w:val="20"/>
      <w:lang w:eastAsia="en-GB"/>
    </w:rPr>
  </w:style>
  <w:style w:type="paragraph" w:styleId="ListBullet">
    <w:name w:val="List Bullet"/>
    <w:basedOn w:val="Normal"/>
    <w:uiPriority w:val="99"/>
    <w:pPr>
      <w:numPr>
        <w:numId w:val="5"/>
      </w:numPr>
      <w:spacing w:before="120" w:after="120" w:line="240" w:lineRule="auto"/>
      <w:ind w:left="360" w:hanging="360"/>
      <w:contextualSpacing/>
      <w:jc w:val="both"/>
    </w:pPr>
    <w:rPr>
      <w:rFonts w:ascii="Times New Roman" w:eastAsia="Times New Roman" w:hAnsi="Times New Roman" w:cs="Times New Roman"/>
      <w:sz w:val="24"/>
      <w:szCs w:val="20"/>
      <w:lang w:eastAsia="en-GB"/>
    </w:rPr>
  </w:style>
  <w:style w:type="paragraph" w:styleId="ListBullet2">
    <w:name w:val="List Bullet 2"/>
    <w:basedOn w:val="Normal"/>
    <w:uiPriority w:val="99"/>
    <w:pPr>
      <w:numPr>
        <w:numId w:val="6"/>
      </w:numPr>
      <w:tabs>
        <w:tab w:val="num" w:pos="643"/>
      </w:tabs>
      <w:spacing w:before="120" w:after="120" w:line="240" w:lineRule="auto"/>
      <w:ind w:left="643" w:hanging="360"/>
      <w:contextualSpacing/>
      <w:jc w:val="both"/>
    </w:pPr>
    <w:rPr>
      <w:rFonts w:ascii="Times New Roman" w:eastAsia="Times New Roman" w:hAnsi="Times New Roman" w:cs="Times New Roman"/>
      <w:sz w:val="24"/>
      <w:szCs w:val="20"/>
      <w:lang w:eastAsia="en-GB"/>
    </w:rPr>
  </w:style>
  <w:style w:type="paragraph" w:styleId="ListBullet3">
    <w:name w:val="List Bullet 3"/>
    <w:basedOn w:val="Normal"/>
    <w:uiPriority w:val="99"/>
    <w:pPr>
      <w:numPr>
        <w:numId w:val="7"/>
      </w:numPr>
      <w:tabs>
        <w:tab w:val="num" w:pos="926"/>
      </w:tabs>
      <w:spacing w:before="120" w:after="120" w:line="240" w:lineRule="auto"/>
      <w:ind w:left="926" w:hanging="360"/>
      <w:contextualSpacing/>
      <w:jc w:val="both"/>
    </w:pPr>
    <w:rPr>
      <w:rFonts w:ascii="Times New Roman" w:eastAsia="Times New Roman" w:hAnsi="Times New Roman" w:cs="Times New Roman"/>
      <w:sz w:val="24"/>
      <w:szCs w:val="20"/>
      <w:lang w:eastAsia="en-GB"/>
    </w:rPr>
  </w:style>
  <w:style w:type="paragraph" w:styleId="ListBullet4">
    <w:name w:val="List Bullet 4"/>
    <w:basedOn w:val="Normal"/>
    <w:uiPriority w:val="99"/>
    <w:pPr>
      <w:numPr>
        <w:numId w:val="8"/>
      </w:numPr>
      <w:tabs>
        <w:tab w:val="num" w:pos="1209"/>
      </w:tabs>
      <w:spacing w:before="120" w:after="120" w:line="240" w:lineRule="auto"/>
      <w:ind w:left="1209" w:hanging="360"/>
      <w:contextualSpacing/>
      <w:jc w:val="both"/>
    </w:pPr>
    <w:rPr>
      <w:rFonts w:ascii="Times New Roman" w:eastAsia="Times New Roman" w:hAnsi="Times New Roman" w:cs="Times New Roman"/>
      <w:sz w:val="24"/>
      <w:szCs w:val="20"/>
      <w:lang w:eastAsia="en-GB"/>
    </w:rPr>
  </w:style>
  <w:style w:type="paragraph" w:styleId="BalloonText">
    <w:name w:val="Balloon Text"/>
    <w:basedOn w:val="Normal"/>
    <w:link w:val="BalloonTextChar"/>
    <w:uiPriority w:val="99"/>
    <w:pPr>
      <w:spacing w:after="0" w:line="240" w:lineRule="auto"/>
      <w:jc w:val="both"/>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uiPriority w:val="99"/>
    <w:rPr>
      <w:rFonts w:ascii="Tahoma" w:eastAsia="Times New Roman" w:hAnsi="Tahoma" w:cs="Tahoma"/>
      <w:sz w:val="16"/>
      <w:szCs w:val="16"/>
      <w:lang w:eastAsia="en-GB"/>
    </w:rPr>
  </w:style>
  <w:style w:type="paragraph" w:styleId="EndnoteText">
    <w:name w:val="endnote text"/>
    <w:basedOn w:val="Normal"/>
    <w:link w:val="EndnoteTextChar"/>
    <w:uiPriority w:val="99"/>
    <w:pPr>
      <w:spacing w:before="120" w:after="120" w:line="240" w:lineRule="auto"/>
      <w:jc w:val="both"/>
    </w:pPr>
    <w:rPr>
      <w:rFonts w:ascii="Times New Roman" w:eastAsia="Times New Roman" w:hAnsi="Times New Roman" w:cs="Times New Roman"/>
      <w:sz w:val="20"/>
      <w:szCs w:val="20"/>
      <w:lang w:eastAsia="en-GB"/>
    </w:rPr>
  </w:style>
  <w:style w:type="character" w:customStyle="1" w:styleId="EndnoteTextChar">
    <w:name w:val="Endnote Text Char"/>
    <w:basedOn w:val="DefaultParagraphFont"/>
    <w:link w:val="EndnoteText"/>
    <w:uiPriority w:val="99"/>
    <w:rPr>
      <w:rFonts w:ascii="Times New Roman" w:eastAsia="Times New Roman" w:hAnsi="Times New Roman" w:cs="Times New Roman"/>
      <w:sz w:val="20"/>
      <w:szCs w:val="20"/>
      <w:lang w:eastAsia="en-GB"/>
    </w:rPr>
  </w:style>
  <w:style w:type="character" w:styleId="EndnoteReference">
    <w:name w:val="endnote reference"/>
    <w:uiPriority w:val="99"/>
    <w:rPr>
      <w:vertAlign w:val="superscript"/>
    </w:rPr>
  </w:style>
  <w:style w:type="paragraph" w:styleId="Caption">
    <w:name w:val="caption"/>
    <w:basedOn w:val="Normal"/>
    <w:next w:val="Normal"/>
    <w:unhideWhenUsed/>
    <w:qFormat/>
    <w:pPr>
      <w:spacing w:before="120" w:after="120" w:line="240" w:lineRule="auto"/>
      <w:jc w:val="both"/>
    </w:pPr>
    <w:rPr>
      <w:rFonts w:ascii="Times New Roman" w:eastAsia="Times New Roman" w:hAnsi="Times New Roman" w:cs="Times New Roman"/>
      <w:b/>
      <w:bCs/>
      <w:sz w:val="20"/>
      <w:szCs w:val="20"/>
      <w:lang w:eastAsia="en-GB"/>
    </w:rPr>
  </w:style>
  <w:style w:type="paragraph" w:styleId="TableofFigures">
    <w:name w:val="table of figures"/>
    <w:basedOn w:val="Normal"/>
    <w:next w:val="Normal"/>
    <w:uiPriority w:val="99"/>
    <w:pPr>
      <w:spacing w:before="120" w:after="120" w:line="240" w:lineRule="auto"/>
      <w:jc w:val="both"/>
    </w:pPr>
    <w:rPr>
      <w:rFonts w:ascii="Times New Roman" w:eastAsia="Times New Roman" w:hAnsi="Times New Roman" w:cs="Times New Roman"/>
      <w:sz w:val="24"/>
      <w:szCs w:val="20"/>
      <w:lang w:eastAsia="en-GB"/>
    </w:rPr>
  </w:style>
  <w:style w:type="character" w:styleId="CommentReference">
    <w:name w:val="annotation reference"/>
    <w:uiPriority w:val="99"/>
    <w:qFormat/>
    <w:rPr>
      <w:sz w:val="16"/>
      <w:szCs w:val="16"/>
    </w:rPr>
  </w:style>
  <w:style w:type="paragraph" w:styleId="CommentText">
    <w:name w:val="annotation text"/>
    <w:basedOn w:val="Normal"/>
    <w:link w:val="CommentTextChar"/>
    <w:uiPriority w:val="99"/>
    <w:qFormat/>
    <w:pPr>
      <w:spacing w:before="120" w:after="120" w:line="240" w:lineRule="auto"/>
      <w:jc w:val="both"/>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uiPriority w:val="99"/>
    <w:qFormat/>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eastAsia="en-GB"/>
    </w:rPr>
  </w:style>
  <w:style w:type="paragraph" w:styleId="FootnoteText">
    <w:name w:val="footnote text"/>
    <w:aliases w:val="fn,footnote text,Footnotes,Footnote ak,fn Char,footnote text Char,Footnotes Char,Footnote ak Char,ft,fn cafc,Footnotes Char Char,Footnote Text Char Char,fn Char Char,footnote text Char Char Char Ch,fn1,footnote text1,ft1,Car,Fußnotentextf"/>
    <w:basedOn w:val="Normal"/>
    <w:link w:val="FootnoteTextChar"/>
    <w:uiPriority w:val="99"/>
    <w:unhideWhenUsed/>
    <w:qFormat/>
    <w:pPr>
      <w:keepNext/>
      <w:keepLines/>
      <w:pageBreakBefore/>
      <w:spacing w:after="0" w:line="240" w:lineRule="auto"/>
      <w:ind w:left="720" w:hanging="720"/>
      <w:jc w:val="both"/>
    </w:pPr>
    <w:rPr>
      <w:rFonts w:ascii="Times New Roman" w:eastAsia="Times New Roman" w:hAnsi="Times New Roman" w:cs="Times New Roman"/>
      <w:sz w:val="20"/>
      <w:szCs w:val="20"/>
      <w:lang w:eastAsia="en-GB"/>
    </w:rPr>
  </w:style>
  <w:style w:type="character" w:customStyle="1" w:styleId="FootnoteTextChar">
    <w:name w:val="Footnote Text Char"/>
    <w:aliases w:val="fn Char1,footnote text Char1,Footnotes Char1,Footnote ak Char1,fn Char Char1,footnote text Char Char,Footnotes Char Char1,Footnote ak Char Char,ft Char,fn cafc Char,Footnotes Char Char Char,Footnote Text Char Char Char,fn1 Char"/>
    <w:basedOn w:val="DefaultParagraphFont"/>
    <w:link w:val="FootnoteText"/>
    <w:uiPriority w:val="99"/>
    <w:rPr>
      <w:rFonts w:ascii="Times New Roman" w:eastAsia="Times New Roman" w:hAnsi="Times New Roman" w:cs="Times New Roman"/>
      <w:sz w:val="20"/>
      <w:szCs w:val="20"/>
      <w:lang w:eastAsia="en-GB"/>
    </w:rPr>
  </w:style>
  <w:style w:type="paragraph" w:styleId="TOCHeading">
    <w:name w:val="TOC Heading"/>
    <w:basedOn w:val="Normal"/>
    <w:next w:val="Normal"/>
    <w:uiPriority w:val="39"/>
    <w:semiHidden/>
    <w:unhideWhenUsed/>
    <w:qFormat/>
    <w:pPr>
      <w:spacing w:before="120" w:after="240" w:line="240" w:lineRule="auto"/>
      <w:jc w:val="center"/>
    </w:pPr>
    <w:rPr>
      <w:rFonts w:ascii="Times New Roman" w:eastAsia="Times New Roman" w:hAnsi="Times New Roman" w:cs="Times New Roman"/>
      <w:b/>
      <w:sz w:val="28"/>
      <w:szCs w:val="20"/>
      <w:lang w:eastAsia="en-GB"/>
    </w:rPr>
  </w:style>
  <w:style w:type="paragraph" w:styleId="TOC1">
    <w:name w:val="toc 1"/>
    <w:basedOn w:val="Normal"/>
    <w:next w:val="Normal"/>
    <w:uiPriority w:val="39"/>
    <w:unhideWhenUsed/>
    <w:qFormat/>
    <w:pPr>
      <w:tabs>
        <w:tab w:val="right" w:leader="dot" w:pos="9071"/>
      </w:tabs>
      <w:spacing w:before="60" w:after="120" w:line="240" w:lineRule="auto"/>
      <w:ind w:left="850" w:hanging="850"/>
    </w:pPr>
    <w:rPr>
      <w:rFonts w:ascii="Times New Roman" w:eastAsia="Times New Roman" w:hAnsi="Times New Roman" w:cs="Times New Roman"/>
      <w:sz w:val="24"/>
      <w:szCs w:val="20"/>
      <w:lang w:eastAsia="en-GB"/>
    </w:rPr>
  </w:style>
  <w:style w:type="paragraph" w:styleId="TOC2">
    <w:name w:val="toc 2"/>
    <w:basedOn w:val="Normal"/>
    <w:next w:val="Normal"/>
    <w:uiPriority w:val="39"/>
    <w:unhideWhenUsed/>
    <w:qFormat/>
    <w:pPr>
      <w:tabs>
        <w:tab w:val="right" w:leader="dot" w:pos="9071"/>
      </w:tabs>
      <w:spacing w:before="60" w:after="120" w:line="240" w:lineRule="auto"/>
      <w:ind w:left="850" w:hanging="850"/>
    </w:pPr>
    <w:rPr>
      <w:rFonts w:ascii="Times New Roman" w:eastAsia="Times New Roman" w:hAnsi="Times New Roman" w:cs="Times New Roman"/>
      <w:sz w:val="24"/>
      <w:szCs w:val="20"/>
      <w:lang w:eastAsia="en-GB"/>
    </w:rPr>
  </w:style>
  <w:style w:type="paragraph" w:styleId="TOC3">
    <w:name w:val="toc 3"/>
    <w:basedOn w:val="Normal"/>
    <w:next w:val="Normal"/>
    <w:uiPriority w:val="39"/>
    <w:unhideWhenUsed/>
    <w:qFormat/>
    <w:pPr>
      <w:tabs>
        <w:tab w:val="right" w:leader="dot" w:pos="9071"/>
      </w:tabs>
      <w:spacing w:before="60" w:after="120" w:line="240" w:lineRule="auto"/>
      <w:ind w:left="850" w:hanging="850"/>
    </w:pPr>
    <w:rPr>
      <w:rFonts w:ascii="Times New Roman" w:eastAsia="Times New Roman" w:hAnsi="Times New Roman" w:cs="Times New Roman"/>
      <w:sz w:val="24"/>
      <w:szCs w:val="20"/>
      <w:lang w:eastAsia="en-GB"/>
    </w:rPr>
  </w:style>
  <w:style w:type="paragraph" w:styleId="TOC4">
    <w:name w:val="toc 4"/>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szCs w:val="20"/>
      <w:lang w:eastAsia="en-GB"/>
    </w:rPr>
  </w:style>
  <w:style w:type="paragraph" w:styleId="TOC5">
    <w:name w:val="toc 5"/>
    <w:basedOn w:val="Normal"/>
    <w:next w:val="Normal"/>
    <w:uiPriority w:val="39"/>
    <w:semiHidden/>
    <w:unhideWhenUsed/>
    <w:pPr>
      <w:tabs>
        <w:tab w:val="right" w:leader="dot" w:pos="9071"/>
      </w:tabs>
      <w:spacing w:before="300" w:after="120" w:line="240" w:lineRule="auto"/>
    </w:pPr>
    <w:rPr>
      <w:rFonts w:ascii="Times New Roman" w:eastAsia="Times New Roman" w:hAnsi="Times New Roman" w:cs="Times New Roman"/>
      <w:sz w:val="24"/>
      <w:szCs w:val="20"/>
      <w:lang w:eastAsia="en-GB"/>
    </w:rPr>
  </w:style>
  <w:style w:type="paragraph" w:styleId="TOC6">
    <w:name w:val="toc 6"/>
    <w:basedOn w:val="Normal"/>
    <w:next w:val="Normal"/>
    <w:uiPriority w:val="39"/>
    <w:semiHidden/>
    <w:unhideWhenUsed/>
    <w:pPr>
      <w:tabs>
        <w:tab w:val="right" w:leader="dot" w:pos="9071"/>
      </w:tabs>
      <w:spacing w:before="240" w:after="120" w:line="240" w:lineRule="auto"/>
    </w:pPr>
    <w:rPr>
      <w:rFonts w:ascii="Times New Roman" w:eastAsia="Times New Roman" w:hAnsi="Times New Roman" w:cs="Times New Roman"/>
      <w:sz w:val="24"/>
      <w:szCs w:val="20"/>
      <w:lang w:eastAsia="en-GB"/>
    </w:rPr>
  </w:style>
  <w:style w:type="paragraph" w:styleId="TOC7">
    <w:name w:val="toc 7"/>
    <w:basedOn w:val="Normal"/>
    <w:next w:val="Normal"/>
    <w:uiPriority w:val="39"/>
    <w:semiHidden/>
    <w:unhideWhenUsed/>
    <w:pPr>
      <w:tabs>
        <w:tab w:val="right" w:leader="dot" w:pos="9071"/>
      </w:tabs>
      <w:spacing w:before="180" w:after="120" w:line="240" w:lineRule="auto"/>
    </w:pPr>
    <w:rPr>
      <w:rFonts w:ascii="Times New Roman" w:eastAsia="Times New Roman" w:hAnsi="Times New Roman" w:cs="Times New Roman"/>
      <w:sz w:val="24"/>
      <w:szCs w:val="20"/>
      <w:lang w:eastAsia="en-GB"/>
    </w:rPr>
  </w:style>
  <w:style w:type="paragraph" w:styleId="TOC8">
    <w:name w:val="toc 8"/>
    <w:basedOn w:val="Normal"/>
    <w:next w:val="Normal"/>
    <w:uiPriority w:val="39"/>
    <w:semiHidden/>
    <w:unhideWhenUsed/>
    <w:pPr>
      <w:tabs>
        <w:tab w:val="right" w:leader="dot" w:pos="9071"/>
      </w:tabs>
      <w:spacing w:before="120" w:after="120" w:line="240" w:lineRule="auto"/>
    </w:pPr>
    <w:rPr>
      <w:rFonts w:ascii="Times New Roman" w:eastAsia="Times New Roman" w:hAnsi="Times New Roman" w:cs="Times New Roman"/>
      <w:sz w:val="24"/>
      <w:szCs w:val="20"/>
      <w:lang w:eastAsia="en-GB"/>
    </w:rPr>
  </w:style>
  <w:style w:type="paragraph" w:styleId="TOC9">
    <w:name w:val="toc 9"/>
    <w:basedOn w:val="Normal"/>
    <w:next w:val="Normal"/>
    <w:uiPriority w:val="39"/>
    <w:semiHidden/>
    <w:unhideWhenUsed/>
    <w:pPr>
      <w:tabs>
        <w:tab w:val="right" w:leader="dot" w:pos="9071"/>
      </w:tabs>
      <w:spacing w:before="120" w:after="120" w:line="240" w:lineRule="auto"/>
      <w:jc w:val="both"/>
    </w:pPr>
    <w:rPr>
      <w:rFonts w:ascii="Times New Roman" w:eastAsia="Times New Roman" w:hAnsi="Times New Roman" w:cs="Times New Roman"/>
      <w:sz w:val="24"/>
      <w:szCs w:val="20"/>
      <w:lang w:eastAsia="en-GB"/>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character" w:styleId="FootnoteReference">
    <w:name w:val="footnote reference"/>
    <w:aliases w:val="Ref,de nota al pie,Ref1,de nota al pie1,Ref2,de nota al pie2,Ref11,de nota al pie11, BVI fnr,BVI fnr,Footnote symbol,Footnote reference number,Times 10 Point,Exposant 3 Point,note TESI,SUPERS,EN Footnote text,number,E F,Nota,styl"/>
    <w:uiPriority w:val="99"/>
    <w:unhideWhenUsed/>
    <w:qFormat/>
    <w:rPr>
      <w:shd w:val="clear" w:color="auto" w:fill="auto"/>
      <w:vertAlign w:val="superscript"/>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szCs w:val="20"/>
      <w:lang w:eastAsia="en-GB"/>
    </w:rPr>
  </w:style>
  <w:style w:type="paragraph" w:customStyle="1" w:styleId="Text2">
    <w:name w:val="Text 2"/>
    <w:basedOn w:val="Normal"/>
    <w:pPr>
      <w:spacing w:before="120" w:after="120" w:line="240" w:lineRule="auto"/>
      <w:ind w:left="1417"/>
      <w:jc w:val="both"/>
    </w:pPr>
    <w:rPr>
      <w:rFonts w:ascii="Times New Roman" w:eastAsia="Times New Roman" w:hAnsi="Times New Roman" w:cs="Times New Roman"/>
      <w:sz w:val="24"/>
      <w:szCs w:val="20"/>
      <w:lang w:eastAsia="en-GB"/>
    </w:rPr>
  </w:style>
  <w:style w:type="paragraph" w:customStyle="1" w:styleId="Text3">
    <w:name w:val="Text 3"/>
    <w:basedOn w:val="Normal"/>
    <w:pPr>
      <w:spacing w:before="120" w:after="120" w:line="240" w:lineRule="auto"/>
      <w:ind w:left="1984"/>
      <w:jc w:val="both"/>
    </w:pPr>
    <w:rPr>
      <w:rFonts w:ascii="Times New Roman" w:eastAsia="Times New Roman" w:hAnsi="Times New Roman" w:cs="Times New Roman"/>
      <w:sz w:val="24"/>
      <w:szCs w:val="20"/>
      <w:lang w:eastAsia="en-GB"/>
    </w:rPr>
  </w:style>
  <w:style w:type="paragraph" w:customStyle="1" w:styleId="Text4">
    <w:name w:val="Text 4"/>
    <w:basedOn w:val="Normal"/>
    <w:pPr>
      <w:spacing w:before="120" w:after="120" w:line="240" w:lineRule="auto"/>
      <w:ind w:left="2551"/>
      <w:jc w:val="both"/>
    </w:pPr>
    <w:rPr>
      <w:rFonts w:ascii="Times New Roman" w:eastAsia="Times New Roman" w:hAnsi="Times New Roman" w:cs="Times New Roman"/>
      <w:sz w:val="24"/>
      <w:szCs w:val="20"/>
      <w:lang w:eastAsia="en-GB"/>
    </w:rPr>
  </w:style>
  <w:style w:type="paragraph" w:customStyle="1" w:styleId="NormalCentered">
    <w:name w:val="Normal Centered"/>
    <w:basedOn w:val="Normal"/>
    <w:pPr>
      <w:spacing w:before="120" w:after="120" w:line="240" w:lineRule="auto"/>
      <w:jc w:val="center"/>
    </w:pPr>
    <w:rPr>
      <w:rFonts w:ascii="Times New Roman" w:eastAsia="Times New Roman" w:hAnsi="Times New Roman" w:cs="Times New Roman"/>
      <w:sz w:val="24"/>
      <w:szCs w:val="20"/>
      <w:lang w:eastAsia="en-GB"/>
    </w:rPr>
  </w:style>
  <w:style w:type="paragraph" w:customStyle="1" w:styleId="NormalLeft">
    <w:name w:val="Normal Left"/>
    <w:basedOn w:val="Normal"/>
    <w:pPr>
      <w:spacing w:before="120" w:after="120" w:line="240" w:lineRule="auto"/>
    </w:pPr>
    <w:rPr>
      <w:rFonts w:ascii="Times New Roman" w:eastAsia="Times New Roman" w:hAnsi="Times New Roman" w:cs="Times New Roman"/>
      <w:sz w:val="24"/>
      <w:szCs w:val="20"/>
      <w:lang w:eastAsia="en-GB"/>
    </w:rPr>
  </w:style>
  <w:style w:type="paragraph" w:customStyle="1" w:styleId="NormalRight">
    <w:name w:val="Normal Right"/>
    <w:basedOn w:val="Normal"/>
    <w:pPr>
      <w:spacing w:before="120" w:after="120" w:line="240" w:lineRule="auto"/>
      <w:jc w:val="right"/>
    </w:pPr>
    <w:rPr>
      <w:rFonts w:ascii="Times New Roman" w:eastAsia="Times New Roman" w:hAnsi="Times New Roman" w:cs="Times New Roman"/>
      <w:sz w:val="24"/>
      <w:szCs w:val="20"/>
      <w:lang w:eastAsia="en-GB"/>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cs="Times New Roman"/>
      <w:sz w:val="24"/>
      <w:szCs w:val="20"/>
      <w:lang w:eastAsia="en-GB"/>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cs="Times New Roman"/>
      <w:sz w:val="24"/>
      <w:szCs w:val="20"/>
      <w:lang w:eastAsia="en-GB"/>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cs="Times New Roman"/>
      <w:sz w:val="24"/>
      <w:szCs w:val="20"/>
      <w:lang w:eastAsia="en-GB"/>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cs="Times New Roman"/>
      <w:sz w:val="24"/>
      <w:szCs w:val="20"/>
      <w:lang w:eastAsia="en-GB"/>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cs="Times New Roman"/>
      <w:sz w:val="24"/>
      <w:szCs w:val="20"/>
      <w:lang w:eastAsia="en-GB"/>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cs="Times New Roman"/>
      <w:sz w:val="24"/>
      <w:szCs w:val="20"/>
      <w:lang w:eastAsia="en-GB"/>
    </w:r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tabs>
        <w:tab w:val="clear" w:pos="2551"/>
        <w:tab w:val="num" w:pos="360"/>
      </w:tabs>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cs="Times New Roman"/>
      <w:sz w:val="24"/>
      <w:szCs w:val="20"/>
      <w:lang w:eastAsia="en-GB"/>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cs="Times New Roman"/>
      <w:sz w:val="24"/>
      <w:szCs w:val="20"/>
      <w:lang w:eastAsia="en-GB"/>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cs="Times New Roman"/>
      <w:sz w:val="24"/>
      <w:szCs w:val="20"/>
      <w:lang w:eastAsia="en-GB"/>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cs="Times New Roman"/>
      <w:sz w:val="24"/>
      <w:szCs w:val="20"/>
      <w:lang w:eastAsia="en-GB"/>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cs="Times New Roman"/>
      <w:sz w:val="24"/>
      <w:szCs w:val="20"/>
      <w:lang w:eastAsia="en-GB"/>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cs="Times New Roman"/>
      <w:sz w:val="24"/>
      <w:szCs w:val="20"/>
      <w:lang w:eastAsia="en-GB"/>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cs="Times New Roman"/>
      <w:sz w:val="24"/>
      <w:szCs w:val="20"/>
      <w:lang w:eastAsia="en-GB"/>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cs="Times New Roman"/>
      <w:sz w:val="24"/>
      <w:szCs w:val="20"/>
      <w:lang w:eastAsia="en-GB"/>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cs="Times New Roman"/>
      <w:sz w:val="24"/>
      <w:szCs w:val="20"/>
      <w:lang w:eastAsia="en-GB"/>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cs="Times New Roman"/>
      <w:sz w:val="24"/>
      <w:szCs w:val="20"/>
      <w:lang w:eastAsia="en-GB"/>
    </w:rPr>
  </w:style>
  <w:style w:type="paragraph" w:customStyle="1" w:styleId="NumPar1">
    <w:name w:val="NumPar 1"/>
    <w:basedOn w:val="Normal"/>
    <w:next w:val="Text1"/>
    <w:pPr>
      <w:numPr>
        <w:numId w:val="15"/>
      </w:numPr>
      <w:spacing w:before="120" w:after="120" w:line="240" w:lineRule="auto"/>
      <w:jc w:val="both"/>
    </w:pPr>
    <w:rPr>
      <w:rFonts w:ascii="Times New Roman" w:eastAsia="Times New Roman" w:hAnsi="Times New Roman" w:cs="Times New Roman"/>
      <w:sz w:val="24"/>
      <w:szCs w:val="20"/>
      <w:lang w:eastAsia="en-GB"/>
    </w:rPr>
  </w:style>
  <w:style w:type="paragraph" w:customStyle="1" w:styleId="NumPar2">
    <w:name w:val="NumPar 2"/>
    <w:basedOn w:val="Normal"/>
    <w:next w:val="Text1"/>
    <w:pPr>
      <w:numPr>
        <w:ilvl w:val="1"/>
        <w:numId w:val="15"/>
      </w:numPr>
      <w:spacing w:before="120" w:after="120" w:line="240" w:lineRule="auto"/>
      <w:jc w:val="both"/>
    </w:pPr>
    <w:rPr>
      <w:rFonts w:ascii="Times New Roman" w:eastAsia="Times New Roman" w:hAnsi="Times New Roman" w:cs="Times New Roman"/>
      <w:sz w:val="24"/>
      <w:szCs w:val="20"/>
      <w:lang w:eastAsia="en-GB"/>
    </w:rPr>
  </w:style>
  <w:style w:type="paragraph" w:customStyle="1" w:styleId="NumPar3">
    <w:name w:val="NumPar 3"/>
    <w:basedOn w:val="Normal"/>
    <w:next w:val="Text1"/>
    <w:pPr>
      <w:numPr>
        <w:ilvl w:val="2"/>
        <w:numId w:val="15"/>
      </w:numPr>
      <w:spacing w:before="120" w:after="120" w:line="240" w:lineRule="auto"/>
      <w:jc w:val="both"/>
    </w:pPr>
    <w:rPr>
      <w:rFonts w:ascii="Times New Roman" w:eastAsia="Times New Roman" w:hAnsi="Times New Roman" w:cs="Times New Roman"/>
      <w:sz w:val="24"/>
      <w:szCs w:val="20"/>
      <w:lang w:eastAsia="en-GB"/>
    </w:rPr>
  </w:style>
  <w:style w:type="paragraph" w:customStyle="1" w:styleId="NumPar4">
    <w:name w:val="NumPar 4"/>
    <w:basedOn w:val="Normal"/>
    <w:next w:val="Text1"/>
    <w:pPr>
      <w:numPr>
        <w:ilvl w:val="3"/>
        <w:numId w:val="15"/>
      </w:numPr>
      <w:spacing w:before="120" w:after="120" w:line="240" w:lineRule="auto"/>
      <w:jc w:val="both"/>
    </w:pPr>
    <w:rPr>
      <w:rFonts w:ascii="Times New Roman" w:eastAsia="Times New Roman" w:hAnsi="Times New Roman" w:cs="Times New Roman"/>
      <w:sz w:val="24"/>
      <w:szCs w:val="20"/>
      <w:lang w:eastAsia="en-GB"/>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cs="Times New Roman"/>
      <w:sz w:val="24"/>
      <w:szCs w:val="20"/>
      <w:lang w:eastAsia="en-GB"/>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cs="Times New Roman"/>
      <w:sz w:val="24"/>
      <w:szCs w:val="20"/>
      <w:lang w:eastAsia="en-GB"/>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cs="Times New Roman"/>
      <w:sz w:val="24"/>
      <w:szCs w:val="20"/>
      <w:lang w:eastAsia="en-GB"/>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cs="Times New Roman"/>
      <w:sz w:val="24"/>
      <w:szCs w:val="20"/>
      <w:lang w:eastAsia="en-GB"/>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cs="Times New Roman"/>
      <w:sz w:val="24"/>
      <w:szCs w:val="20"/>
      <w:lang w:eastAsia="en-GB"/>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szCs w:val="20"/>
      <w:lang w:eastAsia="en-GB"/>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szCs w:val="20"/>
      <w:lang w:eastAsia="en-GB"/>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szCs w:val="20"/>
      <w:lang w:eastAsia="en-GB"/>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cs="Times New Roman"/>
      <w:sz w:val="24"/>
      <w:szCs w:val="20"/>
      <w:lang w:eastAsia="en-GB"/>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cs="Times New Roman"/>
      <w:b/>
      <w:sz w:val="32"/>
      <w:szCs w:val="20"/>
      <w:lang w:eastAsia="en-GB"/>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cs="Times New Roman"/>
      <w:b/>
      <w:sz w:val="36"/>
      <w:szCs w:val="20"/>
      <w:lang w:eastAsia="en-GB"/>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cs="Times New Roman"/>
      <w:b/>
      <w:smallCaps/>
      <w:sz w:val="28"/>
      <w:szCs w:val="20"/>
      <w:lang w:eastAsia="en-GB"/>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cs="Times New Roman"/>
      <w:b/>
      <w:sz w:val="24"/>
      <w:szCs w:val="20"/>
      <w:lang w:eastAsia="en-GB"/>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Point0number">
    <w:name w:val="Point 0 (number)"/>
    <w:basedOn w:val="Normal"/>
    <w:pPr>
      <w:numPr>
        <w:numId w:val="16"/>
      </w:numPr>
      <w:spacing w:before="120" w:after="120" w:line="240" w:lineRule="auto"/>
      <w:jc w:val="both"/>
    </w:pPr>
    <w:rPr>
      <w:rFonts w:ascii="Times New Roman" w:eastAsia="Times New Roman" w:hAnsi="Times New Roman" w:cs="Times New Roman"/>
      <w:sz w:val="24"/>
      <w:szCs w:val="20"/>
      <w:lang w:eastAsia="en-GB"/>
    </w:rPr>
  </w:style>
  <w:style w:type="paragraph" w:customStyle="1" w:styleId="Point1number">
    <w:name w:val="Point 1 (number)"/>
    <w:basedOn w:val="Normal"/>
    <w:pPr>
      <w:numPr>
        <w:ilvl w:val="2"/>
        <w:numId w:val="16"/>
      </w:numPr>
      <w:spacing w:before="120" w:after="120" w:line="240" w:lineRule="auto"/>
      <w:jc w:val="both"/>
    </w:pPr>
    <w:rPr>
      <w:rFonts w:ascii="Times New Roman" w:eastAsia="Times New Roman" w:hAnsi="Times New Roman" w:cs="Times New Roman"/>
      <w:sz w:val="24"/>
      <w:szCs w:val="20"/>
      <w:lang w:eastAsia="en-GB"/>
    </w:rPr>
  </w:style>
  <w:style w:type="paragraph" w:customStyle="1" w:styleId="Point2number">
    <w:name w:val="Point 2 (number)"/>
    <w:basedOn w:val="Normal"/>
    <w:pPr>
      <w:numPr>
        <w:ilvl w:val="4"/>
        <w:numId w:val="16"/>
      </w:numPr>
      <w:spacing w:before="120" w:after="120" w:line="240" w:lineRule="auto"/>
      <w:jc w:val="both"/>
    </w:pPr>
    <w:rPr>
      <w:rFonts w:ascii="Times New Roman" w:eastAsia="Times New Roman" w:hAnsi="Times New Roman" w:cs="Times New Roman"/>
      <w:sz w:val="24"/>
      <w:szCs w:val="20"/>
      <w:lang w:eastAsia="en-GB"/>
    </w:rPr>
  </w:style>
  <w:style w:type="paragraph" w:customStyle="1" w:styleId="Point3number">
    <w:name w:val="Point 3 (number)"/>
    <w:basedOn w:val="Normal"/>
    <w:pPr>
      <w:numPr>
        <w:ilvl w:val="6"/>
        <w:numId w:val="16"/>
      </w:numPr>
      <w:spacing w:before="120" w:after="120" w:line="240" w:lineRule="auto"/>
      <w:jc w:val="both"/>
    </w:pPr>
    <w:rPr>
      <w:rFonts w:ascii="Times New Roman" w:eastAsia="Times New Roman" w:hAnsi="Times New Roman" w:cs="Times New Roman"/>
      <w:sz w:val="24"/>
      <w:szCs w:val="20"/>
      <w:lang w:eastAsia="en-GB"/>
    </w:rPr>
  </w:style>
  <w:style w:type="paragraph" w:customStyle="1" w:styleId="Point0letter">
    <w:name w:val="Point 0 (letter)"/>
    <w:basedOn w:val="Normal"/>
    <w:pPr>
      <w:numPr>
        <w:ilvl w:val="1"/>
        <w:numId w:val="16"/>
      </w:numPr>
      <w:spacing w:before="120" w:after="120" w:line="240" w:lineRule="auto"/>
      <w:jc w:val="both"/>
    </w:pPr>
    <w:rPr>
      <w:rFonts w:ascii="Times New Roman" w:eastAsia="Times New Roman" w:hAnsi="Times New Roman" w:cs="Times New Roman"/>
      <w:sz w:val="24"/>
      <w:szCs w:val="20"/>
      <w:lang w:eastAsia="en-GB"/>
    </w:rPr>
  </w:style>
  <w:style w:type="paragraph" w:customStyle="1" w:styleId="Point1letter">
    <w:name w:val="Point 1 (letter)"/>
    <w:basedOn w:val="Normal"/>
    <w:pPr>
      <w:numPr>
        <w:ilvl w:val="3"/>
        <w:numId w:val="16"/>
      </w:numPr>
      <w:spacing w:before="120" w:after="120" w:line="240" w:lineRule="auto"/>
      <w:jc w:val="both"/>
    </w:pPr>
    <w:rPr>
      <w:rFonts w:ascii="Times New Roman" w:eastAsia="Times New Roman" w:hAnsi="Times New Roman" w:cs="Times New Roman"/>
      <w:sz w:val="24"/>
      <w:szCs w:val="20"/>
      <w:lang w:eastAsia="en-GB"/>
    </w:rPr>
  </w:style>
  <w:style w:type="paragraph" w:customStyle="1" w:styleId="Point2letter">
    <w:name w:val="Point 2 (letter)"/>
    <w:basedOn w:val="Normal"/>
    <w:pPr>
      <w:numPr>
        <w:ilvl w:val="5"/>
        <w:numId w:val="16"/>
      </w:numPr>
      <w:spacing w:before="120" w:after="120" w:line="240" w:lineRule="auto"/>
      <w:jc w:val="both"/>
    </w:pPr>
    <w:rPr>
      <w:rFonts w:ascii="Times New Roman" w:eastAsia="Times New Roman" w:hAnsi="Times New Roman" w:cs="Times New Roman"/>
      <w:sz w:val="24"/>
      <w:szCs w:val="20"/>
      <w:lang w:eastAsia="en-GB"/>
    </w:rPr>
  </w:style>
  <w:style w:type="paragraph" w:customStyle="1" w:styleId="Point3letter">
    <w:name w:val="Point 3 (letter)"/>
    <w:basedOn w:val="Normal"/>
    <w:pPr>
      <w:numPr>
        <w:ilvl w:val="7"/>
        <w:numId w:val="16"/>
      </w:numPr>
      <w:spacing w:before="120" w:after="120" w:line="240" w:lineRule="auto"/>
      <w:jc w:val="both"/>
    </w:pPr>
    <w:rPr>
      <w:rFonts w:ascii="Times New Roman" w:eastAsia="Times New Roman" w:hAnsi="Times New Roman" w:cs="Times New Roman"/>
      <w:sz w:val="24"/>
      <w:szCs w:val="20"/>
      <w:lang w:eastAsia="en-GB"/>
    </w:rPr>
  </w:style>
  <w:style w:type="paragraph" w:customStyle="1" w:styleId="Point4letter">
    <w:name w:val="Point 4 (letter)"/>
    <w:basedOn w:val="Normal"/>
    <w:pPr>
      <w:numPr>
        <w:ilvl w:val="8"/>
        <w:numId w:val="16"/>
      </w:numPr>
      <w:spacing w:before="120" w:after="120" w:line="240" w:lineRule="auto"/>
      <w:jc w:val="both"/>
    </w:pPr>
    <w:rPr>
      <w:rFonts w:ascii="Times New Roman" w:eastAsia="Times New Roman" w:hAnsi="Times New Roman" w:cs="Times New Roman"/>
      <w:sz w:val="24"/>
      <w:szCs w:val="20"/>
      <w:lang w:eastAsia="en-GB"/>
    </w:rPr>
  </w:style>
  <w:style w:type="paragraph" w:customStyle="1" w:styleId="Bullet0">
    <w:name w:val="Bullet 0"/>
    <w:basedOn w:val="Normal"/>
    <w:pPr>
      <w:numPr>
        <w:numId w:val="17"/>
      </w:numPr>
      <w:spacing w:before="120" w:after="120" w:line="240" w:lineRule="auto"/>
      <w:jc w:val="both"/>
    </w:pPr>
    <w:rPr>
      <w:rFonts w:ascii="Times New Roman" w:eastAsia="Times New Roman" w:hAnsi="Times New Roman" w:cs="Times New Roman"/>
      <w:sz w:val="24"/>
      <w:szCs w:val="20"/>
      <w:lang w:eastAsia="en-GB"/>
    </w:rPr>
  </w:style>
  <w:style w:type="paragraph" w:customStyle="1" w:styleId="Bullet1">
    <w:name w:val="Bullet 1"/>
    <w:basedOn w:val="Normal"/>
    <w:pPr>
      <w:numPr>
        <w:numId w:val="18"/>
      </w:numPr>
      <w:spacing w:before="120" w:after="120" w:line="240" w:lineRule="auto"/>
      <w:jc w:val="both"/>
    </w:pPr>
    <w:rPr>
      <w:rFonts w:ascii="Times New Roman" w:eastAsia="Times New Roman" w:hAnsi="Times New Roman" w:cs="Times New Roman"/>
      <w:sz w:val="24"/>
      <w:szCs w:val="20"/>
      <w:lang w:eastAsia="en-GB"/>
    </w:rPr>
  </w:style>
  <w:style w:type="paragraph" w:customStyle="1" w:styleId="Bullet2">
    <w:name w:val="Bullet 2"/>
    <w:basedOn w:val="Normal"/>
    <w:pPr>
      <w:numPr>
        <w:numId w:val="19"/>
      </w:numPr>
      <w:spacing w:before="120" w:after="120" w:line="240" w:lineRule="auto"/>
      <w:jc w:val="both"/>
    </w:pPr>
    <w:rPr>
      <w:rFonts w:ascii="Times New Roman" w:eastAsia="Times New Roman" w:hAnsi="Times New Roman" w:cs="Times New Roman"/>
      <w:sz w:val="24"/>
      <w:szCs w:val="20"/>
      <w:lang w:eastAsia="en-GB"/>
    </w:rPr>
  </w:style>
  <w:style w:type="paragraph" w:customStyle="1" w:styleId="Bullet3">
    <w:name w:val="Bullet 3"/>
    <w:basedOn w:val="Normal"/>
    <w:pPr>
      <w:numPr>
        <w:numId w:val="20"/>
      </w:numPr>
      <w:spacing w:before="120" w:after="120" w:line="240" w:lineRule="auto"/>
      <w:jc w:val="both"/>
    </w:pPr>
    <w:rPr>
      <w:rFonts w:ascii="Times New Roman" w:eastAsia="Times New Roman" w:hAnsi="Times New Roman" w:cs="Times New Roman"/>
      <w:sz w:val="24"/>
      <w:szCs w:val="20"/>
      <w:lang w:eastAsia="en-GB"/>
    </w:rPr>
  </w:style>
  <w:style w:type="paragraph" w:customStyle="1" w:styleId="Bullet4">
    <w:name w:val="Bullet 4"/>
    <w:basedOn w:val="Normal"/>
    <w:pPr>
      <w:numPr>
        <w:numId w:val="21"/>
      </w:numPr>
      <w:spacing w:before="120" w:after="120" w:line="240" w:lineRule="auto"/>
      <w:jc w:val="both"/>
    </w:pPr>
    <w:rPr>
      <w:rFonts w:ascii="Times New Roman" w:eastAsia="Times New Roman" w:hAnsi="Times New Roman" w:cs="Times New Roman"/>
      <w:sz w:val="24"/>
      <w:szCs w:val="20"/>
      <w:lang w:eastAsia="en-GB"/>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cs="Times New Roman"/>
      <w:b/>
      <w:sz w:val="24"/>
      <w:szCs w:val="20"/>
      <w:u w:val="single"/>
      <w:lang w:eastAsia="en-GB"/>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cs="Times New Roman"/>
      <w:b/>
      <w:sz w:val="24"/>
      <w:szCs w:val="20"/>
      <w:u w:val="single"/>
      <w:lang w:eastAsia="en-GB"/>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cs="Times New Roman"/>
      <w:b/>
      <w:sz w:val="24"/>
      <w:szCs w:val="20"/>
      <w:u w:val="single"/>
      <w:lang w:eastAsia="en-GB"/>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cs="Times New Roman"/>
      <w:sz w:val="24"/>
      <w:szCs w:val="20"/>
      <w:lang w:eastAsia="en-GB"/>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cs="Times New Roman"/>
      <w:sz w:val="24"/>
      <w:szCs w:val="20"/>
      <w:u w:val="single"/>
      <w:lang w:eastAsia="en-GB"/>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cs="Times New Roman"/>
      <w:sz w:val="24"/>
      <w:szCs w:val="20"/>
      <w:lang w:eastAsia="en-GB"/>
    </w:rPr>
  </w:style>
  <w:style w:type="paragraph" w:customStyle="1" w:styleId="Confidentialit">
    <w:name w:val="Confidentialité"/>
    <w:basedOn w:val="Normal"/>
    <w:next w:val="TypedudocumentPagedecouverture"/>
    <w:pPr>
      <w:spacing w:before="240" w:after="240" w:line="240" w:lineRule="auto"/>
      <w:ind w:left="5103"/>
    </w:pPr>
    <w:rPr>
      <w:rFonts w:ascii="Times New Roman" w:eastAsia="Times New Roman" w:hAnsi="Times New Roman" w:cs="Times New Roman"/>
      <w:i/>
      <w:sz w:val="32"/>
      <w:szCs w:val="20"/>
      <w:lang w:eastAsia="en-GB"/>
    </w:rPr>
  </w:style>
  <w:style w:type="paragraph" w:customStyle="1" w:styleId="Considrant">
    <w:name w:val="Considérant"/>
    <w:basedOn w:val="Normal"/>
    <w:pPr>
      <w:numPr>
        <w:numId w:val="22"/>
      </w:numPr>
      <w:spacing w:before="120" w:after="120" w:line="240" w:lineRule="auto"/>
      <w:jc w:val="both"/>
    </w:pPr>
    <w:rPr>
      <w:rFonts w:ascii="Times New Roman" w:eastAsia="Times New Roman" w:hAnsi="Times New Roman" w:cs="Times New Roman"/>
      <w:sz w:val="24"/>
      <w:szCs w:val="20"/>
      <w:lang w:eastAsia="en-GB"/>
    </w:rPr>
  </w:style>
  <w:style w:type="paragraph" w:customStyle="1" w:styleId="Corrigendum">
    <w:name w:val="Corrigendum"/>
    <w:basedOn w:val="Normal"/>
    <w:next w:val="Normal"/>
    <w:pPr>
      <w:spacing w:after="240" w:line="240" w:lineRule="auto"/>
    </w:pPr>
    <w:rPr>
      <w:rFonts w:ascii="Times New Roman" w:eastAsia="Times New Roman" w:hAnsi="Times New Roman" w:cs="Times New Roman"/>
      <w:sz w:val="24"/>
      <w:szCs w:val="20"/>
      <w:lang w:eastAsia="en-GB"/>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cs="Times New Roman"/>
      <w:b/>
      <w:sz w:val="24"/>
      <w:szCs w:val="20"/>
      <w:lang w:eastAsia="en-GB"/>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cs="Times New Roman"/>
      <w:sz w:val="24"/>
      <w:szCs w:val="20"/>
      <w:lang w:eastAsia="en-GB"/>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szCs w:val="20"/>
      <w:u w:val="single"/>
      <w:lang w:eastAsia="en-GB"/>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cs="Times New Roman"/>
      <w:sz w:val="24"/>
      <w:szCs w:val="20"/>
      <w:lang w:eastAsia="en-GB"/>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cs="Times New Roman"/>
      <w:sz w:val="24"/>
      <w:szCs w:val="20"/>
      <w:lang w:eastAsia="en-GB"/>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cs="Times New Roman"/>
      <w:sz w:val="24"/>
      <w:szCs w:val="20"/>
      <w:lang w:eastAsia="en-GB"/>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cs="Times New Roman"/>
      <w:i/>
      <w:sz w:val="24"/>
      <w:szCs w:val="20"/>
      <w:lang w:eastAsia="en-GB"/>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cs="Times New Roman"/>
      <w:b/>
      <w:caps/>
      <w:sz w:val="24"/>
      <w:szCs w:val="20"/>
      <w:lang w:eastAsia="en-GB"/>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cs="Times New Roman"/>
      <w:sz w:val="24"/>
      <w:szCs w:val="20"/>
      <w:lang w:eastAsia="en-GB"/>
    </w:rPr>
  </w:style>
  <w:style w:type="paragraph" w:customStyle="1" w:styleId="Nomdelinstitution">
    <w:name w:val="Nom de l'institution"/>
    <w:basedOn w:val="Normal"/>
    <w:next w:val="Emission"/>
    <w:pPr>
      <w:spacing w:after="0" w:line="240" w:lineRule="auto"/>
    </w:pPr>
    <w:rPr>
      <w:rFonts w:ascii="Arial" w:eastAsia="Times New Roman" w:hAnsi="Arial" w:cs="Arial"/>
      <w:sz w:val="24"/>
      <w:szCs w:val="20"/>
      <w:lang w:eastAsia="en-GB"/>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cs="Times New Roman"/>
      <w:i/>
      <w:sz w:val="24"/>
      <w:szCs w:val="20"/>
      <w:lang w:eastAsia="en-GB"/>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cs="Times New Roman"/>
      <w:sz w:val="24"/>
      <w:szCs w:val="20"/>
      <w:lang w:eastAsia="en-GB"/>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cs="Times New Roman"/>
      <w:sz w:val="24"/>
      <w:szCs w:val="20"/>
      <w:lang w:eastAsia="en-GB"/>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cs="Times New Roman"/>
      <w:sz w:val="24"/>
      <w:szCs w:val="20"/>
      <w:lang w:eastAsia="en-GB"/>
    </w:rPr>
  </w:style>
  <w:style w:type="paragraph" w:customStyle="1" w:styleId="Sous-titreobjet">
    <w:name w:val="Sous-titre objet"/>
    <w:basedOn w:val="Normal"/>
    <w:pPr>
      <w:spacing w:after="0" w:line="240" w:lineRule="auto"/>
      <w:jc w:val="center"/>
    </w:pPr>
    <w:rPr>
      <w:rFonts w:ascii="Times New Roman" w:eastAsia="Times New Roman" w:hAnsi="Times New Roman" w:cs="Times New Roman"/>
      <w:b/>
      <w:sz w:val="24"/>
      <w:szCs w:val="20"/>
      <w:lang w:eastAsia="en-GB"/>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cs="Times New Roman"/>
      <w:sz w:val="24"/>
      <w:szCs w:val="20"/>
      <w:lang w:eastAsia="en-GB"/>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cs="Times New Roman"/>
      <w:i/>
      <w:sz w:val="24"/>
      <w:szCs w:val="20"/>
      <w:lang w:eastAsia="en-GB"/>
    </w:rPr>
  </w:style>
  <w:style w:type="paragraph" w:customStyle="1" w:styleId="Titreobjet">
    <w:name w:val="Titre objet"/>
    <w:basedOn w:val="Normal"/>
    <w:next w:val="Sous-titreobjet"/>
    <w:pPr>
      <w:spacing w:before="360" w:after="360" w:line="240" w:lineRule="auto"/>
      <w:jc w:val="center"/>
    </w:pPr>
    <w:rPr>
      <w:rFonts w:ascii="Times New Roman" w:eastAsia="Times New Roman" w:hAnsi="Times New Roman" w:cs="Times New Roman"/>
      <w:b/>
      <w:sz w:val="24"/>
      <w:szCs w:val="20"/>
      <w:lang w:eastAsia="en-GB"/>
    </w:rPr>
  </w:style>
  <w:style w:type="paragraph" w:customStyle="1" w:styleId="Typedudocument">
    <w:name w:val="Type du document"/>
    <w:basedOn w:val="Normal"/>
    <w:next w:val="Titreobjet"/>
    <w:pPr>
      <w:spacing w:before="360" w:after="0" w:line="240" w:lineRule="auto"/>
      <w:jc w:val="center"/>
    </w:pPr>
    <w:rPr>
      <w:rFonts w:ascii="Times New Roman" w:eastAsia="Times New Roman" w:hAnsi="Times New Roman" w:cs="Times New Roman"/>
      <w:b/>
      <w:sz w:val="24"/>
      <w:szCs w:val="20"/>
      <w:lang w:eastAsia="en-GB"/>
    </w:rPr>
  </w:style>
  <w:style w:type="character" w:customStyle="1" w:styleId="Added">
    <w:name w:val="Added"/>
    <w:rPr>
      <w:b/>
      <w:u w:val="single"/>
      <w:shd w:val="clear" w:color="auto" w:fill="auto"/>
    </w:rPr>
  </w:style>
  <w:style w:type="character" w:customStyle="1" w:styleId="Deleted">
    <w:name w:val="Deleted"/>
    <w:rPr>
      <w:strike/>
      <w:dstrike w:val="0"/>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cs="Times New Roman"/>
      <w:sz w:val="24"/>
      <w:szCs w:val="20"/>
      <w:lang w:eastAsia="en-GB"/>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cs="Times New Roman"/>
      <w:i/>
      <w:caps/>
      <w:sz w:val="24"/>
      <w:szCs w:val="20"/>
      <w:lang w:eastAsia="en-GB"/>
    </w:rPr>
  </w:style>
  <w:style w:type="paragraph" w:customStyle="1" w:styleId="Supertitre">
    <w:name w:val="Supertitre"/>
    <w:basedOn w:val="Normal"/>
    <w:next w:val="Normal"/>
    <w:pPr>
      <w:spacing w:after="600" w:line="240" w:lineRule="auto"/>
      <w:jc w:val="center"/>
    </w:pPr>
    <w:rPr>
      <w:rFonts w:ascii="Times New Roman" w:eastAsia="Times New Roman" w:hAnsi="Times New Roman" w:cs="Times New Roman"/>
      <w:b/>
      <w:sz w:val="24"/>
      <w:szCs w:val="20"/>
      <w:lang w:eastAsia="en-GB"/>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cs="Times New Roman"/>
      <w:sz w:val="24"/>
      <w:szCs w:val="20"/>
      <w:lang w:eastAsia="en-GB"/>
    </w:rPr>
  </w:style>
  <w:style w:type="paragraph" w:customStyle="1" w:styleId="Rfrencecroise">
    <w:name w:val="Référence croisée"/>
    <w:basedOn w:val="Normal"/>
    <w:pPr>
      <w:spacing w:after="0" w:line="240" w:lineRule="auto"/>
      <w:jc w:val="center"/>
    </w:pPr>
    <w:rPr>
      <w:rFonts w:ascii="Times New Roman" w:eastAsia="Times New Roman" w:hAnsi="Times New Roman" w:cs="Times New Roman"/>
      <w:sz w:val="24"/>
      <w:szCs w:val="20"/>
      <w:lang w:eastAsia="en-GB"/>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cs="Times New Roman"/>
      <w:b/>
      <w:sz w:val="24"/>
      <w:szCs w:val="20"/>
      <w:u w:val="single"/>
      <w:lang w:eastAsia="en-GB"/>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cs="Times New Roman"/>
      <w:sz w:val="24"/>
      <w:szCs w:val="20"/>
      <w:lang w:eastAsia="en-GB"/>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cs="Times New Roman"/>
      <w:b/>
      <w:i/>
      <w:sz w:val="24"/>
      <w:szCs w:val="20"/>
      <w:lang w:eastAsia="en-GB"/>
    </w:r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cs="Times New Roman"/>
      <w:b/>
      <w:sz w:val="24"/>
      <w:szCs w:val="20"/>
      <w:lang w:eastAsia="en-GB"/>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cs="Times New Roman"/>
      <w:b/>
      <w:sz w:val="24"/>
      <w:szCs w:val="20"/>
      <w:lang w:eastAsia="en-G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cs="Times New Roman"/>
      <w:sz w:val="24"/>
      <w:szCs w:val="20"/>
      <w:lang w:eastAsia="en-GB"/>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odernPaper">
    <w:name w:val="Modern Paper"/>
    <w:basedOn w:val="TableNormal"/>
    <w:uiPriority w:val="99"/>
    <w:pPr>
      <w:spacing w:before="200" w:line="240" w:lineRule="auto"/>
    </w:pPr>
    <w:rPr>
      <w:color w:val="1F497D" w:themeColor="text2"/>
      <w:lang w:val="en-US" w:eastAsia="ja-JP"/>
    </w:rPr>
    <w:tblPr>
      <w:tblInd w:w="0" w:type="dxa"/>
      <w:tblBorders>
        <w:insideH w:val="single" w:sz="8" w:space="0" w:color="1F497D" w:themeColor="text2"/>
      </w:tblBorders>
      <w:tblCellMar>
        <w:top w:w="0" w:type="dxa"/>
        <w:left w:w="144" w:type="dxa"/>
        <w:bottom w:w="0" w:type="dxa"/>
        <w:right w:w="144" w:type="dxa"/>
      </w:tblCellMar>
    </w:tblPr>
    <w:tcPr>
      <w:vAlign w:val="center"/>
    </w:tcPr>
    <w:tblStylePr w:type="firstRow">
      <w:pPr>
        <w:wordWrap/>
        <w:spacing w:beforeLines="0" w:beforeAutospacing="0" w:afterLines="0" w:afterAutospacing="0" w:line="216" w:lineRule="auto"/>
        <w:contextualSpacing w:val="0"/>
      </w:pPr>
      <w:rPr>
        <w:rFonts w:asciiTheme="majorHAnsi" w:hAnsiTheme="majorHAnsi"/>
        <w:b/>
        <w:i w:val="0"/>
        <w:color w:val="244061" w:themeColor="accent1" w:themeShade="80"/>
        <w:sz w:val="28"/>
      </w:rPr>
      <w:tblPr/>
      <w:trPr>
        <w:tblHeader/>
      </w:trPr>
      <w:tcPr>
        <w:tcBorders>
          <w:top w:val="nil"/>
          <w:left w:val="nil"/>
          <w:bottom w:val="single" w:sz="24" w:space="0" w:color="1F497D" w:themeColor="text2"/>
          <w:right w:val="nil"/>
          <w:insideH w:val="nil"/>
          <w:insideV w:val="nil"/>
          <w:tl2br w:val="nil"/>
          <w:tr2bl w:val="nil"/>
        </w:tcBorders>
      </w:tcPr>
    </w:tblStylePr>
    <w:tblStylePr w:type="firstCol">
      <w:pPr>
        <w:wordWrap/>
        <w:jc w:val="right"/>
      </w:pPr>
      <w:rPr>
        <w:b/>
      </w:rPr>
      <w:tblPr/>
      <w:tcPr>
        <w:tcMar>
          <w:top w:w="0" w:type="nil"/>
          <w:left w:w="0" w:type="nil"/>
          <w:bottom w:w="0" w:type="nil"/>
          <w:right w:w="432" w:type="dxa"/>
        </w:tcMar>
      </w:tcPr>
    </w:tblStylePr>
    <w:tblStylePr w:type="nwCell">
      <w:pPr>
        <w:wordWrap/>
        <w:jc w:val="left"/>
      </w:pPr>
    </w:tblStyle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ORMAL0">
    <w:name w:val="_NORMAL"/>
    <w:basedOn w:val="Normal"/>
    <w:qFormat/>
    <w:pPr>
      <w:spacing w:after="160" w:line="300" w:lineRule="exact"/>
      <w:jc w:val="both"/>
    </w:pPr>
    <w:rPr>
      <w:rFonts w:ascii="Calibri" w:eastAsiaTheme="minorEastAsia" w:hAnsi="Calibri" w:cs="Tahoma"/>
      <w:szCs w:val="20"/>
    </w:rPr>
  </w:style>
  <w:style w:type="paragraph" w:styleId="ListParagraph">
    <w:name w:val="List Paragraph"/>
    <w:aliases w:val="Dot pt,F5 List Paragraph,List Paragraph1,No Spacing1,List Paragraph Char Char Char,Indicator Text,Colorful List - Accent 11,Numbered Para 1,Bullet Points,MAIN CONTENT,List Paragraph11,List Paragraph12,List Paragraph2,OBC Bullet,L"/>
    <w:basedOn w:val="Normal"/>
    <w:link w:val="ListParagraphChar"/>
    <w:uiPriority w:val="34"/>
    <w:qFormat/>
    <w:pPr>
      <w:ind w:left="720"/>
      <w:contextualSpacing/>
    </w:pPr>
    <w:rPr>
      <w:lang w:val="hr-HR"/>
    </w:rPr>
  </w:style>
  <w:style w:type="character" w:styleId="Strong">
    <w:name w:val="Strong"/>
    <w:basedOn w:val="DefaultParagraphFont"/>
    <w:uiPriority w:val="22"/>
    <w:qFormat/>
    <w:rPr>
      <w:b/>
      <w:bCs/>
    </w:rPr>
  </w:style>
  <w:style w:type="table" w:styleId="LightShading-Accent1">
    <w:name w:val="Light Shading Accent 1"/>
    <w:basedOn w:val="TableNormal"/>
    <w:uiPriority w:val="60"/>
    <w:pPr>
      <w:spacing w:after="0" w:line="240" w:lineRule="auto"/>
    </w:pPr>
    <w:rPr>
      <w:rFonts w:ascii="Times New Roman" w:eastAsia="Times New Roman" w:hAnsi="Times New Roman" w:cs="Times New Roman"/>
      <w:color w:val="365F91" w:themeColor="accent1" w:themeShade="BF"/>
      <w:sz w:val="20"/>
      <w:szCs w:val="20"/>
      <w:lang w:val="nl-NL" w:eastAsia="nl-NL"/>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0"/>
      <w:lang w:eastAsia="en-GB"/>
    </w:rPr>
  </w:style>
  <w:style w:type="character" w:styleId="FollowedHyperlink">
    <w:name w:val="FollowedHyperlink"/>
    <w:basedOn w:val="DefaultParagraphFont"/>
    <w:semiHidden/>
    <w:unhideWhenUsed/>
    <w:rPr>
      <w:color w:val="800080" w:themeColor="followedHyperlink"/>
      <w:u w:val="single"/>
    </w:rPr>
  </w:style>
  <w:style w:type="table" w:customStyle="1" w:styleId="TableGrid1">
    <w:name w:val="Table Grid1"/>
    <w:basedOn w:val="TableNormal"/>
    <w:next w:val="TableGrid"/>
    <w:uiPriority w:val="59"/>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Points Char,MAIN CONTENT Char,OBC Bullet Char"/>
    <w:basedOn w:val="DefaultParagraphFont"/>
    <w:link w:val="ListParagraph"/>
    <w:uiPriority w:val="34"/>
    <w:qFormat/>
    <w:rPr>
      <w:lang w:val="hr-HR"/>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hart" Target="charts/chart3.xml"/><Relationship Id="rId26" Type="http://schemas.openxmlformats.org/officeDocument/2006/relationships/chart" Target="charts/chart11.xml"/><Relationship Id="rId3" Type="http://schemas.openxmlformats.org/officeDocument/2006/relationships/styles" Target="styles.xml"/><Relationship Id="rId21" Type="http://schemas.openxmlformats.org/officeDocument/2006/relationships/chart" Target="charts/chart6.xml"/><Relationship Id="rId34"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hart" Target="charts/chart2.xml"/><Relationship Id="rId25" Type="http://schemas.openxmlformats.org/officeDocument/2006/relationships/chart" Target="charts/chart10.xml"/><Relationship Id="rId33"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chart" Target="charts/chart5.xm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chart" Target="charts/chart9.xml"/><Relationship Id="rId32"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chart" Target="charts/chart8.xml"/><Relationship Id="rId28" Type="http://schemas.openxmlformats.org/officeDocument/2006/relationships/chart" Target="charts/chart13.xml"/><Relationship Id="rId36"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chart" Target="charts/chart4.xml"/><Relationship Id="rId31"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chart" Target="charts/chart7.xml"/><Relationship Id="rId27" Type="http://schemas.openxmlformats.org/officeDocument/2006/relationships/chart" Target="charts/chart12.xml"/><Relationship Id="rId30" Type="http://schemas.openxmlformats.org/officeDocument/2006/relationships/header" Target="header5.xml"/><Relationship Id="rId35"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youtube.com/watch?v=7rPzXzCoxkI" TargetMode="External"/><Relationship Id="rId2" Type="http://schemas.openxmlformats.org/officeDocument/2006/relationships/hyperlink" Target="https://ec.europa.eu/taxation_customs/sites/taxation/files/resources/documents/taxation/tax_cooperation/vat_gap/2016-03_20_measures_en.pdf" TargetMode="External"/><Relationship Id="rId1" Type="http://schemas.openxmlformats.org/officeDocument/2006/relationships/hyperlink" Target="https://ec.europa.eu/taxation_customs/sites/taxation/files/study_and_reports_on_the_vat_gap_2017.pdf" TargetMode="External"/><Relationship Id="rId5" Type="http://schemas.openxmlformats.org/officeDocument/2006/relationships/hyperlink" Target="http://www.tadat.org/" TargetMode="External"/><Relationship Id="rId4" Type="http://schemas.openxmlformats.org/officeDocument/2006/relationships/hyperlink" Target="https://ec.europa.eu/taxation_customs/sites/taxation/files/resources/documents/common/publications/info_docs/taxation/fiscal_blueprint_en.pdf"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package" Target="../embeddings/Microsoft_Excel_Worksheet10.xlsx"/><Relationship Id="rId1" Type="http://schemas.openxmlformats.org/officeDocument/2006/relationships/themeOverride" Target="../theme/themeOverride7.xml"/></Relationships>
</file>

<file path=word/charts/_rels/chart11.xml.rels><?xml version="1.0" encoding="UTF-8" standalone="yes"?>
<Relationships xmlns="http://schemas.openxmlformats.org/package/2006/relationships"><Relationship Id="rId1" Type="http://schemas.openxmlformats.org/officeDocument/2006/relationships/package" Target="../embeddings/Microsoft_Excel_Worksheet11.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Microsoft_Excel_Worksheet12.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Microsoft_Excel_Worksheet13.xlsx"/></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3.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7.xlsx"/><Relationship Id="rId1" Type="http://schemas.openxmlformats.org/officeDocument/2006/relationships/themeOverride" Target="../theme/themeOverride4.xml"/></Relationships>
</file>

<file path=word/charts/_rels/chart8.xml.rels><?xml version="1.0" encoding="UTF-8" standalone="yes"?>
<Relationships xmlns="http://schemas.openxmlformats.org/package/2006/relationships"><Relationship Id="rId2" Type="http://schemas.openxmlformats.org/officeDocument/2006/relationships/package" Target="../embeddings/Microsoft_Excel_Worksheet8.xlsx"/><Relationship Id="rId1" Type="http://schemas.openxmlformats.org/officeDocument/2006/relationships/themeOverride" Target="../theme/themeOverride5.xml"/></Relationships>
</file>

<file path=word/charts/_rels/chart9.xml.rels><?xml version="1.0" encoding="UTF-8" standalone="yes"?>
<Relationships xmlns="http://schemas.openxmlformats.org/package/2006/relationships"><Relationship Id="rId2" Type="http://schemas.openxmlformats.org/officeDocument/2006/relationships/package" Target="../embeddings/Microsoft_Excel_Worksheet9.xlsx"/><Relationship Id="rId1" Type="http://schemas.openxmlformats.org/officeDocument/2006/relationships/themeOverride" Target="../theme/themeOverride6.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6.5835338291046971E-2"/>
          <c:y val="4.4057617797775318E-2"/>
          <c:w val="0.77579579356794248"/>
          <c:h val="0.66047399507845905"/>
        </c:manualLayout>
      </c:layout>
      <c:lineChart>
        <c:grouping val="standard"/>
        <c:varyColors val="0"/>
        <c:ser>
          <c:idx val="0"/>
          <c:order val="0"/>
          <c:tx>
            <c:strRef>
              <c:f>Sheet1!$B$1</c:f>
              <c:strCache>
                <c:ptCount val="1"/>
                <c:pt idx="0">
                  <c:v>(%)</c:v>
                </c:pt>
              </c:strCache>
            </c:strRef>
          </c:tx>
          <c:spPr>
            <a:ln w="19050">
              <a:solidFill>
                <a:schemeClr val="accent1">
                  <a:lumMod val="50000"/>
                </a:schemeClr>
              </a:solidFill>
            </a:ln>
          </c:spPr>
          <c:marker>
            <c:symbol val="diamond"/>
            <c:size val="5"/>
            <c:spPr>
              <a:solidFill>
                <a:schemeClr val="accent1">
                  <a:lumMod val="50000"/>
                </a:schemeClr>
              </a:solidFill>
              <a:ln>
                <a:solidFill>
                  <a:schemeClr val="accent1">
                    <a:lumMod val="50000"/>
                  </a:schemeClr>
                </a:solidFill>
              </a:ln>
            </c:spPr>
          </c:marker>
          <c:dLbls>
            <c:dLbl>
              <c:idx val="1"/>
              <c:layout>
                <c:manualLayout>
                  <c:x val="-4.9352360664366851E-2"/>
                  <c:y val="4.8894546910531959E-2"/>
                </c:manualLayout>
              </c:layout>
              <c:showLegendKey val="0"/>
              <c:showVal val="1"/>
              <c:showCatName val="0"/>
              <c:showSerName val="0"/>
              <c:showPercent val="0"/>
              <c:showBubbleSize val="0"/>
            </c:dLbl>
            <c:txPr>
              <a:bodyPr/>
              <a:lstStyle/>
              <a:p>
                <a:pPr>
                  <a:defRPr sz="900"/>
                </a:pPr>
                <a:endParaRPr lang="en-US"/>
              </a:p>
            </c:txPr>
            <c:showLegendKey val="0"/>
            <c:showVal val="1"/>
            <c:showCatName val="0"/>
            <c:showSerName val="0"/>
            <c:showPercent val="0"/>
            <c:showBubbleSize val="0"/>
            <c:showLeaderLines val="0"/>
          </c:dLbls>
          <c:cat>
            <c:numRef>
              <c:f>Sheet1!$A$2:$A$6</c:f>
              <c:numCache>
                <c:formatCode>General</c:formatCode>
                <c:ptCount val="5"/>
                <c:pt idx="0">
                  <c:v>2011</c:v>
                </c:pt>
                <c:pt idx="1">
                  <c:v>2012</c:v>
                </c:pt>
                <c:pt idx="2">
                  <c:v>2013</c:v>
                </c:pt>
                <c:pt idx="3">
                  <c:v>2014</c:v>
                </c:pt>
                <c:pt idx="4">
                  <c:v>2015</c:v>
                </c:pt>
              </c:numCache>
            </c:numRef>
          </c:cat>
          <c:val>
            <c:numRef>
              <c:f>Sheet1!$B$2:$B$6</c:f>
              <c:numCache>
                <c:formatCode>0.00%</c:formatCode>
                <c:ptCount val="5"/>
                <c:pt idx="0">
                  <c:v>0.13980000000000001</c:v>
                </c:pt>
                <c:pt idx="1">
                  <c:v>0.14729999999999999</c:v>
                </c:pt>
                <c:pt idx="2">
                  <c:v>0.14779999999999999</c:v>
                </c:pt>
                <c:pt idx="3">
                  <c:v>0.1409</c:v>
                </c:pt>
                <c:pt idx="4">
                  <c:v>0.12770000000000001</c:v>
                </c:pt>
              </c:numCache>
            </c:numRef>
          </c:val>
          <c:smooth val="0"/>
          <c:extLst xmlns:c16r2="http://schemas.microsoft.com/office/drawing/2015/06/chart">
            <c:ext xmlns:c16="http://schemas.microsoft.com/office/drawing/2014/chart" uri="{C3380CC4-5D6E-409C-BE32-E72D297353CC}">
              <c16:uniqueId val="{00000000-9A7D-42AB-B0A8-46D6FB654812}"/>
            </c:ext>
          </c:extLst>
        </c:ser>
        <c:dLbls>
          <c:showLegendKey val="0"/>
          <c:showVal val="0"/>
          <c:showCatName val="0"/>
          <c:showSerName val="0"/>
          <c:showPercent val="0"/>
          <c:showBubbleSize val="0"/>
        </c:dLbls>
        <c:marker val="1"/>
        <c:smooth val="0"/>
        <c:axId val="35013760"/>
        <c:axId val="35015296"/>
      </c:lineChart>
      <c:catAx>
        <c:axId val="35013760"/>
        <c:scaling>
          <c:orientation val="minMax"/>
        </c:scaling>
        <c:delete val="0"/>
        <c:axPos val="b"/>
        <c:numFmt formatCode="General" sourceLinked="1"/>
        <c:majorTickMark val="out"/>
        <c:minorTickMark val="none"/>
        <c:tickLblPos val="nextTo"/>
        <c:txPr>
          <a:bodyPr/>
          <a:lstStyle/>
          <a:p>
            <a:pPr>
              <a:defRPr sz="800"/>
            </a:pPr>
            <a:endParaRPr lang="en-US"/>
          </a:p>
        </c:txPr>
        <c:crossAx val="35015296"/>
        <c:crosses val="autoZero"/>
        <c:auto val="1"/>
        <c:lblAlgn val="ctr"/>
        <c:lblOffset val="100"/>
        <c:noMultiLvlLbl val="0"/>
      </c:catAx>
      <c:valAx>
        <c:axId val="35015296"/>
        <c:scaling>
          <c:orientation val="minMax"/>
          <c:min val="0.12000000000000001"/>
        </c:scaling>
        <c:delete val="0"/>
        <c:axPos val="l"/>
        <c:majorGridlines/>
        <c:numFmt formatCode="0%" sourceLinked="0"/>
        <c:majorTickMark val="out"/>
        <c:minorTickMark val="none"/>
        <c:tickLblPos val="nextTo"/>
        <c:txPr>
          <a:bodyPr/>
          <a:lstStyle/>
          <a:p>
            <a:pPr>
              <a:defRPr sz="800"/>
            </a:pPr>
            <a:endParaRPr lang="en-US"/>
          </a:p>
        </c:txPr>
        <c:crossAx val="35013760"/>
        <c:crosses val="autoZero"/>
        <c:crossBetween val="between"/>
      </c:valAx>
    </c:plotArea>
    <c:legend>
      <c:legendPos val="b"/>
      <c:layout>
        <c:manualLayout>
          <c:xMode val="edge"/>
          <c:yMode val="edge"/>
          <c:x val="0.39909208613523678"/>
          <c:y val="0.87071661885785057"/>
          <c:w val="0.20181582772952644"/>
          <c:h val="8.0393723270803463E-2"/>
        </c:manualLayout>
      </c:layout>
      <c:overlay val="0"/>
      <c:txPr>
        <a:bodyPr/>
        <a:lstStyle/>
        <a:p>
          <a:pPr>
            <a:defRPr sz="900">
              <a:latin typeface="Times New Roman" panose="02020603050405020304" pitchFamily="18" charset="0"/>
              <a:cs typeface="Times New Roman" panose="02020603050405020304" pitchFamily="18" charset="0"/>
            </a:defRPr>
          </a:pPr>
          <a:endParaRPr lang="en-US"/>
        </a:p>
      </c:txPr>
    </c:legend>
    <c:plotVisOnly val="1"/>
    <c:dispBlanksAs val="gap"/>
    <c:showDLblsOverMax val="0"/>
  </c:chart>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
          <c:y val="1.8047561879877153E-3"/>
          <c:w val="1"/>
          <c:h val="0.9981952438120123"/>
        </c:manualLayout>
      </c:layout>
      <c:barChart>
        <c:barDir val="bar"/>
        <c:grouping val="percentStacked"/>
        <c:varyColors val="0"/>
        <c:ser>
          <c:idx val="0"/>
          <c:order val="0"/>
          <c:tx>
            <c:strRef>
              <c:f>Sheet1!$B$1</c:f>
              <c:strCache>
                <c:ptCount val="1"/>
                <c:pt idx="0">
                  <c:v>Implemented</c:v>
                </c:pt>
              </c:strCache>
            </c:strRef>
          </c:tx>
          <c:invertIfNegative val="0"/>
          <c:dPt>
            <c:idx val="0"/>
            <c:invertIfNegative val="0"/>
            <c:bubble3D val="0"/>
            <c:spPr>
              <a:solidFill>
                <a:schemeClr val="accent1">
                  <a:lumMod val="20000"/>
                  <a:lumOff val="80000"/>
                </a:schemeClr>
              </a:solidFill>
            </c:spPr>
            <c:extLst xmlns:c16r2="http://schemas.microsoft.com/office/drawing/2015/06/chart">
              <c:ext xmlns:c16="http://schemas.microsoft.com/office/drawing/2014/chart" uri="{C3380CC4-5D6E-409C-BE32-E72D297353CC}">
                <c16:uniqueId val="{00000001-C024-4D2B-9CAB-3D1385670E5F}"/>
              </c:ext>
            </c:extLst>
          </c:dPt>
          <c:dPt>
            <c:idx val="1"/>
            <c:invertIfNegative val="0"/>
            <c:bubble3D val="0"/>
            <c:spPr>
              <a:solidFill>
                <a:schemeClr val="accent1">
                  <a:lumMod val="40000"/>
                  <a:lumOff val="60000"/>
                </a:schemeClr>
              </a:solidFill>
            </c:spPr>
            <c:extLst xmlns:c16r2="http://schemas.microsoft.com/office/drawing/2015/06/chart">
              <c:ext xmlns:c16="http://schemas.microsoft.com/office/drawing/2014/chart" uri="{C3380CC4-5D6E-409C-BE32-E72D297353CC}">
                <c16:uniqueId val="{00000003-C024-4D2B-9CAB-3D1385670E5F}"/>
              </c:ext>
            </c:extLst>
          </c:dPt>
          <c:dPt>
            <c:idx val="2"/>
            <c:invertIfNegative val="0"/>
            <c:bubble3D val="0"/>
            <c:spPr>
              <a:solidFill>
                <a:schemeClr val="accent1">
                  <a:lumMod val="75000"/>
                </a:schemeClr>
              </a:solidFill>
            </c:spPr>
            <c:extLst xmlns:c16r2="http://schemas.microsoft.com/office/drawing/2015/06/chart">
              <c:ext xmlns:c16="http://schemas.microsoft.com/office/drawing/2014/chart" uri="{C3380CC4-5D6E-409C-BE32-E72D297353CC}">
                <c16:uniqueId val="{00000005-C024-4D2B-9CAB-3D1385670E5F}"/>
              </c:ext>
            </c:extLst>
          </c:dPt>
          <c:dPt>
            <c:idx val="3"/>
            <c:invertIfNegative val="0"/>
            <c:bubble3D val="0"/>
            <c:spPr>
              <a:solidFill>
                <a:schemeClr val="accent1">
                  <a:lumMod val="50000"/>
                </a:schemeClr>
              </a:solidFill>
            </c:spPr>
            <c:extLst xmlns:c16r2="http://schemas.microsoft.com/office/drawing/2015/06/chart">
              <c:ext xmlns:c16="http://schemas.microsoft.com/office/drawing/2014/chart" uri="{C3380CC4-5D6E-409C-BE32-E72D297353CC}">
                <c16:uniqueId val="{00000007-C024-4D2B-9CAB-3D1385670E5F}"/>
              </c:ext>
            </c:extLst>
          </c:dPt>
          <c:dPt>
            <c:idx val="4"/>
            <c:invertIfNegative val="0"/>
            <c:bubble3D val="0"/>
            <c:spPr>
              <a:solidFill>
                <a:schemeClr val="accent1">
                  <a:lumMod val="50000"/>
                </a:schemeClr>
              </a:solidFill>
            </c:spPr>
            <c:extLst xmlns:c16r2="http://schemas.microsoft.com/office/drawing/2015/06/chart">
              <c:ext xmlns:c16="http://schemas.microsoft.com/office/drawing/2014/chart" uri="{C3380CC4-5D6E-409C-BE32-E72D297353CC}">
                <c16:uniqueId val="{00000009-C024-4D2B-9CAB-3D1385670E5F}"/>
              </c:ext>
            </c:extLst>
          </c:dPt>
          <c:dPt>
            <c:idx val="5"/>
            <c:invertIfNegative val="0"/>
            <c:bubble3D val="0"/>
            <c:spPr>
              <a:solidFill>
                <a:schemeClr val="accent1">
                  <a:lumMod val="60000"/>
                  <a:lumOff val="40000"/>
                </a:schemeClr>
              </a:solidFill>
            </c:spPr>
            <c:extLst xmlns:c16r2="http://schemas.microsoft.com/office/drawing/2015/06/chart">
              <c:ext xmlns:c16="http://schemas.microsoft.com/office/drawing/2014/chart" uri="{C3380CC4-5D6E-409C-BE32-E72D297353CC}">
                <c16:uniqueId val="{0000000B-C024-4D2B-9CAB-3D1385670E5F}"/>
              </c:ext>
            </c:extLst>
          </c:dPt>
          <c:dPt>
            <c:idx val="6"/>
            <c:invertIfNegative val="0"/>
            <c:bubble3D val="0"/>
            <c:spPr>
              <a:solidFill>
                <a:srgbClr val="016AA3"/>
              </a:solidFill>
            </c:spPr>
            <c:extLst xmlns:c16r2="http://schemas.microsoft.com/office/drawing/2015/06/chart">
              <c:ext xmlns:c16="http://schemas.microsoft.com/office/drawing/2014/chart" uri="{C3380CC4-5D6E-409C-BE32-E72D297353CC}">
                <c16:uniqueId val="{0000000D-C024-4D2B-9CAB-3D1385670E5F}"/>
              </c:ext>
            </c:extLst>
          </c:dPt>
          <c:dLbls>
            <c:dLbl>
              <c:idx val="0"/>
              <c:tx>
                <c:rich>
                  <a:bodyPr/>
                  <a:lstStyle/>
                  <a:p>
                    <a:pPr>
                      <a:defRPr sz="800" b="1">
                        <a:solidFill>
                          <a:srgbClr val="002060"/>
                        </a:solidFill>
                        <a:latin typeface="Times New Roman" panose="02020603050405020304" pitchFamily="18" charset="0"/>
                        <a:cs typeface="Times New Roman" panose="02020603050405020304" pitchFamily="18" charset="0"/>
                      </a:defRPr>
                    </a:pPr>
                    <a:r>
                      <a:rPr lang="en-US" sz="800">
                        <a:latin typeface="Times New Roman" panose="02020603050405020304" pitchFamily="18" charset="0"/>
                        <a:cs typeface="Times New Roman" panose="02020603050405020304" pitchFamily="18" charset="0"/>
                      </a:rPr>
                      <a:t>13 Member States</a:t>
                    </a:r>
                    <a:endParaRPr lang="en-US"/>
                  </a:p>
                </c:rich>
              </c:tx>
              <c:spPr>
                <a:noFill/>
                <a:ln>
                  <a:noFill/>
                </a:ln>
                <a:effectLst/>
              </c:spPr>
              <c:showLegendKey val="0"/>
              <c:showVal val="1"/>
              <c:showCatName val="0"/>
              <c:showSerName val="0"/>
              <c:showPercent val="0"/>
              <c:showBubbleSize val="0"/>
            </c:dLbl>
            <c:dLbl>
              <c:idx val="1"/>
              <c:layout>
                <c:manualLayout>
                  <c:x val="8.0940318305768311E-3"/>
                  <c:y val="0"/>
                </c:manualLayout>
              </c:layout>
              <c:tx>
                <c:rich>
                  <a:bodyPr/>
                  <a:lstStyle/>
                  <a:p>
                    <a:pPr>
                      <a:defRPr sz="800" b="1">
                        <a:solidFill>
                          <a:srgbClr val="002060"/>
                        </a:solidFill>
                        <a:latin typeface="Times New Roman" panose="02020603050405020304" pitchFamily="18" charset="0"/>
                        <a:cs typeface="Times New Roman" panose="02020603050405020304" pitchFamily="18" charset="0"/>
                      </a:defRPr>
                    </a:pPr>
                    <a:r>
                      <a:rPr lang="en-US" sz="800">
                        <a:latin typeface="Times New Roman" panose="02020603050405020304" pitchFamily="18" charset="0"/>
                        <a:cs typeface="Times New Roman" panose="02020603050405020304" pitchFamily="18" charset="0"/>
                      </a:rPr>
                      <a:t>18 Member States</a:t>
                    </a:r>
                    <a:endParaRPr lang="en-US"/>
                  </a:p>
                </c:rich>
              </c:tx>
              <c:spPr>
                <a:noFill/>
                <a:ln>
                  <a:noFill/>
                </a:ln>
                <a:effectLst/>
              </c:spPr>
              <c:showLegendKey val="0"/>
              <c:showVal val="1"/>
              <c:showCatName val="0"/>
              <c:showSerName val="0"/>
              <c:showPercent val="0"/>
              <c:showBubbleSize val="0"/>
            </c:dLbl>
            <c:dLbl>
              <c:idx val="2"/>
              <c:tx>
                <c:rich>
                  <a:bodyPr/>
                  <a:lstStyle/>
                  <a:p>
                    <a:r>
                      <a:rPr lang="en-US" sz="800">
                        <a:latin typeface="Times New Roman" panose="02020603050405020304" pitchFamily="18" charset="0"/>
                        <a:cs typeface="Times New Roman" panose="02020603050405020304" pitchFamily="18" charset="0"/>
                      </a:rPr>
                      <a:t>23 Member States</a:t>
                    </a:r>
                    <a:endParaRPr lang="en-US"/>
                  </a:p>
                </c:rich>
              </c:tx>
              <c:showLegendKey val="0"/>
              <c:showVal val="1"/>
              <c:showCatName val="0"/>
              <c:showSerName val="0"/>
              <c:showPercent val="0"/>
              <c:showBubbleSize val="0"/>
            </c:dLbl>
            <c:dLbl>
              <c:idx val="3"/>
              <c:tx>
                <c:rich>
                  <a:bodyPr/>
                  <a:lstStyle/>
                  <a:p>
                    <a:r>
                      <a:rPr lang="en-US" sz="800">
                        <a:latin typeface="Times New Roman" panose="02020603050405020304" pitchFamily="18" charset="0"/>
                        <a:cs typeface="Times New Roman" panose="02020603050405020304" pitchFamily="18" charset="0"/>
                      </a:rPr>
                      <a:t>28 Member States</a:t>
                    </a:r>
                    <a:endParaRPr lang="en-US"/>
                  </a:p>
                </c:rich>
              </c:tx>
              <c:showLegendKey val="0"/>
              <c:showVal val="1"/>
              <c:showCatName val="0"/>
              <c:showSerName val="0"/>
              <c:showPercent val="0"/>
              <c:showBubbleSize val="0"/>
            </c:dLbl>
            <c:dLbl>
              <c:idx val="4"/>
              <c:layout>
                <c:manualLayout>
                  <c:x val="-2.69803185437031E-2"/>
                  <c:y val="3.3625285840744673E-2"/>
                </c:manualLayout>
              </c:layout>
              <c:tx>
                <c:rich>
                  <a:bodyPr/>
                  <a:lstStyle/>
                  <a:p>
                    <a:r>
                      <a:rPr lang="en-US" sz="800" b="1" i="0" baseline="0">
                        <a:effectLst/>
                        <a:latin typeface="Times New Roman" panose="02020603050405020304" pitchFamily="18" charset="0"/>
                        <a:cs typeface="Times New Roman" panose="02020603050405020304" pitchFamily="18" charset="0"/>
                      </a:rPr>
                      <a:t>28 Member States</a:t>
                    </a:r>
                  </a:p>
                  <a:p>
                    <a:endParaRPr lang="en-GB" sz="800">
                      <a:effectLst/>
                    </a:endParaRPr>
                  </a:p>
                </c:rich>
              </c:tx>
              <c:showLegendKey val="0"/>
              <c:showVal val="1"/>
              <c:showCatName val="0"/>
              <c:showSerName val="0"/>
              <c:showPercent val="0"/>
              <c:showBubbleSize val="0"/>
            </c:dLbl>
            <c:dLbl>
              <c:idx val="5"/>
              <c:tx>
                <c:rich>
                  <a:bodyPr/>
                  <a:lstStyle/>
                  <a:p>
                    <a:pPr>
                      <a:defRPr sz="800" b="1">
                        <a:solidFill>
                          <a:srgbClr val="002060"/>
                        </a:solidFill>
                        <a:latin typeface="Times New Roman" panose="02020603050405020304" pitchFamily="18" charset="0"/>
                        <a:cs typeface="Times New Roman" panose="02020603050405020304" pitchFamily="18" charset="0"/>
                      </a:defRPr>
                    </a:pPr>
                    <a:r>
                      <a:rPr lang="en-US" sz="800">
                        <a:latin typeface="Times New Roman" panose="02020603050405020304" pitchFamily="18" charset="0"/>
                        <a:cs typeface="Times New Roman" panose="02020603050405020304" pitchFamily="18" charset="0"/>
                      </a:rPr>
                      <a:t>20 Member States</a:t>
                    </a:r>
                    <a:endParaRPr lang="en-US"/>
                  </a:p>
                </c:rich>
              </c:tx>
              <c:spPr>
                <a:noFill/>
                <a:ln>
                  <a:noFill/>
                </a:ln>
                <a:effectLst/>
              </c:spPr>
              <c:showLegendKey val="0"/>
              <c:showVal val="1"/>
              <c:showCatName val="0"/>
              <c:showSerName val="0"/>
              <c:showPercent val="0"/>
              <c:showBubbleSize val="0"/>
            </c:dLbl>
            <c:spPr>
              <a:noFill/>
              <a:ln>
                <a:noFill/>
              </a:ln>
              <a:effectLst/>
            </c:spPr>
            <c:txPr>
              <a:bodyPr/>
              <a:lstStyle/>
              <a:p>
                <a:pPr>
                  <a:defRPr sz="800" b="1">
                    <a:solidFill>
                      <a:schemeClr val="bg1"/>
                    </a:solidFill>
                    <a:latin typeface="Times New Roman" panose="02020603050405020304" pitchFamily="18" charset="0"/>
                    <a:cs typeface="Times New Roman" panose="02020603050405020304" pitchFamily="18" charset="0"/>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Sheet1!$A$2:$A$7</c:f>
              <c:strCache>
                <c:ptCount val="6"/>
                <c:pt idx="0">
                  <c:v>6. VAT paid by the buyer (outside the reverse charge)</c:v>
                </c:pt>
                <c:pt idx="1">
                  <c:v>5. Liability of company's management for VAT</c:v>
                </c:pt>
                <c:pt idx="2">
                  <c:v>4. Possibility  to write-off uncollectable debts</c:v>
                </c:pt>
                <c:pt idx="3">
                  <c:v>3. Use of instalments plan</c:v>
                </c:pt>
                <c:pt idx="4">
                  <c:v>2. Procedure for offsetting tax credits </c:v>
                </c:pt>
                <c:pt idx="5">
                  <c:v>1. New debtors: early contacting  procedure</c:v>
                </c:pt>
              </c:strCache>
            </c:strRef>
          </c:cat>
          <c:val>
            <c:numRef>
              <c:f>Sheet1!$B$2:$B$7</c:f>
              <c:numCache>
                <c:formatCode>0%</c:formatCode>
                <c:ptCount val="6"/>
                <c:pt idx="0">
                  <c:v>0.46400000000000002</c:v>
                </c:pt>
                <c:pt idx="1">
                  <c:v>0.64300000000000002</c:v>
                </c:pt>
                <c:pt idx="2">
                  <c:v>0.82099999999999995</c:v>
                </c:pt>
                <c:pt idx="3">
                  <c:v>1</c:v>
                </c:pt>
                <c:pt idx="4">
                  <c:v>1</c:v>
                </c:pt>
                <c:pt idx="5">
                  <c:v>0.71399999999999997</c:v>
                </c:pt>
              </c:numCache>
            </c:numRef>
          </c:val>
          <c:extLst xmlns:c16r2="http://schemas.microsoft.com/office/drawing/2015/06/chart">
            <c:ext xmlns:c16="http://schemas.microsoft.com/office/drawing/2014/chart" uri="{C3380CC4-5D6E-409C-BE32-E72D297353CC}">
              <c16:uniqueId val="{0000000E-C024-4D2B-9CAB-3D1385670E5F}"/>
            </c:ext>
          </c:extLst>
        </c:ser>
        <c:ser>
          <c:idx val="1"/>
          <c:order val="1"/>
          <c:tx>
            <c:strRef>
              <c:f>Sheet1!$C$1</c:f>
              <c:strCache>
                <c:ptCount val="1"/>
                <c:pt idx="0">
                  <c:v>Not implemented</c:v>
                </c:pt>
              </c:strCache>
            </c:strRef>
          </c:tx>
          <c:spPr>
            <a:solidFill>
              <a:schemeClr val="bg1">
                <a:lumMod val="95000"/>
              </a:schemeClr>
            </a:solidFill>
            <a:ln>
              <a:noFill/>
            </a:ln>
          </c:spPr>
          <c:invertIfNegative val="0"/>
          <c:cat>
            <c:strRef>
              <c:f>Sheet1!$A$2:$A$7</c:f>
              <c:strCache>
                <c:ptCount val="6"/>
                <c:pt idx="0">
                  <c:v>6. VAT paid by the buyer (outside the reverse charge)</c:v>
                </c:pt>
                <c:pt idx="1">
                  <c:v>5. Liability of company's management for VAT</c:v>
                </c:pt>
                <c:pt idx="2">
                  <c:v>4. Possibility  to write-off uncollectable debts</c:v>
                </c:pt>
                <c:pt idx="3">
                  <c:v>3. Use of instalments plan</c:v>
                </c:pt>
                <c:pt idx="4">
                  <c:v>2. Procedure for offsetting tax credits </c:v>
                </c:pt>
                <c:pt idx="5">
                  <c:v>1. New debtors: early contacting  procedure</c:v>
                </c:pt>
              </c:strCache>
            </c:strRef>
          </c:cat>
          <c:val>
            <c:numRef>
              <c:f>Sheet1!$C$2:$C$7</c:f>
              <c:numCache>
                <c:formatCode>0%</c:formatCode>
                <c:ptCount val="6"/>
                <c:pt idx="0">
                  <c:v>0.53600000000000003</c:v>
                </c:pt>
                <c:pt idx="1">
                  <c:v>0.377</c:v>
                </c:pt>
                <c:pt idx="2">
                  <c:v>0.17899999999999999</c:v>
                </c:pt>
                <c:pt idx="3">
                  <c:v>0</c:v>
                </c:pt>
                <c:pt idx="4">
                  <c:v>0</c:v>
                </c:pt>
                <c:pt idx="5">
                  <c:v>0.28599999999999998</c:v>
                </c:pt>
              </c:numCache>
            </c:numRef>
          </c:val>
          <c:extLst xmlns:c16r2="http://schemas.microsoft.com/office/drawing/2015/06/chart">
            <c:ext xmlns:c16="http://schemas.microsoft.com/office/drawing/2014/chart" uri="{C3380CC4-5D6E-409C-BE32-E72D297353CC}">
              <c16:uniqueId val="{0000000F-C024-4D2B-9CAB-3D1385670E5F}"/>
            </c:ext>
          </c:extLst>
        </c:ser>
        <c:ser>
          <c:idx val="2"/>
          <c:order val="2"/>
          <c:tx>
            <c:strRef>
              <c:f>Sheet1!$D$1</c:f>
              <c:strCache>
                <c:ptCount val="1"/>
                <c:pt idx="0">
                  <c:v>100%</c:v>
                </c:pt>
              </c:strCache>
            </c:strRef>
          </c:tx>
          <c:invertIfNegative val="0"/>
          <c:cat>
            <c:strRef>
              <c:f>Sheet1!$A$2:$A$7</c:f>
              <c:strCache>
                <c:ptCount val="6"/>
                <c:pt idx="0">
                  <c:v>6. VAT paid by the buyer (outside the reverse charge)</c:v>
                </c:pt>
                <c:pt idx="1">
                  <c:v>5. Liability of company's management for VAT</c:v>
                </c:pt>
                <c:pt idx="2">
                  <c:v>4. Possibility  to write-off uncollectable debts</c:v>
                </c:pt>
                <c:pt idx="3">
                  <c:v>3. Use of instalments plan</c:v>
                </c:pt>
                <c:pt idx="4">
                  <c:v>2. Procedure for offsetting tax credits </c:v>
                </c:pt>
                <c:pt idx="5">
                  <c:v>1. New debtors: early contacting  procedure</c:v>
                </c:pt>
              </c:strCache>
            </c:strRef>
          </c:cat>
          <c:val>
            <c:numRef>
              <c:f>Sheet1!$D$2:$D$7</c:f>
              <c:numCache>
                <c:formatCode>0.0%</c:formatCode>
                <c:ptCount val="6"/>
                <c:pt idx="0">
                  <c:v>0</c:v>
                </c:pt>
                <c:pt idx="1">
                  <c:v>0</c:v>
                </c:pt>
                <c:pt idx="2">
                  <c:v>0</c:v>
                </c:pt>
                <c:pt idx="3">
                  <c:v>0</c:v>
                </c:pt>
                <c:pt idx="4">
                  <c:v>0</c:v>
                </c:pt>
                <c:pt idx="5">
                  <c:v>0</c:v>
                </c:pt>
              </c:numCache>
            </c:numRef>
          </c:val>
          <c:extLst xmlns:c16r2="http://schemas.microsoft.com/office/drawing/2015/06/chart">
            <c:ext xmlns:c16="http://schemas.microsoft.com/office/drawing/2014/chart" uri="{C3380CC4-5D6E-409C-BE32-E72D297353CC}">
              <c16:uniqueId val="{00000010-C024-4D2B-9CAB-3D1385670E5F}"/>
            </c:ext>
          </c:extLst>
        </c:ser>
        <c:dLbls>
          <c:showLegendKey val="0"/>
          <c:showVal val="0"/>
          <c:showCatName val="0"/>
          <c:showSerName val="0"/>
          <c:showPercent val="0"/>
          <c:showBubbleSize val="0"/>
        </c:dLbls>
        <c:gapWidth val="70"/>
        <c:overlap val="100"/>
        <c:axId val="62748160"/>
        <c:axId val="62749696"/>
      </c:barChart>
      <c:catAx>
        <c:axId val="62748160"/>
        <c:scaling>
          <c:orientation val="minMax"/>
        </c:scaling>
        <c:delete val="1"/>
        <c:axPos val="l"/>
        <c:numFmt formatCode="General" sourceLinked="0"/>
        <c:majorTickMark val="out"/>
        <c:minorTickMark val="none"/>
        <c:tickLblPos val="none"/>
        <c:crossAx val="62749696"/>
        <c:crosses val="autoZero"/>
        <c:auto val="1"/>
        <c:lblAlgn val="l"/>
        <c:lblOffset val="100"/>
        <c:noMultiLvlLbl val="0"/>
      </c:catAx>
      <c:valAx>
        <c:axId val="62749696"/>
        <c:scaling>
          <c:orientation val="minMax"/>
        </c:scaling>
        <c:delete val="1"/>
        <c:axPos val="b"/>
        <c:majorGridlines>
          <c:spPr>
            <a:ln>
              <a:solidFill>
                <a:schemeClr val="bg1">
                  <a:lumMod val="85000"/>
                </a:schemeClr>
              </a:solidFill>
            </a:ln>
          </c:spPr>
        </c:majorGridlines>
        <c:numFmt formatCode="0%" sourceLinked="1"/>
        <c:majorTickMark val="out"/>
        <c:minorTickMark val="none"/>
        <c:tickLblPos val="none"/>
        <c:crossAx val="62748160"/>
        <c:crosses val="autoZero"/>
        <c:crossBetween val="between"/>
      </c:valAx>
      <c:spPr>
        <a:ln>
          <a:solidFill>
            <a:schemeClr val="bg1">
              <a:lumMod val="95000"/>
              <a:alpha val="0"/>
            </a:schemeClr>
          </a:solidFill>
        </a:ln>
      </c:spPr>
    </c:plotArea>
    <c:plotVisOnly val="1"/>
    <c:dispBlanksAs val="gap"/>
    <c:showDLblsOverMax val="0"/>
  </c:chart>
  <c:spPr>
    <a:ln>
      <a:solidFill>
        <a:schemeClr val="bg1">
          <a:lumMod val="95000"/>
          <a:alpha val="0"/>
        </a:schemeClr>
      </a:solidFill>
    </a:ln>
  </c:sp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vert="horz"/>
          <a:lstStyle/>
          <a:p>
            <a:pPr>
              <a:defRPr/>
            </a:pPr>
            <a:r>
              <a:rPr lang="en-GB"/>
              <a:t>VAT assessed after audits</a:t>
            </a:r>
          </a:p>
        </c:rich>
      </c:tx>
      <c:overlay val="0"/>
      <c:spPr>
        <a:noFill/>
        <a:ln>
          <a:noFill/>
        </a:ln>
        <a:effectLst/>
      </c:spPr>
    </c:title>
    <c:autoTitleDeleted val="0"/>
    <c:plotArea>
      <c:layout>
        <c:manualLayout>
          <c:layoutTarget val="inner"/>
          <c:xMode val="edge"/>
          <c:yMode val="edge"/>
          <c:x val="8.5565215806357522E-2"/>
          <c:y val="0.12161222749364531"/>
          <c:w val="0.88897182123067964"/>
          <c:h val="0.59294633912085914"/>
        </c:manualLayout>
      </c:layout>
      <c:barChart>
        <c:barDir val="col"/>
        <c:grouping val="clustered"/>
        <c:varyColors val="0"/>
        <c:ser>
          <c:idx val="0"/>
          <c:order val="0"/>
          <c:tx>
            <c:strRef>
              <c:f>Sheet1!$B$1</c:f>
              <c:strCache>
                <c:ptCount val="1"/>
                <c:pt idx="0">
                  <c:v>Total VAT collection</c:v>
                </c:pt>
              </c:strCache>
            </c:strRef>
          </c:tx>
          <c:spPr>
            <a:solidFill>
              <a:srgbClr val="016AA3"/>
            </a:solidFill>
            <a:ln>
              <a:noFill/>
            </a:ln>
            <a:effectLst/>
          </c:spPr>
          <c:invertIfNegative val="0"/>
          <c:dLbls>
            <c:dLbl>
              <c:idx val="0"/>
              <c:tx>
                <c:rich>
                  <a:bodyPr/>
                  <a:lstStyle/>
                  <a:p>
                    <a:r>
                      <a:rPr lang="en-US"/>
                      <a:t>100 %</a:t>
                    </a:r>
                  </a:p>
                </c:rich>
              </c:tx>
              <c:dLblPos val="outEnd"/>
              <c:showLegendKey val="0"/>
              <c:showVal val="1"/>
              <c:showCatName val="0"/>
              <c:showSerName val="0"/>
              <c:showPercent val="0"/>
              <c:showBubbleSize val="0"/>
            </c:dLbl>
            <c:dLbl>
              <c:idx val="1"/>
              <c:tx>
                <c:rich>
                  <a:bodyPr/>
                  <a:lstStyle/>
                  <a:p>
                    <a:r>
                      <a:rPr lang="en-US"/>
                      <a:t>100 %</a:t>
                    </a:r>
                  </a:p>
                </c:rich>
              </c:tx>
              <c:showLegendKey val="0"/>
              <c:showVal val="1"/>
              <c:showCatName val="0"/>
              <c:showSerName val="0"/>
              <c:showPercent val="0"/>
              <c:showBubbleSize val="0"/>
            </c:dLbl>
            <c:dLbl>
              <c:idx val="2"/>
              <c:tx>
                <c:rich>
                  <a:bodyPr/>
                  <a:lstStyle/>
                  <a:p>
                    <a:r>
                      <a:rPr lang="en-US"/>
                      <a:t>100 %</a:t>
                    </a:r>
                  </a:p>
                </c:rich>
              </c:tx>
              <c:showLegendKey val="0"/>
              <c:showVal val="1"/>
              <c:showCatName val="0"/>
              <c:showSerName val="0"/>
              <c:showPercent val="0"/>
              <c:showBubbleSize val="0"/>
            </c:dLbl>
            <c:spPr>
              <a:noFill/>
              <a:ln>
                <a:noFill/>
              </a:ln>
              <a:effectLst/>
            </c:spPr>
            <c:txPr>
              <a:bodyPr rot="0" vert="horz"/>
              <a:lstStyle/>
              <a:p>
                <a:pPr>
                  <a:defRPr sz="800"/>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Sheet1!$A$2:$A$4</c:f>
              <c:numCache>
                <c:formatCode>General</c:formatCode>
                <c:ptCount val="3"/>
                <c:pt idx="0">
                  <c:v>2013</c:v>
                </c:pt>
                <c:pt idx="1">
                  <c:v>2014</c:v>
                </c:pt>
                <c:pt idx="2">
                  <c:v>2015</c:v>
                </c:pt>
              </c:numCache>
            </c:numRef>
          </c:cat>
          <c:val>
            <c:numRef>
              <c:f>Sheet1!$B$2:$B$4</c:f>
              <c:numCache>
                <c:formatCode>#,##0</c:formatCode>
                <c:ptCount val="3"/>
                <c:pt idx="0">
                  <c:v>348750000000</c:v>
                </c:pt>
                <c:pt idx="1">
                  <c:v>360681000000</c:v>
                </c:pt>
                <c:pt idx="2">
                  <c:v>378690000000</c:v>
                </c:pt>
              </c:numCache>
            </c:numRef>
          </c:val>
          <c:extLst xmlns:c16r2="http://schemas.microsoft.com/office/drawing/2015/06/chart">
            <c:ext xmlns:c16="http://schemas.microsoft.com/office/drawing/2014/chart" uri="{C3380CC4-5D6E-409C-BE32-E72D297353CC}">
              <c16:uniqueId val="{00000000-AA44-4618-89D4-6E8332A355F9}"/>
            </c:ext>
          </c:extLst>
        </c:ser>
        <c:ser>
          <c:idx val="1"/>
          <c:order val="1"/>
          <c:tx>
            <c:strRef>
              <c:f>Sheet1!$C$1</c:f>
              <c:strCache>
                <c:ptCount val="1"/>
                <c:pt idx="0">
                  <c:v>VAT assessed after audits (not the VAT actually collected) </c:v>
                </c:pt>
              </c:strCache>
            </c:strRef>
          </c:tx>
          <c:spPr>
            <a:solidFill>
              <a:srgbClr val="FEA34C"/>
            </a:solidFill>
            <a:ln>
              <a:noFill/>
            </a:ln>
            <a:effectLst/>
          </c:spPr>
          <c:invertIfNegative val="0"/>
          <c:dLbls>
            <c:dLbl>
              <c:idx val="0"/>
              <c:tx>
                <c:rich>
                  <a:bodyPr/>
                  <a:lstStyle/>
                  <a:p>
                    <a:r>
                      <a:rPr lang="en-US" sz="800">
                        <a:latin typeface="Times New Roman" panose="02020603050405020304" pitchFamily="18" charset="0"/>
                        <a:cs typeface="Times New Roman" panose="02020603050405020304" pitchFamily="18" charset="0"/>
                      </a:rPr>
                      <a:t>2.59%</a:t>
                    </a:r>
                    <a:endParaRPr lang="en-US"/>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AA44-4618-89D4-6E8332A355F9}"/>
                </c:ext>
                <c:ext xmlns:c15="http://schemas.microsoft.com/office/drawing/2012/chart" uri="{CE6537A1-D6FC-4f65-9D91-7224C49458BB}">
                  <c15:layout/>
                </c:ext>
              </c:extLst>
            </c:dLbl>
            <c:dLbl>
              <c:idx val="1"/>
              <c:tx>
                <c:rich>
                  <a:bodyPr/>
                  <a:lstStyle/>
                  <a:p>
                    <a:r>
                      <a:rPr lang="en-US" sz="800">
                        <a:latin typeface="Times New Roman" panose="02020603050405020304" pitchFamily="18" charset="0"/>
                        <a:cs typeface="Times New Roman" panose="02020603050405020304" pitchFamily="18" charset="0"/>
                      </a:rPr>
                      <a:t>3.17%</a:t>
                    </a:r>
                    <a:endParaRPr lang="en-US"/>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AA44-4618-89D4-6E8332A355F9}"/>
                </c:ext>
                <c:ext xmlns:c15="http://schemas.microsoft.com/office/drawing/2012/chart" uri="{CE6537A1-D6FC-4f65-9D91-7224C49458BB}">
                  <c15:layout/>
                </c:ext>
              </c:extLst>
            </c:dLbl>
            <c:dLbl>
              <c:idx val="2"/>
              <c:tx>
                <c:rich>
                  <a:bodyPr/>
                  <a:lstStyle/>
                  <a:p>
                    <a:r>
                      <a:rPr lang="en-US" sz="800">
                        <a:latin typeface="Times New Roman" panose="02020603050405020304" pitchFamily="18" charset="0"/>
                        <a:cs typeface="Times New Roman" panose="02020603050405020304" pitchFamily="18" charset="0"/>
                      </a:rPr>
                      <a:t>3.93%</a:t>
                    </a:r>
                    <a:endParaRPr lang="en-US"/>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8-AA44-4618-89D4-6E8332A355F9}"/>
                </c:ext>
                <c:ext xmlns:c15="http://schemas.microsoft.com/office/drawing/2012/chart" uri="{CE6537A1-D6FC-4f65-9D91-7224C49458BB}">
                  <c15:layout/>
                </c:ext>
              </c:extLst>
            </c:dLbl>
            <c:spPr>
              <a:noFill/>
              <a:ln>
                <a:noFill/>
              </a:ln>
              <a:effectLst/>
            </c:spPr>
            <c:txPr>
              <a:bodyPr rot="0" vert="horz"/>
              <a:lstStyle/>
              <a:p>
                <a:pPr>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Sheet1!$A$2:$A$4</c:f>
              <c:numCache>
                <c:formatCode>General</c:formatCode>
                <c:ptCount val="3"/>
                <c:pt idx="0">
                  <c:v>2013</c:v>
                </c:pt>
                <c:pt idx="1">
                  <c:v>2014</c:v>
                </c:pt>
                <c:pt idx="2">
                  <c:v>2015</c:v>
                </c:pt>
              </c:numCache>
            </c:numRef>
          </c:cat>
          <c:val>
            <c:numRef>
              <c:f>Sheet1!$C$2:$C$4</c:f>
              <c:numCache>
                <c:formatCode>#,##0</c:formatCode>
                <c:ptCount val="3"/>
                <c:pt idx="0">
                  <c:v>9026302460.4243031</c:v>
                </c:pt>
                <c:pt idx="1">
                  <c:v>11439596829.770185</c:v>
                </c:pt>
                <c:pt idx="2">
                  <c:v>14892313608.606543</c:v>
                </c:pt>
              </c:numCache>
            </c:numRef>
          </c:val>
          <c:extLst xmlns:c16r2="http://schemas.microsoft.com/office/drawing/2015/06/chart">
            <c:ext xmlns:c16="http://schemas.microsoft.com/office/drawing/2014/chart" uri="{C3380CC4-5D6E-409C-BE32-E72D297353CC}">
              <c16:uniqueId val="{00000001-AA44-4618-89D4-6E8332A355F9}"/>
            </c:ext>
          </c:extLst>
        </c:ser>
        <c:ser>
          <c:idx val="2"/>
          <c:order val="2"/>
          <c:tx>
            <c:strRef>
              <c:f>Sheet1!$D$1</c:f>
              <c:strCache>
                <c:ptCount val="1"/>
                <c:pt idx="0">
                  <c:v>Top 5 Member States (% of VAT assesed after audits in total VAT collection)</c:v>
                </c:pt>
              </c:strCache>
            </c:strRef>
          </c:tx>
          <c:spPr>
            <a:solidFill>
              <a:schemeClr val="accent3"/>
            </a:solidFill>
            <a:ln>
              <a:noFill/>
            </a:ln>
            <a:effectLst/>
          </c:spPr>
          <c:invertIfNegative val="0"/>
          <c:dLbls>
            <c:dLbl>
              <c:idx val="0"/>
              <c:tx>
                <c:rich>
                  <a:bodyPr/>
                  <a:lstStyle/>
                  <a:p>
                    <a:r>
                      <a:rPr lang="en-US" sz="800">
                        <a:latin typeface="Times New Roman" panose="02020603050405020304" pitchFamily="18" charset="0"/>
                        <a:cs typeface="Times New Roman" panose="02020603050405020304" pitchFamily="18" charset="0"/>
                      </a:rPr>
                      <a:t>7.85%</a:t>
                    </a:r>
                    <a:endParaRPr lang="en-US"/>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AA44-4618-89D4-6E8332A355F9}"/>
                </c:ext>
                <c:ext xmlns:c15="http://schemas.microsoft.com/office/drawing/2012/chart" uri="{CE6537A1-D6FC-4f65-9D91-7224C49458BB}">
                  <c15:layout/>
                </c:ext>
              </c:extLst>
            </c:dLbl>
            <c:dLbl>
              <c:idx val="1"/>
              <c:tx>
                <c:rich>
                  <a:bodyPr/>
                  <a:lstStyle/>
                  <a:p>
                    <a:r>
                      <a:rPr lang="en-US" sz="800">
                        <a:latin typeface="Times New Roman" panose="02020603050405020304" pitchFamily="18" charset="0"/>
                        <a:cs typeface="Times New Roman" panose="02020603050405020304" pitchFamily="18" charset="0"/>
                      </a:rPr>
                      <a:t>11.49%</a:t>
                    </a:r>
                    <a:endParaRPr lang="en-US"/>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AA44-4618-89D4-6E8332A355F9}"/>
                </c:ext>
                <c:ext xmlns:c15="http://schemas.microsoft.com/office/drawing/2012/chart" uri="{CE6537A1-D6FC-4f65-9D91-7224C49458BB}">
                  <c15:layout/>
                </c:ext>
              </c:extLst>
            </c:dLbl>
            <c:dLbl>
              <c:idx val="2"/>
              <c:tx>
                <c:rich>
                  <a:bodyPr/>
                  <a:lstStyle/>
                  <a:p>
                    <a:r>
                      <a:rPr lang="en-US" sz="800">
                        <a:latin typeface="Times New Roman" panose="02020603050405020304" pitchFamily="18" charset="0"/>
                        <a:cs typeface="Times New Roman" panose="02020603050405020304" pitchFamily="18" charset="0"/>
                      </a:rPr>
                      <a:t>15.23%</a:t>
                    </a:r>
                    <a:endParaRPr lang="en-US"/>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AA44-4618-89D4-6E8332A355F9}"/>
                </c:ext>
                <c:ext xmlns:c15="http://schemas.microsoft.com/office/drawing/2012/chart" uri="{CE6537A1-D6FC-4f65-9D91-7224C49458BB}">
                  <c15:layout/>
                </c:ext>
              </c:extLst>
            </c:dLbl>
            <c:spPr>
              <a:noFill/>
              <a:ln>
                <a:noFill/>
              </a:ln>
              <a:effectLst/>
            </c:spPr>
            <c:txPr>
              <a:bodyPr rot="0" vert="horz"/>
              <a:lstStyle/>
              <a:p>
                <a:pPr>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Sheet1!$A$2:$A$4</c:f>
              <c:numCache>
                <c:formatCode>General</c:formatCode>
                <c:ptCount val="3"/>
                <c:pt idx="0">
                  <c:v>2013</c:v>
                </c:pt>
                <c:pt idx="1">
                  <c:v>2014</c:v>
                </c:pt>
                <c:pt idx="2">
                  <c:v>2015</c:v>
                </c:pt>
              </c:numCache>
            </c:numRef>
          </c:cat>
          <c:val>
            <c:numRef>
              <c:f>Sheet1!$D$2:$D$4</c:f>
              <c:numCache>
                <c:formatCode>#,##0</c:formatCode>
                <c:ptCount val="3"/>
                <c:pt idx="0">
                  <c:v>27387200901.042633</c:v>
                </c:pt>
                <c:pt idx="1">
                  <c:v>41456017962.908173</c:v>
                </c:pt>
                <c:pt idx="2">
                  <c:v>57684284351.778915</c:v>
                </c:pt>
              </c:numCache>
            </c:numRef>
          </c:val>
          <c:extLst xmlns:c16r2="http://schemas.microsoft.com/office/drawing/2015/06/chart">
            <c:ext xmlns:c16="http://schemas.microsoft.com/office/drawing/2014/chart" uri="{C3380CC4-5D6E-409C-BE32-E72D297353CC}">
              <c16:uniqueId val="{00000002-AA44-4618-89D4-6E8332A355F9}"/>
            </c:ext>
          </c:extLst>
        </c:ser>
        <c:dLbls>
          <c:showLegendKey val="0"/>
          <c:showVal val="0"/>
          <c:showCatName val="0"/>
          <c:showSerName val="0"/>
          <c:showPercent val="0"/>
          <c:showBubbleSize val="0"/>
        </c:dLbls>
        <c:gapWidth val="219"/>
        <c:overlap val="-27"/>
        <c:axId val="68163072"/>
        <c:axId val="68164608"/>
      </c:barChart>
      <c:catAx>
        <c:axId val="681630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en-US"/>
          </a:p>
        </c:txPr>
        <c:crossAx val="68164608"/>
        <c:crosses val="autoZero"/>
        <c:auto val="1"/>
        <c:lblAlgn val="ctr"/>
        <c:lblOffset val="100"/>
        <c:noMultiLvlLbl val="0"/>
      </c:catAx>
      <c:valAx>
        <c:axId val="681646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0"/>
        <c:majorTickMark val="none"/>
        <c:minorTickMark val="none"/>
        <c:tickLblPos val="nextTo"/>
        <c:spPr>
          <a:noFill/>
          <a:ln>
            <a:noFill/>
          </a:ln>
          <a:effectLst/>
        </c:spPr>
        <c:txPr>
          <a:bodyPr rot="-60000000" vert="horz"/>
          <a:lstStyle/>
          <a:p>
            <a:pPr>
              <a:defRPr/>
            </a:pPr>
            <a:endParaRPr lang="en-US"/>
          </a:p>
        </c:txPr>
        <c:crossAx val="68163072"/>
        <c:crosses val="autoZero"/>
        <c:crossBetween val="between"/>
        <c:dispUnits>
          <c:builtInUnit val="billions"/>
          <c:dispUnitsLbl/>
        </c:dispUnits>
      </c:valAx>
      <c:spPr>
        <a:noFill/>
        <a:ln>
          <a:noFill/>
        </a:ln>
        <a:effectLst/>
      </c:spPr>
    </c:plotArea>
    <c:legend>
      <c:legendPos val="b"/>
      <c:layout>
        <c:manualLayout>
          <c:xMode val="edge"/>
          <c:yMode val="edge"/>
          <c:x val="4.8467118693496639E-2"/>
          <c:y val="0.81250840974783212"/>
          <c:w val="0.91695446923301249"/>
          <c:h val="0.18556139738861757"/>
        </c:manualLayout>
      </c:layout>
      <c:overlay val="0"/>
      <c:spPr>
        <a:noFill/>
        <a:ln>
          <a:noFill/>
        </a:ln>
        <a:effectLst/>
      </c:spPr>
      <c:txPr>
        <a:bodyPr rot="0" vert="horz"/>
        <a:lstStyle/>
        <a:p>
          <a:pPr>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900">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2141437325650617"/>
          <c:y val="2.9831952565770158E-2"/>
          <c:w val="0.785856344569832"/>
          <c:h val="0.97016816452849075"/>
        </c:manualLayout>
      </c:layout>
      <c:barChart>
        <c:barDir val="bar"/>
        <c:grouping val="percentStacked"/>
        <c:varyColors val="0"/>
        <c:ser>
          <c:idx val="0"/>
          <c:order val="0"/>
          <c:tx>
            <c:strRef>
              <c:f>Sheet1!$B$1</c:f>
              <c:strCache>
                <c:ptCount val="1"/>
                <c:pt idx="0">
                  <c:v>Implemented</c:v>
                </c:pt>
              </c:strCache>
            </c:strRef>
          </c:tx>
          <c:invertIfNegative val="0"/>
          <c:dPt>
            <c:idx val="0"/>
            <c:invertIfNegative val="0"/>
            <c:bubble3D val="0"/>
            <c:spPr>
              <a:solidFill>
                <a:srgbClr val="689DCC"/>
              </a:solidFill>
            </c:spPr>
            <c:extLst xmlns:c16r2="http://schemas.microsoft.com/office/drawing/2015/06/chart">
              <c:ext xmlns:c16="http://schemas.microsoft.com/office/drawing/2014/chart" uri="{C3380CC4-5D6E-409C-BE32-E72D297353CC}">
                <c16:uniqueId val="{00000001-9D91-4737-BACA-CEA3993B3F99}"/>
              </c:ext>
            </c:extLst>
          </c:dPt>
          <c:dPt>
            <c:idx val="1"/>
            <c:invertIfNegative val="0"/>
            <c:bubble3D val="0"/>
            <c:spPr>
              <a:solidFill>
                <a:srgbClr val="AACAE6"/>
              </a:solidFill>
            </c:spPr>
            <c:extLst xmlns:c16r2="http://schemas.microsoft.com/office/drawing/2015/06/chart">
              <c:ext xmlns:c16="http://schemas.microsoft.com/office/drawing/2014/chart" uri="{C3380CC4-5D6E-409C-BE32-E72D297353CC}">
                <c16:uniqueId val="{00000003-9D91-4737-BACA-CEA3993B3F99}"/>
              </c:ext>
            </c:extLst>
          </c:dPt>
          <c:dPt>
            <c:idx val="2"/>
            <c:invertIfNegative val="0"/>
            <c:bubble3D val="0"/>
            <c:spPr>
              <a:solidFill>
                <a:srgbClr val="4F8BC2"/>
              </a:solidFill>
            </c:spPr>
            <c:extLst xmlns:c16r2="http://schemas.microsoft.com/office/drawing/2015/06/chart">
              <c:ext xmlns:c16="http://schemas.microsoft.com/office/drawing/2014/chart" uri="{C3380CC4-5D6E-409C-BE32-E72D297353CC}">
                <c16:uniqueId val="{00000005-9D91-4737-BACA-CEA3993B3F99}"/>
              </c:ext>
            </c:extLst>
          </c:dPt>
          <c:dPt>
            <c:idx val="3"/>
            <c:invertIfNegative val="0"/>
            <c:bubble3D val="0"/>
            <c:spPr>
              <a:solidFill>
                <a:srgbClr val="89B3DA"/>
              </a:solidFill>
            </c:spPr>
            <c:extLst xmlns:c16r2="http://schemas.microsoft.com/office/drawing/2015/06/chart">
              <c:ext xmlns:c16="http://schemas.microsoft.com/office/drawing/2014/chart" uri="{C3380CC4-5D6E-409C-BE32-E72D297353CC}">
                <c16:uniqueId val="{00000007-9D91-4737-BACA-CEA3993B3F99}"/>
              </c:ext>
            </c:extLst>
          </c:dPt>
          <c:dPt>
            <c:idx val="4"/>
            <c:invertIfNegative val="0"/>
            <c:bubble3D val="0"/>
            <c:spPr>
              <a:solidFill>
                <a:srgbClr val="8FB8DC"/>
              </a:solidFill>
            </c:spPr>
            <c:extLst xmlns:c16r2="http://schemas.microsoft.com/office/drawing/2015/06/chart">
              <c:ext xmlns:c16="http://schemas.microsoft.com/office/drawing/2014/chart" uri="{C3380CC4-5D6E-409C-BE32-E72D297353CC}">
                <c16:uniqueId val="{00000009-9D91-4737-BACA-CEA3993B3F99}"/>
              </c:ext>
            </c:extLst>
          </c:dPt>
          <c:dPt>
            <c:idx val="5"/>
            <c:invertIfNegative val="0"/>
            <c:bubble3D val="0"/>
            <c:spPr>
              <a:solidFill>
                <a:srgbClr val="BDD7EE"/>
              </a:solidFill>
            </c:spPr>
            <c:extLst xmlns:c16r2="http://schemas.microsoft.com/office/drawing/2015/06/chart">
              <c:ext xmlns:c16="http://schemas.microsoft.com/office/drawing/2014/chart" uri="{C3380CC4-5D6E-409C-BE32-E72D297353CC}">
                <c16:uniqueId val="{0000000B-9D91-4737-BACA-CEA3993B3F99}"/>
              </c:ext>
            </c:extLst>
          </c:dPt>
          <c:dPt>
            <c:idx val="6"/>
            <c:invertIfNegative val="0"/>
            <c:bubble3D val="0"/>
            <c:spPr>
              <a:solidFill>
                <a:srgbClr val="2F75B5"/>
              </a:solidFill>
            </c:spPr>
            <c:extLst xmlns:c16r2="http://schemas.microsoft.com/office/drawing/2015/06/chart">
              <c:ext xmlns:c16="http://schemas.microsoft.com/office/drawing/2014/chart" uri="{C3380CC4-5D6E-409C-BE32-E72D297353CC}">
                <c16:uniqueId val="{0000000D-9D91-4737-BACA-CEA3993B3F99}"/>
              </c:ext>
            </c:extLst>
          </c:dPt>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Sheet1!$A$2:$A$8</c:f>
              <c:strCache>
                <c:ptCount val="7"/>
                <c:pt idx="0">
                  <c:v>G. VAT Compliance</c:v>
                </c:pt>
                <c:pt idx="1">
                  <c:v>F. Tax Dispute Resolution</c:v>
                </c:pt>
                <c:pt idx="2">
                  <c:v>E. VAT Audit </c:v>
                </c:pt>
                <c:pt idx="3">
                  <c:v>D. Collection and Recovery</c:v>
                </c:pt>
                <c:pt idx="4">
                  <c:v>C. VAT Returns</c:v>
                </c:pt>
                <c:pt idx="5">
                  <c:v>B. Customs 42</c:v>
                </c:pt>
                <c:pt idx="6">
                  <c:v>A. VAT Registration</c:v>
                </c:pt>
              </c:strCache>
            </c:strRef>
          </c:cat>
          <c:val>
            <c:numRef>
              <c:f>Sheet1!$B$2:$B$8</c:f>
              <c:numCache>
                <c:formatCode>0.0%</c:formatCode>
                <c:ptCount val="7"/>
                <c:pt idx="0">
                  <c:v>0.77000000000000113</c:v>
                </c:pt>
                <c:pt idx="1">
                  <c:v>0.61000000000000065</c:v>
                </c:pt>
                <c:pt idx="2">
                  <c:v>0.83300000000000063</c:v>
                </c:pt>
                <c:pt idx="3">
                  <c:v>0.68899999999999995</c:v>
                </c:pt>
                <c:pt idx="4">
                  <c:v>0.67400000000000126</c:v>
                </c:pt>
                <c:pt idx="5">
                  <c:v>0.56097560975609762</c:v>
                </c:pt>
                <c:pt idx="6">
                  <c:v>0.90909090909090917</c:v>
                </c:pt>
              </c:numCache>
            </c:numRef>
          </c:val>
          <c:extLst xmlns:c16r2="http://schemas.microsoft.com/office/drawing/2015/06/chart">
            <c:ext xmlns:c16="http://schemas.microsoft.com/office/drawing/2014/chart" uri="{C3380CC4-5D6E-409C-BE32-E72D297353CC}">
              <c16:uniqueId val="{0000000E-9D91-4737-BACA-CEA3993B3F99}"/>
            </c:ext>
          </c:extLst>
        </c:ser>
        <c:ser>
          <c:idx val="1"/>
          <c:order val="1"/>
          <c:tx>
            <c:strRef>
              <c:f>Sheet1!$C$1</c:f>
              <c:strCache>
                <c:ptCount val="1"/>
                <c:pt idx="0">
                  <c:v>Not implemented</c:v>
                </c:pt>
              </c:strCache>
            </c:strRef>
          </c:tx>
          <c:spPr>
            <a:solidFill>
              <a:schemeClr val="bg1">
                <a:lumMod val="95000"/>
              </a:schemeClr>
            </a:solidFill>
            <a:ln>
              <a:noFill/>
            </a:ln>
          </c:spPr>
          <c:invertIfNegative val="0"/>
          <c:cat>
            <c:strRef>
              <c:f>Sheet1!$A$2:$A$8</c:f>
              <c:strCache>
                <c:ptCount val="7"/>
                <c:pt idx="0">
                  <c:v>G. VAT Compliance</c:v>
                </c:pt>
                <c:pt idx="1">
                  <c:v>F. Tax Dispute Resolution</c:v>
                </c:pt>
                <c:pt idx="2">
                  <c:v>E. VAT Audit </c:v>
                </c:pt>
                <c:pt idx="3">
                  <c:v>D. Collection and Recovery</c:v>
                </c:pt>
                <c:pt idx="4">
                  <c:v>C. VAT Returns</c:v>
                </c:pt>
                <c:pt idx="5">
                  <c:v>B. Customs 42</c:v>
                </c:pt>
                <c:pt idx="6">
                  <c:v>A. VAT Registration</c:v>
                </c:pt>
              </c:strCache>
            </c:strRef>
          </c:cat>
          <c:val>
            <c:numRef>
              <c:f>Sheet1!$C$2:$C$8</c:f>
              <c:numCache>
                <c:formatCode>0.0%</c:formatCode>
                <c:ptCount val="7"/>
                <c:pt idx="0">
                  <c:v>0.23</c:v>
                </c:pt>
                <c:pt idx="1">
                  <c:v>0.39000000000000057</c:v>
                </c:pt>
                <c:pt idx="2">
                  <c:v>0.16700000000000001</c:v>
                </c:pt>
                <c:pt idx="3">
                  <c:v>0.3110000000000005</c:v>
                </c:pt>
                <c:pt idx="4">
                  <c:v>0.32600000000000057</c:v>
                </c:pt>
                <c:pt idx="5">
                  <c:v>0.43902439024390327</c:v>
                </c:pt>
                <c:pt idx="6">
                  <c:v>9.9100000000000063E-2</c:v>
                </c:pt>
              </c:numCache>
            </c:numRef>
          </c:val>
          <c:extLst xmlns:c16r2="http://schemas.microsoft.com/office/drawing/2015/06/chart">
            <c:ext xmlns:c16="http://schemas.microsoft.com/office/drawing/2014/chart" uri="{C3380CC4-5D6E-409C-BE32-E72D297353CC}">
              <c16:uniqueId val="{0000000F-9D91-4737-BACA-CEA3993B3F99}"/>
            </c:ext>
          </c:extLst>
        </c:ser>
        <c:ser>
          <c:idx val="2"/>
          <c:order val="2"/>
          <c:tx>
            <c:strRef>
              <c:f>Sheet1!$D$1</c:f>
              <c:strCache>
                <c:ptCount val="1"/>
                <c:pt idx="0">
                  <c:v>100%</c:v>
                </c:pt>
              </c:strCache>
            </c:strRef>
          </c:tx>
          <c:invertIfNegative val="0"/>
          <c:cat>
            <c:strRef>
              <c:f>Sheet1!$A$2:$A$8</c:f>
              <c:strCache>
                <c:ptCount val="7"/>
                <c:pt idx="0">
                  <c:v>G. VAT Compliance</c:v>
                </c:pt>
                <c:pt idx="1">
                  <c:v>F. Tax Dispute Resolution</c:v>
                </c:pt>
                <c:pt idx="2">
                  <c:v>E. VAT Audit </c:v>
                </c:pt>
                <c:pt idx="3">
                  <c:v>D. Collection and Recovery</c:v>
                </c:pt>
                <c:pt idx="4">
                  <c:v>C. VAT Returns</c:v>
                </c:pt>
                <c:pt idx="5">
                  <c:v>B. Customs 42</c:v>
                </c:pt>
                <c:pt idx="6">
                  <c:v>A. VAT Registration</c:v>
                </c:pt>
              </c:strCache>
            </c:strRef>
          </c:cat>
          <c:val>
            <c:numRef>
              <c:f>Sheet1!$D$2:$D$8</c:f>
              <c:numCache>
                <c:formatCode>0.0%</c:formatCode>
                <c:ptCount val="7"/>
                <c:pt idx="0">
                  <c:v>0</c:v>
                </c:pt>
                <c:pt idx="1">
                  <c:v>0</c:v>
                </c:pt>
                <c:pt idx="2">
                  <c:v>0</c:v>
                </c:pt>
                <c:pt idx="3">
                  <c:v>0</c:v>
                </c:pt>
                <c:pt idx="4">
                  <c:v>0</c:v>
                </c:pt>
                <c:pt idx="5">
                  <c:v>0</c:v>
                </c:pt>
                <c:pt idx="6">
                  <c:v>0</c:v>
                </c:pt>
              </c:numCache>
            </c:numRef>
          </c:val>
          <c:extLst xmlns:c16r2="http://schemas.microsoft.com/office/drawing/2015/06/chart">
            <c:ext xmlns:c16="http://schemas.microsoft.com/office/drawing/2014/chart" uri="{C3380CC4-5D6E-409C-BE32-E72D297353CC}">
              <c16:uniqueId val="{00000010-9D91-4737-BACA-CEA3993B3F99}"/>
            </c:ext>
          </c:extLst>
        </c:ser>
        <c:dLbls>
          <c:showLegendKey val="0"/>
          <c:showVal val="0"/>
          <c:showCatName val="0"/>
          <c:showSerName val="0"/>
          <c:showPercent val="0"/>
          <c:showBubbleSize val="0"/>
        </c:dLbls>
        <c:gapWidth val="70"/>
        <c:overlap val="100"/>
        <c:axId val="79090048"/>
        <c:axId val="79091584"/>
      </c:barChart>
      <c:catAx>
        <c:axId val="79090048"/>
        <c:scaling>
          <c:orientation val="minMax"/>
        </c:scaling>
        <c:delete val="0"/>
        <c:axPos val="l"/>
        <c:numFmt formatCode="General" sourceLinked="0"/>
        <c:majorTickMark val="out"/>
        <c:minorTickMark val="none"/>
        <c:tickLblPos val="low"/>
        <c:crossAx val="79091584"/>
        <c:crosses val="autoZero"/>
        <c:auto val="1"/>
        <c:lblAlgn val="ctr"/>
        <c:lblOffset val="100"/>
        <c:noMultiLvlLbl val="0"/>
      </c:catAx>
      <c:valAx>
        <c:axId val="79091584"/>
        <c:scaling>
          <c:orientation val="minMax"/>
        </c:scaling>
        <c:delete val="1"/>
        <c:axPos val="b"/>
        <c:majorGridlines>
          <c:spPr>
            <a:ln>
              <a:solidFill>
                <a:schemeClr val="bg1">
                  <a:lumMod val="85000"/>
                </a:schemeClr>
              </a:solidFill>
            </a:ln>
          </c:spPr>
        </c:majorGridlines>
        <c:numFmt formatCode="0%" sourceLinked="1"/>
        <c:majorTickMark val="out"/>
        <c:minorTickMark val="none"/>
        <c:tickLblPos val="none"/>
        <c:crossAx val="79090048"/>
        <c:crosses val="autoZero"/>
        <c:crossBetween val="between"/>
      </c:valAx>
      <c:spPr>
        <a:ln>
          <a:solidFill>
            <a:schemeClr val="bg1">
              <a:lumMod val="95000"/>
              <a:alpha val="0"/>
            </a:schemeClr>
          </a:solidFill>
        </a:ln>
      </c:spPr>
    </c:plotArea>
    <c:plotVisOnly val="1"/>
    <c:dispBlanksAs val="gap"/>
    <c:showDLblsOverMax val="0"/>
  </c:chart>
  <c:spPr>
    <a:ln>
      <a:solidFill>
        <a:schemeClr val="bg1">
          <a:lumMod val="95000"/>
          <a:alpha val="0"/>
        </a:schemeClr>
      </a:solidFill>
    </a:ln>
  </c:spPr>
  <c:txPr>
    <a:bodyPr/>
    <a:lstStyle/>
    <a:p>
      <a:pPr>
        <a:defRPr sz="900">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
          <c:y val="2.0196360662177882E-3"/>
          <c:w val="1"/>
          <c:h val="0.99486190727515122"/>
        </c:manualLayout>
      </c:layout>
      <c:ofPieChart>
        <c:ofPieType val="pie"/>
        <c:varyColors val="1"/>
        <c:ser>
          <c:idx val="0"/>
          <c:order val="0"/>
          <c:tx>
            <c:strRef>
              <c:f>Sheet1!$B$1</c:f>
              <c:strCache>
                <c:ptCount val="1"/>
                <c:pt idx="0">
                  <c:v>Sales</c:v>
                </c:pt>
              </c:strCache>
            </c:strRef>
          </c:tx>
          <c:dPt>
            <c:idx val="0"/>
            <c:bubble3D val="0"/>
            <c:spPr>
              <a:solidFill>
                <a:srgbClr val="FEA34F"/>
              </a:solidFill>
            </c:spPr>
            <c:extLst xmlns:c16r2="http://schemas.microsoft.com/office/drawing/2015/06/chart">
              <c:ext xmlns:c16="http://schemas.microsoft.com/office/drawing/2014/chart" uri="{C3380CC4-5D6E-409C-BE32-E72D297353CC}">
                <c16:uniqueId val="{00000001-61D5-48EE-9A76-6AB0653E6CE0}"/>
              </c:ext>
            </c:extLst>
          </c:dPt>
          <c:dPt>
            <c:idx val="2"/>
            <c:bubble3D val="0"/>
            <c:spPr>
              <a:solidFill>
                <a:srgbClr val="38906C"/>
              </a:solidFill>
            </c:spPr>
            <c:extLst xmlns:c16r2="http://schemas.microsoft.com/office/drawing/2015/06/chart">
              <c:ext xmlns:c16="http://schemas.microsoft.com/office/drawing/2014/chart" uri="{C3380CC4-5D6E-409C-BE32-E72D297353CC}">
                <c16:uniqueId val="{00000003-61D5-48EE-9A76-6AB0653E6CE0}"/>
              </c:ext>
            </c:extLst>
          </c:dPt>
          <c:dPt>
            <c:idx val="3"/>
            <c:bubble3D val="0"/>
            <c:spPr>
              <a:solidFill>
                <a:srgbClr val="7ACCAB"/>
              </a:solidFill>
            </c:spPr>
            <c:extLst xmlns:c16r2="http://schemas.microsoft.com/office/drawing/2015/06/chart">
              <c:ext xmlns:c16="http://schemas.microsoft.com/office/drawing/2014/chart" uri="{C3380CC4-5D6E-409C-BE32-E72D297353CC}">
                <c16:uniqueId val="{00000005-61D5-48EE-9A76-6AB0653E6CE0}"/>
              </c:ext>
            </c:extLst>
          </c:dPt>
          <c:dPt>
            <c:idx val="4"/>
            <c:bubble3D val="0"/>
            <c:spPr>
              <a:solidFill>
                <a:srgbClr val="016AA3"/>
              </a:solidFill>
            </c:spPr>
            <c:extLst xmlns:c16r2="http://schemas.microsoft.com/office/drawing/2015/06/chart">
              <c:ext xmlns:c16="http://schemas.microsoft.com/office/drawing/2014/chart" uri="{C3380CC4-5D6E-409C-BE32-E72D297353CC}">
                <c16:uniqueId val="{00000007-61D5-48EE-9A76-6AB0653E6CE0}"/>
              </c:ext>
            </c:extLst>
          </c:dPt>
          <c:dLbls>
            <c:dLbl>
              <c:idx val="1"/>
              <c:delete val="1"/>
              <c:extLst xmlns:c16r2="http://schemas.microsoft.com/office/drawing/2015/06/chart">
                <c:ext xmlns:c16="http://schemas.microsoft.com/office/drawing/2014/chart" uri="{C3380CC4-5D6E-409C-BE32-E72D297353CC}">
                  <c16:uniqueId val="{00000008-61D5-48EE-9A76-6AB0653E6CE0}"/>
                </c:ext>
                <c:ext xmlns:c15="http://schemas.microsoft.com/office/drawing/2012/chart" uri="{CE6537A1-D6FC-4f65-9D91-7224C49458BB}"/>
              </c:extLst>
            </c:dLbl>
            <c:dLbl>
              <c:idx val="2"/>
              <c:tx>
                <c:rich>
                  <a:bodyPr/>
                  <a:lstStyle/>
                  <a:p>
                    <a:r>
                      <a:rPr lang="en-US"/>
                      <a:t>60,7%</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61D5-48EE-9A76-6AB0653E6CE0}"/>
                </c:ext>
                <c:ext xmlns:c15="http://schemas.microsoft.com/office/drawing/2012/chart" uri="{CE6537A1-D6FC-4f65-9D91-7224C49458BB}">
                  <c15:layout/>
                </c:ext>
              </c:extLst>
            </c:dLbl>
            <c:dLbl>
              <c:idx val="3"/>
              <c:tx>
                <c:rich>
                  <a:bodyPr/>
                  <a:lstStyle/>
                  <a:p>
                    <a:r>
                      <a:rPr lang="en-US"/>
                      <a:t>39,3%</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61D5-48EE-9A76-6AB0653E6CE0}"/>
                </c:ext>
                <c:ext xmlns:c15="http://schemas.microsoft.com/office/drawing/2012/chart" uri="{CE6537A1-D6FC-4f65-9D91-7224C49458BB}">
                  <c15:layout/>
                </c:ext>
              </c:extLst>
            </c:dLbl>
            <c:spPr>
              <a:ln>
                <a:noFill/>
              </a:ln>
            </c:spPr>
            <c:txPr>
              <a:bodyPr/>
              <a:lstStyle/>
              <a:p>
                <a:pPr>
                  <a:defRPr b="1">
                    <a:solidFill>
                      <a:schemeClr val="bg1"/>
                    </a:solidFill>
                  </a:defRPr>
                </a:pPr>
                <a:endParaRPr lang="en-US"/>
              </a:p>
            </c:txPr>
            <c:showLegendKey val="0"/>
            <c:showVal val="1"/>
            <c:showCatName val="0"/>
            <c:showSerName val="0"/>
            <c:showPercent val="0"/>
            <c:showBubbleSize val="0"/>
            <c:showLeaderLines val="1"/>
            <c:extLst xmlns:c16r2="http://schemas.microsoft.com/office/drawing/2015/06/chart">
              <c:ext xmlns:c15="http://schemas.microsoft.com/office/drawing/2012/chart" uri="{CE6537A1-D6FC-4f65-9D91-7224C49458BB}">
                <c15:layout/>
              </c:ext>
            </c:extLst>
          </c:dLbls>
          <c:cat>
            <c:strRef>
              <c:f>Sheet1!$A$2:$A$5</c:f>
              <c:strCache>
                <c:ptCount val="4"/>
                <c:pt idx="0">
                  <c:v>Not implemented</c:v>
                </c:pt>
                <c:pt idx="2">
                  <c:v>Implemented</c:v>
                </c:pt>
                <c:pt idx="3">
                  <c:v>Partially implemented</c:v>
                </c:pt>
              </c:strCache>
            </c:strRef>
          </c:cat>
          <c:val>
            <c:numRef>
              <c:f>Sheet1!$B$2:$B$5</c:f>
              <c:numCache>
                <c:formatCode>0.0%</c:formatCode>
                <c:ptCount val="4"/>
                <c:pt idx="0">
                  <c:v>0.29200000000000031</c:v>
                </c:pt>
                <c:pt idx="1">
                  <c:v>0</c:v>
                </c:pt>
                <c:pt idx="2">
                  <c:v>0.43000000000000038</c:v>
                </c:pt>
                <c:pt idx="3">
                  <c:v>0.27800000000000002</c:v>
                </c:pt>
              </c:numCache>
            </c:numRef>
          </c:val>
          <c:extLst xmlns:c16r2="http://schemas.microsoft.com/office/drawing/2015/06/chart">
            <c:ext xmlns:c16="http://schemas.microsoft.com/office/drawing/2014/chart" uri="{C3380CC4-5D6E-409C-BE32-E72D297353CC}">
              <c16:uniqueId val="{00000009-61D5-48EE-9A76-6AB0653E6CE0}"/>
            </c:ext>
          </c:extLst>
        </c:ser>
        <c:dLbls>
          <c:showLegendKey val="0"/>
          <c:showVal val="0"/>
          <c:showCatName val="0"/>
          <c:showSerName val="0"/>
          <c:showPercent val="0"/>
          <c:showBubbleSize val="0"/>
          <c:showLeaderLines val="1"/>
        </c:dLbls>
        <c:gapWidth val="100"/>
        <c:secondPieSize val="75"/>
        <c:serLines>
          <c:spPr>
            <a:ln>
              <a:solidFill>
                <a:schemeClr val="bg1">
                  <a:lumMod val="85000"/>
                </a:schemeClr>
              </a:solidFill>
            </a:ln>
          </c:spPr>
        </c:serLines>
      </c:ofPieChart>
    </c:plotArea>
    <c:plotVisOnly val="1"/>
    <c:dispBlanksAs val="zero"/>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6.5835338291046971E-2"/>
          <c:y val="4.4057617797775318E-2"/>
          <c:w val="0.77579579356794248"/>
          <c:h val="0.66047399507845905"/>
        </c:manualLayout>
      </c:layout>
      <c:barChart>
        <c:barDir val="col"/>
        <c:grouping val="clustered"/>
        <c:varyColors val="0"/>
        <c:ser>
          <c:idx val="0"/>
          <c:order val="0"/>
          <c:tx>
            <c:strRef>
              <c:f>Sheet1!$B$1</c:f>
              <c:strCache>
                <c:ptCount val="1"/>
                <c:pt idx="0">
                  <c:v>EUR billion</c:v>
                </c:pt>
              </c:strCache>
            </c:strRef>
          </c:tx>
          <c:spPr>
            <a:gradFill>
              <a:gsLst>
                <a:gs pos="0">
                  <a:schemeClr val="accent2">
                    <a:lumMod val="60000"/>
                    <a:lumOff val="40000"/>
                  </a:schemeClr>
                </a:gs>
                <a:gs pos="50000">
                  <a:schemeClr val="accent2">
                    <a:lumMod val="75000"/>
                  </a:schemeClr>
                </a:gs>
                <a:gs pos="100000">
                  <a:schemeClr val="accent1">
                    <a:tint val="23500"/>
                    <a:satMod val="160000"/>
                  </a:schemeClr>
                </a:gs>
              </a:gsLst>
              <a:lin ang="5400000" scaled="0"/>
            </a:gradFill>
            <a:ln>
              <a:noFill/>
            </a:ln>
          </c:spPr>
          <c:invertIfNegative val="0"/>
          <c:dLbls>
            <c:txPr>
              <a:bodyPr/>
              <a:lstStyle/>
              <a:p>
                <a:pPr>
                  <a:defRPr sz="800"/>
                </a:pPr>
                <a:endParaRPr lang="en-US"/>
              </a:p>
            </c:txPr>
            <c:showLegendKey val="0"/>
            <c:showVal val="1"/>
            <c:showCatName val="0"/>
            <c:showSerName val="0"/>
            <c:showPercent val="0"/>
            <c:showBubbleSize val="0"/>
            <c:showLeaderLines val="0"/>
          </c:dLbls>
          <c:cat>
            <c:numRef>
              <c:f>Sheet1!$A$2:$A$6</c:f>
              <c:numCache>
                <c:formatCode>General</c:formatCode>
                <c:ptCount val="5"/>
                <c:pt idx="0">
                  <c:v>2011</c:v>
                </c:pt>
                <c:pt idx="1">
                  <c:v>2012</c:v>
                </c:pt>
                <c:pt idx="2">
                  <c:v>2013</c:v>
                </c:pt>
                <c:pt idx="3">
                  <c:v>2014</c:v>
                </c:pt>
                <c:pt idx="4">
                  <c:v>2015</c:v>
                </c:pt>
              </c:numCache>
            </c:numRef>
          </c:cat>
          <c:val>
            <c:numRef>
              <c:f>Sheet1!$B$2:$B$6</c:f>
              <c:numCache>
                <c:formatCode>#,##0.00</c:formatCode>
                <c:ptCount val="5"/>
                <c:pt idx="0">
                  <c:v>146.97999999999999</c:v>
                </c:pt>
                <c:pt idx="1">
                  <c:v>159.53</c:v>
                </c:pt>
                <c:pt idx="2">
                  <c:v>161.99</c:v>
                </c:pt>
                <c:pt idx="3">
                  <c:v>160.22</c:v>
                </c:pt>
                <c:pt idx="4">
                  <c:v>151.53</c:v>
                </c:pt>
              </c:numCache>
            </c:numRef>
          </c:val>
          <c:extLst xmlns:c16r2="http://schemas.microsoft.com/office/drawing/2015/06/chart">
            <c:ext xmlns:c16="http://schemas.microsoft.com/office/drawing/2014/chart" uri="{C3380CC4-5D6E-409C-BE32-E72D297353CC}">
              <c16:uniqueId val="{00000000-9A7D-42AB-B0A8-46D6FB654812}"/>
            </c:ext>
          </c:extLst>
        </c:ser>
        <c:dLbls>
          <c:showLegendKey val="0"/>
          <c:showVal val="0"/>
          <c:showCatName val="0"/>
          <c:showSerName val="0"/>
          <c:showPercent val="0"/>
          <c:showBubbleSize val="0"/>
        </c:dLbls>
        <c:gapWidth val="100"/>
        <c:axId val="56957952"/>
        <c:axId val="56959744"/>
      </c:barChart>
      <c:catAx>
        <c:axId val="56957952"/>
        <c:scaling>
          <c:orientation val="minMax"/>
        </c:scaling>
        <c:delete val="0"/>
        <c:axPos val="b"/>
        <c:numFmt formatCode="General" sourceLinked="1"/>
        <c:majorTickMark val="out"/>
        <c:minorTickMark val="none"/>
        <c:tickLblPos val="nextTo"/>
        <c:txPr>
          <a:bodyPr/>
          <a:lstStyle/>
          <a:p>
            <a:pPr>
              <a:defRPr sz="800"/>
            </a:pPr>
            <a:endParaRPr lang="en-US"/>
          </a:p>
        </c:txPr>
        <c:crossAx val="56959744"/>
        <c:crosses val="autoZero"/>
        <c:auto val="1"/>
        <c:lblAlgn val="ctr"/>
        <c:lblOffset val="100"/>
        <c:noMultiLvlLbl val="0"/>
      </c:catAx>
      <c:valAx>
        <c:axId val="56959744"/>
        <c:scaling>
          <c:orientation val="minMax"/>
        </c:scaling>
        <c:delete val="0"/>
        <c:axPos val="l"/>
        <c:majorGridlines/>
        <c:numFmt formatCode="#,##0" sourceLinked="0"/>
        <c:majorTickMark val="out"/>
        <c:minorTickMark val="none"/>
        <c:tickLblPos val="nextTo"/>
        <c:txPr>
          <a:bodyPr/>
          <a:lstStyle/>
          <a:p>
            <a:pPr>
              <a:defRPr sz="800"/>
            </a:pPr>
            <a:endParaRPr lang="en-US"/>
          </a:p>
        </c:txPr>
        <c:crossAx val="56957952"/>
        <c:crosses val="autoZero"/>
        <c:crossBetween val="between"/>
      </c:valAx>
    </c:plotArea>
    <c:legend>
      <c:legendPos val="b"/>
      <c:layout>
        <c:manualLayout>
          <c:xMode val="edge"/>
          <c:yMode val="edge"/>
          <c:x val="0.39909208613523678"/>
          <c:y val="0.87071661885785057"/>
          <c:w val="0.28385768008577489"/>
          <c:h val="0.12928316826600703"/>
        </c:manualLayout>
      </c:layout>
      <c:overlay val="0"/>
      <c:txPr>
        <a:bodyPr/>
        <a:lstStyle/>
        <a:p>
          <a:pPr>
            <a:defRPr sz="900">
              <a:latin typeface="Times New Roman" panose="02020603050405020304" pitchFamily="18" charset="0"/>
              <a:cs typeface="Times New Roman" panose="02020603050405020304" pitchFamily="18" charset="0"/>
            </a:defRPr>
          </a:pPr>
          <a:endParaRPr lang="en-US"/>
        </a:p>
      </c:txPr>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8.8277255478876882E-2"/>
          <c:y val="3.2929305847410349E-2"/>
          <c:w val="0.82120570093573453"/>
          <c:h val="0.79226239751815863"/>
        </c:manualLayout>
      </c:layout>
      <c:barChart>
        <c:barDir val="col"/>
        <c:grouping val="stacked"/>
        <c:varyColors val="0"/>
        <c:ser>
          <c:idx val="0"/>
          <c:order val="0"/>
          <c:tx>
            <c:strRef>
              <c:f>Sheet1!$B$1</c:f>
              <c:strCache>
                <c:ptCount val="1"/>
                <c:pt idx="0">
                  <c:v>Refused registrations</c:v>
                </c:pt>
              </c:strCache>
            </c:strRef>
          </c:tx>
          <c:spPr>
            <a:solidFill>
              <a:srgbClr val="C00000"/>
            </a:solidFill>
            <a:ln>
              <a:solidFill>
                <a:srgbClr val="46B688"/>
              </a:solidFill>
            </a:ln>
          </c:spPr>
          <c:invertIfNegative val="0"/>
          <c:dPt>
            <c:idx val="0"/>
            <c:invertIfNegative val="0"/>
            <c:bubble3D val="0"/>
            <c:spPr>
              <a:solidFill>
                <a:schemeClr val="accent1">
                  <a:lumMod val="40000"/>
                  <a:lumOff val="60000"/>
                </a:schemeClr>
              </a:solidFill>
              <a:ln>
                <a:noFill/>
              </a:ln>
            </c:spPr>
            <c:extLst xmlns:c16r2="http://schemas.microsoft.com/office/drawing/2015/06/chart">
              <c:ext xmlns:c16="http://schemas.microsoft.com/office/drawing/2014/chart" uri="{C3380CC4-5D6E-409C-BE32-E72D297353CC}">
                <c16:uniqueId val="{00000000-7A4B-466F-B722-CE6F2A575053}"/>
              </c:ext>
            </c:extLst>
          </c:dPt>
          <c:dPt>
            <c:idx val="1"/>
            <c:invertIfNegative val="0"/>
            <c:bubble3D val="0"/>
            <c:spPr>
              <a:solidFill>
                <a:srgbClr val="C00000"/>
              </a:solidFill>
              <a:ln>
                <a:noFill/>
              </a:ln>
            </c:spPr>
            <c:extLst xmlns:c16r2="http://schemas.microsoft.com/office/drawing/2015/06/chart">
              <c:ext xmlns:c16="http://schemas.microsoft.com/office/drawing/2014/chart" uri="{C3380CC4-5D6E-409C-BE32-E72D297353CC}">
                <c16:uniqueId val="{00000009-7A4B-466F-B722-CE6F2A575053}"/>
              </c:ext>
            </c:extLst>
          </c:dPt>
          <c:dPt>
            <c:idx val="2"/>
            <c:invertIfNegative val="0"/>
            <c:bubble3D val="0"/>
            <c:spPr>
              <a:solidFill>
                <a:schemeClr val="accent1">
                  <a:lumMod val="40000"/>
                  <a:lumOff val="60000"/>
                </a:schemeClr>
              </a:solidFill>
              <a:ln>
                <a:noFill/>
              </a:ln>
            </c:spPr>
          </c:dPt>
          <c:dPt>
            <c:idx val="3"/>
            <c:invertIfNegative val="0"/>
            <c:bubble3D val="0"/>
            <c:spPr>
              <a:solidFill>
                <a:srgbClr val="C00000"/>
              </a:solidFill>
              <a:ln>
                <a:noFill/>
              </a:ln>
            </c:spPr>
            <c:extLst xmlns:c16r2="http://schemas.microsoft.com/office/drawing/2015/06/chart">
              <c:ext xmlns:c16="http://schemas.microsoft.com/office/drawing/2014/chart" uri="{C3380CC4-5D6E-409C-BE32-E72D297353CC}">
                <c16:uniqueId val="{0000000A-7A4B-466F-B722-CE6F2A575053}"/>
              </c:ext>
            </c:extLst>
          </c:dPt>
          <c:dPt>
            <c:idx val="4"/>
            <c:invertIfNegative val="0"/>
            <c:bubble3D val="0"/>
            <c:spPr>
              <a:solidFill>
                <a:schemeClr val="accent1">
                  <a:lumMod val="40000"/>
                  <a:lumOff val="60000"/>
                </a:schemeClr>
              </a:solidFill>
              <a:ln>
                <a:noFill/>
              </a:ln>
            </c:spPr>
          </c:dPt>
          <c:dPt>
            <c:idx val="5"/>
            <c:invertIfNegative val="0"/>
            <c:bubble3D val="0"/>
            <c:spPr>
              <a:solidFill>
                <a:srgbClr val="C00000"/>
              </a:solidFill>
              <a:ln>
                <a:noFill/>
              </a:ln>
            </c:spPr>
            <c:extLst xmlns:c16r2="http://schemas.microsoft.com/office/drawing/2015/06/chart">
              <c:ext xmlns:c16="http://schemas.microsoft.com/office/drawing/2014/chart" uri="{C3380CC4-5D6E-409C-BE32-E72D297353CC}">
                <c16:uniqueId val="{0000000B-7A4B-466F-B722-CE6F2A575053}"/>
              </c:ext>
            </c:extLst>
          </c:dPt>
          <c:dLbls>
            <c:dLbl>
              <c:idx val="0"/>
              <c:tx>
                <c:rich>
                  <a:bodyPr rot="-5400000" vert="horz"/>
                  <a:lstStyle/>
                  <a:p>
                    <a:pPr>
                      <a:defRPr sz="900" b="1">
                        <a:solidFill>
                          <a:schemeClr val="tx2">
                            <a:lumMod val="50000"/>
                          </a:schemeClr>
                        </a:solidFill>
                      </a:defRPr>
                    </a:pPr>
                    <a:r>
                      <a:rPr lang="en-US" sz="900" b="1" spc="100" baseline="0">
                        <a:solidFill>
                          <a:schemeClr val="tx2">
                            <a:lumMod val="50000"/>
                          </a:schemeClr>
                        </a:solidFill>
                      </a:rPr>
                      <a:t>4,216,197</a:t>
                    </a:r>
                    <a:endParaRPr lang="en-US" sz="900" b="0" spc="100" baseline="0">
                      <a:solidFill>
                        <a:schemeClr val="accent1">
                          <a:lumMod val="75000"/>
                        </a:schemeClr>
                      </a:solidFill>
                    </a:endParaRPr>
                  </a:p>
                </c:rich>
              </c:tx>
              <c:spPr/>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7A4B-466F-B722-CE6F2A575053}"/>
                </c:ext>
                <c:ext xmlns:c15="http://schemas.microsoft.com/office/drawing/2012/chart" uri="{CE6537A1-D6FC-4f65-9D91-7224C49458BB}">
                  <c15:layout/>
                </c:ext>
              </c:extLst>
            </c:dLbl>
            <c:dLbl>
              <c:idx val="1"/>
              <c:layout>
                <c:manualLayout>
                  <c:x val="5.5549663924533255E-6"/>
                  <c:y val="-3.682015636276903E-2"/>
                </c:manualLayout>
              </c:layout>
              <c:tx>
                <c:rich>
                  <a:bodyPr/>
                  <a:lstStyle/>
                  <a:p>
                    <a:r>
                      <a:rPr lang="en-US" sz="900" b="1">
                        <a:solidFill>
                          <a:schemeClr val="tx2">
                            <a:lumMod val="50000"/>
                          </a:schemeClr>
                        </a:solidFill>
                      </a:rPr>
                      <a:t>2.32 %</a:t>
                    </a:r>
                    <a:endParaRPr lang="en-US" b="0">
                      <a:solidFill>
                        <a:schemeClr val="accent1">
                          <a:lumMod val="50000"/>
                        </a:schemeClr>
                      </a:solidFill>
                    </a:endParaRPr>
                  </a:p>
                </c:rich>
              </c:tx>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7A4B-466F-B722-CE6F2A575053}"/>
                </c:ext>
                <c:ext xmlns:c15="http://schemas.microsoft.com/office/drawing/2012/chart" uri="{CE6537A1-D6FC-4f65-9D91-7224C49458BB}">
                  <c15:layout/>
                </c:ext>
              </c:extLst>
            </c:dLbl>
            <c:dLbl>
              <c:idx val="2"/>
              <c:tx>
                <c:rich>
                  <a:bodyPr rot="-5400000" vert="horz"/>
                  <a:lstStyle/>
                  <a:p>
                    <a:pPr>
                      <a:defRPr sz="900" b="1">
                        <a:solidFill>
                          <a:schemeClr val="tx2">
                            <a:lumMod val="50000"/>
                          </a:schemeClr>
                        </a:solidFill>
                      </a:defRPr>
                    </a:pPr>
                    <a:r>
                      <a:rPr lang="en-US" sz="900" b="1" spc="100" baseline="0">
                        <a:solidFill>
                          <a:schemeClr val="tx2">
                            <a:lumMod val="50000"/>
                          </a:schemeClr>
                        </a:solidFill>
                      </a:rPr>
                      <a:t>4,249,115</a:t>
                    </a:r>
                    <a:endParaRPr lang="en-US" sz="900" b="0" spc="100" baseline="0"/>
                  </a:p>
                </c:rich>
              </c:tx>
              <c:spPr>
                <a:noFill/>
                <a:ln>
                  <a:noFill/>
                </a:ln>
                <a:effectLst/>
              </c:sp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7A4B-466F-B722-CE6F2A575053}"/>
                </c:ext>
                <c:ext xmlns:c15="http://schemas.microsoft.com/office/drawing/2012/chart" uri="{CE6537A1-D6FC-4f65-9D91-7224C49458BB}">
                  <c15:layout/>
                </c:ext>
              </c:extLst>
            </c:dLbl>
            <c:dLbl>
              <c:idx val="3"/>
              <c:layout>
                <c:manualLayout>
                  <c:x val="5.8789381846841908E-17"/>
                  <c:y val="-3.7816105991260861E-2"/>
                </c:manualLayout>
              </c:layout>
              <c:tx>
                <c:rich>
                  <a:bodyPr/>
                  <a:lstStyle/>
                  <a:p>
                    <a:r>
                      <a:rPr lang="en-US" sz="900" b="1">
                        <a:solidFill>
                          <a:schemeClr val="tx2">
                            <a:lumMod val="50000"/>
                          </a:schemeClr>
                        </a:solidFill>
                      </a:rPr>
                      <a:t>2.33 %</a:t>
                    </a:r>
                    <a:endParaRPr lang="en-US" b="0">
                      <a:solidFill>
                        <a:schemeClr val="tx2">
                          <a:lumMod val="75000"/>
                        </a:schemeClr>
                      </a:solidFill>
                    </a:endParaRPr>
                  </a:p>
                </c:rich>
              </c:tx>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A-7A4B-466F-B722-CE6F2A575053}"/>
                </c:ext>
                <c:ext xmlns:c15="http://schemas.microsoft.com/office/drawing/2012/chart" uri="{CE6537A1-D6FC-4f65-9D91-7224C49458BB}">
                  <c15:layout/>
                </c:ext>
              </c:extLst>
            </c:dLbl>
            <c:dLbl>
              <c:idx val="4"/>
              <c:tx>
                <c:rich>
                  <a:bodyPr rot="-5400000" vert="horz"/>
                  <a:lstStyle/>
                  <a:p>
                    <a:pPr>
                      <a:defRPr sz="900" b="1">
                        <a:solidFill>
                          <a:schemeClr val="tx2">
                            <a:lumMod val="50000"/>
                          </a:schemeClr>
                        </a:solidFill>
                      </a:defRPr>
                    </a:pPr>
                    <a:r>
                      <a:rPr lang="en-US" sz="900" b="1" spc="100" baseline="0">
                        <a:solidFill>
                          <a:schemeClr val="tx2">
                            <a:lumMod val="50000"/>
                          </a:schemeClr>
                        </a:solidFill>
                      </a:rPr>
                      <a:t>4,254,909</a:t>
                    </a:r>
                    <a:endParaRPr lang="en-US" sz="900" b="0" spc="100" baseline="0"/>
                  </a:p>
                </c:rich>
              </c:tx>
              <c:spPr>
                <a:noFill/>
                <a:ln>
                  <a:noFill/>
                </a:ln>
                <a:effectLst/>
              </c:sp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7A4B-466F-B722-CE6F2A575053}"/>
                </c:ext>
                <c:ext xmlns:c15="http://schemas.microsoft.com/office/drawing/2012/chart" uri="{CE6537A1-D6FC-4f65-9D91-7224C49458BB}">
                  <c15:layout/>
                </c:ext>
              </c:extLst>
            </c:dLbl>
            <c:dLbl>
              <c:idx val="5"/>
              <c:layout>
                <c:manualLayout>
                  <c:x val="0"/>
                  <c:y val="-4.147806155312591E-2"/>
                </c:manualLayout>
              </c:layout>
              <c:tx>
                <c:rich>
                  <a:bodyPr/>
                  <a:lstStyle/>
                  <a:p>
                    <a:r>
                      <a:rPr lang="en-US" sz="900" b="1">
                        <a:solidFill>
                          <a:schemeClr val="tx2">
                            <a:lumMod val="50000"/>
                          </a:schemeClr>
                        </a:solidFill>
                      </a:rPr>
                      <a:t>3.71 %</a:t>
                    </a:r>
                    <a:endParaRPr lang="en-US" b="0">
                      <a:solidFill>
                        <a:schemeClr val="tx2">
                          <a:lumMod val="75000"/>
                        </a:schemeClr>
                      </a:solidFill>
                    </a:endParaRPr>
                  </a:p>
                </c:rich>
              </c:tx>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B-7A4B-466F-B722-CE6F2A575053}"/>
                </c:ext>
                <c:ext xmlns:c15="http://schemas.microsoft.com/office/drawing/2012/chart" uri="{CE6537A1-D6FC-4f65-9D91-7224C49458BB}">
                  <c15:layout/>
                </c:ext>
              </c:extLst>
            </c:dLbl>
            <c:spPr>
              <a:noFill/>
              <a:ln>
                <a:noFill/>
              </a:ln>
              <a:effectLst/>
            </c:spPr>
            <c:txPr>
              <a:bodyPr/>
              <a:lstStyle/>
              <a:p>
                <a:pPr>
                  <a:defRPr sz="900" b="1">
                    <a:solidFill>
                      <a:schemeClr val="tx2">
                        <a:lumMod val="50000"/>
                      </a:schemeClr>
                    </a:solidFill>
                  </a:defRPr>
                </a:pPr>
                <a:endParaRPr lang="en-U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numRef>
              <c:f>Sheet1!$A$2:$A$7</c:f>
              <c:numCache>
                <c:formatCode>General</c:formatCode>
                <c:ptCount val="6"/>
                <c:pt idx="0">
                  <c:v>2013</c:v>
                </c:pt>
                <c:pt idx="2">
                  <c:v>2014</c:v>
                </c:pt>
                <c:pt idx="4">
                  <c:v>2015</c:v>
                </c:pt>
              </c:numCache>
            </c:numRef>
          </c:cat>
          <c:val>
            <c:numRef>
              <c:f>Sheet1!$B$2:$B$7</c:f>
              <c:numCache>
                <c:formatCode>0.00%</c:formatCode>
                <c:ptCount val="6"/>
                <c:pt idx="0">
                  <c:v>1</c:v>
                </c:pt>
                <c:pt idx="1">
                  <c:v>2.3199999999999998E-2</c:v>
                </c:pt>
                <c:pt idx="2">
                  <c:v>1</c:v>
                </c:pt>
                <c:pt idx="3">
                  <c:v>2.3300000000000001E-2</c:v>
                </c:pt>
                <c:pt idx="4">
                  <c:v>1</c:v>
                </c:pt>
                <c:pt idx="5">
                  <c:v>3.7100000000000001E-2</c:v>
                </c:pt>
              </c:numCache>
            </c:numRef>
          </c:val>
          <c:extLst xmlns:c16r2="http://schemas.microsoft.com/office/drawing/2015/06/chart">
            <c:ext xmlns:c16="http://schemas.microsoft.com/office/drawing/2014/chart" uri="{C3380CC4-5D6E-409C-BE32-E72D297353CC}">
              <c16:uniqueId val="{00000003-7A4B-466F-B722-CE6F2A575053}"/>
            </c:ext>
          </c:extLst>
        </c:ser>
        <c:ser>
          <c:idx val="1"/>
          <c:order val="1"/>
          <c:tx>
            <c:strRef>
              <c:f>Sheet1!$C$1</c:f>
              <c:strCache>
                <c:ptCount val="1"/>
                <c:pt idx="0">
                  <c:v>Registration requests change</c:v>
                </c:pt>
              </c:strCache>
            </c:strRef>
          </c:tx>
          <c:spPr>
            <a:solidFill>
              <a:schemeClr val="tx2">
                <a:lumMod val="50000"/>
              </a:schemeClr>
            </a:solidFill>
            <a:ln>
              <a:noFill/>
            </a:ln>
          </c:spPr>
          <c:invertIfNegative val="0"/>
          <c:dLbls>
            <c:dLbl>
              <c:idx val="0"/>
              <c:delete val="1"/>
              <c:extLst xmlns:c16r2="http://schemas.microsoft.com/office/drawing/2015/06/chart">
                <c:ext xmlns:c16="http://schemas.microsoft.com/office/drawing/2014/chart" uri="{C3380CC4-5D6E-409C-BE32-E72D297353CC}">
                  <c16:uniqueId val="{00000004-7A4B-466F-B722-CE6F2A575053}"/>
                </c:ext>
                <c:ext xmlns:c15="http://schemas.microsoft.com/office/drawing/2012/chart" uri="{CE6537A1-D6FC-4f65-9D91-7224C49458BB}"/>
              </c:extLst>
            </c:dLbl>
            <c:dLbl>
              <c:idx val="1"/>
              <c:tx>
                <c:rich>
                  <a:bodyPr/>
                  <a:lstStyle/>
                  <a:p>
                    <a:r>
                      <a:rPr lang="en-US" sz="900" b="1" spc="30" baseline="0">
                        <a:solidFill>
                          <a:sysClr val="windowText" lastClr="000000"/>
                        </a:solidFill>
                        <a:latin typeface="Times New Roman" panose="02020603050405020304" pitchFamily="18" charset="0"/>
                        <a:cs typeface="Times New Roman" panose="02020603050405020304" pitchFamily="18" charset="0"/>
                      </a:rPr>
                      <a:t>+ 0.78%</a:t>
                    </a:r>
                    <a:endParaRPr lang="en-US"/>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7A4B-466F-B722-CE6F2A575053}"/>
                </c:ext>
                <c:ext xmlns:c15="http://schemas.microsoft.com/office/drawing/2012/chart" uri="{CE6537A1-D6FC-4f65-9D91-7224C49458BB}"/>
              </c:extLst>
            </c:dLbl>
            <c:dLbl>
              <c:idx val="2"/>
              <c:layout>
                <c:manualLayout>
                  <c:x val="0.1251152879975081"/>
                  <c:y val="-1.3688135697994869E-5"/>
                </c:manualLayout>
              </c:layout>
              <c:tx>
                <c:rich>
                  <a:bodyPr/>
                  <a:lstStyle/>
                  <a:p>
                    <a:pPr>
                      <a:defRPr lang="en-GB" sz="900" b="1" spc="30" baseline="0">
                        <a:solidFill>
                          <a:sysClr val="windowText" lastClr="000000"/>
                        </a:solidFill>
                        <a:latin typeface="Times New Roman" panose="02020603050405020304" pitchFamily="18" charset="0"/>
                        <a:cs typeface="Times New Roman" panose="02020603050405020304" pitchFamily="18" charset="0"/>
                      </a:defRPr>
                    </a:pPr>
                    <a:r>
                      <a:rPr lang="en-US" sz="900" b="1" spc="30" baseline="0">
                        <a:solidFill>
                          <a:sysClr val="windowText" lastClr="000000"/>
                        </a:solidFill>
                        <a:latin typeface="Times New Roman" panose="02020603050405020304" pitchFamily="18" charset="0"/>
                        <a:cs typeface="Times New Roman" panose="02020603050405020304" pitchFamily="18" charset="0"/>
                      </a:rPr>
                      <a:t>+0.78 %</a:t>
                    </a:r>
                    <a:endParaRPr lang="en-US" b="0"/>
                  </a:p>
                </c:rich>
              </c:tx>
              <c:spPr>
                <a:solidFill>
                  <a:srgbClr val="016AA3">
                    <a:alpha val="0"/>
                  </a:srgbClr>
                </a:solidFill>
                <a:ln>
                  <a:noFill/>
                </a:ln>
                <a:effectLst/>
              </c:sp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7A4B-466F-B722-CE6F2A575053}"/>
                </c:ext>
                <c:ext xmlns:c15="http://schemas.microsoft.com/office/drawing/2012/chart" uri="{CE6537A1-D6FC-4f65-9D91-7224C49458BB}">
                  <c15:layout/>
                </c:ext>
              </c:extLst>
            </c:dLbl>
            <c:dLbl>
              <c:idx val="4"/>
              <c:layout>
                <c:manualLayout>
                  <c:x val="0.11227255902947732"/>
                  <c:y val="-3.3558010098312228E-5"/>
                </c:manualLayout>
              </c:layout>
              <c:tx>
                <c:rich>
                  <a:bodyPr lIns="38100" tIns="19050" rIns="38100" bIns="19050">
                    <a:spAutoFit/>
                  </a:bodyPr>
                  <a:lstStyle/>
                  <a:p>
                    <a:pPr>
                      <a:defRPr sz="900" b="1" spc="30" baseline="0">
                        <a:solidFill>
                          <a:sysClr val="windowText" lastClr="000000"/>
                        </a:solidFill>
                        <a:latin typeface="Times New Roman" panose="02020603050405020304" pitchFamily="18" charset="0"/>
                        <a:cs typeface="Times New Roman" panose="02020603050405020304" pitchFamily="18" charset="0"/>
                      </a:defRPr>
                    </a:pPr>
                    <a:r>
                      <a:rPr lang="en-US" sz="900" b="1" spc="30" baseline="0">
                        <a:solidFill>
                          <a:sysClr val="windowText" lastClr="000000"/>
                        </a:solidFill>
                        <a:latin typeface="Times New Roman" panose="02020603050405020304" pitchFamily="18" charset="0"/>
                        <a:cs typeface="Times New Roman" panose="02020603050405020304" pitchFamily="18" charset="0"/>
                      </a:rPr>
                      <a:t>+0.92 %</a:t>
                    </a:r>
                    <a:endParaRPr lang="en-US" sz="800" b="0">
                      <a:solidFill>
                        <a:schemeClr val="bg1"/>
                      </a:solidFill>
                    </a:endParaRPr>
                  </a:p>
                </c:rich>
              </c:tx>
              <c:spPr>
                <a:solidFill>
                  <a:srgbClr val="016AA3">
                    <a:alpha val="0"/>
                  </a:srgbClr>
                </a:solidFill>
                <a:ln>
                  <a:noFill/>
                </a:ln>
              </c:sp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7A4B-466F-B722-CE6F2A575053}"/>
                </c:ext>
                <c:ext xmlns:c15="http://schemas.microsoft.com/office/drawing/2012/chart" uri="{CE6537A1-D6FC-4f65-9D91-7224C49458BB}">
                  <c15:layout/>
                </c:ext>
              </c:extLst>
            </c:dLbl>
            <c:spPr>
              <a:solidFill>
                <a:srgbClr val="016AA3"/>
              </a:solidFill>
              <a:ln>
                <a:noFill/>
              </a:ln>
              <a:effectLst/>
            </c:spPr>
            <c:txPr>
              <a:bodyPr/>
              <a:lstStyle/>
              <a:p>
                <a:pPr>
                  <a:defRPr lang="en-GB" sz="900" b="1" spc="30" baseline="0">
                    <a:solidFill>
                      <a:sysClr val="windowText" lastClr="000000"/>
                    </a:solidFill>
                    <a:latin typeface="Times New Roman" panose="02020603050405020304" pitchFamily="18" charset="0"/>
                    <a:cs typeface="Times New Roman" panose="02020603050405020304" pitchFamily="18" charset="0"/>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Sheet1!$A$2:$A$7</c:f>
              <c:numCache>
                <c:formatCode>General</c:formatCode>
                <c:ptCount val="6"/>
                <c:pt idx="0">
                  <c:v>2013</c:v>
                </c:pt>
                <c:pt idx="2">
                  <c:v>2014</c:v>
                </c:pt>
                <c:pt idx="4">
                  <c:v>2015</c:v>
                </c:pt>
              </c:numCache>
            </c:numRef>
          </c:cat>
          <c:val>
            <c:numRef>
              <c:f>Sheet1!$C$2:$C$7</c:f>
              <c:numCache>
                <c:formatCode>General</c:formatCode>
                <c:ptCount val="6"/>
                <c:pt idx="0" formatCode="0.00%">
                  <c:v>0</c:v>
                </c:pt>
                <c:pt idx="2" formatCode="0.00%">
                  <c:v>7.7999999999999996E-3</c:v>
                </c:pt>
                <c:pt idx="4" formatCode="0.00%">
                  <c:v>9.1999999999999998E-3</c:v>
                </c:pt>
              </c:numCache>
            </c:numRef>
          </c:val>
          <c:extLst xmlns:c16r2="http://schemas.microsoft.com/office/drawing/2015/06/chart">
            <c:ext xmlns:c16="http://schemas.microsoft.com/office/drawing/2014/chart" uri="{C3380CC4-5D6E-409C-BE32-E72D297353CC}">
              <c16:uniqueId val="{00000008-7A4B-466F-B722-CE6F2A575053}"/>
            </c:ext>
          </c:extLst>
        </c:ser>
        <c:dLbls>
          <c:showLegendKey val="0"/>
          <c:showVal val="0"/>
          <c:showCatName val="0"/>
          <c:showSerName val="0"/>
          <c:showPercent val="0"/>
          <c:showBubbleSize val="0"/>
        </c:dLbls>
        <c:gapWidth val="50"/>
        <c:overlap val="100"/>
        <c:axId val="57077760"/>
        <c:axId val="57079296"/>
      </c:barChart>
      <c:catAx>
        <c:axId val="57077760"/>
        <c:scaling>
          <c:orientation val="minMax"/>
        </c:scaling>
        <c:delete val="0"/>
        <c:axPos val="b"/>
        <c:numFmt formatCode="General" sourceLinked="1"/>
        <c:majorTickMark val="out"/>
        <c:minorTickMark val="none"/>
        <c:tickLblPos val="nextTo"/>
        <c:txPr>
          <a:bodyPr/>
          <a:lstStyle/>
          <a:p>
            <a:pPr>
              <a:defRPr sz="900"/>
            </a:pPr>
            <a:endParaRPr lang="en-US"/>
          </a:p>
        </c:txPr>
        <c:crossAx val="57079296"/>
        <c:crosses val="autoZero"/>
        <c:auto val="1"/>
        <c:lblAlgn val="ctr"/>
        <c:lblOffset val="100"/>
        <c:noMultiLvlLbl val="0"/>
      </c:catAx>
      <c:valAx>
        <c:axId val="57079296"/>
        <c:scaling>
          <c:orientation val="minMax"/>
          <c:max val="1.01"/>
          <c:min val="0"/>
        </c:scaling>
        <c:delete val="0"/>
        <c:axPos val="l"/>
        <c:majorGridlines>
          <c:spPr>
            <a:ln>
              <a:solidFill>
                <a:schemeClr val="bg1">
                  <a:lumMod val="85000"/>
                </a:schemeClr>
              </a:solidFill>
            </a:ln>
          </c:spPr>
        </c:majorGridlines>
        <c:numFmt formatCode="0%" sourceLinked="0"/>
        <c:majorTickMark val="out"/>
        <c:minorTickMark val="none"/>
        <c:tickLblPos val="nextTo"/>
        <c:txPr>
          <a:bodyPr/>
          <a:lstStyle/>
          <a:p>
            <a:pPr>
              <a:defRPr sz="800"/>
            </a:pPr>
            <a:endParaRPr lang="en-US"/>
          </a:p>
        </c:txPr>
        <c:crossAx val="57077760"/>
        <c:crosses val="autoZero"/>
        <c:crossBetween val="between"/>
      </c:valAx>
    </c:plotArea>
    <c:plotVisOnly val="1"/>
    <c:dispBlanksAs val="gap"/>
    <c:showDLblsOverMax val="0"/>
  </c:chart>
  <c:spPr>
    <a:ln>
      <a:solidFill>
        <a:schemeClr val="accent1">
          <a:lumMod val="60000"/>
          <a:lumOff val="40000"/>
        </a:schemeClr>
      </a:solid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
          <c:y val="1.8047561879877153E-3"/>
          <c:w val="1"/>
          <c:h val="0.9981952438120123"/>
        </c:manualLayout>
      </c:layout>
      <c:barChart>
        <c:barDir val="bar"/>
        <c:grouping val="percentStacked"/>
        <c:varyColors val="0"/>
        <c:ser>
          <c:idx val="0"/>
          <c:order val="0"/>
          <c:tx>
            <c:strRef>
              <c:f>Sheet1!$B$1</c:f>
              <c:strCache>
                <c:ptCount val="1"/>
                <c:pt idx="0">
                  <c:v>Implemented</c:v>
                </c:pt>
              </c:strCache>
            </c:strRef>
          </c:tx>
          <c:invertIfNegative val="0"/>
          <c:dPt>
            <c:idx val="0"/>
            <c:invertIfNegative val="0"/>
            <c:bubble3D val="0"/>
            <c:spPr>
              <a:solidFill>
                <a:schemeClr val="accent1">
                  <a:lumMod val="40000"/>
                  <a:lumOff val="60000"/>
                </a:schemeClr>
              </a:solidFill>
            </c:spPr>
            <c:extLst xmlns:c16r2="http://schemas.microsoft.com/office/drawing/2015/06/chart">
              <c:ext xmlns:c16="http://schemas.microsoft.com/office/drawing/2014/chart" uri="{C3380CC4-5D6E-409C-BE32-E72D297353CC}">
                <c16:uniqueId val="{00000001-A04C-43B8-BF5B-7AC8C8FFEB70}"/>
              </c:ext>
            </c:extLst>
          </c:dPt>
          <c:dPt>
            <c:idx val="1"/>
            <c:invertIfNegative val="0"/>
            <c:bubble3D val="0"/>
            <c:spPr>
              <a:solidFill>
                <a:schemeClr val="accent1">
                  <a:lumMod val="50000"/>
                </a:schemeClr>
              </a:solidFill>
            </c:spPr>
            <c:extLst xmlns:c16r2="http://schemas.microsoft.com/office/drawing/2015/06/chart">
              <c:ext xmlns:c16="http://schemas.microsoft.com/office/drawing/2014/chart" uri="{C3380CC4-5D6E-409C-BE32-E72D297353CC}">
                <c16:uniqueId val="{00000003-A04C-43B8-BF5B-7AC8C8FFEB70}"/>
              </c:ext>
            </c:extLst>
          </c:dPt>
          <c:dPt>
            <c:idx val="2"/>
            <c:invertIfNegative val="0"/>
            <c:bubble3D val="0"/>
            <c:spPr>
              <a:solidFill>
                <a:srgbClr val="82A5D0"/>
              </a:solidFill>
            </c:spPr>
            <c:extLst xmlns:c16r2="http://schemas.microsoft.com/office/drawing/2015/06/chart">
              <c:ext xmlns:c16="http://schemas.microsoft.com/office/drawing/2014/chart" uri="{C3380CC4-5D6E-409C-BE32-E72D297353CC}">
                <c16:uniqueId val="{00000005-A04C-43B8-BF5B-7AC8C8FFEB70}"/>
              </c:ext>
            </c:extLst>
          </c:dPt>
          <c:dPt>
            <c:idx val="3"/>
            <c:invertIfNegative val="0"/>
            <c:bubble3D val="0"/>
            <c:spPr>
              <a:solidFill>
                <a:schemeClr val="accent1">
                  <a:lumMod val="75000"/>
                </a:schemeClr>
              </a:solidFill>
            </c:spPr>
            <c:extLst xmlns:c16r2="http://schemas.microsoft.com/office/drawing/2015/06/chart">
              <c:ext xmlns:c16="http://schemas.microsoft.com/office/drawing/2014/chart" uri="{C3380CC4-5D6E-409C-BE32-E72D297353CC}">
                <c16:uniqueId val="{00000007-A04C-43B8-BF5B-7AC8C8FFEB70}"/>
              </c:ext>
            </c:extLst>
          </c:dPt>
          <c:dPt>
            <c:idx val="4"/>
            <c:invertIfNegative val="0"/>
            <c:bubble3D val="0"/>
            <c:spPr>
              <a:solidFill>
                <a:srgbClr val="4070AA"/>
              </a:solidFill>
            </c:spPr>
            <c:extLst xmlns:c16r2="http://schemas.microsoft.com/office/drawing/2015/06/chart">
              <c:ext xmlns:c16="http://schemas.microsoft.com/office/drawing/2014/chart" uri="{C3380CC4-5D6E-409C-BE32-E72D297353CC}">
                <c16:uniqueId val="{00000009-A04C-43B8-BF5B-7AC8C8FFEB70}"/>
              </c:ext>
            </c:extLst>
          </c:dPt>
          <c:dPt>
            <c:idx val="5"/>
            <c:invertIfNegative val="0"/>
            <c:bubble3D val="0"/>
            <c:spPr>
              <a:solidFill>
                <a:schemeClr val="accent1">
                  <a:lumMod val="60000"/>
                  <a:lumOff val="40000"/>
                </a:schemeClr>
              </a:solidFill>
            </c:spPr>
            <c:extLst xmlns:c16r2="http://schemas.microsoft.com/office/drawing/2015/06/chart">
              <c:ext xmlns:c16="http://schemas.microsoft.com/office/drawing/2014/chart" uri="{C3380CC4-5D6E-409C-BE32-E72D297353CC}">
                <c16:uniqueId val="{0000000B-A04C-43B8-BF5B-7AC8C8FFEB70}"/>
              </c:ext>
            </c:extLst>
          </c:dPt>
          <c:dPt>
            <c:idx val="6"/>
            <c:invertIfNegative val="0"/>
            <c:bubble3D val="0"/>
            <c:spPr>
              <a:solidFill>
                <a:schemeClr val="accent1">
                  <a:lumMod val="75000"/>
                </a:schemeClr>
              </a:solidFill>
            </c:spPr>
            <c:extLst xmlns:c16r2="http://schemas.microsoft.com/office/drawing/2015/06/chart">
              <c:ext xmlns:c16="http://schemas.microsoft.com/office/drawing/2014/chart" uri="{C3380CC4-5D6E-409C-BE32-E72D297353CC}">
                <c16:uniqueId val="{0000000D-A04C-43B8-BF5B-7AC8C8FFEB70}"/>
              </c:ext>
            </c:extLst>
          </c:dPt>
          <c:dLbls>
            <c:dLbl>
              <c:idx val="0"/>
              <c:tx>
                <c:rich>
                  <a:bodyPr/>
                  <a:lstStyle/>
                  <a:p>
                    <a:pPr>
                      <a:defRPr sz="800" b="1">
                        <a:solidFill>
                          <a:srgbClr val="002060"/>
                        </a:solidFill>
                      </a:defRPr>
                    </a:pPr>
                    <a:r>
                      <a:rPr lang="en-US" sz="800">
                        <a:solidFill>
                          <a:srgbClr val="002060"/>
                        </a:solidFill>
                      </a:rPr>
                      <a:t>19 </a:t>
                    </a:r>
                    <a:r>
                      <a:rPr lang="en-US" sz="800" b="1" i="0" u="none" strike="noStrike" baseline="0">
                        <a:effectLst/>
                      </a:rPr>
                      <a:t>Member </a:t>
                    </a:r>
                    <a:r>
                      <a:rPr lang="en-US" sz="800" b="1" i="0" u="none" strike="noStrike" baseline="0">
                        <a:solidFill>
                          <a:srgbClr val="002060"/>
                        </a:solidFill>
                        <a:effectLst/>
                      </a:rPr>
                      <a:t>States</a:t>
                    </a:r>
                    <a:endParaRPr lang="en-US">
                      <a:solidFill>
                        <a:srgbClr val="002060"/>
                      </a:solidFill>
                    </a:endParaRPr>
                  </a:p>
                </c:rich>
              </c:tx>
              <c:spPr>
                <a:noFill/>
                <a:ln>
                  <a:noFill/>
                </a:ln>
                <a:effectLst/>
              </c:spPr>
              <c:showLegendKey val="0"/>
              <c:showVal val="1"/>
              <c:showCatName val="0"/>
              <c:showSerName val="0"/>
              <c:showPercent val="0"/>
              <c:showBubbleSize val="0"/>
            </c:dLbl>
            <c:dLbl>
              <c:idx val="1"/>
              <c:tx>
                <c:rich>
                  <a:bodyPr/>
                  <a:lstStyle/>
                  <a:p>
                    <a:r>
                      <a:rPr lang="en-US" sz="800"/>
                      <a:t>28 </a:t>
                    </a:r>
                    <a:r>
                      <a:rPr lang="en-US" sz="800" b="1" i="0" u="none" strike="noStrike" baseline="0">
                        <a:effectLst/>
                      </a:rPr>
                      <a:t>Member States</a:t>
                    </a:r>
                    <a:endParaRPr lang="en-US"/>
                  </a:p>
                </c:rich>
              </c:tx>
              <c:showLegendKey val="0"/>
              <c:showVal val="1"/>
              <c:showCatName val="0"/>
              <c:showSerName val="0"/>
              <c:showPercent val="0"/>
              <c:showBubbleSize val="0"/>
            </c:dLbl>
            <c:dLbl>
              <c:idx val="2"/>
              <c:tx>
                <c:rich>
                  <a:bodyPr/>
                  <a:lstStyle/>
                  <a:p>
                    <a:pPr>
                      <a:defRPr sz="800" b="1">
                        <a:solidFill>
                          <a:srgbClr val="002060"/>
                        </a:solidFill>
                      </a:defRPr>
                    </a:pPr>
                    <a:r>
                      <a:rPr lang="en-US" sz="800">
                        <a:solidFill>
                          <a:srgbClr val="002060"/>
                        </a:solidFill>
                      </a:rPr>
                      <a:t>23 </a:t>
                    </a:r>
                    <a:r>
                      <a:rPr lang="en-US" sz="800" b="1" i="0" u="none" strike="noStrike" baseline="0">
                        <a:effectLst/>
                      </a:rPr>
                      <a:t>Member </a:t>
                    </a:r>
                    <a:r>
                      <a:rPr lang="en-US" sz="800" b="1" i="0" u="none" strike="noStrike" baseline="0">
                        <a:solidFill>
                          <a:srgbClr val="002060"/>
                        </a:solidFill>
                        <a:effectLst/>
                      </a:rPr>
                      <a:t>States</a:t>
                    </a:r>
                    <a:endParaRPr lang="en-US">
                      <a:solidFill>
                        <a:srgbClr val="002060"/>
                      </a:solidFill>
                    </a:endParaRPr>
                  </a:p>
                </c:rich>
              </c:tx>
              <c:spPr>
                <a:noFill/>
                <a:ln>
                  <a:noFill/>
                </a:ln>
                <a:effectLst/>
              </c:spPr>
              <c:showLegendKey val="0"/>
              <c:showVal val="1"/>
              <c:showCatName val="0"/>
              <c:showSerName val="0"/>
              <c:showPercent val="0"/>
              <c:showBubbleSize val="0"/>
            </c:dLbl>
            <c:dLbl>
              <c:idx val="3"/>
              <c:tx>
                <c:rich>
                  <a:bodyPr/>
                  <a:lstStyle/>
                  <a:p>
                    <a:r>
                      <a:rPr lang="en-US" sz="800"/>
                      <a:t>26 </a:t>
                    </a:r>
                    <a:r>
                      <a:rPr lang="en-US" sz="800" b="1" i="0" u="none" strike="noStrike" baseline="0">
                        <a:effectLst/>
                      </a:rPr>
                      <a:t>Member States</a:t>
                    </a:r>
                    <a:endParaRPr lang="en-US"/>
                  </a:p>
                </c:rich>
              </c:tx>
              <c:showLegendKey val="0"/>
              <c:showVal val="1"/>
              <c:showCatName val="0"/>
              <c:showSerName val="0"/>
              <c:showPercent val="0"/>
              <c:showBubbleSize val="0"/>
            </c:dLbl>
            <c:dLbl>
              <c:idx val="4"/>
              <c:tx>
                <c:rich>
                  <a:bodyPr/>
                  <a:lstStyle/>
                  <a:p>
                    <a:r>
                      <a:rPr lang="en-US" sz="800"/>
                      <a:t>25 Member </a:t>
                    </a:r>
                    <a:r>
                      <a:rPr lang="en-US" sz="800" b="1" i="0" u="none" strike="noStrike" baseline="0">
                        <a:effectLst/>
                      </a:rPr>
                      <a:t>States</a:t>
                    </a:r>
                    <a:endParaRPr lang="en-US"/>
                  </a:p>
                </c:rich>
              </c:tx>
              <c:showLegendKey val="0"/>
              <c:showVal val="1"/>
              <c:showCatName val="0"/>
              <c:showSerName val="0"/>
              <c:showPercent val="0"/>
              <c:showBubbleSize val="0"/>
            </c:dLbl>
            <c:dLbl>
              <c:idx val="5"/>
              <c:tx>
                <c:rich>
                  <a:bodyPr/>
                  <a:lstStyle/>
                  <a:p>
                    <a:pPr>
                      <a:defRPr sz="800" b="1">
                        <a:solidFill>
                          <a:srgbClr val="002060"/>
                        </a:solidFill>
                      </a:defRPr>
                    </a:pPr>
                    <a:r>
                      <a:rPr lang="en-US" sz="800">
                        <a:solidFill>
                          <a:srgbClr val="002060"/>
                        </a:solidFill>
                      </a:rPr>
                      <a:t>23 Member </a:t>
                    </a:r>
                    <a:r>
                      <a:rPr lang="en-US" sz="800" b="1" i="0" u="none" strike="noStrike" baseline="0">
                        <a:solidFill>
                          <a:srgbClr val="002060"/>
                        </a:solidFill>
                        <a:effectLst/>
                      </a:rPr>
                      <a:t>States</a:t>
                    </a:r>
                    <a:endParaRPr lang="en-US">
                      <a:solidFill>
                        <a:srgbClr val="002060"/>
                      </a:solidFill>
                    </a:endParaRPr>
                  </a:p>
                </c:rich>
              </c:tx>
              <c:spPr>
                <a:noFill/>
                <a:ln>
                  <a:noFill/>
                </a:ln>
                <a:effectLst/>
              </c:spPr>
              <c:showLegendKey val="0"/>
              <c:showVal val="1"/>
              <c:showCatName val="0"/>
              <c:showSerName val="0"/>
              <c:showPercent val="0"/>
              <c:showBubbleSize val="0"/>
            </c:dLbl>
            <c:dLbl>
              <c:idx val="6"/>
              <c:tx>
                <c:rich>
                  <a:bodyPr/>
                  <a:lstStyle/>
                  <a:p>
                    <a:r>
                      <a:rPr lang="en-US" sz="800"/>
                      <a:t>26 Member</a:t>
                    </a:r>
                    <a:r>
                      <a:rPr lang="en-US" sz="800" baseline="0"/>
                      <a:t> </a:t>
                    </a:r>
                    <a:r>
                      <a:rPr lang="en-US" sz="800"/>
                      <a:t>States</a:t>
                    </a:r>
                  </a:p>
                </c:rich>
              </c:tx>
              <c:showLegendKey val="0"/>
              <c:showVal val="1"/>
              <c:showCatName val="0"/>
              <c:showSerName val="0"/>
              <c:showPercent val="0"/>
              <c:showBubbleSize val="0"/>
            </c:dLbl>
            <c:spPr>
              <a:noFill/>
              <a:ln>
                <a:noFill/>
              </a:ln>
              <a:effectLst/>
            </c:spPr>
            <c:txPr>
              <a:bodyPr/>
              <a:lstStyle/>
              <a:p>
                <a:pPr>
                  <a:defRPr sz="800" b="1">
                    <a:solidFill>
                      <a:schemeClr val="bg1"/>
                    </a:solidFill>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Sheet1!$A$2:$A$8</c:f>
              <c:strCache>
                <c:ptCount val="7"/>
                <c:pt idx="0">
                  <c:v>7. VIES post-registration verifications </c:v>
                </c:pt>
                <c:pt idx="1">
                  <c:v>6. IT assisted registration system:</c:v>
                </c:pt>
                <c:pt idx="2">
                  <c:v>5. Pre-registration checks are in place: </c:v>
                </c:pt>
                <c:pt idx="3">
                  <c:v>4. Authenticity of registration is verified:</c:v>
                </c:pt>
                <c:pt idx="4">
                  <c:v>3. Online registration is possible:</c:v>
                </c:pt>
                <c:pt idx="5">
                  <c:v>2. In foreign languages</c:v>
                </c:pt>
                <c:pt idx="6">
                  <c:v>1. Registration info is available:</c:v>
                </c:pt>
              </c:strCache>
            </c:strRef>
          </c:cat>
          <c:val>
            <c:numRef>
              <c:f>Sheet1!$B$2:$B$8</c:f>
              <c:numCache>
                <c:formatCode>0</c:formatCode>
                <c:ptCount val="7"/>
                <c:pt idx="0">
                  <c:v>19.040000000000003</c:v>
                </c:pt>
                <c:pt idx="1">
                  <c:v>28</c:v>
                </c:pt>
                <c:pt idx="2">
                  <c:v>22.959999999999997</c:v>
                </c:pt>
                <c:pt idx="3">
                  <c:v>26.040000000000003</c:v>
                </c:pt>
                <c:pt idx="4">
                  <c:v>24.92</c:v>
                </c:pt>
                <c:pt idx="5">
                  <c:v>22.68</c:v>
                </c:pt>
                <c:pt idx="6">
                  <c:v>26.040000000000003</c:v>
                </c:pt>
              </c:numCache>
            </c:numRef>
          </c:val>
          <c:extLst xmlns:c16r2="http://schemas.microsoft.com/office/drawing/2015/06/chart">
            <c:ext xmlns:c16="http://schemas.microsoft.com/office/drawing/2014/chart" uri="{C3380CC4-5D6E-409C-BE32-E72D297353CC}">
              <c16:uniqueId val="{0000000E-A04C-43B8-BF5B-7AC8C8FFEB70}"/>
            </c:ext>
          </c:extLst>
        </c:ser>
        <c:ser>
          <c:idx val="1"/>
          <c:order val="1"/>
          <c:tx>
            <c:strRef>
              <c:f>Sheet1!$C$1</c:f>
              <c:strCache>
                <c:ptCount val="1"/>
                <c:pt idx="0">
                  <c:v>Not implemented</c:v>
                </c:pt>
              </c:strCache>
            </c:strRef>
          </c:tx>
          <c:spPr>
            <a:solidFill>
              <a:schemeClr val="bg1">
                <a:lumMod val="95000"/>
              </a:schemeClr>
            </a:solidFill>
            <a:ln>
              <a:noFill/>
            </a:ln>
          </c:spPr>
          <c:invertIfNegative val="0"/>
          <c:cat>
            <c:strRef>
              <c:f>Sheet1!$A$2:$A$8</c:f>
              <c:strCache>
                <c:ptCount val="7"/>
                <c:pt idx="0">
                  <c:v>7. VIES post-registration verifications </c:v>
                </c:pt>
                <c:pt idx="1">
                  <c:v>6. IT assisted registration system:</c:v>
                </c:pt>
                <c:pt idx="2">
                  <c:v>5. Pre-registration checks are in place: </c:v>
                </c:pt>
                <c:pt idx="3">
                  <c:v>4. Authenticity of registration is verified:</c:v>
                </c:pt>
                <c:pt idx="4">
                  <c:v>3. Online registration is possible:</c:v>
                </c:pt>
                <c:pt idx="5">
                  <c:v>2. In foreign languages</c:v>
                </c:pt>
                <c:pt idx="6">
                  <c:v>1. Registration info is available:</c:v>
                </c:pt>
              </c:strCache>
            </c:strRef>
          </c:cat>
          <c:val>
            <c:numRef>
              <c:f>Sheet1!$C$2:$C$8</c:f>
              <c:numCache>
                <c:formatCode>0</c:formatCode>
                <c:ptCount val="7"/>
                <c:pt idx="0">
                  <c:v>8.9600000000000009</c:v>
                </c:pt>
                <c:pt idx="1">
                  <c:v>0</c:v>
                </c:pt>
                <c:pt idx="2">
                  <c:v>5.04</c:v>
                </c:pt>
                <c:pt idx="3">
                  <c:v>1.9600000000000002</c:v>
                </c:pt>
                <c:pt idx="4">
                  <c:v>3.08</c:v>
                </c:pt>
                <c:pt idx="5">
                  <c:v>5.32</c:v>
                </c:pt>
                <c:pt idx="6">
                  <c:v>1.9600000000000002</c:v>
                </c:pt>
              </c:numCache>
            </c:numRef>
          </c:val>
          <c:extLst xmlns:c16r2="http://schemas.microsoft.com/office/drawing/2015/06/chart">
            <c:ext xmlns:c16="http://schemas.microsoft.com/office/drawing/2014/chart" uri="{C3380CC4-5D6E-409C-BE32-E72D297353CC}">
              <c16:uniqueId val="{0000000F-A04C-43B8-BF5B-7AC8C8FFEB70}"/>
            </c:ext>
          </c:extLst>
        </c:ser>
        <c:ser>
          <c:idx val="2"/>
          <c:order val="2"/>
          <c:tx>
            <c:strRef>
              <c:f>Sheet1!$D$1</c:f>
              <c:strCache>
                <c:ptCount val="1"/>
                <c:pt idx="0">
                  <c:v>100%</c:v>
                </c:pt>
              </c:strCache>
            </c:strRef>
          </c:tx>
          <c:invertIfNegative val="0"/>
          <c:cat>
            <c:strRef>
              <c:f>Sheet1!$A$2:$A$8</c:f>
              <c:strCache>
                <c:ptCount val="7"/>
                <c:pt idx="0">
                  <c:v>7. VIES post-registration verifications </c:v>
                </c:pt>
                <c:pt idx="1">
                  <c:v>6. IT assisted registration system:</c:v>
                </c:pt>
                <c:pt idx="2">
                  <c:v>5. Pre-registration checks are in place: </c:v>
                </c:pt>
                <c:pt idx="3">
                  <c:v>4. Authenticity of registration is verified:</c:v>
                </c:pt>
                <c:pt idx="4">
                  <c:v>3. Online registration is possible:</c:v>
                </c:pt>
                <c:pt idx="5">
                  <c:v>2. In foreign languages</c:v>
                </c:pt>
                <c:pt idx="6">
                  <c:v>1. Registration info is available:</c:v>
                </c:pt>
              </c:strCache>
            </c:strRef>
          </c:cat>
          <c:val>
            <c:numRef>
              <c:f>Sheet1!$D$2:$D$8</c:f>
              <c:numCache>
                <c:formatCode>0.0%</c:formatCode>
                <c:ptCount val="7"/>
                <c:pt idx="0">
                  <c:v>0</c:v>
                </c:pt>
                <c:pt idx="1">
                  <c:v>0</c:v>
                </c:pt>
                <c:pt idx="2">
                  <c:v>0</c:v>
                </c:pt>
                <c:pt idx="3">
                  <c:v>0</c:v>
                </c:pt>
                <c:pt idx="4">
                  <c:v>0</c:v>
                </c:pt>
                <c:pt idx="5">
                  <c:v>0</c:v>
                </c:pt>
                <c:pt idx="6">
                  <c:v>0</c:v>
                </c:pt>
              </c:numCache>
            </c:numRef>
          </c:val>
          <c:extLst xmlns:c16r2="http://schemas.microsoft.com/office/drawing/2015/06/chart">
            <c:ext xmlns:c16="http://schemas.microsoft.com/office/drawing/2014/chart" uri="{C3380CC4-5D6E-409C-BE32-E72D297353CC}">
              <c16:uniqueId val="{00000010-A04C-43B8-BF5B-7AC8C8FFEB70}"/>
            </c:ext>
          </c:extLst>
        </c:ser>
        <c:dLbls>
          <c:showLegendKey val="0"/>
          <c:showVal val="0"/>
          <c:showCatName val="0"/>
          <c:showSerName val="0"/>
          <c:showPercent val="0"/>
          <c:showBubbleSize val="0"/>
        </c:dLbls>
        <c:gapWidth val="70"/>
        <c:overlap val="100"/>
        <c:axId val="62491648"/>
        <c:axId val="62501632"/>
      </c:barChart>
      <c:catAx>
        <c:axId val="62491648"/>
        <c:scaling>
          <c:orientation val="minMax"/>
        </c:scaling>
        <c:delete val="1"/>
        <c:axPos val="l"/>
        <c:numFmt formatCode="General" sourceLinked="0"/>
        <c:majorTickMark val="out"/>
        <c:minorTickMark val="none"/>
        <c:tickLblPos val="none"/>
        <c:crossAx val="62501632"/>
        <c:crosses val="autoZero"/>
        <c:auto val="1"/>
        <c:lblAlgn val="l"/>
        <c:lblOffset val="100"/>
        <c:noMultiLvlLbl val="0"/>
      </c:catAx>
      <c:valAx>
        <c:axId val="62501632"/>
        <c:scaling>
          <c:orientation val="minMax"/>
        </c:scaling>
        <c:delete val="1"/>
        <c:axPos val="b"/>
        <c:majorGridlines>
          <c:spPr>
            <a:ln>
              <a:solidFill>
                <a:schemeClr val="bg1">
                  <a:lumMod val="85000"/>
                </a:schemeClr>
              </a:solidFill>
            </a:ln>
          </c:spPr>
        </c:majorGridlines>
        <c:numFmt formatCode="0%" sourceLinked="1"/>
        <c:majorTickMark val="out"/>
        <c:minorTickMark val="none"/>
        <c:tickLblPos val="none"/>
        <c:crossAx val="62491648"/>
        <c:crosses val="autoZero"/>
        <c:crossBetween val="between"/>
      </c:valAx>
      <c:spPr>
        <a:ln>
          <a:solidFill>
            <a:schemeClr val="bg1">
              <a:lumMod val="95000"/>
              <a:alpha val="0"/>
            </a:schemeClr>
          </a:solidFill>
        </a:ln>
      </c:spPr>
    </c:plotArea>
    <c:plotVisOnly val="1"/>
    <c:dispBlanksAs val="gap"/>
    <c:showDLblsOverMax val="0"/>
  </c:chart>
  <c:spPr>
    <a:ln>
      <a:solidFill>
        <a:schemeClr val="bg1">
          <a:lumMod val="95000"/>
          <a:alpha val="0"/>
        </a:schemeClr>
      </a:solid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0"/>
    <c:plotArea>
      <c:layout>
        <c:manualLayout>
          <c:layoutTarget val="inner"/>
          <c:xMode val="edge"/>
          <c:yMode val="edge"/>
          <c:x val="6.5835338291046971E-2"/>
          <c:y val="4.4057617797775318E-2"/>
          <c:w val="0.70316728612684121"/>
          <c:h val="0.75003835894341175"/>
        </c:manualLayout>
      </c:layout>
      <c:lineChart>
        <c:grouping val="standard"/>
        <c:varyColors val="0"/>
        <c:ser>
          <c:idx val="0"/>
          <c:order val="0"/>
          <c:tx>
            <c:strRef>
              <c:f>Sheet1!$B$1</c:f>
              <c:strCache>
                <c:ptCount val="1"/>
                <c:pt idx="0">
                  <c:v>Minimum time in days (average)</c:v>
                </c:pt>
              </c:strCache>
            </c:strRef>
          </c:tx>
          <c:spPr>
            <a:ln>
              <a:solidFill>
                <a:schemeClr val="accent1">
                  <a:lumMod val="50000"/>
                </a:schemeClr>
              </a:solidFill>
            </a:ln>
          </c:spPr>
          <c:marker>
            <c:spPr>
              <a:solidFill>
                <a:schemeClr val="accent1">
                  <a:lumMod val="50000"/>
                </a:schemeClr>
              </a:solidFill>
              <a:ln>
                <a:solidFill>
                  <a:schemeClr val="accent1">
                    <a:lumMod val="50000"/>
                  </a:schemeClr>
                </a:solidFill>
              </a:ln>
            </c:spPr>
          </c:marker>
          <c:cat>
            <c:numRef>
              <c:f>Sheet1!$A$2:$A$4</c:f>
              <c:numCache>
                <c:formatCode>General</c:formatCode>
                <c:ptCount val="3"/>
                <c:pt idx="0">
                  <c:v>2013</c:v>
                </c:pt>
                <c:pt idx="1">
                  <c:v>2014</c:v>
                </c:pt>
                <c:pt idx="2">
                  <c:v>2015</c:v>
                </c:pt>
              </c:numCache>
            </c:numRef>
          </c:cat>
          <c:val>
            <c:numRef>
              <c:f>Sheet1!$B$2:$B$4</c:f>
              <c:numCache>
                <c:formatCode>General</c:formatCode>
                <c:ptCount val="3"/>
                <c:pt idx="0">
                  <c:v>3</c:v>
                </c:pt>
                <c:pt idx="1">
                  <c:v>4</c:v>
                </c:pt>
                <c:pt idx="2">
                  <c:v>4</c:v>
                </c:pt>
              </c:numCache>
            </c:numRef>
          </c:val>
          <c:smooth val="0"/>
          <c:extLst xmlns:c16r2="http://schemas.microsoft.com/office/drawing/2015/06/chart">
            <c:ext xmlns:c16="http://schemas.microsoft.com/office/drawing/2014/chart" uri="{C3380CC4-5D6E-409C-BE32-E72D297353CC}">
              <c16:uniqueId val="{00000000-9A7D-42AB-B0A8-46D6FB654812}"/>
            </c:ext>
          </c:extLst>
        </c:ser>
        <c:ser>
          <c:idx val="1"/>
          <c:order val="1"/>
          <c:tx>
            <c:strRef>
              <c:f>Sheet1!$C$1</c:f>
              <c:strCache>
                <c:ptCount val="1"/>
                <c:pt idx="0">
                  <c:v>Minimum time in days (median)</c:v>
                </c:pt>
              </c:strCache>
            </c:strRef>
          </c:tx>
          <c:spPr>
            <a:ln>
              <a:solidFill>
                <a:schemeClr val="accent1">
                  <a:lumMod val="60000"/>
                  <a:lumOff val="40000"/>
                </a:schemeClr>
              </a:solidFill>
            </a:ln>
          </c:spPr>
          <c:marker>
            <c:spPr>
              <a:solidFill>
                <a:schemeClr val="accent1">
                  <a:lumMod val="60000"/>
                  <a:lumOff val="40000"/>
                </a:schemeClr>
              </a:solidFill>
              <a:ln>
                <a:solidFill>
                  <a:schemeClr val="accent1">
                    <a:lumMod val="60000"/>
                    <a:lumOff val="40000"/>
                  </a:schemeClr>
                </a:solidFill>
              </a:ln>
            </c:spPr>
          </c:marker>
          <c:cat>
            <c:numRef>
              <c:f>Sheet1!$A$2:$A$4</c:f>
              <c:numCache>
                <c:formatCode>General</c:formatCode>
                <c:ptCount val="3"/>
                <c:pt idx="0">
                  <c:v>2013</c:v>
                </c:pt>
                <c:pt idx="1">
                  <c:v>2014</c:v>
                </c:pt>
                <c:pt idx="2">
                  <c:v>2015</c:v>
                </c:pt>
              </c:numCache>
            </c:numRef>
          </c:cat>
          <c:val>
            <c:numRef>
              <c:f>Sheet1!$C$2:$C$4</c:f>
              <c:numCache>
                <c:formatCode>General</c:formatCode>
                <c:ptCount val="3"/>
                <c:pt idx="0">
                  <c:v>3</c:v>
                </c:pt>
                <c:pt idx="1">
                  <c:v>3</c:v>
                </c:pt>
                <c:pt idx="2">
                  <c:v>3</c:v>
                </c:pt>
              </c:numCache>
            </c:numRef>
          </c:val>
          <c:smooth val="0"/>
          <c:extLst xmlns:c16r2="http://schemas.microsoft.com/office/drawing/2015/06/chart">
            <c:ext xmlns:c16="http://schemas.microsoft.com/office/drawing/2014/chart" uri="{C3380CC4-5D6E-409C-BE32-E72D297353CC}">
              <c16:uniqueId val="{00000001-9A7D-42AB-B0A8-46D6FB654812}"/>
            </c:ext>
          </c:extLst>
        </c:ser>
        <c:ser>
          <c:idx val="2"/>
          <c:order val="2"/>
          <c:tx>
            <c:strRef>
              <c:f>Sheet1!$D$1</c:f>
              <c:strCache>
                <c:ptCount val="1"/>
                <c:pt idx="0">
                  <c:v>VIES (average days)</c:v>
                </c:pt>
              </c:strCache>
            </c:strRef>
          </c:tx>
          <c:spPr>
            <a:ln>
              <a:solidFill>
                <a:schemeClr val="accent2">
                  <a:lumMod val="50000"/>
                </a:schemeClr>
              </a:solidFill>
            </a:ln>
          </c:spPr>
          <c:marker>
            <c:spPr>
              <a:solidFill>
                <a:schemeClr val="accent2">
                  <a:lumMod val="50000"/>
                </a:schemeClr>
              </a:solidFill>
              <a:ln>
                <a:solidFill>
                  <a:schemeClr val="accent2">
                    <a:lumMod val="50000"/>
                  </a:schemeClr>
                </a:solidFill>
              </a:ln>
            </c:spPr>
          </c:marker>
          <c:cat>
            <c:numRef>
              <c:f>Sheet1!$A$2:$A$4</c:f>
              <c:numCache>
                <c:formatCode>General</c:formatCode>
                <c:ptCount val="3"/>
                <c:pt idx="0">
                  <c:v>2013</c:v>
                </c:pt>
                <c:pt idx="1">
                  <c:v>2014</c:v>
                </c:pt>
                <c:pt idx="2">
                  <c:v>2015</c:v>
                </c:pt>
              </c:numCache>
            </c:numRef>
          </c:cat>
          <c:val>
            <c:numRef>
              <c:f>Sheet1!$D$2:$D$4</c:f>
              <c:numCache>
                <c:formatCode>General</c:formatCode>
                <c:ptCount val="3"/>
                <c:pt idx="0">
                  <c:v>5</c:v>
                </c:pt>
                <c:pt idx="1">
                  <c:v>4</c:v>
                </c:pt>
                <c:pt idx="2">
                  <c:v>3</c:v>
                </c:pt>
              </c:numCache>
            </c:numRef>
          </c:val>
          <c:smooth val="0"/>
          <c:extLst xmlns:c16r2="http://schemas.microsoft.com/office/drawing/2015/06/chart">
            <c:ext xmlns:c16="http://schemas.microsoft.com/office/drawing/2014/chart" uri="{C3380CC4-5D6E-409C-BE32-E72D297353CC}">
              <c16:uniqueId val="{00000002-9A7D-42AB-B0A8-46D6FB654812}"/>
            </c:ext>
          </c:extLst>
        </c:ser>
        <c:ser>
          <c:idx val="3"/>
          <c:order val="3"/>
          <c:tx>
            <c:strRef>
              <c:f>Sheet1!$E$1</c:f>
              <c:strCache>
                <c:ptCount val="1"/>
                <c:pt idx="0">
                  <c:v>VIES (median days)</c:v>
                </c:pt>
              </c:strCache>
            </c:strRef>
          </c:tx>
          <c:spPr>
            <a:ln>
              <a:solidFill>
                <a:schemeClr val="accent2">
                  <a:lumMod val="60000"/>
                  <a:lumOff val="40000"/>
                </a:schemeClr>
              </a:solidFill>
            </a:ln>
          </c:spPr>
          <c:marker>
            <c:spPr>
              <a:solidFill>
                <a:schemeClr val="accent2">
                  <a:lumMod val="60000"/>
                  <a:lumOff val="40000"/>
                </a:schemeClr>
              </a:solidFill>
              <a:ln>
                <a:solidFill>
                  <a:schemeClr val="accent2">
                    <a:lumMod val="60000"/>
                    <a:lumOff val="40000"/>
                  </a:schemeClr>
                </a:solidFill>
              </a:ln>
            </c:spPr>
          </c:marker>
          <c:cat>
            <c:numRef>
              <c:f>Sheet1!$A$2:$A$4</c:f>
              <c:numCache>
                <c:formatCode>General</c:formatCode>
                <c:ptCount val="3"/>
                <c:pt idx="0">
                  <c:v>2013</c:v>
                </c:pt>
                <c:pt idx="1">
                  <c:v>2014</c:v>
                </c:pt>
                <c:pt idx="2">
                  <c:v>2015</c:v>
                </c:pt>
              </c:numCache>
            </c:numRef>
          </c:cat>
          <c:val>
            <c:numRef>
              <c:f>Sheet1!$E$2:$E$4</c:f>
              <c:numCache>
                <c:formatCode>General</c:formatCode>
                <c:ptCount val="3"/>
                <c:pt idx="0">
                  <c:v>2</c:v>
                </c:pt>
                <c:pt idx="1">
                  <c:v>2</c:v>
                </c:pt>
                <c:pt idx="2">
                  <c:v>1</c:v>
                </c:pt>
              </c:numCache>
            </c:numRef>
          </c:val>
          <c:smooth val="0"/>
          <c:extLst xmlns:c16r2="http://schemas.microsoft.com/office/drawing/2015/06/chart">
            <c:ext xmlns:c16="http://schemas.microsoft.com/office/drawing/2014/chart" uri="{C3380CC4-5D6E-409C-BE32-E72D297353CC}">
              <c16:uniqueId val="{00000003-9A7D-42AB-B0A8-46D6FB654812}"/>
            </c:ext>
          </c:extLst>
        </c:ser>
        <c:dLbls>
          <c:showLegendKey val="0"/>
          <c:showVal val="0"/>
          <c:showCatName val="0"/>
          <c:showSerName val="0"/>
          <c:showPercent val="0"/>
          <c:showBubbleSize val="0"/>
        </c:dLbls>
        <c:marker val="1"/>
        <c:smooth val="0"/>
        <c:axId val="57257984"/>
        <c:axId val="57259904"/>
      </c:lineChart>
      <c:catAx>
        <c:axId val="57257984"/>
        <c:scaling>
          <c:orientation val="minMax"/>
        </c:scaling>
        <c:delete val="0"/>
        <c:axPos val="b"/>
        <c:numFmt formatCode="General" sourceLinked="1"/>
        <c:majorTickMark val="out"/>
        <c:minorTickMark val="none"/>
        <c:tickLblPos val="nextTo"/>
        <c:crossAx val="57259904"/>
        <c:crosses val="autoZero"/>
        <c:auto val="1"/>
        <c:lblAlgn val="ctr"/>
        <c:lblOffset val="100"/>
        <c:noMultiLvlLbl val="0"/>
      </c:catAx>
      <c:valAx>
        <c:axId val="57259904"/>
        <c:scaling>
          <c:orientation val="minMax"/>
        </c:scaling>
        <c:delete val="0"/>
        <c:axPos val="l"/>
        <c:majorGridlines/>
        <c:numFmt formatCode="General" sourceLinked="1"/>
        <c:majorTickMark val="out"/>
        <c:minorTickMark val="none"/>
        <c:tickLblPos val="nextTo"/>
        <c:crossAx val="57257984"/>
        <c:crosses val="autoZero"/>
        <c:crossBetween val="between"/>
      </c:valAx>
    </c:plotArea>
    <c:legend>
      <c:legendPos val="r"/>
      <c:layout>
        <c:manualLayout>
          <c:xMode val="edge"/>
          <c:yMode val="edge"/>
          <c:x val="0.78972557996357684"/>
          <c:y val="3.6506833197574445E-2"/>
          <c:w val="0.1964371573148472"/>
          <c:h val="0.93437932607979957"/>
        </c:manualLayout>
      </c:layout>
      <c:overlay val="0"/>
      <c:txPr>
        <a:bodyPr/>
        <a:lstStyle/>
        <a:p>
          <a:pPr>
            <a:defRPr sz="900">
              <a:latin typeface="Times New Roman" panose="02020603050405020304" pitchFamily="18" charset="0"/>
              <a:cs typeface="Times New Roman" panose="02020603050405020304" pitchFamily="18" charset="0"/>
            </a:defRPr>
          </a:pPr>
          <a:endParaRPr lang="en-US"/>
        </a:p>
      </c:txPr>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6.9166429477391017E-2"/>
          <c:y val="1.2461059190031164E-2"/>
          <c:w val="0.80197308777541232"/>
          <c:h val="0.95667468649752163"/>
        </c:manualLayout>
      </c:layout>
      <c:pieChart>
        <c:varyColors val="1"/>
        <c:ser>
          <c:idx val="0"/>
          <c:order val="0"/>
          <c:tx>
            <c:strRef>
              <c:f>Sheet1!$B$1</c:f>
              <c:strCache>
                <c:ptCount val="1"/>
                <c:pt idx="0">
                  <c:v>Column1</c:v>
                </c:pt>
              </c:strCache>
            </c:strRef>
          </c:tx>
          <c:explosion val="5"/>
          <c:dPt>
            <c:idx val="0"/>
            <c:bubble3D val="0"/>
            <c:spPr>
              <a:solidFill>
                <a:srgbClr val="4F81BD">
                  <a:lumMod val="60000"/>
                  <a:lumOff val="40000"/>
                </a:srgbClr>
              </a:solidFill>
            </c:spPr>
            <c:extLst xmlns:c16r2="http://schemas.microsoft.com/office/drawing/2015/06/chart">
              <c:ext xmlns:c16="http://schemas.microsoft.com/office/drawing/2014/chart" uri="{C3380CC4-5D6E-409C-BE32-E72D297353CC}">
                <c16:uniqueId val="{00000001-9D75-4096-9E7F-8D0DA881B86C}"/>
              </c:ext>
            </c:extLst>
          </c:dPt>
          <c:dPt>
            <c:idx val="1"/>
            <c:bubble3D val="0"/>
            <c:spPr>
              <a:solidFill>
                <a:srgbClr val="4F81BD">
                  <a:lumMod val="75000"/>
                </a:srgbClr>
              </a:solidFill>
            </c:spPr>
            <c:extLst xmlns:c16r2="http://schemas.microsoft.com/office/drawing/2015/06/chart">
              <c:ext xmlns:c16="http://schemas.microsoft.com/office/drawing/2014/chart" uri="{C3380CC4-5D6E-409C-BE32-E72D297353CC}">
                <c16:uniqueId val="{00000003-9D75-4096-9E7F-8D0DA881B86C}"/>
              </c:ext>
            </c:extLst>
          </c:dPt>
          <c:dPt>
            <c:idx val="2"/>
            <c:bubble3D val="0"/>
            <c:spPr>
              <a:solidFill>
                <a:srgbClr val="4F81BD">
                  <a:lumMod val="50000"/>
                </a:srgbClr>
              </a:solidFill>
            </c:spPr>
            <c:extLst xmlns:c16r2="http://schemas.microsoft.com/office/drawing/2015/06/chart">
              <c:ext xmlns:c16="http://schemas.microsoft.com/office/drawing/2014/chart" uri="{C3380CC4-5D6E-409C-BE32-E72D297353CC}">
                <c16:uniqueId val="{00000005-9D75-4096-9E7F-8D0DA881B86C}"/>
              </c:ext>
            </c:extLst>
          </c:dPt>
          <c:dLbls>
            <c:dLbl>
              <c:idx val="0"/>
              <c:layout>
                <c:manualLayout>
                  <c:x val="-0.14997247739865838"/>
                  <c:y val="0.15420560747663561"/>
                </c:manualLayout>
              </c:layout>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1-9D75-4096-9E7F-8D0DA881B86C}"/>
                </c:ext>
                <c:ext xmlns:c15="http://schemas.microsoft.com/office/drawing/2012/chart" uri="{CE6537A1-D6FC-4f65-9D91-7224C49458BB}">
                  <c15:layout/>
                </c:ext>
              </c:extLst>
            </c:dLbl>
            <c:dLbl>
              <c:idx val="1"/>
              <c:layout>
                <c:manualLayout>
                  <c:x val="-8.5577974628171474E-2"/>
                  <c:y val="-0.17021806853582577"/>
                </c:manualLayout>
              </c:layout>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3-9D75-4096-9E7F-8D0DA881B86C}"/>
                </c:ext>
                <c:ext xmlns:c15="http://schemas.microsoft.com/office/drawing/2012/chart" uri="{CE6537A1-D6FC-4f65-9D91-7224C49458BB}">
                  <c15:layout/>
                </c:ext>
              </c:extLst>
            </c:dLbl>
            <c:dLbl>
              <c:idx val="2"/>
              <c:layout>
                <c:manualLayout>
                  <c:x val="0.12010936132983371"/>
                  <c:y val="0.1906051463193269"/>
                </c:manualLayout>
              </c:layout>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5-9D75-4096-9E7F-8D0DA881B86C}"/>
                </c:ext>
                <c:ext xmlns:c15="http://schemas.microsoft.com/office/drawing/2012/chart" uri="{CE6537A1-D6FC-4f65-9D91-7224C49458BB}">
                  <c15:layout/>
                </c:ext>
              </c:extLst>
            </c:dLbl>
            <c:spPr>
              <a:noFill/>
              <a:ln>
                <a:noFill/>
              </a:ln>
              <a:effectLst/>
            </c:spPr>
            <c:txPr>
              <a:bodyPr/>
              <a:lstStyle/>
              <a:p>
                <a:pPr>
                  <a:defRPr sz="900" b="1">
                    <a:solidFill>
                      <a:schemeClr val="bg1"/>
                    </a:solidFill>
                    <a:latin typeface="Times New Roman" panose="02020603050405020304" pitchFamily="18" charset="0"/>
                    <a:cs typeface="Times New Roman" panose="02020603050405020304" pitchFamily="18" charset="0"/>
                  </a:defRPr>
                </a:pPr>
                <a:endParaRPr lang="en-US"/>
              </a:p>
            </c:txPr>
            <c:showLegendKey val="0"/>
            <c:showVal val="0"/>
            <c:showCatName val="0"/>
            <c:showSerName val="0"/>
            <c:showPercent val="1"/>
            <c:showBubbleSize val="0"/>
            <c:showLeaderLines val="1"/>
            <c:extLst xmlns:c16r2="http://schemas.microsoft.com/office/drawing/2015/06/chart">
              <c:ext xmlns:c15="http://schemas.microsoft.com/office/drawing/2012/chart" uri="{CE6537A1-D6FC-4f65-9D91-7224C49458BB}"/>
            </c:extLst>
          </c:dLbls>
          <c:cat>
            <c:strRef>
              <c:f>Sheet1!$A$2:$A$4</c:f>
              <c:strCache>
                <c:ptCount val="3"/>
                <c:pt idx="0">
                  <c:v>Available (optional)</c:v>
                </c:pt>
                <c:pt idx="1">
                  <c:v>Compulsory</c:v>
                </c:pt>
                <c:pt idx="2">
                  <c:v>Compulsory - for some taxpayers only</c:v>
                </c:pt>
              </c:strCache>
            </c:strRef>
          </c:cat>
          <c:val>
            <c:numRef>
              <c:f>Sheet1!$B$2:$B$4</c:f>
              <c:numCache>
                <c:formatCode>General</c:formatCode>
                <c:ptCount val="3"/>
                <c:pt idx="0">
                  <c:v>5</c:v>
                </c:pt>
                <c:pt idx="1">
                  <c:v>16</c:v>
                </c:pt>
                <c:pt idx="2">
                  <c:v>7</c:v>
                </c:pt>
              </c:numCache>
            </c:numRef>
          </c:val>
          <c:extLst xmlns:c16r2="http://schemas.microsoft.com/office/drawing/2015/06/chart">
            <c:ext xmlns:c16="http://schemas.microsoft.com/office/drawing/2014/chart" uri="{C3380CC4-5D6E-409C-BE32-E72D297353CC}">
              <c16:uniqueId val="{00000006-9D75-4096-9E7F-8D0DA881B86C}"/>
            </c:ext>
          </c:extLst>
        </c:ser>
        <c:dLbls>
          <c:showLegendKey val="0"/>
          <c:showVal val="0"/>
          <c:showCatName val="0"/>
          <c:showSerName val="0"/>
          <c:showPercent val="0"/>
          <c:showBubbleSize val="0"/>
          <c:showLeaderLines val="1"/>
        </c:dLbls>
        <c:firstSliceAng val="0"/>
      </c:pieChart>
    </c:plotArea>
    <c:plotVisOnly val="1"/>
    <c:dispBlanksAs val="zero"/>
    <c:showDLblsOverMax val="0"/>
  </c:chart>
  <c:spPr>
    <a:ln>
      <a:noFill/>
    </a:ln>
  </c:sp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338652213655026"/>
          <c:y val="7.6311120832118245E-2"/>
          <c:w val="0.87661227041671574"/>
          <c:h val="0.78327014678720697"/>
        </c:manualLayout>
      </c:layout>
      <c:barChart>
        <c:barDir val="col"/>
        <c:grouping val="clustered"/>
        <c:varyColors val="0"/>
        <c:ser>
          <c:idx val="0"/>
          <c:order val="0"/>
          <c:tx>
            <c:strRef>
              <c:f>Sheet1!$B$1</c:f>
              <c:strCache>
                <c:ptCount val="1"/>
                <c:pt idx="0">
                  <c:v>e-Filing rate</c:v>
                </c:pt>
              </c:strCache>
            </c:strRef>
          </c:tx>
          <c:invertIfNegative val="0"/>
          <c:dPt>
            <c:idx val="0"/>
            <c:invertIfNegative val="0"/>
            <c:bubble3D val="0"/>
            <c:spPr>
              <a:solidFill>
                <a:srgbClr val="016AA3"/>
              </a:solidFill>
            </c:spPr>
            <c:extLst xmlns:c16r2="http://schemas.microsoft.com/office/drawing/2015/06/chart">
              <c:ext xmlns:c16="http://schemas.microsoft.com/office/drawing/2014/chart" uri="{C3380CC4-5D6E-409C-BE32-E72D297353CC}">
                <c16:uniqueId val="{00000001-504B-4852-986B-6F937E070749}"/>
              </c:ext>
            </c:extLst>
          </c:dPt>
          <c:dPt>
            <c:idx val="1"/>
            <c:invertIfNegative val="0"/>
            <c:bubble3D val="0"/>
            <c:spPr>
              <a:solidFill>
                <a:srgbClr val="46B688"/>
              </a:solidFill>
            </c:spPr>
            <c:extLst xmlns:c16r2="http://schemas.microsoft.com/office/drawing/2015/06/chart">
              <c:ext xmlns:c16="http://schemas.microsoft.com/office/drawing/2014/chart" uri="{C3380CC4-5D6E-409C-BE32-E72D297353CC}">
                <c16:uniqueId val="{00000003-504B-4852-986B-6F937E070749}"/>
              </c:ext>
            </c:extLst>
          </c:dPt>
          <c:dPt>
            <c:idx val="2"/>
            <c:invertIfNegative val="0"/>
            <c:bubble3D val="0"/>
            <c:spPr>
              <a:solidFill>
                <a:srgbClr val="FEA34C"/>
              </a:solidFill>
            </c:spPr>
            <c:extLst xmlns:c16r2="http://schemas.microsoft.com/office/drawing/2015/06/chart">
              <c:ext xmlns:c16="http://schemas.microsoft.com/office/drawing/2014/chart" uri="{C3380CC4-5D6E-409C-BE32-E72D297353CC}">
                <c16:uniqueId val="{00000005-504B-4852-986B-6F937E070749}"/>
              </c:ext>
            </c:extLst>
          </c:dPt>
          <c:dLbls>
            <c:dLbl>
              <c:idx val="2"/>
              <c:layout>
                <c:manualLayout>
                  <c:x val="-5.1480051480051478E-3"/>
                  <c:y val="1.4814814814814815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504B-4852-986B-6F937E070749}"/>
                </c:ext>
                <c:ext xmlns:c15="http://schemas.microsoft.com/office/drawing/2012/chart" uri="{CE6537A1-D6FC-4f65-9D91-7224C49458BB}">
                  <c15:layout/>
                </c:ext>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numRef>
              <c:f>Sheet1!$A$2:$A$4</c:f>
              <c:numCache>
                <c:formatCode>General</c:formatCode>
                <c:ptCount val="3"/>
                <c:pt idx="0">
                  <c:v>2013</c:v>
                </c:pt>
                <c:pt idx="1">
                  <c:v>2014</c:v>
                </c:pt>
                <c:pt idx="2">
                  <c:v>2015</c:v>
                </c:pt>
              </c:numCache>
            </c:numRef>
          </c:cat>
          <c:val>
            <c:numRef>
              <c:f>Sheet1!$B$2:$B$4</c:f>
              <c:numCache>
                <c:formatCode>0.00%</c:formatCode>
                <c:ptCount val="3"/>
                <c:pt idx="0">
                  <c:v>0.8357679020115576</c:v>
                </c:pt>
                <c:pt idx="1">
                  <c:v>0.8922674785879483</c:v>
                </c:pt>
                <c:pt idx="2">
                  <c:v>0.94810255900430662</c:v>
                </c:pt>
              </c:numCache>
            </c:numRef>
          </c:val>
          <c:extLst xmlns:c16r2="http://schemas.microsoft.com/office/drawing/2015/06/chart">
            <c:ext xmlns:c16="http://schemas.microsoft.com/office/drawing/2014/chart" uri="{C3380CC4-5D6E-409C-BE32-E72D297353CC}">
              <c16:uniqueId val="{00000006-504B-4852-986B-6F937E070749}"/>
            </c:ext>
          </c:extLst>
        </c:ser>
        <c:dLbls>
          <c:showLegendKey val="0"/>
          <c:showVal val="0"/>
          <c:showCatName val="0"/>
          <c:showSerName val="0"/>
          <c:showPercent val="0"/>
          <c:showBubbleSize val="0"/>
        </c:dLbls>
        <c:gapWidth val="100"/>
        <c:axId val="62545920"/>
        <c:axId val="62547456"/>
      </c:barChart>
      <c:catAx>
        <c:axId val="62545920"/>
        <c:scaling>
          <c:orientation val="minMax"/>
        </c:scaling>
        <c:delete val="0"/>
        <c:axPos val="b"/>
        <c:numFmt formatCode="General" sourceLinked="1"/>
        <c:majorTickMark val="out"/>
        <c:minorTickMark val="none"/>
        <c:tickLblPos val="nextTo"/>
        <c:crossAx val="62547456"/>
        <c:crosses val="autoZero"/>
        <c:auto val="1"/>
        <c:lblAlgn val="ctr"/>
        <c:lblOffset val="100"/>
        <c:noMultiLvlLbl val="0"/>
      </c:catAx>
      <c:valAx>
        <c:axId val="62547456"/>
        <c:scaling>
          <c:orientation val="minMax"/>
          <c:max val="1"/>
          <c:min val="0.70000000000000051"/>
        </c:scaling>
        <c:delete val="0"/>
        <c:axPos val="l"/>
        <c:majorGridlines/>
        <c:numFmt formatCode="0%" sourceLinked="0"/>
        <c:majorTickMark val="out"/>
        <c:minorTickMark val="none"/>
        <c:tickLblPos val="nextTo"/>
        <c:crossAx val="62545920"/>
        <c:crosses val="autoZero"/>
        <c:crossBetween val="between"/>
        <c:majorUnit val="0.1"/>
      </c:valAx>
    </c:plotArea>
    <c:plotVisOnly val="1"/>
    <c:dispBlanksAs val="gap"/>
    <c:showDLblsOverMax val="0"/>
  </c:chart>
  <c:spPr>
    <a:ln>
      <a:noFill/>
    </a:ln>
  </c:spPr>
  <c:txPr>
    <a:bodyPr/>
    <a:lstStyle/>
    <a:p>
      <a:pPr>
        <a:defRPr sz="800">
          <a:latin typeface="Times New Roman" panose="02020603050405020304" pitchFamily="18" charset="0"/>
          <a:cs typeface="Times New Roman" panose="02020603050405020304" pitchFamily="18" charset="0"/>
        </a:defRPr>
      </a:pPr>
      <a:endParaRPr lang="en-US"/>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5.5060117485314336E-2"/>
          <c:y val="0"/>
          <c:w val="0.77139249485706163"/>
          <c:h val="0.98987938646397555"/>
        </c:manualLayout>
      </c:layout>
      <c:pieChart>
        <c:varyColors val="1"/>
        <c:ser>
          <c:idx val="0"/>
          <c:order val="0"/>
          <c:tx>
            <c:strRef>
              <c:f>Sheet1!$B$1</c:f>
              <c:strCache>
                <c:ptCount val="1"/>
                <c:pt idx="0">
                  <c:v>VAT e-Payment</c:v>
                </c:pt>
              </c:strCache>
            </c:strRef>
          </c:tx>
          <c:spPr>
            <a:solidFill>
              <a:srgbClr val="4F81BD">
                <a:lumMod val="60000"/>
                <a:lumOff val="40000"/>
              </a:srgbClr>
            </a:solidFill>
          </c:spPr>
          <c:explosion val="5"/>
          <c:dPt>
            <c:idx val="0"/>
            <c:bubble3D val="0"/>
            <c:spPr>
              <a:solidFill>
                <a:srgbClr val="4F81BD">
                  <a:lumMod val="75000"/>
                </a:srgbClr>
              </a:solidFill>
            </c:spPr>
            <c:extLst xmlns:c16r2="http://schemas.microsoft.com/office/drawing/2015/06/chart">
              <c:ext xmlns:c16="http://schemas.microsoft.com/office/drawing/2014/chart" uri="{C3380CC4-5D6E-409C-BE32-E72D297353CC}">
                <c16:uniqueId val="{00000001-DC77-4070-82E8-7276E24A58DB}"/>
              </c:ext>
            </c:extLst>
          </c:dPt>
          <c:dLbls>
            <c:dLbl>
              <c:idx val="0"/>
              <c:layout>
                <c:manualLayout>
                  <c:x val="-0.18445515206121632"/>
                  <c:y val="-9.6969696969697025E-2"/>
                </c:manualLayout>
              </c:layout>
              <c:showLegendKey val="0"/>
              <c:showVal val="0"/>
              <c:showCatName val="0"/>
              <c:showSerName val="0"/>
              <c:showPercent val="1"/>
              <c:showBubbleSize val="0"/>
            </c:dLbl>
            <c:dLbl>
              <c:idx val="1"/>
              <c:layout>
                <c:manualLayout>
                  <c:x val="0.13458586333424738"/>
                  <c:y val="0.16161616161616169"/>
                </c:manualLayout>
              </c:layout>
              <c:spPr>
                <a:noFill/>
                <a:ln>
                  <a:noFill/>
                </a:ln>
                <a:effectLst/>
              </c:spPr>
              <c:txPr>
                <a:bodyPr/>
                <a:lstStyle/>
                <a:p>
                  <a:pPr>
                    <a:defRPr sz="1000" b="1">
                      <a:solidFill>
                        <a:srgbClr val="002060"/>
                      </a:solidFill>
                      <a:latin typeface="Times New Roman" panose="02020603050405020304" pitchFamily="18" charset="0"/>
                      <a:cs typeface="Times New Roman" panose="02020603050405020304" pitchFamily="18" charset="0"/>
                    </a:defRPr>
                  </a:pPr>
                  <a:endParaRPr lang="en-US"/>
                </a:p>
              </c:txPr>
              <c:showLegendKey val="0"/>
              <c:showVal val="0"/>
              <c:showCatName val="0"/>
              <c:showSerName val="0"/>
              <c:showPercent val="1"/>
              <c:showBubbleSize val="0"/>
            </c:dLbl>
            <c:dLbl>
              <c:idx val="2"/>
              <c:layout>
                <c:manualLayout>
                  <c:x val="0.13735089148339227"/>
                  <c:y val="0.10171653543307094"/>
                </c:manualLayout>
              </c:layout>
              <c:spPr>
                <a:noFill/>
                <a:ln>
                  <a:noFill/>
                </a:ln>
                <a:effectLst/>
              </c:spPr>
              <c:txPr>
                <a:bodyPr/>
                <a:lstStyle/>
                <a:p>
                  <a:pPr>
                    <a:defRPr sz="1000" b="1">
                      <a:solidFill>
                        <a:schemeClr val="accent1">
                          <a:lumMod val="50000"/>
                        </a:schemeClr>
                      </a:solidFill>
                      <a:latin typeface="Times New Roman" panose="02020603050405020304" pitchFamily="18" charset="0"/>
                      <a:cs typeface="Times New Roman" panose="02020603050405020304" pitchFamily="18" charset="0"/>
                    </a:defRPr>
                  </a:pPr>
                  <a:endParaRPr lang="en-US"/>
                </a:p>
              </c:txPr>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5-DC77-4070-82E8-7276E24A58DB}"/>
                </c:ext>
                <c:ext xmlns:c15="http://schemas.microsoft.com/office/drawing/2012/chart" uri="{CE6537A1-D6FC-4f65-9D91-7224C49458BB}">
                  <c15:layout/>
                </c:ext>
              </c:extLst>
            </c:dLbl>
            <c:dLbl>
              <c:idx val="3"/>
              <c:spPr>
                <a:noFill/>
                <a:ln>
                  <a:noFill/>
                </a:ln>
                <a:effectLst/>
              </c:spPr>
              <c:txPr>
                <a:bodyPr/>
                <a:lstStyle/>
                <a:p>
                  <a:pPr>
                    <a:defRPr sz="1000" b="1">
                      <a:solidFill>
                        <a:schemeClr val="accent1">
                          <a:lumMod val="50000"/>
                        </a:schemeClr>
                      </a:solidFill>
                      <a:latin typeface="Times New Roman" panose="02020603050405020304" pitchFamily="18" charset="0"/>
                      <a:cs typeface="Times New Roman" panose="02020603050405020304" pitchFamily="18" charset="0"/>
                    </a:defRPr>
                  </a:pPr>
                  <a:endParaRPr lang="en-US"/>
                </a:p>
              </c:txPr>
              <c:showLegendKey val="0"/>
              <c:showVal val="0"/>
              <c:showCatName val="0"/>
              <c:showSerName val="0"/>
              <c:showPercent val="1"/>
              <c:showBubbleSize val="0"/>
            </c:dLbl>
            <c:spPr>
              <a:noFill/>
              <a:ln>
                <a:noFill/>
              </a:ln>
              <a:effectLst/>
            </c:spPr>
            <c:txPr>
              <a:bodyPr/>
              <a:lstStyle/>
              <a:p>
                <a:pPr>
                  <a:defRPr sz="1000" b="1">
                    <a:solidFill>
                      <a:schemeClr val="bg1"/>
                    </a:solidFill>
                    <a:latin typeface="Times New Roman" panose="02020603050405020304" pitchFamily="18" charset="0"/>
                    <a:cs typeface="Times New Roman" panose="02020603050405020304" pitchFamily="18" charset="0"/>
                  </a:defRPr>
                </a:pPr>
                <a:endParaRPr lang="en-US"/>
              </a:p>
            </c:txPr>
            <c:showLegendKey val="0"/>
            <c:showVal val="0"/>
            <c:showCatName val="0"/>
            <c:showSerName val="0"/>
            <c:showPercent val="1"/>
            <c:showBubbleSize val="0"/>
            <c:showLeaderLines val="1"/>
            <c:extLst xmlns:c16r2="http://schemas.microsoft.com/office/drawing/2015/06/chart">
              <c:ext xmlns:c15="http://schemas.microsoft.com/office/drawing/2012/chart" uri="{CE6537A1-D6FC-4f65-9D91-7224C49458BB}">
                <c15:layout/>
              </c:ext>
            </c:extLst>
          </c:dLbls>
          <c:cat>
            <c:strRef>
              <c:f>Sheet1!$A$2:$A$3</c:f>
              <c:strCache>
                <c:ptCount val="2"/>
                <c:pt idx="0">
                  <c:v>Available</c:v>
                </c:pt>
                <c:pt idx="1">
                  <c:v>Not available</c:v>
                </c:pt>
              </c:strCache>
            </c:strRef>
          </c:cat>
          <c:val>
            <c:numRef>
              <c:f>Sheet1!$B$2:$B$3</c:f>
              <c:numCache>
                <c:formatCode>General</c:formatCode>
                <c:ptCount val="2"/>
                <c:pt idx="0">
                  <c:v>24</c:v>
                </c:pt>
                <c:pt idx="1">
                  <c:v>4</c:v>
                </c:pt>
              </c:numCache>
            </c:numRef>
          </c:val>
          <c:extLst xmlns:c16r2="http://schemas.microsoft.com/office/drawing/2015/06/chart">
            <c:ext xmlns:c16="http://schemas.microsoft.com/office/drawing/2014/chart" uri="{C3380CC4-5D6E-409C-BE32-E72D297353CC}">
              <c16:uniqueId val="{00000006-DC77-4070-82E8-7276E24A58DB}"/>
            </c:ext>
          </c:extLst>
        </c:ser>
        <c:dLbls>
          <c:showLegendKey val="0"/>
          <c:showVal val="0"/>
          <c:showCatName val="0"/>
          <c:showSerName val="0"/>
          <c:showPercent val="0"/>
          <c:showBubbleSize val="0"/>
          <c:showLeaderLines val="1"/>
        </c:dLbls>
        <c:firstSliceAng val="0"/>
      </c:pieChart>
    </c:plotArea>
    <c:plotVisOnly val="1"/>
    <c:dispBlanksAs val="zero"/>
    <c:showDLblsOverMax val="0"/>
  </c:chart>
  <c:spPr>
    <a:ln>
      <a:noFill/>
    </a:ln>
  </c:sp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
          <c:y val="2.9946171982739446E-2"/>
          <c:w val="0.90015376865770558"/>
          <c:h val="0.97005382801726059"/>
        </c:manualLayout>
      </c:layout>
      <c:pieChart>
        <c:varyColors val="1"/>
        <c:ser>
          <c:idx val="0"/>
          <c:order val="0"/>
          <c:tx>
            <c:strRef>
              <c:f>Sheet1!$B$1</c:f>
              <c:strCache>
                <c:ptCount val="1"/>
                <c:pt idx="0">
                  <c:v>Late payments reminders</c:v>
                </c:pt>
              </c:strCache>
            </c:strRef>
          </c:tx>
          <c:explosion val="5"/>
          <c:dPt>
            <c:idx val="0"/>
            <c:bubble3D val="0"/>
            <c:spPr>
              <a:solidFill>
                <a:srgbClr val="C0504D">
                  <a:lumMod val="40000"/>
                  <a:lumOff val="60000"/>
                </a:srgbClr>
              </a:solidFill>
            </c:spPr>
            <c:extLst xmlns:c16r2="http://schemas.microsoft.com/office/drawing/2015/06/chart">
              <c:ext xmlns:c16="http://schemas.microsoft.com/office/drawing/2014/chart" uri="{C3380CC4-5D6E-409C-BE32-E72D297353CC}">
                <c16:uniqueId val="{00000001-26C2-47C4-BF1C-34B84F840A5E}"/>
              </c:ext>
            </c:extLst>
          </c:dPt>
          <c:dPt>
            <c:idx val="1"/>
            <c:bubble3D val="0"/>
            <c:spPr>
              <a:solidFill>
                <a:srgbClr val="C0504D">
                  <a:lumMod val="75000"/>
                </a:srgbClr>
              </a:solidFill>
            </c:spPr>
            <c:extLst xmlns:c16r2="http://schemas.microsoft.com/office/drawing/2015/06/chart">
              <c:ext xmlns:c16="http://schemas.microsoft.com/office/drawing/2014/chart" uri="{C3380CC4-5D6E-409C-BE32-E72D297353CC}">
                <c16:uniqueId val="{00000003-26C2-47C4-BF1C-34B84F840A5E}"/>
              </c:ext>
            </c:extLst>
          </c:dPt>
          <c:dPt>
            <c:idx val="2"/>
            <c:bubble3D val="0"/>
            <c:spPr>
              <a:solidFill>
                <a:srgbClr val="C0504D">
                  <a:lumMod val="50000"/>
                </a:srgbClr>
              </a:solidFill>
            </c:spPr>
            <c:extLst xmlns:c16r2="http://schemas.microsoft.com/office/drawing/2015/06/chart">
              <c:ext xmlns:c16="http://schemas.microsoft.com/office/drawing/2014/chart" uri="{C3380CC4-5D6E-409C-BE32-E72D297353CC}">
                <c16:uniqueId val="{00000005-26C2-47C4-BF1C-34B84F840A5E}"/>
              </c:ext>
            </c:extLst>
          </c:dPt>
          <c:dPt>
            <c:idx val="3"/>
            <c:bubble3D val="0"/>
            <c:spPr>
              <a:solidFill>
                <a:schemeClr val="accent4"/>
              </a:solidFill>
            </c:spPr>
            <c:extLst xmlns:c16r2="http://schemas.microsoft.com/office/drawing/2015/06/chart">
              <c:ext xmlns:c16="http://schemas.microsoft.com/office/drawing/2014/chart" uri="{C3380CC4-5D6E-409C-BE32-E72D297353CC}">
                <c16:uniqueId val="{00000007-26C2-47C4-BF1C-34B84F840A5E}"/>
              </c:ext>
            </c:extLst>
          </c:dPt>
          <c:dLbls>
            <c:dLbl>
              <c:idx val="0"/>
              <c:layout>
                <c:manualLayout>
                  <c:x val="-0.14810234927530616"/>
                  <c:y val="8.9290406746494022E-2"/>
                </c:manualLayout>
              </c:layout>
              <c:spPr>
                <a:noFill/>
                <a:ln>
                  <a:noFill/>
                </a:ln>
                <a:effectLst/>
              </c:spPr>
              <c:txPr>
                <a:bodyPr/>
                <a:lstStyle/>
                <a:p>
                  <a:pPr>
                    <a:defRPr sz="1000" b="1">
                      <a:solidFill>
                        <a:schemeClr val="accent2">
                          <a:lumMod val="50000"/>
                        </a:schemeClr>
                      </a:solidFill>
                    </a:defRPr>
                  </a:pPr>
                  <a:endParaRPr lang="en-US"/>
                </a:p>
              </c:txPr>
              <c:showLegendKey val="0"/>
              <c:showVal val="0"/>
              <c:showCatName val="0"/>
              <c:showSerName val="0"/>
              <c:showPercent val="1"/>
              <c:showBubbleSize val="0"/>
            </c:dLbl>
            <c:dLbl>
              <c:idx val="1"/>
              <c:layout>
                <c:manualLayout>
                  <c:x val="-0.10863711001642039"/>
                  <c:y val="9.8882107192222304E-2"/>
                </c:manualLayout>
              </c:layout>
              <c:tx>
                <c:rich>
                  <a:bodyPr/>
                  <a:lstStyle/>
                  <a:p>
                    <a:pPr>
                      <a:defRPr sz="1000" b="1">
                        <a:solidFill>
                          <a:schemeClr val="bg1"/>
                        </a:solidFill>
                      </a:defRPr>
                    </a:pPr>
                    <a:r>
                      <a:rPr lang="en-US" sz="1000">
                        <a:solidFill>
                          <a:schemeClr val="bg1"/>
                        </a:solidFill>
                      </a:rPr>
                      <a:t>7%</a:t>
                    </a:r>
                    <a:endParaRPr lang="en-US" sz="1000">
                      <a:solidFill>
                        <a:schemeClr val="accent1">
                          <a:lumMod val="50000"/>
                        </a:schemeClr>
                      </a:solidFill>
                    </a:endParaRPr>
                  </a:p>
                </c:rich>
              </c:tx>
              <c:spPr/>
              <c:showLegendKey val="0"/>
              <c:showVal val="0"/>
              <c:showCatName val="0"/>
              <c:showSerName val="0"/>
              <c:showPercent val="1"/>
              <c:showBubbleSize val="0"/>
            </c:dLbl>
            <c:dLbl>
              <c:idx val="2"/>
              <c:layout>
                <c:manualLayout>
                  <c:x val="0.18292722090294281"/>
                  <c:y val="-0.20771817585301844"/>
                </c:manualLayout>
              </c:layout>
              <c:tx>
                <c:rich>
                  <a:bodyPr/>
                  <a:lstStyle/>
                  <a:p>
                    <a:r>
                      <a:rPr lang="en-US" sz="1000">
                        <a:solidFill>
                          <a:schemeClr val="bg1"/>
                        </a:solidFill>
                      </a:rPr>
                      <a:t>79%</a:t>
                    </a:r>
                    <a:endParaRPr lang="en-US"/>
                  </a:p>
                </c:rich>
              </c:tx>
              <c:showLegendKey val="0"/>
              <c:showVal val="0"/>
              <c:showCatName val="0"/>
              <c:showSerName val="0"/>
              <c:showPercent val="1"/>
              <c:showBubbleSize val="0"/>
            </c:dLbl>
            <c:spPr>
              <a:noFill/>
              <a:ln>
                <a:noFill/>
              </a:ln>
              <a:effectLst/>
            </c:spPr>
            <c:txPr>
              <a:bodyPr/>
              <a:lstStyle/>
              <a:p>
                <a:pPr>
                  <a:defRPr sz="1000" b="1">
                    <a:solidFill>
                      <a:schemeClr val="bg1"/>
                    </a:solidFill>
                  </a:defRPr>
                </a:pPr>
                <a:endParaRPr lang="en-US"/>
              </a:p>
            </c:txPr>
            <c:showLegendKey val="0"/>
            <c:showVal val="0"/>
            <c:showCatName val="0"/>
            <c:showSerName val="0"/>
            <c:showPercent val="1"/>
            <c:showBubbleSize val="0"/>
            <c:showLeaderLines val="1"/>
            <c:extLst>
              <c:ext xmlns:c15="http://schemas.microsoft.com/office/drawing/2012/chart" uri="{CE6537A1-D6FC-4f65-9D91-7224C49458BB}"/>
            </c:extLst>
          </c:dLbls>
          <c:cat>
            <c:strRef>
              <c:f>Sheet1!$A$2:$A$4</c:f>
              <c:strCache>
                <c:ptCount val="3"/>
                <c:pt idx="0">
                  <c:v>Not issued</c:v>
                </c:pt>
                <c:pt idx="1">
                  <c:v>Ad-hoc</c:v>
                </c:pt>
                <c:pt idx="2">
                  <c:v>Auto</c:v>
                </c:pt>
              </c:strCache>
            </c:strRef>
          </c:cat>
          <c:val>
            <c:numRef>
              <c:f>Sheet1!$B$2:$B$4</c:f>
              <c:numCache>
                <c:formatCode>General</c:formatCode>
                <c:ptCount val="3"/>
                <c:pt idx="0">
                  <c:v>4</c:v>
                </c:pt>
                <c:pt idx="1">
                  <c:v>2</c:v>
                </c:pt>
                <c:pt idx="2">
                  <c:v>22</c:v>
                </c:pt>
              </c:numCache>
            </c:numRef>
          </c:val>
          <c:extLst xmlns:c16r2="http://schemas.microsoft.com/office/drawing/2015/06/chart">
            <c:ext xmlns:c16="http://schemas.microsoft.com/office/drawing/2014/chart" uri="{C3380CC4-5D6E-409C-BE32-E72D297353CC}">
              <c16:uniqueId val="{00000008-26C2-47C4-BF1C-34B84F840A5E}"/>
            </c:ext>
          </c:extLst>
        </c:ser>
        <c:dLbls>
          <c:showLegendKey val="0"/>
          <c:showVal val="0"/>
          <c:showCatName val="0"/>
          <c:showSerName val="0"/>
          <c:showPercent val="0"/>
          <c:showBubbleSize val="0"/>
          <c:showLeaderLines val="1"/>
        </c:dLbls>
        <c:firstSliceAng val="0"/>
      </c:pieChart>
    </c:plotArea>
    <c:plotVisOnly val="1"/>
    <c:dispBlanksAs val="zero"/>
    <c:showDLblsOverMax val="0"/>
  </c:chart>
  <c:spPr>
    <a:ln>
      <a:noFill/>
    </a:ln>
  </c:sp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357FFF-F160-41C9-9923-A9D9005E6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6640</Words>
  <Characters>36792</Characters>
  <Application>Microsoft Office Word</Application>
  <DocSecurity>0</DocSecurity>
  <Lines>836</Lines>
  <Paragraphs>326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43106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15</cp:revision>
  <dcterms:created xsi:type="dcterms:W3CDTF">2017-11-14T14:08:00Z</dcterms:created>
  <dcterms:modified xsi:type="dcterms:W3CDTF">2017-12-07T15:20:00Z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ies>
</file>