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F273821-D7FF-475F-ACAF-88E9DC8CD96A" style="width:450.8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32"/>
          <w:szCs w:val="32"/>
        </w:rPr>
      </w:pPr>
      <w:bookmarkStart w:id="1" w:name="_GoBack"/>
      <w:bookmarkEnd w:id="1"/>
      <w:r>
        <w:rPr>
          <w:rFonts w:ascii="Times New Roman" w:hAnsi="Times New Roman"/>
          <w:b/>
          <w:noProof/>
          <w:sz w:val="32"/>
        </w:rPr>
        <w:lastRenderedPageBreak/>
        <w:t>Доклад на Комисията относно последващите мерки във връзка с поканата за представяне на мнения:</w:t>
      </w:r>
      <w:r>
        <w:rPr>
          <w:rFonts w:ascii="Times New Roman" w:hAnsi="Times New Roman" w:cs="Times New Roman"/>
          <w:b/>
          <w:noProof/>
          <w:sz w:val="32"/>
          <w:szCs w:val="32"/>
        </w:rPr>
        <w:br/>
      </w:r>
      <w:r>
        <w:rPr>
          <w:rFonts w:ascii="Times New Roman" w:hAnsi="Times New Roman"/>
          <w:b/>
          <w:noProof/>
          <w:sz w:val="32"/>
        </w:rPr>
        <w:t xml:space="preserve"> регулаторна рамка на ЕС за финансови услуги</w:t>
      </w:r>
    </w:p>
    <w:p>
      <w:pPr>
        <w:pStyle w:val="Heading1"/>
        <w:spacing w:before="360" w:after="240"/>
        <w:rPr>
          <w:rFonts w:ascii="Times New Roman" w:hAnsi="Times New Roman" w:cs="Times New Roman"/>
          <w:noProof/>
        </w:rPr>
      </w:pPr>
      <w:r>
        <w:rPr>
          <w:rFonts w:ascii="Times New Roman" w:hAnsi="Times New Roman"/>
          <w:noProof/>
        </w:rPr>
        <w:t>1. ВЪВЕДЕНИЕ</w:t>
      </w:r>
    </w:p>
    <w:p>
      <w:pPr>
        <w:jc w:val="both"/>
        <w:rPr>
          <w:rFonts w:ascii="Times New Roman" w:hAnsi="Times New Roman" w:cs="Times New Roman"/>
          <w:noProof/>
          <w:sz w:val="24"/>
          <w:szCs w:val="24"/>
        </w:rPr>
      </w:pPr>
      <w:r>
        <w:rPr>
          <w:rFonts w:ascii="Times New Roman" w:hAnsi="Times New Roman"/>
          <w:noProof/>
          <w:sz w:val="24"/>
        </w:rPr>
        <w:t xml:space="preserve">На 30 септември 2015 г. Европейската комисия отправи покана за представяне на мнения относно регулаторната рамка на ЕС за финансовите услуги. Целта ѝ бе да провери дали приетите от финансовата криза насам над 40 законодателни акта на ЕС работят според предназначението си.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Над 300 заинтересовани страни споделиха опита си от прилагането на финансовите регламенти на ЕС и дадоха оценка на общото и индивидуалното въздействие на разпоредбите на Съюза. Поканата за представяне на мнения, която бе първият пример за подобно начинание на международно ниво в този сектор, предприето след мерките, взети в отговор на финансовата криза, демонстрира ангажимента на Комисията по отношение на програмата за по-добро регулиране, която има за цел да гарантира, че законодателството на ЕС носи на гражданите и предприятията очакваните резултати ефективно, ефикасно и при минимални разходи. </w:t>
      </w:r>
    </w:p>
    <w:p>
      <w:pPr>
        <w:jc w:val="both"/>
        <w:rPr>
          <w:rFonts w:ascii="Times New Roman" w:hAnsi="Times New Roman" w:cs="Times New Roman"/>
          <w:noProof/>
          <w:sz w:val="24"/>
          <w:szCs w:val="24"/>
        </w:rPr>
      </w:pPr>
      <w:r>
        <w:rPr>
          <w:rFonts w:ascii="Times New Roman" w:hAnsi="Times New Roman"/>
          <w:noProof/>
          <w:sz w:val="24"/>
        </w:rPr>
        <w:t>Отправянето на поканата за представяне на мнения свидетелства за това, че като цяло рамката на ЕС за финансовите услуги функционира добре и че извършените реформи са били необходими. То доказва своята полза и за продължаването на подкрепата за една солидна регулаторна позиция, чрез която по по-устойчив начин се гарантира финансовата стабилност и се подкрепя разкриването на работни места и растежът.</w:t>
      </w:r>
    </w:p>
    <w:p>
      <w:pPr>
        <w:jc w:val="both"/>
        <w:rPr>
          <w:rFonts w:ascii="Times New Roman" w:hAnsi="Times New Roman" w:cs="Times New Roman"/>
          <w:noProof/>
          <w:sz w:val="24"/>
          <w:szCs w:val="24"/>
        </w:rPr>
      </w:pPr>
      <w:r>
        <w:rPr>
          <w:rFonts w:ascii="Times New Roman" w:hAnsi="Times New Roman"/>
          <w:noProof/>
          <w:sz w:val="24"/>
        </w:rPr>
        <w:t xml:space="preserve">Ангажиментът на Комисията да следи за изпълнението и функционирането на новите правила и готовността ѝ, в случай че те не водят до планираните резултати, да разглежда подходящи промени, получи широка подкрепа най-вече от Европейския парламент и от Съвета. Поканата за представяне на мнения допринася за демократичната отчетност като един от факторите, обезпечаващи доверието на засегнатите от правилата страни, включително на крайните потребители. </w:t>
      </w:r>
    </w:p>
    <w:p>
      <w:pPr>
        <w:pStyle w:val="Text1"/>
        <w:spacing w:after="120" w:line="276" w:lineRule="auto"/>
        <w:ind w:left="0"/>
        <w:rPr>
          <w:noProof/>
          <w:szCs w:val="24"/>
        </w:rPr>
      </w:pPr>
      <w:r>
        <w:rPr>
          <w:noProof/>
        </w:rPr>
        <w:t>През ноември 2016 г. Комисията прие съобщение относно последващите мерки от поканата за представяне на мнения („съобщението“) и публикува работен документ на службите на Комисията към него. Заключението на Комисията бе, че независимо че рамката на ЕС за финансовите услуги като цяло работи добре,</w:t>
      </w:r>
      <w:r>
        <w:rPr>
          <w:b/>
          <w:noProof/>
        </w:rPr>
        <w:t xml:space="preserve"> </w:t>
      </w:r>
      <w:r>
        <w:rPr>
          <w:noProof/>
        </w:rPr>
        <w:t>в четири области целенасочените последващи мерки са оправдани:</w:t>
      </w:r>
    </w:p>
    <w:p>
      <w:pPr>
        <w:pStyle w:val="Text1"/>
        <w:numPr>
          <w:ilvl w:val="0"/>
          <w:numId w:val="2"/>
        </w:numPr>
        <w:spacing w:after="60" w:line="276" w:lineRule="auto"/>
        <w:rPr>
          <w:noProof/>
          <w:szCs w:val="24"/>
        </w:rPr>
      </w:pPr>
      <w:r>
        <w:rPr>
          <w:noProof/>
        </w:rPr>
        <w:t>намаляване на ненужните регулаторни ограничения за финансиране на икономиката;</w:t>
      </w:r>
    </w:p>
    <w:p>
      <w:pPr>
        <w:pStyle w:val="Text1"/>
        <w:numPr>
          <w:ilvl w:val="0"/>
          <w:numId w:val="2"/>
        </w:numPr>
        <w:spacing w:after="60" w:line="276" w:lineRule="auto"/>
        <w:rPr>
          <w:noProof/>
          <w:szCs w:val="24"/>
        </w:rPr>
      </w:pPr>
      <w:r>
        <w:rPr>
          <w:noProof/>
        </w:rPr>
        <w:t>повишаване на степента на пропорционалност на правилата при запазване на пруденциалните цели;</w:t>
      </w:r>
    </w:p>
    <w:p>
      <w:pPr>
        <w:pStyle w:val="Text1"/>
        <w:numPr>
          <w:ilvl w:val="0"/>
          <w:numId w:val="2"/>
        </w:numPr>
        <w:spacing w:after="60" w:line="276" w:lineRule="auto"/>
        <w:rPr>
          <w:noProof/>
          <w:szCs w:val="24"/>
        </w:rPr>
      </w:pPr>
      <w:r>
        <w:rPr>
          <w:noProof/>
        </w:rPr>
        <w:t>намаляване на излишната регулаторна тежест;</w:t>
      </w:r>
    </w:p>
    <w:p>
      <w:pPr>
        <w:pStyle w:val="Text1"/>
        <w:numPr>
          <w:ilvl w:val="0"/>
          <w:numId w:val="2"/>
        </w:numPr>
        <w:spacing w:after="60" w:line="276" w:lineRule="auto"/>
        <w:rPr>
          <w:noProof/>
          <w:szCs w:val="24"/>
        </w:rPr>
      </w:pPr>
      <w:r>
        <w:rPr>
          <w:noProof/>
        </w:rPr>
        <w:t>постигане на по-последователна регулаторна рамка, ориентирана към бъдещето.</w:t>
      </w: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r>
        <w:rPr>
          <w:noProof/>
        </w:rPr>
        <w:t xml:space="preserve">Много от тези последващи мерки послужиха като основа за: </w:t>
      </w:r>
    </w:p>
    <w:p>
      <w:pPr>
        <w:pStyle w:val="Text1"/>
        <w:numPr>
          <w:ilvl w:val="0"/>
          <w:numId w:val="19"/>
        </w:numPr>
        <w:spacing w:before="240" w:line="276" w:lineRule="auto"/>
        <w:rPr>
          <w:noProof/>
          <w:szCs w:val="24"/>
        </w:rPr>
      </w:pPr>
      <w:r>
        <w:rPr>
          <w:noProof/>
        </w:rPr>
        <w:t xml:space="preserve">прегледа на отделни </w:t>
      </w:r>
      <w:r>
        <w:rPr>
          <w:rFonts w:eastAsiaTheme="minorHAnsi"/>
          <w:noProof/>
          <w:sz w:val="22"/>
        </w:rPr>
        <w:t>законодателни</w:t>
      </w:r>
      <w:r>
        <w:rPr>
          <w:noProof/>
        </w:rPr>
        <w:t xml:space="preserve"> актове:</w:t>
      </w:r>
      <w:r>
        <w:rPr>
          <w:rFonts w:eastAsiaTheme="minorHAnsi"/>
          <w:noProof/>
          <w:sz w:val="22"/>
        </w:rPr>
        <w:t xml:space="preserve"> например наред с отчитането на данните от поканата за представяне на мнения в предложенията за </w:t>
      </w:r>
      <w:r>
        <w:rPr>
          <w:noProof/>
        </w:rPr>
        <w:t>Регламента за капиталовите изисквания (РКИ)</w:t>
      </w:r>
      <w:r>
        <w:rPr>
          <w:rStyle w:val="FootnoteReference"/>
          <w:noProof/>
        </w:rPr>
        <w:footnoteReference w:id="2"/>
      </w:r>
      <w:r>
        <w:rPr>
          <w:noProof/>
        </w:rPr>
        <w:t>/Директивата за капиталовите изисквания от 2013 г. (РКИ IV)</w:t>
      </w:r>
      <w:r>
        <w:rPr>
          <w:rStyle w:val="FootnoteReference"/>
          <w:noProof/>
        </w:rPr>
        <w:footnoteReference w:id="3"/>
      </w:r>
      <w:r>
        <w:rPr>
          <w:rFonts w:eastAsiaTheme="minorHAnsi"/>
          <w:noProof/>
          <w:sz w:val="22"/>
        </w:rPr>
        <w:t xml:space="preserve">, последващите действия послужиха като основа и за </w:t>
      </w:r>
      <w:r>
        <w:rPr>
          <w:noProof/>
        </w:rPr>
        <w:t>измененията на Регламента за европейската пазарна инфраструктура (РЕПИ)</w:t>
      </w:r>
      <w:r>
        <w:rPr>
          <w:rStyle w:val="FootnoteReference"/>
          <w:noProof/>
        </w:rPr>
        <w:footnoteReference w:id="4"/>
      </w:r>
      <w:r>
        <w:rPr>
          <w:noProof/>
        </w:rPr>
        <w:t xml:space="preserve"> и </w:t>
      </w:r>
      <w:r>
        <w:rPr>
          <w:rFonts w:eastAsiaTheme="minorHAnsi"/>
          <w:noProof/>
          <w:sz w:val="22"/>
        </w:rPr>
        <w:t>прегледа на европейските надзорни органи (ЕНО)</w:t>
      </w:r>
      <w:r>
        <w:rPr>
          <w:rStyle w:val="FootnoteReference"/>
          <w:rFonts w:eastAsiaTheme="minorHAnsi"/>
          <w:noProof/>
          <w:sz w:val="22"/>
        </w:rPr>
        <w:footnoteReference w:id="5"/>
      </w:r>
      <w:r>
        <w:rPr>
          <w:noProof/>
        </w:rPr>
        <w:t xml:space="preserve">; </w:t>
      </w:r>
    </w:p>
    <w:p>
      <w:pPr>
        <w:pStyle w:val="Text1"/>
        <w:numPr>
          <w:ilvl w:val="0"/>
          <w:numId w:val="19"/>
        </w:numPr>
        <w:spacing w:before="240" w:line="276" w:lineRule="auto"/>
        <w:rPr>
          <w:noProof/>
          <w:szCs w:val="24"/>
        </w:rPr>
      </w:pPr>
      <w:r>
        <w:rPr>
          <w:noProof/>
        </w:rPr>
        <w:t xml:space="preserve">изпълнението на текущата работа в областта на политиките (напр. допълнителното развитие на Съюза на капиталовите пазари (СКП)); </w:t>
      </w:r>
    </w:p>
    <w:p>
      <w:pPr>
        <w:pStyle w:val="Text1"/>
        <w:numPr>
          <w:ilvl w:val="0"/>
          <w:numId w:val="19"/>
        </w:numPr>
        <w:spacing w:before="240" w:line="276" w:lineRule="auto"/>
        <w:rPr>
          <w:noProof/>
          <w:szCs w:val="24"/>
        </w:rPr>
      </w:pPr>
      <w:r>
        <w:rPr>
          <w:noProof/>
        </w:rPr>
        <w:t xml:space="preserve">калибрирането на техническите стандарти от ниво 2 и предстоящите регламенти и директиви от ниво 1; </w:t>
      </w:r>
    </w:p>
    <w:p>
      <w:pPr>
        <w:pStyle w:val="Text1"/>
        <w:numPr>
          <w:ilvl w:val="0"/>
          <w:numId w:val="19"/>
        </w:numPr>
        <w:spacing w:before="240" w:line="276" w:lineRule="auto"/>
        <w:rPr>
          <w:noProof/>
          <w:szCs w:val="24"/>
        </w:rPr>
      </w:pPr>
      <w:r>
        <w:rPr>
          <w:noProof/>
        </w:rPr>
        <w:t xml:space="preserve">приноса на ЕС в глобалната среда. </w:t>
      </w:r>
    </w:p>
    <w:p>
      <w:pPr>
        <w:pStyle w:val="Text1"/>
        <w:spacing w:before="240" w:line="276" w:lineRule="auto"/>
        <w:ind w:left="0"/>
        <w:rPr>
          <w:noProof/>
          <w:szCs w:val="24"/>
        </w:rPr>
      </w:pPr>
      <w:r>
        <w:rPr>
          <w:rFonts w:ascii="Times" w:hAnsi="Times"/>
          <w:noProof/>
        </w:rPr>
        <w:t xml:space="preserve">Получените чрез поканата за представяне на мнения сведения се оказаха много ценни и дори надхвърлят обхвата на последващите мерки, представени в съобщението от ноември 2016 г. </w:t>
      </w:r>
      <w:r>
        <w:rPr>
          <w:noProof/>
        </w:rPr>
        <w:t>Неотдавнашните промени на световно и европейско равнище допринесоха за развитието на приоритети, като например засилен фокус върху устойчивите финанси и иновативните технологии. Поканата за представяне на мнения има важна роля при формулирането и прецизирането на отговора на Комисията на тези промени. С нея се открояват и някои области в междинния преглед на плана за действие за СКП</w:t>
      </w:r>
      <w:r>
        <w:rPr>
          <w:rStyle w:val="FootnoteReference"/>
          <w:noProof/>
        </w:rPr>
        <w:footnoteReference w:id="6"/>
      </w:r>
      <w:r>
        <w:rPr>
          <w:noProof/>
        </w:rPr>
        <w:t>, при които по-съгласуваният подход към регулациите би укрепил още повече капиталовите пазари в ЕС.</w:t>
      </w:r>
    </w:p>
    <w:p>
      <w:pPr>
        <w:jc w:val="both"/>
        <w:rPr>
          <w:rFonts w:ascii="Times New Roman" w:hAnsi="Times New Roman" w:cs="Times New Roman"/>
          <w:noProof/>
          <w:sz w:val="24"/>
          <w:szCs w:val="24"/>
        </w:rPr>
      </w:pPr>
      <w:r>
        <w:rPr>
          <w:rFonts w:ascii="Times New Roman" w:hAnsi="Times New Roman"/>
          <w:noProof/>
          <w:sz w:val="24"/>
        </w:rPr>
        <w:t xml:space="preserve">Една година след приемането на съобщението в настоящия доклад за напредъка се представя актуална информация относно последващите мерки във връзка с поканата за представяне на мнения. В този контекст трябва да подчертаем две основни послания: </w:t>
      </w: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активно работеше и работи по проблемите, посочени от заинтересованите страни в процедурата по отправяне на покана за представяне на мнения, за да гарантира непрекъснатата целесъобразност на законодателството на ЕС. </w:t>
      </w: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Комисията следи за това регулаторната рамка за привеждане в съответствие да отговаря на изискванията на ерата на цифровите технологии и където е възможно – чрез автоматизация и стандартизация. В крайна сметка това би трябвало да доведе до намаляване на тежестта за сектора и до по-добър финансов надзор.</w:t>
      </w:r>
    </w:p>
    <w:p>
      <w:pPr>
        <w:jc w:val="both"/>
        <w:rPr>
          <w:rFonts w:ascii="Times New Roman" w:hAnsi="Times New Roman" w:cs="Times New Roman"/>
          <w:noProof/>
          <w:sz w:val="24"/>
          <w:szCs w:val="24"/>
        </w:rPr>
      </w:pPr>
      <w:r>
        <w:rPr>
          <w:rFonts w:ascii="Times New Roman" w:hAnsi="Times New Roman" w:cs="Times New Roman"/>
          <w:noProof/>
          <w:sz w:val="24"/>
          <w:szCs w:val="24"/>
        </w:rPr>
        <w:t>В по-общ план, процедурата, свързана с поканата за представяне на мнения, допринася за разглеждането на отделните законодателни предложения в по-широк контекст. Наред с това, за да се гарантира адекватността на разпоредбите спрямо променящата се реалност, трябва да бъдат взети под внимание и развитието на финансовия сектор и икономиката в по-широк план, включително бързите технологични промени. Като цяло поканата за представяне на мнения доказа своята значимост и трайно въздействие и би трябвало да доведе до подобряване на законотворчеството в ЕС.</w:t>
      </w:r>
    </w:p>
    <w:p>
      <w:pPr>
        <w:pStyle w:val="Text1"/>
        <w:spacing w:before="240" w:line="276" w:lineRule="auto"/>
        <w:ind w:left="0"/>
        <w:rPr>
          <w:noProof/>
          <w:szCs w:val="24"/>
        </w:rPr>
      </w:pPr>
      <w:r>
        <w:rPr>
          <w:noProof/>
        </w:rPr>
        <w:t xml:space="preserve">В </w:t>
      </w:r>
      <w:r>
        <w:rPr>
          <w:b/>
          <w:noProof/>
        </w:rPr>
        <w:t>Раздел 2</w:t>
      </w:r>
      <w:r>
        <w:rPr>
          <w:noProof/>
        </w:rPr>
        <w:t xml:space="preserve"> на настоящия доклад се разглежда постигнатият до момента напредък, като почти половината от мерките бяха приключени през 12-те месеца от приемането на съобщението относно последващите мерки във връзка с покана за представяне на мнения. В </w:t>
      </w:r>
      <w:r>
        <w:rPr>
          <w:b/>
          <w:noProof/>
        </w:rPr>
        <w:t>Раздел 3</w:t>
      </w:r>
      <w:r>
        <w:rPr>
          <w:noProof/>
        </w:rPr>
        <w:t xml:space="preserve"> се представят допълнителни подробности относно ангажимента на Комисията да извърши цялостна оценка на общата рамка за надзорна отчетност. Това бе сред най-важните притеснения, посочени от отговорилите на поканата, като за пръв път към проблема се подхожда всестранно. В заключителния </w:t>
      </w:r>
      <w:r>
        <w:rPr>
          <w:b/>
          <w:noProof/>
        </w:rPr>
        <w:t>Раздел 4</w:t>
      </w:r>
      <w:r>
        <w:rPr>
          <w:noProof/>
        </w:rPr>
        <w:t xml:space="preserve"> се потвърждава постоянната ангажираност на Комисията по отношение на основаното на факти изготвяне на политики.</w:t>
      </w: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jc w:val="both"/>
        <w:rPr>
          <w:rFonts w:ascii="Times New Roman" w:hAnsi="Times New Roman" w:cs="Times New Roman"/>
          <w:noProof/>
        </w:rPr>
      </w:pPr>
      <w:r>
        <w:rPr>
          <w:rFonts w:ascii="Times New Roman" w:hAnsi="Times New Roman"/>
          <w:noProof/>
        </w:rPr>
        <w:t>2. ПОСЛЕДВАЩИ ДЕЙСТВИЯ: ПОСТИГНАТ НАПРЕДЪК</w:t>
      </w:r>
    </w:p>
    <w:p>
      <w:pPr>
        <w:jc w:val="both"/>
        <w:rPr>
          <w:rFonts w:ascii="Times" w:hAnsi="Times" w:cs="Times"/>
          <w:noProof/>
          <w:sz w:val="24"/>
          <w:szCs w:val="24"/>
        </w:rPr>
      </w:pPr>
      <w:r>
        <w:rPr>
          <w:rFonts w:ascii="Times" w:hAnsi="Times"/>
          <w:noProof/>
          <w:sz w:val="24"/>
        </w:rPr>
        <w:t xml:space="preserve">От миналата година досега Комисията предприе редица от последващите мерки, посочени в съобщението. Като цяло те допринасят за установяването на регулаторна рамка, която: </w:t>
      </w:r>
    </w:p>
    <w:p>
      <w:pPr>
        <w:pStyle w:val="ListParagraph"/>
        <w:numPr>
          <w:ilvl w:val="0"/>
          <w:numId w:val="21"/>
        </w:numPr>
        <w:jc w:val="both"/>
        <w:rPr>
          <w:rFonts w:ascii="Times" w:hAnsi="Times" w:cs="Times"/>
          <w:noProof/>
          <w:sz w:val="24"/>
          <w:szCs w:val="24"/>
        </w:rPr>
      </w:pPr>
      <w:r>
        <w:rPr>
          <w:rFonts w:ascii="Times" w:hAnsi="Times"/>
          <w:noProof/>
          <w:sz w:val="24"/>
        </w:rPr>
        <w:t xml:space="preserve">благоприятства в по-голяма степен кредитирането и инвестициите; </w:t>
      </w:r>
    </w:p>
    <w:p>
      <w:pPr>
        <w:pStyle w:val="ListParagraph"/>
        <w:numPr>
          <w:ilvl w:val="0"/>
          <w:numId w:val="21"/>
        </w:numPr>
        <w:jc w:val="both"/>
        <w:rPr>
          <w:rFonts w:ascii="Times" w:hAnsi="Times" w:cs="Times"/>
          <w:noProof/>
          <w:sz w:val="24"/>
          <w:szCs w:val="24"/>
        </w:rPr>
      </w:pPr>
      <w:r>
        <w:rPr>
          <w:rFonts w:ascii="Times" w:hAnsi="Times"/>
          <w:noProof/>
          <w:sz w:val="24"/>
        </w:rPr>
        <w:t xml:space="preserve">отчита специфичните особености на по-малките фирми, при които има по-малки рискове; </w:t>
      </w:r>
    </w:p>
    <w:p>
      <w:pPr>
        <w:pStyle w:val="ListParagraph"/>
        <w:numPr>
          <w:ilvl w:val="0"/>
          <w:numId w:val="21"/>
        </w:numPr>
        <w:jc w:val="both"/>
        <w:rPr>
          <w:rFonts w:ascii="Times" w:hAnsi="Times" w:cs="Times"/>
          <w:noProof/>
          <w:sz w:val="24"/>
          <w:szCs w:val="24"/>
        </w:rPr>
      </w:pPr>
      <w:r>
        <w:rPr>
          <w:rFonts w:ascii="Times" w:hAnsi="Times"/>
          <w:noProof/>
          <w:sz w:val="24"/>
        </w:rPr>
        <w:t>цели поддържане на необходимото минимално равнище на тежестта от привеждане в съответствие.</w:t>
      </w:r>
    </w:p>
    <w:p>
      <w:pPr>
        <w:jc w:val="both"/>
        <w:rPr>
          <w:rFonts w:ascii="Times" w:hAnsi="Times" w:cs="Times"/>
          <w:noProof/>
          <w:sz w:val="24"/>
          <w:szCs w:val="24"/>
        </w:rPr>
      </w:pPr>
      <w:r>
        <w:rPr>
          <w:rFonts w:ascii="Times" w:hAnsi="Times"/>
          <w:noProof/>
          <w:sz w:val="24"/>
        </w:rPr>
        <w:t>В новите законодателни предложения и предложенията за преразглеждане на съществуващото законодателство, както и при прилагането на разпоредбите, максимално се засягат неочакваните взаимодействия или последици при същевременно запазване на пруденциалните цели и осигуряване на обща стабилност на финансовата система.</w:t>
      </w:r>
    </w:p>
    <w:p>
      <w:pPr>
        <w:jc w:val="both"/>
        <w:rPr>
          <w:rFonts w:ascii="Times" w:hAnsi="Times" w:cs="Times"/>
          <w:noProof/>
          <w:sz w:val="24"/>
          <w:szCs w:val="24"/>
        </w:rPr>
      </w:pPr>
      <w:r>
        <w:rPr>
          <w:rFonts w:ascii="Times" w:hAnsi="Times"/>
          <w:noProof/>
          <w:sz w:val="24"/>
        </w:rPr>
        <w:t>Някои последващи мерки все още се изпълняват. Повечето от тях са свързани със законодателство, което все още не е въведено изцяло, а други бяха обявени във връзка конкретно с предстоящи прегледи. По част от проблемите Комисията ще продължи да разглежда наличните ѝ доказателства, за да прецени дали са необходими промени.</w:t>
      </w:r>
    </w:p>
    <w:p>
      <w:pPr>
        <w:pStyle w:val="Heading2"/>
        <w:rPr>
          <w:noProof/>
        </w:rPr>
      </w:pPr>
      <w:r>
        <w:rPr>
          <w:noProof/>
        </w:rPr>
        <w:t>2.1</w:t>
      </w:r>
      <w:r>
        <w:rPr>
          <w:noProof/>
        </w:rPr>
        <w:tab/>
        <w:t>Намаляване на ненужните регулаторни ограничения за финансирането на икономиката</w:t>
      </w:r>
    </w:p>
    <w:p>
      <w:pPr>
        <w:jc w:val="both"/>
        <w:rPr>
          <w:rFonts w:ascii="Times New Roman" w:hAnsi="Times New Roman" w:cs="Times New Roman"/>
          <w:noProof/>
          <w:sz w:val="24"/>
          <w:szCs w:val="24"/>
        </w:rPr>
      </w:pPr>
      <w:r>
        <w:rPr>
          <w:rFonts w:ascii="Times New Roman" w:hAnsi="Times New Roman"/>
          <w:noProof/>
          <w:sz w:val="24"/>
        </w:rPr>
        <w:t>В съответствие с приоритетите си за стимулирането на създаване на работни места, растеж и инвестиции Комисията обръща особено внимание на областите, в които е възможно разпоредбите на ЕС да възпрепятстват достъпа до финансиране, и проучва дали същите пруденциални цели могат да се постигнат по различен начин. Наред с това Комисията обръща специално внимание и на ситуации, в които текущите разпоредби биха могли евентуално да навредят на инвести</w:t>
      </w:r>
      <w:r>
        <w:rPr>
          <w:noProof/>
        </w:rPr>
        <w:t xml:space="preserve">циите и икономическия растеж. </w:t>
      </w:r>
    </w:p>
    <w:p>
      <w:pPr>
        <w:jc w:val="both"/>
        <w:rPr>
          <w:rFonts w:ascii="Times New Roman" w:hAnsi="Times New Roman" w:cs="Times New Roman"/>
          <w:noProof/>
          <w:sz w:val="24"/>
          <w:szCs w:val="24"/>
        </w:rPr>
      </w:pPr>
      <w:r>
        <w:rPr>
          <w:rFonts w:ascii="Times New Roman" w:hAnsi="Times New Roman"/>
          <w:noProof/>
          <w:sz w:val="24"/>
        </w:rPr>
        <w:t xml:space="preserve">Някои от отговорилите на поканата за представяне на мнения изразяват загриженост относно ефекта на регулаторната рамка върху способността на банките да финансират икономиката, включително финансирането на МСП, стимулите за дългосрочно устойчиво инвестиране, пазарната ликвидност и достъпа до клиринг. В отговор на това Комисията представи пакет от последващи мерки за тези области. Отзивите послужиха и като основа за междинния преглед на плана за действие за СКП, което доведе до изготвянето на пакет от мерки за постигане на по-пропорционален подход към регламентирането, по-малко затруднения при презграничното инвестиране и разработването на общоевропейска среда за капиталовите пазари. </w:t>
      </w:r>
    </w:p>
    <w:p>
      <w:pPr>
        <w:jc w:val="both"/>
        <w:rPr>
          <w:rFonts w:ascii="Times New Roman" w:hAnsi="Times New Roman" w:cs="Times New Roman"/>
          <w:noProof/>
          <w:sz w:val="24"/>
          <w:szCs w:val="24"/>
        </w:rPr>
      </w:pPr>
      <w:r>
        <w:rPr>
          <w:rFonts w:ascii="Times New Roman" w:hAnsi="Times New Roman"/>
          <w:noProof/>
          <w:sz w:val="24"/>
        </w:rPr>
        <w:t xml:space="preserve">Комисията вече </w:t>
      </w:r>
      <w:r>
        <w:rPr>
          <w:rFonts w:ascii="Times New Roman" w:hAnsi="Times New Roman"/>
          <w:b/>
          <w:noProof/>
          <w:sz w:val="24"/>
        </w:rPr>
        <w:t>изпълни</w:t>
      </w:r>
      <w:r>
        <w:rPr>
          <w:rFonts w:ascii="Times New Roman" w:hAnsi="Times New Roman"/>
          <w:noProof/>
          <w:sz w:val="24"/>
        </w:rPr>
        <w:t xml:space="preserve"> повечето от тези последващи мерки:</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През ноември 2016 г. в рамките на общата си програма за намаляване на рисковете тя предложи пакет за банковата дело. Очаква се в резултат на това необходимите публични ресурси за поддържане на банковата система в случай на финансова криза от мащаба на тази от 2007—2008 г. да намалеят с 32 % или 17 милиарда евро</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В пакета се включват основни инициативи за подкрепа на способността на банките да финансират икономиката, включително МСП и инфраструктурата:</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За прилагането на основния преглед на търговския портфейл и коефициента на стабилност на нетното финансиране бяха въведени корекции и периоди на поетапно изпълнение. Това бе с цел да се избегнат несъразмерни увеличения на капитала и да се гарантира приемственост при функционирането на финансовите пазари в ЕС.</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За да гарантира способността на банките да предоставят клирингови услуги съгласно РЕПИ, Комисията предложи промяна на коефициента на ливъридж, с която банките да получат възможност да компенсират потенциалната бъдеща експозиция на съответните сделки с деривати от първоначалните допълнителни обезпечения.</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Намаляването на регулаторния капитал при кредитирането на МСП („коефициентът за подпомагане на МСП“) бе разширено като капиталов стимул за банките да предоставят кредитиране за МСП.</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Като допълнителна подкрепа за инфраструктурите проекти бяха намалени капиталовите изисквания във връзка с риска за инвестициите на банките в допустими проекти.</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В подкрепа на кредитните институции, получаващи финансиране от кредитори извън ЕС, Комисията предложи изменение на Директивата за възстановяване и преструктуриране на банките, за да се гарантира, че изискването за договорно признаване на инструментите за споделяне на загуби за кредитори извън ЕС може да бъде прилагано по прагматичен начин.</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Комисията предложи мерки за насърчаване на интеграцията на трансграничните банки чрез възможността компетентният орган да отменя капиталовите и ликвидните изисквания, в случай че упражнява надзор както на предприятието майка, така и на неговите дъщерни предприятия, установени в различна държава — членка на банковия съюз. С цел защита на финансовата стабилност това е възможно само в случай че предприятието майка гарантира пълния размер на изискването, от чието прилагане е освободен съответният субект, и поне 50 % от гарантираната сума е обезпечена.</w:t>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През май 2017 г. Комисията прие предложение в рамките на </w:t>
            </w:r>
            <w:r>
              <w:rPr>
                <w:rFonts w:ascii="Times New Roman" w:hAnsi="Times New Roman"/>
                <w:b/>
                <w:noProof/>
                <w:sz w:val="24"/>
              </w:rPr>
              <w:t>програмата за пригодност и резултатност на регулаторната рамка на РЕПИ</w:t>
            </w:r>
            <w:r>
              <w:rPr>
                <w:rStyle w:val="FootnoteReference"/>
                <w:rFonts w:ascii="Times New Roman" w:hAnsi="Times New Roman"/>
                <w:b/>
                <w:noProof/>
                <w:sz w:val="24"/>
              </w:rPr>
              <w:footnoteReference w:id="8"/>
            </w:r>
            <w:r>
              <w:rPr>
                <w:rFonts w:ascii="Times New Roman" w:hAnsi="Times New Roman"/>
                <w:noProof/>
                <w:sz w:val="24"/>
              </w:rPr>
              <w:t xml:space="preserve"> с цел опростяване и подобряване на пропорционалността на някои от разпоредбите на ЕС относно дериватите. С оглед подобряване на достъпа до клирингови услуги с предложението се въвежда изискването те да се предоставят при справедливи, приемливи и недискриминационни търговски условия. Освен това с него се въвежда изключение от задължението за клиринг за най-малките финансови контрагенти и по-пропорционално задължение за нефинансовите контрагенти. Очаква се евентуалните икономии за по-малките финансови и нефинансови контрагенти да бъдат в диапазона между 2,3 милиарда евро и 6,9 милиарда евро от постоянни или еднократни разходи и между 1,1 милиарда евро и 2,66 милиарда евро от оперативни разходи</w:t>
            </w:r>
            <w:r>
              <w:rPr>
                <w:rStyle w:val="FootnoteReference"/>
                <w:rFonts w:ascii="Times New Roman" w:hAnsi="Times New Roman"/>
                <w:noProof/>
                <w:sz w:val="24"/>
              </w:rPr>
              <w:footnoteReference w:id="9"/>
            </w:r>
            <w:r>
              <w:rPr>
                <w:noProof/>
              </w:rPr>
              <w:t>.</w:t>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През юни 2017 г. Комисията прие делегиран акт съгласно Директивата „Платежоспособност ІІ“ за намаляване на калибрирането на рисковите фактори за инвестициите на застрахователи в образувания или корпоративни групи, които реализират основната част от своите приходи от притежаването, финансирането, разработването или експлоатирането на инфраструктурни активи (</w:t>
            </w:r>
            <w:r>
              <w:rPr>
                <w:rFonts w:ascii="Times New Roman" w:hAnsi="Times New Roman" w:cs="Times New Roman"/>
                <w:b/>
                <w:noProof/>
                <w:sz w:val="24"/>
                <w:szCs w:val="24"/>
              </w:rPr>
              <w:t>инфраструктурни предприятия</w:t>
            </w:r>
            <w:r>
              <w:rPr>
                <w:rFonts w:ascii="Times New Roman" w:hAnsi="Times New Roman" w:cs="Times New Roman"/>
                <w:noProof/>
                <w:sz w:val="24"/>
                <w:szCs w:val="24"/>
              </w:rPr>
              <w:t>). Това допълва по-ранните изменения, приети през септември 2015 г., с които се въвеждат по-ниски такси за допустими инфраструктурни проекти. В резултат на тези последни изменения за калибриране на капиталовите изисквания застрахователните дружества ще могат да увеличат инвестициите си в инфраструктурни предприятия с около 30 %</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pStyle w:val="ListParagraph"/>
              <w:numPr>
                <w:ilvl w:val="0"/>
                <w:numId w:val="6"/>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отговор на притесненията, свързани с впечатлението за намаляване на ликвидността на пазарите на корпоративни облигации, бе сформирана експертна група, която да предостави на Комисията анализ за функционирането на </w:t>
            </w:r>
            <w:r>
              <w:rPr>
                <w:rFonts w:ascii="Times New Roman" w:hAnsi="Times New Roman" w:cs="Times New Roman"/>
                <w:b/>
                <w:noProof/>
                <w:sz w:val="24"/>
                <w:szCs w:val="24"/>
              </w:rPr>
              <w:t>пазарите на корпоративни облигации в ЕС</w:t>
            </w:r>
            <w:r>
              <w:rPr>
                <w:rFonts w:ascii="Times New Roman" w:hAnsi="Times New Roman" w:cs="Times New Roman"/>
                <w:noProof/>
                <w:sz w:val="24"/>
                <w:szCs w:val="24"/>
              </w:rPr>
              <w:t>, както и препоръки за подобряване на ефективността им при финансирането на икономиката. Докладът на групата бе публикуван на 20 ноември 2017 г., като в него се посочват препоръки за: i) улесняване на емитирането на облигации за компании; ii) поддържане на база от опитни инвеститори от различни области; iii) поддържане на традиционния модел за посредничество чрез значителни за пазара участници; iv) отчитане на все по-голямото значение на електронните форми на търговия и на ефективната среда след момента на търгуване; и v) гарантиране на адекватно ниво на предоставяне на информация и прозрачност. Вследствие на тези препоръки за началото на 2018 г. е планирана обществена консултация, след която по-късно през годината ще бъде прието съобщение.</w:t>
            </w:r>
          </w:p>
          <w:p>
            <w:pPr>
              <w:pStyle w:val="ListParagraph"/>
              <w:numPr>
                <w:ilvl w:val="0"/>
                <w:numId w:val="4"/>
              </w:numPr>
              <w:spacing w:line="276" w:lineRule="auto"/>
              <w:jc w:val="both"/>
              <w:rPr>
                <w:noProof/>
              </w:rPr>
            </w:pPr>
            <w:r>
              <w:rPr>
                <w:rFonts w:ascii="Times New Roman" w:hAnsi="Times New Roman" w:cs="Times New Roman"/>
                <w:noProof/>
                <w:sz w:val="24"/>
                <w:szCs w:val="24"/>
              </w:rPr>
              <w:t xml:space="preserve">В рамките на доклад относно сделките за финансиране с ценни книжа, публикуван на 19 октомври 2017 г., Комисията извърши първоначална оценка на функционирането на пазарите по отношение на </w:t>
            </w:r>
            <w:r>
              <w:rPr>
                <w:rFonts w:ascii="Times New Roman" w:hAnsi="Times New Roman" w:cs="Times New Roman"/>
                <w:b/>
                <w:noProof/>
                <w:sz w:val="24"/>
                <w:szCs w:val="24"/>
              </w:rPr>
              <w:t>репо споразуменията</w:t>
            </w:r>
            <w:r>
              <w:rPr>
                <w:rFonts w:ascii="Times New Roman" w:hAnsi="Times New Roman" w:cs="Times New Roman"/>
                <w:noProof/>
                <w:sz w:val="24"/>
                <w:szCs w:val="24"/>
              </w:rPr>
              <w:t>. В оценката се отчита променящата се динамика на пазара през последните няколко години, както и напрежението при предоставянето</w:t>
            </w:r>
            <w:r>
              <w:rPr>
                <w:rFonts w:ascii="Times" w:hAnsi="Times"/>
                <w:noProof/>
                <w:sz w:val="24"/>
              </w:rPr>
              <w:t xml:space="preserve"> на висококачествени обезпечения поради повишеното търсене най-вече около датите за отчитане.</w:t>
            </w:r>
          </w:p>
        </w:tc>
      </w:tr>
    </w:tbl>
    <w:p>
      <w:pPr>
        <w:jc w:val="both"/>
        <w:rPr>
          <w:rFonts w:ascii="Times New Roman" w:hAnsi="Times New Roman" w:cs="Times New Roman"/>
          <w:noProof/>
          <w:sz w:val="24"/>
          <w:szCs w:val="24"/>
        </w:rPr>
      </w:pPr>
    </w:p>
    <w:p>
      <w:pPr>
        <w:rPr>
          <w:rFonts w:ascii="Times" w:hAnsi="Times" w:cs="Times"/>
          <w:noProof/>
          <w:sz w:val="24"/>
          <w:szCs w:val="24"/>
        </w:rPr>
      </w:pPr>
      <w:r>
        <w:rPr>
          <w:rFonts w:ascii="Times" w:hAnsi="Times"/>
          <w:noProof/>
          <w:sz w:val="24"/>
        </w:rPr>
        <w:t xml:space="preserve">По другите последващи мерки </w:t>
      </w:r>
      <w:r>
        <w:rPr>
          <w:rFonts w:ascii="Times" w:hAnsi="Times"/>
          <w:b/>
          <w:noProof/>
          <w:sz w:val="24"/>
        </w:rPr>
        <w:t>тече работа</w:t>
      </w:r>
      <w:r>
        <w:rPr>
          <w:rFonts w:ascii="Times" w:hAnsi="Times"/>
          <w:noProof/>
          <w:sz w:val="24"/>
        </w:rPr>
        <w:t xml:space="preserve"> и се отбелязва напредък според предвидения график. Някои от мерките засягат законодателство, което все още не е в сила, или бъдещи прегледи на такова. </w:t>
      </w:r>
      <w:r>
        <w:rPr>
          <w:noProof/>
        </w:rPr>
        <w:tab/>
      </w:r>
    </w:p>
    <w:tbl>
      <w:tblPr>
        <w:tblStyle w:val="TableGrid"/>
        <w:tblW w:w="0" w:type="auto"/>
        <w:tblLook w:val="04A0" w:firstRow="1" w:lastRow="0" w:firstColumn="1" w:lastColumn="0" w:noHBand="0" w:noVBand="1"/>
      </w:tblPr>
      <w:tblGrid>
        <w:gridCol w:w="9288"/>
      </w:tblGrid>
      <w:tr>
        <w:trPr>
          <w:trHeight w:val="1700"/>
        </w:trPr>
        <w:tc>
          <w:tcPr>
            <w:tcW w:w="9288" w:type="dxa"/>
          </w:tcPr>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При оценката на дефиницията за освобождаване от задълженията за „дейностите за поддържане на пазарите“ от </w:t>
            </w:r>
            <w:r>
              <w:rPr>
                <w:rFonts w:ascii="Times" w:hAnsi="Times"/>
                <w:b/>
                <w:noProof/>
                <w:sz w:val="24"/>
              </w:rPr>
              <w:t>Регламента относно късите продажби</w:t>
            </w:r>
            <w:r>
              <w:rPr>
                <w:rFonts w:ascii="Times" w:hAnsi="Times"/>
                <w:noProof/>
                <w:sz w:val="24"/>
              </w:rPr>
              <w:t xml:space="preserve"> през януари 2017 г. Комисията изпрати до Европейския орган за ценни книжа и пазари (ESMA) покана за представяне на становище. Становището на ESMA се очаква през декември 2017 г.</w:t>
            </w:r>
          </w:p>
          <w:p>
            <w:pPr>
              <w:pStyle w:val="ListParagraph"/>
              <w:numPr>
                <w:ilvl w:val="0"/>
                <w:numId w:val="6"/>
              </w:numPr>
              <w:spacing w:line="276"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Вследствие на споразумението между Европейския парламент и Съвета относно рамката за опростени, прозрачни и стандартизирани (</w:t>
            </w:r>
            <w:r>
              <w:rPr>
                <w:rFonts w:ascii="Times New Roman" w:hAnsi="Times New Roman" w:cs="Times New Roman"/>
                <w:b/>
                <w:noProof/>
                <w:sz w:val="24"/>
                <w:szCs w:val="24"/>
              </w:rPr>
              <w:t>ОПС</w:t>
            </w:r>
            <w:r>
              <w:rPr>
                <w:rFonts w:ascii="Times New Roman" w:hAnsi="Times New Roman" w:cs="Times New Roman"/>
                <w:noProof/>
                <w:sz w:val="24"/>
                <w:szCs w:val="24"/>
              </w:rPr>
              <w:t>) секюритизации Комисията подготвя изменение на Директивата „Платежоспособност ІІ“ за въвеждане на мерки, с които да се гарантира, че и застрахователите ще имат място като дългосрочни инвеститори на пазара на ОПС</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pStyle w:val="ListParagraph"/>
              <w:numPr>
                <w:ilvl w:val="0"/>
                <w:numId w:val="6"/>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напредва и с подготовката на поправките на делегирания регламент за допълване на „Платежоспособност II“ през 2018 г. Акцентът в работата е преглед на пруденциалното третиране на </w:t>
            </w:r>
            <w:r>
              <w:rPr>
                <w:rFonts w:ascii="Times New Roman" w:hAnsi="Times New Roman" w:cs="Times New Roman"/>
                <w:b/>
                <w:noProof/>
                <w:sz w:val="24"/>
                <w:szCs w:val="24"/>
              </w:rPr>
              <w:t>частния капитал и частно пласирания дълг</w:t>
            </w:r>
            <w:r>
              <w:rPr>
                <w:rFonts w:ascii="Times New Roman" w:hAnsi="Times New Roman" w:cs="Times New Roman"/>
                <w:noProof/>
                <w:sz w:val="24"/>
                <w:szCs w:val="24"/>
              </w:rPr>
              <w:t xml:space="preserve"> от гледна точка на отчитането на риска, когато е оправдано за целите на пруденциалния надзор. През юли 2016 г. до Европейския орган за застраховане и професионално пенсионно осигуряване (ЕОЗППО) бе изпратена покана за представяне на становище, като отговорът на органа се очаква през февруари 2018 г.</w:t>
            </w:r>
          </w:p>
          <w:p>
            <w:pPr>
              <w:pStyle w:val="ListParagraph"/>
              <w:numPr>
                <w:ilvl w:val="0"/>
                <w:numId w:val="6"/>
              </w:numPr>
              <w:spacing w:line="276" w:lineRule="auto"/>
              <w:jc w:val="both"/>
              <w:rPr>
                <w:rFonts w:ascii="Times" w:hAnsi="Times" w:cs="Times"/>
                <w:noProof/>
                <w:sz w:val="24"/>
                <w:szCs w:val="24"/>
              </w:rPr>
            </w:pPr>
            <w:r>
              <w:rPr>
                <w:rFonts w:ascii="Times New Roman" w:hAnsi="Times New Roman" w:cs="Times New Roman"/>
                <w:noProof/>
                <w:sz w:val="24"/>
                <w:szCs w:val="24"/>
              </w:rPr>
              <w:t>Като част от усилията, свързани с финансите за МСП, като например изискванията за търгуването им, Комисията ще следи прилагането на разпоредбите на Директивата</w:t>
            </w:r>
            <w:r>
              <w:rPr>
                <w:rFonts w:ascii="Times" w:hAnsi="Times"/>
                <w:noProof/>
                <w:sz w:val="24"/>
              </w:rPr>
              <w:t xml:space="preserve"> относно пазарите на финансови инструменти (ДПФИ II) </w:t>
            </w:r>
            <w:r>
              <w:rPr>
                <w:rFonts w:ascii="Times" w:hAnsi="Times"/>
                <w:b/>
                <w:noProof/>
                <w:sz w:val="24"/>
              </w:rPr>
              <w:t>в частта ѝ за инвестиционните проучвания</w:t>
            </w:r>
            <w:r>
              <w:rPr>
                <w:rFonts w:ascii="Times" w:hAnsi="Times"/>
                <w:noProof/>
                <w:sz w:val="24"/>
              </w:rPr>
              <w:t>, след като влязат в сила през януари 2018 г. В рамките на това се предвижда проучване за оценка на въздействието върху набирането на собствен капитал от МСП.</w:t>
            </w:r>
          </w:p>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В контекста на междинния преглед на СКП Комисията счита за важно през второто тримесечие на 2018 г. да направи оценка на въпроса дали целенасочените изменения на съответното законодателство на ЕС (в това число на Регламента относно пазарната злоупотреба и ДПФИ II) биха могли да създадат по-пропорционална и същевременно разумна регулаторна среда в подкрепа на </w:t>
            </w:r>
            <w:r>
              <w:rPr>
                <w:rFonts w:ascii="Times" w:hAnsi="Times"/>
                <w:b/>
                <w:noProof/>
                <w:sz w:val="24"/>
              </w:rPr>
              <w:t>допускането на МСП до търговия на публичните регулирани пазари</w:t>
            </w:r>
            <w:r>
              <w:rPr>
                <w:rFonts w:ascii="Times" w:hAnsi="Times"/>
                <w:noProof/>
                <w:sz w:val="24"/>
              </w:rPr>
              <w:t xml:space="preserve"> на бъдещите „пазари за растеж на МСП“. </w:t>
            </w:r>
          </w:p>
          <w:p>
            <w:pPr>
              <w:pStyle w:val="ListParagraph"/>
              <w:numPr>
                <w:ilvl w:val="0"/>
                <w:numId w:val="6"/>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Прегледът през 2020 г. на Директивата „Платежоспособност II“ ще даде възможност за преглед на </w:t>
            </w:r>
            <w:r>
              <w:rPr>
                <w:rFonts w:ascii="Times New Roman" w:hAnsi="Times New Roman" w:cs="Times New Roman"/>
                <w:b/>
                <w:noProof/>
                <w:sz w:val="24"/>
                <w:szCs w:val="24"/>
              </w:rPr>
              <w:t>дългосрочно гарантирания</w:t>
            </w:r>
            <w:r>
              <w:rPr>
                <w:rFonts w:ascii="Times New Roman" w:hAnsi="Times New Roman" w:cs="Times New Roman"/>
                <w:noProof/>
                <w:sz w:val="24"/>
                <w:szCs w:val="24"/>
              </w:rPr>
              <w:t xml:space="preserve"> пакет (ДГП) с цел допълнителна оценка на стимулите за дългосрочното инвестиране от страна на застрахователите. Първият доклад на ЕОЗППО по този въпрос бе публикуван през декември 2016 г. С него се набелязва използването на мерките от ДГП от застрахователните дружества. ЕОЗППО ще публикува втори подготвителен доклад преди края на 2017 г. </w:t>
            </w:r>
          </w:p>
        </w:tc>
      </w:tr>
    </w:tbl>
    <w:p>
      <w:pPr>
        <w:jc w:val="both"/>
        <w:rPr>
          <w:rFonts w:ascii="Times" w:hAnsi="Times" w:cs="Times"/>
          <w:noProof/>
          <w:sz w:val="24"/>
          <w:szCs w:val="24"/>
        </w:rPr>
      </w:pPr>
    </w:p>
    <w:p>
      <w:pPr>
        <w:pStyle w:val="Heading2"/>
        <w:rPr>
          <w:noProof/>
        </w:rPr>
      </w:pPr>
      <w:r>
        <w:rPr>
          <w:noProof/>
        </w:rPr>
        <w:t>2.2</w:t>
      </w:r>
      <w:r>
        <w:rPr>
          <w:noProof/>
        </w:rPr>
        <w:tab/>
        <w:t>Изготвяне на по-пропорционални разпоредби при запазване на пруденциалните цели</w:t>
      </w:r>
    </w:p>
    <w:p>
      <w:pPr>
        <w:jc w:val="both"/>
        <w:rPr>
          <w:rFonts w:ascii="Times New Roman" w:hAnsi="Times New Roman" w:cs="Times New Roman"/>
          <w:noProof/>
          <w:sz w:val="24"/>
          <w:szCs w:val="24"/>
        </w:rPr>
      </w:pPr>
      <w:r>
        <w:rPr>
          <w:rFonts w:ascii="Times New Roman" w:hAnsi="Times New Roman"/>
          <w:noProof/>
          <w:sz w:val="24"/>
        </w:rPr>
        <w:t>Регулирането трябва да се прилага за фирмите пропорционално, като отразява стопанския модел, размера, системното значение, както и сложността и трансграничната им дейност. По-голямата пропорционалност на разпоредбите ще спомогне за насърчаване на конкуренцията и увеличаване на устойчивостта на финансовата система чрез гарантиране на нейното многообразие при запазване на пруденциалните цели, финансовата стабилност и цялостната устойчивост. Отговорилите на поканата за представяне на мнения посочват различни области, в които пропорционалността на разпоредбите би могла да се подобри. Комисията е поела ангажимент да предприеме действия по тези опасения чрез различни последващи мерки в сферата на банковото дело, дериватите, застраховането, управлението на активи и в сектора на кредитния рейтинг.</w:t>
      </w:r>
    </w:p>
    <w:p>
      <w:pPr>
        <w:rPr>
          <w:rFonts w:ascii="Times" w:hAnsi="Times" w:cs="Times"/>
          <w:noProof/>
          <w:sz w:val="24"/>
          <w:szCs w:val="24"/>
        </w:rPr>
      </w:pPr>
    </w:p>
    <w:p>
      <w:pPr>
        <w:rPr>
          <w:rFonts w:ascii="Times" w:hAnsi="Times" w:cs="Times"/>
          <w:noProof/>
          <w:sz w:val="24"/>
          <w:szCs w:val="24"/>
        </w:rPr>
      </w:pPr>
      <w:r>
        <w:rPr>
          <w:rFonts w:ascii="Times" w:hAnsi="Times"/>
          <w:noProof/>
          <w:sz w:val="24"/>
        </w:rPr>
        <w:t xml:space="preserve">Комисията </w:t>
      </w:r>
      <w:r>
        <w:rPr>
          <w:rFonts w:ascii="Times" w:hAnsi="Times"/>
          <w:b/>
          <w:noProof/>
          <w:sz w:val="24"/>
        </w:rPr>
        <w:t>постигна резултати</w:t>
      </w:r>
      <w:r>
        <w:rPr>
          <w:rFonts w:ascii="Times" w:hAnsi="Times"/>
          <w:noProof/>
          <w:sz w:val="24"/>
        </w:rPr>
        <w:t xml:space="preserve"> по няколко основни последващи мерки в тази област:</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Споменатият по-горе </w:t>
            </w:r>
            <w:r>
              <w:rPr>
                <w:rFonts w:ascii="Times" w:hAnsi="Times"/>
                <w:b/>
                <w:noProof/>
                <w:sz w:val="24"/>
              </w:rPr>
              <w:t>пакет за банковото дело</w:t>
            </w:r>
            <w:r>
              <w:rPr>
                <w:rFonts w:ascii="Times" w:hAnsi="Times"/>
                <w:noProof/>
                <w:sz w:val="24"/>
              </w:rPr>
              <w:t>, приет от Комисията през ноември 2016 г., включваше пакет от мерки, предназначени за увеличаването на пропорционалността на регламентирането на банковото дело, включително чрез: i) намаляване на отчетната тежест и тежестта на изискванията за оповестяване за малките и несложните кредитни институции; ii) освобождаване на малките и несложни институции и персонала, получаващ ниско променливо възнаграждение, от разпоредбите за отложено плащане и изплащането в инструменти; и iii) премахване на ненужната сложност при третирането на пазарния риск на търговския портфейл и кредитния риск от контрагента.</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При липсата на конкретни решения във връзка с опасенията, че пенсионните фондове могат да имат затруднения при достъпа до необходимите парични обезпечения, през май 2017 г. в рамките на </w:t>
            </w:r>
            <w:r>
              <w:rPr>
                <w:rFonts w:ascii="Times" w:hAnsi="Times"/>
                <w:b/>
                <w:noProof/>
                <w:sz w:val="24"/>
              </w:rPr>
              <w:t>програма REFIT за РЕПИ</w:t>
            </w:r>
            <w:r>
              <w:rPr>
                <w:rFonts w:ascii="Times" w:hAnsi="Times"/>
                <w:noProof/>
                <w:sz w:val="24"/>
              </w:rPr>
              <w:t xml:space="preserve"> Комисията предложи да удължи временното освобождаване от задължението за централен клиринг за пенсионните фондове с още 3 години с възможността по изключение да го удължи за още 2 години в случай на непредвидени обстоятелства. Неотложно е различните засегнати страни, включително пенсионните фондове, централните контрагенти и клиринговите членове, предоставящи услугите за клиринг, да разработят адекватни решения, които да дадат на пенсионните фондове възможност да участват в централен клиринг.</w:t>
            </w:r>
          </w:p>
          <w:p>
            <w:pPr>
              <w:pStyle w:val="ListParagraph"/>
              <w:numPr>
                <w:ilvl w:val="0"/>
                <w:numId w:val="7"/>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Както бе обявено в междинния преглед на СКП, Комисията планира скоро да приеме законодателно предложение за въвеждане на нов и по-пропорционален </w:t>
            </w:r>
            <w:r>
              <w:rPr>
                <w:rFonts w:ascii="Times New Roman" w:hAnsi="Times New Roman" w:cs="Times New Roman"/>
                <w:b/>
                <w:noProof/>
                <w:sz w:val="24"/>
                <w:szCs w:val="24"/>
              </w:rPr>
              <w:t>пруденциален режим за по-малките инвестиционни посредници</w:t>
            </w:r>
            <w:r>
              <w:rPr>
                <w:rFonts w:ascii="Times New Roman" w:hAnsi="Times New Roman" w:cs="Times New Roman"/>
                <w:noProof/>
                <w:sz w:val="24"/>
                <w:szCs w:val="24"/>
              </w:rPr>
              <w:t xml:space="preserve">, които не са системно значими. Това е в отговор на опасението, че настоящото приложение на разпоредбите на Регламента за капиталовите изисквания, които са предназначени за банки, не е достатъчно съразмерно спрямо създаваните от някои инвестиционни посредници по-ниски рискове. </w:t>
            </w:r>
          </w:p>
        </w:tc>
      </w:tr>
    </w:tbl>
    <w:p>
      <w:pPr>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По редица други последващи мерки </w:t>
      </w:r>
      <w:r>
        <w:rPr>
          <w:rFonts w:ascii="Times" w:hAnsi="Times"/>
          <w:b/>
          <w:noProof/>
          <w:sz w:val="24"/>
        </w:rPr>
        <w:t>тече работа</w:t>
      </w:r>
      <w:r>
        <w:rPr>
          <w:rFonts w:ascii="Times" w:hAnsi="Times"/>
          <w:noProof/>
          <w:sz w:val="24"/>
        </w:rPr>
        <w:t>, като преди да е възможно въвеждането на промени,</w:t>
      </w:r>
      <w:r>
        <w:rPr>
          <w:rFonts w:ascii="Times" w:hAnsi="Times"/>
          <w:b/>
          <w:noProof/>
          <w:sz w:val="24"/>
        </w:rPr>
        <w:t xml:space="preserve"> </w:t>
      </w:r>
      <w:r>
        <w:rPr>
          <w:rFonts w:ascii="Times" w:hAnsi="Times"/>
          <w:noProof/>
          <w:sz w:val="24"/>
        </w:rPr>
        <w:t>е необходим допълнителен анализ.</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Както бе предложено чрез настоящия пакет за банковото дело, Европейският банков орган (ЕБО) ще внедри </w:t>
            </w:r>
            <w:r>
              <w:rPr>
                <w:rFonts w:ascii="Times" w:hAnsi="Times"/>
                <w:b/>
                <w:noProof/>
                <w:sz w:val="24"/>
              </w:rPr>
              <w:t>информационно-технологичен инструмент в подкрепа на по-добрата пропорционалност</w:t>
            </w:r>
            <w:r>
              <w:rPr>
                <w:rFonts w:ascii="Times" w:hAnsi="Times"/>
                <w:noProof/>
                <w:sz w:val="24"/>
              </w:rPr>
              <w:t xml:space="preserve"> при регулациите за банковото дело. Чрез този инструмент банките ще получават насоки относно приложимите регулаторни разпоредби, стандарти и образци в зависимост от конкретния мащаб и бизнес модел.</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В рамките на прегледа на Директивата относно лицата, управляващи алтернативни инвестиционни фондове (</w:t>
            </w:r>
            <w:r>
              <w:rPr>
                <w:rFonts w:ascii="Times" w:hAnsi="Times"/>
                <w:b/>
                <w:noProof/>
                <w:sz w:val="24"/>
              </w:rPr>
              <w:t>ДЛУАИФ</w:t>
            </w:r>
            <w:r>
              <w:rPr>
                <w:rFonts w:ascii="Times" w:hAnsi="Times"/>
                <w:noProof/>
                <w:sz w:val="24"/>
              </w:rPr>
              <w:t xml:space="preserve">), в момента Комисията оценява пропорционалността на разпоредбите в нея (например във връзка с хармонизирането на режимите на заплащане и намаляване на отчетната тежест). Възложено е външно изследване на ДЛУАИФ (което ще бъде завършено през 2018 г.), в което ще се разглежда и въпросът за пропорционалността. През 2018 г. Комисията ще представи доклад относно резултатите от прегледа на ДЛУАИФ пред съзаконодателите.  </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При прегледа през 2018 г. на </w:t>
            </w:r>
            <w:r>
              <w:rPr>
                <w:rFonts w:ascii="Times" w:hAnsi="Times"/>
                <w:b/>
                <w:noProof/>
                <w:sz w:val="24"/>
              </w:rPr>
              <w:t>Делегиран регламент „Платежоспособност II“</w:t>
            </w:r>
            <w:r>
              <w:rPr>
                <w:rFonts w:ascii="Times" w:hAnsi="Times"/>
                <w:noProof/>
                <w:sz w:val="24"/>
              </w:rPr>
              <w:t xml:space="preserve"> ще се разгледат начините за опростяване на методите, допусканията и изчисленията на определени модули в стандартната формула и ще бъде разработена рамка за използване на алтернативни кредитни оценки въз основата на техническата консултация на ЕОЗППО. Първите предложения на органа за опростяване бяха получени през октомври 2017 г., като през февруари 2018 г. ще последват още. </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Понастоящем Комисията извършва оценка на степента, в която </w:t>
            </w:r>
            <w:r>
              <w:rPr>
                <w:rFonts w:ascii="Times" w:hAnsi="Times"/>
                <w:b/>
                <w:noProof/>
                <w:sz w:val="24"/>
              </w:rPr>
              <w:t>Регламентът за агенциите за кредитен рейтинг</w:t>
            </w:r>
            <w:r>
              <w:rPr>
                <w:rFonts w:ascii="Times" w:hAnsi="Times"/>
                <w:noProof/>
                <w:sz w:val="24"/>
              </w:rPr>
              <w:t xml:space="preserve"> може да се прилага </w:t>
            </w:r>
            <w:r>
              <w:rPr>
                <w:noProof/>
              </w:rPr>
              <w:t xml:space="preserve">по-пропорционално, с цел подобряване на конкуренцията в сектора. </w:t>
            </w:r>
          </w:p>
        </w:tc>
      </w:tr>
    </w:tbl>
    <w:p>
      <w:pPr>
        <w:jc w:val="both"/>
        <w:rPr>
          <w:rFonts w:ascii="Times" w:hAnsi="Times" w:cs="Times"/>
          <w:noProof/>
          <w:sz w:val="24"/>
          <w:szCs w:val="24"/>
        </w:rPr>
      </w:pPr>
    </w:p>
    <w:p>
      <w:pPr>
        <w:pStyle w:val="Heading2"/>
        <w:rPr>
          <w:noProof/>
        </w:rPr>
      </w:pPr>
      <w:r>
        <w:rPr>
          <w:noProof/>
        </w:rPr>
        <w:t>2.3</w:t>
      </w:r>
      <w:r>
        <w:rPr>
          <w:noProof/>
        </w:rPr>
        <w:tab/>
      </w:r>
      <w:r>
        <w:rPr>
          <w:noProof/>
        </w:rPr>
        <w:tab/>
        <w:t>Намаляване на излишната регулаторна тежест</w:t>
      </w:r>
    </w:p>
    <w:p>
      <w:pPr>
        <w:jc w:val="both"/>
        <w:rPr>
          <w:rFonts w:ascii="Times New Roman" w:hAnsi="Times New Roman" w:cs="Times New Roman"/>
          <w:noProof/>
          <w:sz w:val="24"/>
          <w:szCs w:val="24"/>
        </w:rPr>
      </w:pPr>
      <w:r>
        <w:rPr>
          <w:rFonts w:ascii="Times New Roman" w:hAnsi="Times New Roman" w:cs="Times New Roman"/>
          <w:noProof/>
          <w:sz w:val="24"/>
          <w:szCs w:val="24"/>
        </w:rPr>
        <w:t>Поддържането на минимални нива на регулаторната тежест при разпоредбите с цел постигане на заложените в тях цели е сред основните задачи на програмата REFIT на Комисията, която е част от програмата ѝ за по-добро регулиране. Въпреки това някои заинтересовани страни смятат, че редица изисквания, като например за отчетността, не са пропорционални и ефективни.</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предприе редица мерки във връзка с надзорната отчетност. Те включват целенасочени дейности по секторното законодателство, както и започването на пълна проверка за пригодност на цялата рамка на ЕС за надзорната отчетност. В </w:t>
      </w:r>
      <w:r>
        <w:rPr>
          <w:rFonts w:ascii="Times New Roman" w:hAnsi="Times New Roman" w:cs="Times New Roman"/>
          <w:b/>
          <w:noProof/>
          <w:sz w:val="24"/>
          <w:szCs w:val="24"/>
        </w:rPr>
        <w:t>Раздел 3</w:t>
      </w:r>
      <w:r>
        <w:rPr>
          <w:rFonts w:ascii="Times New Roman" w:hAnsi="Times New Roman" w:cs="Times New Roman"/>
          <w:noProof/>
          <w:sz w:val="24"/>
          <w:szCs w:val="24"/>
        </w:rPr>
        <w:t xml:space="preserve"> на настоящия доклад са посочени повече подробности относно подхода на Комисията по този въпрос. Наред с мерките, насочени към надзорната отчетност, Комисията счита за важно да предприеме действия по изискванията за публично оповестяване, пречките за навлизане на пазара и интеграцията на пазарите, както и по разходите за привеждане в съответствие в по-общ план. </w:t>
      </w:r>
    </w:p>
    <w:p>
      <w:pPr>
        <w:jc w:val="both"/>
        <w:rPr>
          <w:rFonts w:ascii="Times" w:hAnsi="Times" w:cs="Times"/>
          <w:noProof/>
          <w:sz w:val="24"/>
          <w:szCs w:val="24"/>
        </w:rPr>
      </w:pPr>
      <w:r>
        <w:rPr>
          <w:rFonts w:ascii="Times New Roman" w:hAnsi="Times New Roman" w:cs="Times New Roman"/>
          <w:noProof/>
          <w:sz w:val="24"/>
          <w:szCs w:val="24"/>
        </w:rPr>
        <w:t xml:space="preserve">Комисията </w:t>
      </w:r>
      <w:r>
        <w:rPr>
          <w:rFonts w:ascii="Times New Roman" w:hAnsi="Times New Roman" w:cs="Times New Roman"/>
          <w:b/>
          <w:noProof/>
          <w:sz w:val="24"/>
          <w:szCs w:val="24"/>
        </w:rPr>
        <w:t>постигна резултати</w:t>
      </w:r>
      <w:r>
        <w:rPr>
          <w:rFonts w:ascii="Times New Roman" w:hAnsi="Times New Roman" w:cs="Times New Roman"/>
          <w:noProof/>
          <w:sz w:val="24"/>
          <w:szCs w:val="24"/>
        </w:rPr>
        <w:t xml:space="preserve"> по редица последващи мерки, което доведе до намаляване на регулаторната тежест в различни важни области</w:t>
      </w:r>
      <w:r>
        <w:rPr>
          <w:rFonts w:ascii="Times" w:hAnsi="Times"/>
          <w:noProof/>
          <w:sz w:val="24"/>
        </w:rPr>
        <w:t>:</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В рамките на плана за действие за СКП през март 2017 г. Комисията прие </w:t>
            </w:r>
            <w:r>
              <w:rPr>
                <w:rFonts w:ascii="Times" w:hAnsi="Times"/>
                <w:b/>
                <w:noProof/>
                <w:sz w:val="24"/>
              </w:rPr>
              <w:t>доклад относно националните пречки</w:t>
            </w:r>
            <w:r>
              <w:rPr>
                <w:rFonts w:ascii="Times" w:hAnsi="Times"/>
                <w:noProof/>
                <w:sz w:val="24"/>
              </w:rPr>
              <w:t xml:space="preserve"> пред капиталовите потоци</w:t>
            </w:r>
            <w:r>
              <w:rPr>
                <w:rStyle w:val="FootnoteReference"/>
                <w:rFonts w:ascii="Times" w:hAnsi="Times"/>
                <w:noProof/>
                <w:sz w:val="24"/>
              </w:rPr>
              <w:footnoteReference w:id="12"/>
            </w:r>
            <w:r>
              <w:rPr>
                <w:rFonts w:ascii="Times" w:hAnsi="Times"/>
                <w:noProof/>
                <w:sz w:val="24"/>
              </w:rPr>
              <w:t>, в който се посочват националните разпоредби, създаващи неоправдана и непропорционална тежест за трансграничните движения на капитали. Сред тях са: i) дискриминационни и сложни процедури за възстановяване на данъка, удържан при източника; ii) пречки пред трансграничното предлагане на инвестиционни фондове; и iii) изисквания за пребиваване. През май 2017 г. Комисията и държавите членки приеха съвместна пътна карта с цел премахване на набелязаните пречки.</w:t>
            </w:r>
            <w:r>
              <w:rPr>
                <w:noProof/>
              </w:rPr>
              <w:t xml:space="preserve"> </w:t>
            </w:r>
            <w:r>
              <w:rPr>
                <w:rFonts w:ascii="Times" w:hAnsi="Times"/>
                <w:noProof/>
                <w:sz w:val="24"/>
              </w:rPr>
              <w:t xml:space="preserve">Наред с това Комисията създаде проектна група относно данъка, удържан при източника, на която бе възложена задачата да изработи кодекс за поведение с цел опростяване и стандартизация на процедурите за възстановяване и освобождаване от данъка, удържан при източника. Кодексът ще бъде публикуван до края на 2017 г. </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Мнозина от отговорилите на поканата за представяне на мнения също така подчертават, че </w:t>
            </w:r>
            <w:r>
              <w:rPr>
                <w:rFonts w:ascii="Times" w:hAnsi="Times"/>
                <w:b/>
                <w:noProof/>
                <w:sz w:val="24"/>
              </w:rPr>
              <w:t>различаващите се и несъгласуваните подходи при надзора</w:t>
            </w:r>
            <w:r>
              <w:rPr>
                <w:rFonts w:ascii="Times" w:hAnsi="Times"/>
                <w:noProof/>
                <w:sz w:val="24"/>
              </w:rPr>
              <w:t xml:space="preserve"> пораждат ненужна регулаторна тежест. В отговор на тези притеснения са провеждани различни инициативи, имащи за цел постигане на по-добро сближаване на различните подходи към надзора на равнището на ЕС. С тях се намалява административната тежест при извършването на стопанска дейност на единния пазар, като същевременно надзорът се укрепва и се гарантират еднакви условия на конкуренция. Като последни примери са документът за размисъл относно задълбочаването на икономическия и паричен съюз</w:t>
            </w:r>
            <w:r>
              <w:rPr>
                <w:rStyle w:val="FootnoteReference"/>
                <w:rFonts w:ascii="Times" w:hAnsi="Times"/>
                <w:noProof/>
                <w:sz w:val="24"/>
              </w:rPr>
              <w:footnoteReference w:id="13"/>
            </w:r>
            <w:r>
              <w:rPr>
                <w:rFonts w:ascii="Times" w:hAnsi="Times"/>
                <w:noProof/>
                <w:sz w:val="24"/>
              </w:rPr>
              <w:t xml:space="preserve"> и междинният преглед на СКП, в които се подчертава, че за отличното функциониране на СКП е важно да има по-ефективен надзор и в крайна сметка да бъде създаден единен европейски надзорен орган на капиталовите пазари. През септември 2017 г. Комисията предложи изменения на регламентите за създаването на </w:t>
            </w:r>
            <w:r>
              <w:rPr>
                <w:rFonts w:ascii="Times" w:hAnsi="Times"/>
                <w:b/>
                <w:noProof/>
                <w:sz w:val="24"/>
              </w:rPr>
              <w:t>европейските надзорни органи</w:t>
            </w:r>
            <w:r>
              <w:rPr>
                <w:rFonts w:ascii="Times" w:hAnsi="Times"/>
                <w:noProof/>
                <w:sz w:val="24"/>
              </w:rPr>
              <w:t xml:space="preserve"> </w:t>
            </w:r>
            <w:r>
              <w:rPr>
                <w:rFonts w:ascii="Times" w:hAnsi="Times"/>
                <w:b/>
                <w:noProof/>
                <w:sz w:val="24"/>
              </w:rPr>
              <w:t>(ЕНО)</w:t>
            </w:r>
            <w:r>
              <w:rPr>
                <w:rFonts w:ascii="Times" w:hAnsi="Times"/>
                <w:noProof/>
                <w:sz w:val="24"/>
              </w:rPr>
              <w:t xml:space="preserve"> с цел подкрепа на по-последователна рамка за надзор в целия ЕС. В подкрепа на функционирането на СКП в целевите области Комисията предложи укрепване на правомощията на ЕНО по отношение на сближаването в областта на надзора и предоставянето на конкретни нови задачи за Европейския орган за ценни книжа и пазари (ESMA), който е прекият надзорен орган.</w:t>
            </w:r>
          </w:p>
          <w:p>
            <w:pPr>
              <w:pStyle w:val="ListParagraph"/>
              <w:spacing w:line="276" w:lineRule="auto"/>
              <w:jc w:val="both"/>
              <w:rPr>
                <w:rFonts w:ascii="Times" w:hAnsi="Times" w:cs="Times"/>
                <w:noProof/>
                <w:sz w:val="24"/>
                <w:szCs w:val="24"/>
              </w:rPr>
            </w:pPr>
            <w:r>
              <w:rPr>
                <w:rFonts w:ascii="Times" w:hAnsi="Times"/>
                <w:noProof/>
                <w:sz w:val="24"/>
              </w:rPr>
              <w:t xml:space="preserve"> </w:t>
            </w:r>
          </w:p>
        </w:tc>
      </w:tr>
    </w:tbl>
    <w:p>
      <w:pPr>
        <w:jc w:val="both"/>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По останалите последващи мерки в тази област все още </w:t>
      </w:r>
      <w:r>
        <w:rPr>
          <w:rFonts w:ascii="Times" w:hAnsi="Times"/>
          <w:b/>
          <w:noProof/>
          <w:sz w:val="24"/>
        </w:rPr>
        <w:t>тече работа</w:t>
      </w:r>
      <w:r>
        <w:rPr>
          <w:rFonts w:ascii="Times" w:hAnsi="Times"/>
          <w:noProof/>
          <w:sz w:val="24"/>
        </w:rPr>
        <w:t xml:space="preserve">. Някои последващи мерки засягаха законодателство, което все още не е в сила, а за други се изискваше по-обстойна оценка, така че да се избегне непреднамерено увеличение на разходите за привеждане в съответствие заради прибързана промяна на изискванията. </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Комисията приключи съотнасянето на националните мерки за транспониране за 11 директиви</w:t>
            </w:r>
            <w:r>
              <w:rPr>
                <w:rStyle w:val="FootnoteReference"/>
                <w:rFonts w:ascii="Times" w:hAnsi="Times"/>
                <w:noProof/>
                <w:sz w:val="24"/>
              </w:rPr>
              <w:footnoteReference w:id="14"/>
            </w:r>
            <w:r>
              <w:rPr>
                <w:rFonts w:ascii="Times" w:hAnsi="Times"/>
                <w:noProof/>
                <w:sz w:val="24"/>
              </w:rPr>
              <w:t xml:space="preserve"> и си сътрудничи с държавите членки при отстраняването на установените проблеми. Тези мерки ще допринесат за премахването на някои от </w:t>
            </w:r>
            <w:r>
              <w:rPr>
                <w:rFonts w:ascii="Times" w:hAnsi="Times"/>
                <w:b/>
                <w:noProof/>
                <w:sz w:val="24"/>
              </w:rPr>
              <w:t>разминаванията, получени в резултат на транспонирането</w:t>
            </w:r>
            <w:r>
              <w:rPr>
                <w:rFonts w:ascii="Times" w:hAnsi="Times"/>
                <w:noProof/>
                <w:sz w:val="24"/>
              </w:rPr>
              <w:t xml:space="preserve"> на директиви на ЕС в националните законодателства. При 10 други директиви</w:t>
            </w:r>
            <w:r>
              <w:rPr>
                <w:rStyle w:val="FootnoteReference"/>
                <w:rFonts w:ascii="Times" w:hAnsi="Times"/>
                <w:noProof/>
                <w:sz w:val="24"/>
              </w:rPr>
              <w:footnoteReference w:id="15"/>
            </w:r>
            <w:r>
              <w:rPr>
                <w:rFonts w:ascii="Times" w:hAnsi="Times"/>
                <w:noProof/>
                <w:sz w:val="24"/>
              </w:rPr>
              <w:t xml:space="preserve"> съотнасянето все още не е приключило, като то трябва да завърши през 2018 г. Наред с това се предвижда, че през 2018 г. съотнасянето ще обхване и ДПФИ II и директивата ѝ за изпълнение на ниво 2</w:t>
            </w:r>
            <w:r>
              <w:rPr>
                <w:rStyle w:val="FootnoteReference"/>
                <w:rFonts w:ascii="Times" w:hAnsi="Times"/>
                <w:noProof/>
                <w:sz w:val="24"/>
              </w:rPr>
              <w:footnoteReference w:id="16"/>
            </w:r>
            <w:r>
              <w:rPr>
                <w:rFonts w:ascii="Times" w:hAnsi="Times"/>
                <w:noProof/>
                <w:sz w:val="24"/>
              </w:rPr>
              <w:t>.</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Понастоящем Комисията извършва оценка на националните мерки за транспониране на </w:t>
            </w:r>
            <w:r>
              <w:rPr>
                <w:rFonts w:ascii="Times" w:hAnsi="Times"/>
                <w:b/>
                <w:noProof/>
                <w:sz w:val="24"/>
              </w:rPr>
              <w:t>Директивата за прозрачността</w:t>
            </w:r>
            <w:r>
              <w:rPr>
                <w:rFonts w:ascii="Times" w:hAnsi="Times"/>
                <w:noProof/>
                <w:sz w:val="24"/>
              </w:rPr>
              <w:t xml:space="preserve"> и </w:t>
            </w:r>
            <w:r>
              <w:rPr>
                <w:rFonts w:ascii="Times" w:hAnsi="Times"/>
                <w:b/>
                <w:noProof/>
                <w:sz w:val="24"/>
              </w:rPr>
              <w:t>Директивата за счетоводството</w:t>
            </w:r>
            <w:r>
              <w:rPr>
                <w:rFonts w:ascii="Times" w:hAnsi="Times"/>
                <w:noProof/>
                <w:sz w:val="24"/>
              </w:rPr>
              <w:t>. При оценката се разглеждат и опасенията по отношение на различните разпоредби относно уведомяване при притежаван значителен дял от правата на глас. Комисията ще разгледа тези проблеми в рамките на по-широка проверка за пригодност на законодателството на ЕС за финансовото отчитане и прозрачността, която ще бъде стартирана в края на 2017 г.</w:t>
            </w:r>
          </w:p>
          <w:p>
            <w:pPr>
              <w:pStyle w:val="ListParagraph"/>
              <w:numPr>
                <w:ilvl w:val="0"/>
                <w:numId w:val="8"/>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След консултация относно </w:t>
            </w:r>
            <w:r>
              <w:rPr>
                <w:rFonts w:ascii="Times New Roman" w:hAnsi="Times New Roman" w:cs="Times New Roman"/>
                <w:b/>
                <w:noProof/>
                <w:sz w:val="24"/>
                <w:szCs w:val="24"/>
              </w:rPr>
              <w:t>трансграничните пречки пред предлагането на фондове</w:t>
            </w:r>
            <w:r>
              <w:rPr>
                <w:rFonts w:ascii="Times New Roman" w:hAnsi="Times New Roman" w:cs="Times New Roman"/>
                <w:noProof/>
                <w:sz w:val="24"/>
                <w:szCs w:val="24"/>
              </w:rPr>
              <w:t xml:space="preserve"> и в рамките на междинния преглед на СКП Комисията подготвя предложения за първото тримесечие на 2018 г. Целта на инициативата е подобряване на функционирането на единния пазар на европейски инвестиционни фондове чрез намаляване на регулаторните пречки пред трансграничното предлагане на фондове при същевременно поддържане на високо ниво на защита на инвеститорите. Сред засегнатите области са изискванията и практиките при предлагането на пазара, административните изисквания, законови такси, изискванията за отправяне на уведомления и предлагането онлайн.</w:t>
            </w:r>
          </w:p>
          <w:p>
            <w:pPr>
              <w:pStyle w:val="ListParagraph"/>
              <w:numPr>
                <w:ilvl w:val="0"/>
                <w:numId w:val="8"/>
              </w:numPr>
              <w:jc w:val="both"/>
              <w:rPr>
                <w:noProof/>
              </w:rPr>
            </w:pPr>
            <w:r>
              <w:rPr>
                <w:rFonts w:ascii="Times New Roman" w:hAnsi="Times New Roman" w:cs="Times New Roman"/>
                <w:noProof/>
                <w:sz w:val="24"/>
                <w:szCs w:val="24"/>
              </w:rPr>
              <w:t xml:space="preserve">Комисията ще следи за прилагането и въздействието на разпоредбите за възлагане на дейности на външни изпълнители в </w:t>
            </w:r>
            <w:r>
              <w:rPr>
                <w:rFonts w:ascii="Times New Roman" w:hAnsi="Times New Roman" w:cs="Times New Roman"/>
                <w:b/>
                <w:noProof/>
                <w:sz w:val="24"/>
                <w:szCs w:val="24"/>
              </w:rPr>
              <w:t>Регламента за референтните показатели</w:t>
            </w:r>
            <w:r>
              <w:rPr>
                <w:rFonts w:ascii="Times New Roman" w:hAnsi="Times New Roman" w:cs="Times New Roman"/>
                <w:noProof/>
                <w:sz w:val="24"/>
                <w:szCs w:val="24"/>
              </w:rPr>
              <w:t>, след като напълно влезе в сила на 1 януари 2018 г.</w:t>
            </w:r>
          </w:p>
        </w:tc>
      </w:tr>
    </w:tbl>
    <w:p>
      <w:pPr>
        <w:jc w:val="both"/>
        <w:rPr>
          <w:rFonts w:ascii="Times" w:hAnsi="Times" w:cs="Times"/>
          <w:noProof/>
          <w:sz w:val="24"/>
          <w:szCs w:val="24"/>
        </w:rPr>
      </w:pPr>
    </w:p>
    <w:p>
      <w:pPr>
        <w:pStyle w:val="Heading2"/>
        <w:rPr>
          <w:noProof/>
        </w:rPr>
      </w:pPr>
      <w:r>
        <w:rPr>
          <w:noProof/>
        </w:rPr>
        <w:t>2.4</w:t>
      </w:r>
      <w:r>
        <w:rPr>
          <w:noProof/>
        </w:rPr>
        <w:tab/>
        <w:t>Постигане на по-последователна регулаторна рамка, ориентирана към бъдещето</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В поканата за представяне на мнения също така се подчертава нуждата от: i) гарантиране на последователност на цялата регулаторна рамка; ii) повишаване на защитата на инвеститорите и потребителите; iii) отстраняване на останалите рискове във финансовата система; и iv) поддържане на актуалността на регулаторната рамка с оглед технологичното развитие. Наред с това заинтересованите страни призоваха Комисията да окаже помощ при съставянето на определенията, популяризирането на най-добри практики, задаването на стимули за трайни устойчиви инвестиции и разработването на пазара в условията на устойчиви финанси. </w:t>
      </w:r>
    </w:p>
    <w:p>
      <w:pPr>
        <w:rPr>
          <w:rFonts w:ascii="Times" w:hAnsi="Times" w:cs="Times"/>
          <w:noProof/>
          <w:sz w:val="24"/>
          <w:szCs w:val="24"/>
        </w:rPr>
      </w:pPr>
      <w:r>
        <w:rPr>
          <w:rFonts w:ascii="Times" w:hAnsi="Times"/>
          <w:noProof/>
          <w:sz w:val="24"/>
        </w:rPr>
        <w:t xml:space="preserve">Комисията </w:t>
      </w:r>
      <w:r>
        <w:rPr>
          <w:rFonts w:ascii="Times" w:hAnsi="Times"/>
          <w:b/>
          <w:noProof/>
          <w:sz w:val="24"/>
        </w:rPr>
        <w:t>постигна резултати</w:t>
      </w:r>
      <w:r>
        <w:rPr>
          <w:rFonts w:ascii="Times" w:hAnsi="Times"/>
          <w:noProof/>
          <w:sz w:val="24"/>
        </w:rPr>
        <w:t xml:space="preserve"> по няколко последващи мерки в тази област:</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Целта на пакета за банковото дело от ноември 2016 г. е постепенното въвеждане на пруденциалните капиталови ефекти, произтичащи от </w:t>
            </w:r>
            <w:r>
              <w:rPr>
                <w:rFonts w:ascii="Times" w:hAnsi="Times"/>
                <w:b/>
                <w:noProof/>
                <w:sz w:val="24"/>
              </w:rPr>
              <w:t>международния стандарт за финансово отчитане 9</w:t>
            </w:r>
            <w:r>
              <w:rPr>
                <w:rFonts w:ascii="Times" w:hAnsi="Times"/>
                <w:noProof/>
                <w:sz w:val="24"/>
              </w:rPr>
              <w:t xml:space="preserve"> (</w:t>
            </w:r>
            <w:r>
              <w:rPr>
                <w:rFonts w:ascii="Times" w:hAnsi="Times"/>
                <w:b/>
                <w:noProof/>
                <w:sz w:val="24"/>
              </w:rPr>
              <w:t>МСФО9</w:t>
            </w:r>
            <w:r>
              <w:rPr>
                <w:rFonts w:ascii="Times" w:hAnsi="Times"/>
                <w:noProof/>
                <w:sz w:val="24"/>
              </w:rPr>
              <w:t>), за да се предотврати внезапно въздействие върху кредитирането от страна на банките. През юни 2017 г. Съветът по икономически и финансови въпроси (ECOFIN) прие общ подход за бързото придвижване на приемането на тези преходни мерки.</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През ноември 2016 г. Комисията прие предложение за </w:t>
            </w:r>
            <w:r>
              <w:rPr>
                <w:rFonts w:ascii="Times" w:hAnsi="Times"/>
                <w:b/>
                <w:noProof/>
                <w:sz w:val="24"/>
              </w:rPr>
              <w:t>рамка за възстановяване и преструктуриране на централни контрагенти</w:t>
            </w:r>
            <w:r>
              <w:rPr>
                <w:rFonts w:ascii="Times" w:hAnsi="Times"/>
                <w:noProof/>
                <w:sz w:val="24"/>
              </w:rPr>
              <w:t xml:space="preserve"> (ЦК). С предложения регламент в правото на ЕС ще бъдат въведени международните стандарти в областта, приети от Съвета за финансова стабилност (СФС), от една страна, и Комитета по платежни и пазарни инфраструктури и Международната организация на комисиите по ценни книжа (КППИ/МОКЦК), от друга</w:t>
            </w:r>
            <w:r>
              <w:rPr>
                <w:rStyle w:val="FootnoteReference"/>
                <w:rFonts w:ascii="Times" w:hAnsi="Times"/>
                <w:noProof/>
                <w:sz w:val="24"/>
              </w:rPr>
              <w:footnoteReference w:id="17"/>
            </w:r>
            <w:r>
              <w:rPr>
                <w:rFonts w:ascii="Times" w:hAnsi="Times"/>
                <w:noProof/>
                <w:sz w:val="24"/>
              </w:rPr>
              <w:t xml:space="preserve">. В него се отчита нарастващото значение на ЦК, произтичащо от изискването да извършват клиринг на стандартизираните извънборсови деривати. Въпреки че ЦК в ЕС трябва да отговарят на високи стандарти (съгласно РЕПИ) предвид тяхната централна роля в икономиката и управляваните от тях рискове, с това предложение ще бъдат въведени необходимите хармонизирани правила на ЕС и правомощия за ситуации, при които ЦК са изправени пред много сериозни затруднения или не могат да изпълняват задълженията си. </w:t>
            </w:r>
          </w:p>
          <w:p>
            <w:pPr>
              <w:pStyle w:val="ListParagraph"/>
              <w:numPr>
                <w:ilvl w:val="0"/>
                <w:numId w:val="8"/>
              </w:numPr>
              <w:spacing w:line="276" w:lineRule="auto"/>
              <w:ind w:left="714" w:hanging="357"/>
              <w:jc w:val="both"/>
              <w:rPr>
                <w:rFonts w:ascii="Times" w:hAnsi="Times" w:cs="Times"/>
                <w:noProof/>
                <w:sz w:val="24"/>
                <w:szCs w:val="24"/>
              </w:rPr>
            </w:pPr>
            <w:r>
              <w:rPr>
                <w:rFonts w:ascii="Times" w:hAnsi="Times"/>
                <w:noProof/>
                <w:sz w:val="24"/>
              </w:rPr>
              <w:t xml:space="preserve">През март 2017 г. Комисията прие </w:t>
            </w:r>
            <w:r>
              <w:rPr>
                <w:rFonts w:ascii="Times" w:hAnsi="Times"/>
                <w:b/>
                <w:noProof/>
                <w:sz w:val="24"/>
              </w:rPr>
              <w:t>план за действие в областта на финансовите услуги за потребители</w:t>
            </w:r>
            <w:r>
              <w:rPr>
                <w:rFonts w:ascii="Times" w:hAnsi="Times"/>
                <w:noProof/>
                <w:sz w:val="24"/>
              </w:rPr>
              <w:t xml:space="preserve">, в който се очертават етапите за изграждането на по-задълбочен единен пазар на финансови услуги за потребители. Заложените в този документ 12 действия ще доведат до: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повишаване на доверието на потребителите и разширяване на техните права;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намаляване на таксите при трансграничните плащания;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намаляване на правните и регулаторни пречки за бизнеса при предоставяне на услуги в трансграничен контекст;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оползотворяване на потенциала на цифровите иновации с цел изграждане на по-задълбочен единен пазар на финансови услуги за потребители.</w:t>
            </w:r>
          </w:p>
          <w:p>
            <w:pPr>
              <w:pStyle w:val="ListParagraph"/>
              <w:numPr>
                <w:ilvl w:val="0"/>
                <w:numId w:val="8"/>
              </w:numPr>
              <w:spacing w:line="276" w:lineRule="auto"/>
              <w:jc w:val="both"/>
              <w:rPr>
                <w:rFonts w:ascii="Times" w:hAnsi="Times"/>
                <w:noProof/>
              </w:rPr>
            </w:pPr>
            <w:r>
              <w:rPr>
                <w:rFonts w:ascii="Times" w:hAnsi="Times"/>
                <w:noProof/>
                <w:sz w:val="24"/>
              </w:rPr>
              <w:t xml:space="preserve">През юли 2017 г. Комисията публикува оценката си на уместността, ефективността, ефикасността, съгласуваността и добавената стойност на настоящата рамка на </w:t>
            </w:r>
            <w:r>
              <w:rPr>
                <w:rFonts w:ascii="Times" w:hAnsi="Times"/>
                <w:b/>
                <w:noProof/>
                <w:sz w:val="24"/>
              </w:rPr>
              <w:t>Директивата относно допълнителния надзор върху финансовите конгломерати</w:t>
            </w:r>
            <w:r>
              <w:rPr>
                <w:rFonts w:ascii="Times" w:hAnsi="Times"/>
                <w:noProof/>
                <w:sz w:val="24"/>
              </w:rPr>
              <w:t xml:space="preserve"> (</w:t>
            </w:r>
            <w:r>
              <w:rPr>
                <w:rFonts w:ascii="Times" w:hAnsi="Times"/>
                <w:b/>
                <w:noProof/>
                <w:sz w:val="24"/>
              </w:rPr>
              <w:t>ДДНФК</w:t>
            </w:r>
            <w:r>
              <w:rPr>
                <w:rFonts w:ascii="Times" w:hAnsi="Times"/>
                <w:noProof/>
                <w:sz w:val="24"/>
              </w:rPr>
              <w:t>)</w:t>
            </w:r>
            <w:r>
              <w:rPr>
                <w:rStyle w:val="FootnoteReference"/>
                <w:rFonts w:ascii="Times" w:hAnsi="Times"/>
                <w:noProof/>
                <w:sz w:val="24"/>
              </w:rPr>
              <w:footnoteReference w:id="18"/>
            </w:r>
            <w:r>
              <w:rPr>
                <w:noProof/>
              </w:rPr>
              <w:t>.</w:t>
            </w:r>
            <w:r>
              <w:rPr>
                <w:rFonts w:ascii="Times" w:hAnsi="Times"/>
                <w:noProof/>
                <w:sz w:val="24"/>
              </w:rPr>
              <w:t xml:space="preserve"> Основните заключения в нея са, че е важно да се поддържа рамка за надзор на финансовите групи със смесена дейност и че като цяло ДДНФК функционира добре. </w:t>
            </w:r>
          </w:p>
          <w:p>
            <w:pPr>
              <w:pStyle w:val="ListParagraph"/>
              <w:numPr>
                <w:ilvl w:val="0"/>
                <w:numId w:val="8"/>
              </w:numPr>
              <w:spacing w:line="276" w:lineRule="auto"/>
              <w:ind w:left="714" w:hanging="357"/>
              <w:jc w:val="both"/>
              <w:rPr>
                <w:rFonts w:ascii="Times" w:hAnsi="Times"/>
                <w:noProof/>
              </w:rPr>
            </w:pPr>
            <w:r>
              <w:rPr>
                <w:rFonts w:ascii="Times" w:hAnsi="Times"/>
                <w:noProof/>
              </w:rPr>
              <w:t xml:space="preserve">През декември 2016 г. Комисията сформира експертна група на високо ниво, която да разработи всеобхватна европейска стратегия за </w:t>
            </w:r>
            <w:r>
              <w:rPr>
                <w:rFonts w:ascii="Times" w:hAnsi="Times"/>
                <w:b/>
                <w:noProof/>
              </w:rPr>
              <w:t>устойчиви финанси</w:t>
            </w:r>
            <w:r>
              <w:rPr>
                <w:rFonts w:ascii="Times" w:hAnsi="Times"/>
                <w:noProof/>
              </w:rPr>
              <w:t>.</w:t>
            </w:r>
            <w:r>
              <w:rPr>
                <w:rFonts w:ascii="Times" w:hAnsi="Times"/>
                <w:noProof/>
                <w:sz w:val="24"/>
              </w:rPr>
              <w:t xml:space="preserve"> През юни 2017 г. Комисията публикува насоки относно оповестяването на нефинансова информация с цел по-голяма прозрачност на предприятията по отношение на мерките, предприемани в подкрепа на устойчивите финанси. Наред с това през септември 2017 г. в рамките на своя преглед на европейските надзорни органи (ЕНО) Комисията предложи ЕНО да поемат важна роля при популяризирането на устойчивите финанси, като същевременно следят за финансовата стабилност. Сред най-важните задачи на ЕНО са отчитането на рисковете, свързани с фактори от екологичен, социален или управленски характер (ESG). </w:t>
            </w:r>
          </w:p>
        </w:tc>
      </w:tr>
    </w:tbl>
    <w:p>
      <w:pPr>
        <w:rPr>
          <w:noProof/>
        </w:rPr>
      </w:pPr>
    </w:p>
    <w:p>
      <w:pPr>
        <w:pStyle w:val="Text1"/>
        <w:ind w:left="0"/>
        <w:rPr>
          <w:rFonts w:ascii="Times" w:hAnsi="Times"/>
          <w:noProof/>
        </w:rPr>
      </w:pPr>
      <w:r>
        <w:rPr>
          <w:rFonts w:ascii="Times" w:hAnsi="Times"/>
          <w:noProof/>
        </w:rPr>
        <w:t xml:space="preserve">Все още </w:t>
      </w:r>
      <w:r>
        <w:rPr>
          <w:rFonts w:ascii="Times" w:hAnsi="Times"/>
          <w:b/>
          <w:noProof/>
        </w:rPr>
        <w:t>тече работа</w:t>
      </w:r>
      <w:r>
        <w:rPr>
          <w:rFonts w:ascii="Times" w:hAnsi="Times"/>
          <w:noProof/>
        </w:rPr>
        <w:t xml:space="preserve"> по различни други последващи мерки:</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В рамките на плана за действие за СКП Комисията започна проучване за оценка на начина на предоставяне на инвестиционни продукти</w:t>
            </w:r>
            <w:r>
              <w:rPr>
                <w:rFonts w:ascii="Times" w:hAnsi="Times"/>
                <w:b/>
                <w:noProof/>
                <w:sz w:val="24"/>
              </w:rPr>
              <w:t xml:space="preserve"> </w:t>
            </w:r>
            <w:r>
              <w:rPr>
                <w:rFonts w:ascii="Times" w:hAnsi="Times"/>
                <w:noProof/>
                <w:sz w:val="24"/>
              </w:rPr>
              <w:t>на инвеститори на дребно в целия ЕС включително: i) условията на предлагане на продуктите в различните държави членки; ii) достъпа до финансови консултации; iii) въздействието на предлагането онлайн; iv) рисковете и ползите от новите модели на предлагане, разработени от работната група по финансовите технологии. Окончателните констатации от проучването се очакват в началото на 2018 г. Ако е необходимо, те евентуално ще се използват при решения на Комисията по политиките.</w:t>
            </w:r>
          </w:p>
          <w:p>
            <w:pPr>
              <w:pStyle w:val="ListParagraph"/>
              <w:numPr>
                <w:ilvl w:val="0"/>
                <w:numId w:val="8"/>
              </w:numPr>
              <w:spacing w:line="276" w:lineRule="auto"/>
              <w:jc w:val="both"/>
              <w:rPr>
                <w:rFonts w:ascii="Times" w:hAnsi="Times" w:cs="Times"/>
                <w:noProof/>
                <w:sz w:val="24"/>
                <w:szCs w:val="24"/>
              </w:rPr>
            </w:pPr>
            <w:r>
              <w:rPr>
                <w:rFonts w:ascii="Times" w:hAnsi="Times"/>
                <w:b/>
                <w:noProof/>
                <w:sz w:val="24"/>
              </w:rPr>
              <w:t>Макропруденциалната рамка</w:t>
            </w:r>
            <w:r>
              <w:rPr>
                <w:rFonts w:ascii="Times" w:hAnsi="Times"/>
                <w:noProof/>
                <w:sz w:val="24"/>
              </w:rPr>
              <w:t xml:space="preserve"> на ЕС е свързана с: i) управлението, ii) набора от инструменти в областта на банковото дело и iii) набора от инструменти извън банковия сектор.</w:t>
            </w:r>
          </w:p>
          <w:p>
            <w:pPr>
              <w:pStyle w:val="ListParagraph"/>
              <w:numPr>
                <w:ilvl w:val="0"/>
                <w:numId w:val="18"/>
              </w:numPr>
              <w:spacing w:line="276" w:lineRule="auto"/>
              <w:jc w:val="both"/>
              <w:rPr>
                <w:rFonts w:ascii="Times" w:hAnsi="Times" w:cs="Times"/>
                <w:noProof/>
                <w:sz w:val="24"/>
                <w:szCs w:val="24"/>
              </w:rPr>
            </w:pPr>
            <w:r>
              <w:rPr>
                <w:rFonts w:ascii="Times" w:hAnsi="Times"/>
                <w:noProof/>
                <w:sz w:val="24"/>
              </w:rPr>
              <w:t xml:space="preserve">По въпросите за управлението през септември 2017 г. Комисията представи предложение за целенасочено изменение на Регламента за създаване на Европейски съвет за системен риск (ЕССР), що се касае до управлението и инструментите му.  </w:t>
            </w:r>
          </w:p>
          <w:p>
            <w:pPr>
              <w:pStyle w:val="ListParagraph"/>
              <w:numPr>
                <w:ilvl w:val="0"/>
                <w:numId w:val="18"/>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набора от инструменти в областта на банковото дело, прегледът на Комисията показва, че макропруденциалните инструменти в общи линии са ефективни, затова не са предложени мерки за реформирането им. В пакета за банковото дело от ноември 2016 г. Комисията предложи да бъде изяснено, че капиталовите изисквания, налагани при процеса на надзорен преглед (Стълб 2), трябва да бъдат ограничени до макропруденциални цели.</w:t>
            </w:r>
          </w:p>
          <w:p>
            <w:pPr>
              <w:pStyle w:val="ListParagraph"/>
              <w:numPr>
                <w:ilvl w:val="0"/>
                <w:numId w:val="18"/>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инструментариума извън банковия сектор Комисията се стреми да направи оценка на ефективността на съществуващите инструменти и разпоредби в секторното законодателство, преди да прецени дали има нужда от допълнителни инициативи. Тя подкрепя постоянните усилия на ЕССР, Съвета за финансова стабилност и ЕНО с цел мониторинг и отстраняване на пропуските в данните. </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Преди прегледа през 2018 г. на Делегиран регламент „Платежоспособност II“, през юли 2016 г. Комисията изпрати до ЕОЗППО покана за представяне на становище. Целта е да бъде направена оценка на рамката за </w:t>
            </w:r>
            <w:r>
              <w:rPr>
                <w:rFonts w:ascii="Times" w:hAnsi="Times"/>
                <w:b/>
                <w:noProof/>
                <w:sz w:val="24"/>
              </w:rPr>
              <w:t>намаляване на кредитния риск от контрагента</w:t>
            </w:r>
            <w:r>
              <w:rPr>
                <w:rFonts w:ascii="Times" w:hAnsi="Times"/>
                <w:noProof/>
                <w:sz w:val="24"/>
              </w:rPr>
              <w:t xml:space="preserve"> в „Платежоспособност II“ и възможните ѝ взаимодействия с РЕПИ. При прегледа ще бъде направена оценка и на несъответствията между „Платежоспособност II“ и РКИ относно третирането на финансови инструменти, емитирани от регионални правителства.</w:t>
            </w:r>
          </w:p>
          <w:p>
            <w:pPr>
              <w:pStyle w:val="ListParagraph"/>
              <w:numPr>
                <w:ilvl w:val="0"/>
                <w:numId w:val="8"/>
              </w:numPr>
              <w:spacing w:line="276" w:lineRule="auto"/>
              <w:jc w:val="both"/>
              <w:rPr>
                <w:rFonts w:ascii="Times" w:hAnsi="Times"/>
                <w:noProof/>
                <w:sz w:val="24"/>
                <w:szCs w:val="24"/>
              </w:rPr>
            </w:pPr>
            <w:r>
              <w:rPr>
                <w:rFonts w:ascii="Times" w:hAnsi="Times"/>
                <w:noProof/>
                <w:sz w:val="24"/>
              </w:rPr>
              <w:t xml:space="preserve">След приключилата през юни 2017 г. обществена консултация относно </w:t>
            </w:r>
            <w:r>
              <w:rPr>
                <w:rFonts w:ascii="Times" w:hAnsi="Times"/>
                <w:b/>
                <w:noProof/>
                <w:sz w:val="24"/>
              </w:rPr>
              <w:t>финансовите технологии</w:t>
            </w:r>
            <w:r>
              <w:rPr>
                <w:rStyle w:val="FootnoteReference"/>
                <w:rFonts w:ascii="Times" w:hAnsi="Times"/>
                <w:b/>
                <w:noProof/>
                <w:sz w:val="24"/>
              </w:rPr>
              <w:footnoteReference w:id="19"/>
            </w:r>
            <w:r>
              <w:rPr>
                <w:rFonts w:ascii="Times" w:hAnsi="Times"/>
                <w:noProof/>
                <w:sz w:val="24"/>
              </w:rPr>
              <w:t xml:space="preserve"> в момента Комисията оценява необходимите дейности на равнището на ЕС, които да допринесат за задълбочаването и разширяването на капиталовите пазари в ЕС от гледна точка финансовите технологии. И по-конкретно, понастоящем Комисията прави оценка на необходимостта от нови и по-пропорционални правила за лицензиране на финансово-технологичните дейности и дружества, както и на това дали финансово-технологичните дружества, извършващи трансгранична стопанска дейност, трябва да се възползват от възможността за упражняване на дейност по силата на един лиценз за целия ЕС; </w:t>
            </w:r>
          </w:p>
          <w:p>
            <w:pPr>
              <w:pStyle w:val="ListParagraph"/>
              <w:numPr>
                <w:ilvl w:val="0"/>
                <w:numId w:val="8"/>
              </w:numPr>
              <w:spacing w:line="276" w:lineRule="auto"/>
              <w:jc w:val="both"/>
              <w:rPr>
                <w:rFonts w:ascii="Times" w:hAnsi="Times"/>
                <w:noProof/>
                <w:sz w:val="24"/>
                <w:szCs w:val="24"/>
              </w:rPr>
            </w:pPr>
            <w:r>
              <w:rPr>
                <w:rFonts w:ascii="Times" w:hAnsi="Times"/>
                <w:noProof/>
                <w:sz w:val="24"/>
              </w:rPr>
              <w:t xml:space="preserve">Въз основа на препоръките на експертната група на високо ниво относно </w:t>
            </w:r>
            <w:r>
              <w:rPr>
                <w:rFonts w:ascii="Times" w:hAnsi="Times"/>
                <w:b/>
                <w:noProof/>
                <w:sz w:val="24"/>
              </w:rPr>
              <w:t>устойчивите финанси</w:t>
            </w:r>
            <w:r>
              <w:rPr>
                <w:rFonts w:ascii="Times" w:hAnsi="Times"/>
                <w:noProof/>
                <w:sz w:val="24"/>
              </w:rPr>
              <w:t xml:space="preserve"> в началото на 2018 г. Комисията ще представи амбициозен план за действие в областта с регулаторни мерки.  </w:t>
            </w:r>
          </w:p>
          <w:p>
            <w:pPr>
              <w:pStyle w:val="ListParagraph"/>
              <w:spacing w:line="276" w:lineRule="auto"/>
              <w:jc w:val="both"/>
              <w:rPr>
                <w:rFonts w:ascii="Times" w:hAnsi="Times"/>
                <w:noProof/>
              </w:rPr>
            </w:pPr>
          </w:p>
        </w:tc>
      </w:tr>
    </w:tbl>
    <w:p>
      <w:pPr>
        <w:pStyle w:val="Text1"/>
        <w:ind w:left="0"/>
        <w:rPr>
          <w:rFonts w:ascii="Times" w:hAnsi="Times"/>
          <w:noProof/>
        </w:rPr>
      </w:pP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rPr>
          <w:rFonts w:ascii="Times New Roman" w:hAnsi="Times New Roman" w:cs="Times New Roman"/>
          <w:noProof/>
        </w:rPr>
      </w:pPr>
      <w:r>
        <w:rPr>
          <w:rFonts w:ascii="Times New Roman" w:hAnsi="Times New Roman"/>
          <w:noProof/>
        </w:rPr>
        <w:t>3. АКЦЕНТ ВЪРХУ ОТЧЕТНОСТТА</w:t>
      </w:r>
    </w:p>
    <w:p>
      <w:pPr>
        <w:pStyle w:val="Heading2"/>
        <w:rPr>
          <w:noProof/>
        </w:rPr>
      </w:pPr>
      <w:r>
        <w:rPr>
          <w:noProof/>
        </w:rPr>
        <w:t xml:space="preserve">3.1 </w:t>
      </w:r>
      <w:r>
        <w:rPr>
          <w:noProof/>
        </w:rPr>
        <w:tab/>
        <w:t>Контекст и описание на проблема</w:t>
      </w:r>
    </w:p>
    <w:p>
      <w:pPr>
        <w:jc w:val="both"/>
        <w:rPr>
          <w:rFonts w:ascii="Times" w:hAnsi="Times" w:cs="Times"/>
          <w:noProof/>
          <w:sz w:val="24"/>
          <w:szCs w:val="24"/>
        </w:rPr>
      </w:pPr>
      <w:r>
        <w:rPr>
          <w:rFonts w:ascii="Times" w:hAnsi="Times"/>
          <w:noProof/>
          <w:sz w:val="24"/>
        </w:rPr>
        <w:t>Изискванията за надзорна отчетност осигуряват на компетентните органи данни за участниците на пазара и техните дейности. Достъпът до данни е от огромно значение за извършването на надзор на финансовите институции, както и за мониторинга на системните рискове и обезпечаване на добре организирани пазари, защита на инвеститорите и лоялна конкуренция. Финансовата криза разкри известни слабости в някои изисквания за надзорна отчетност, заради които е възможно да не се получава достатъчна или полезна информация. В резултат на това законодателите трябваше да разработят редица нови и по-подробни такива изисквания. Независимо че тези допълнителни изисквания са насочени към някои от първоначалните пропуски, все още не е ясно как те си взаимодействат. Освен това те увеличават разходите за привеждане в съответствие и отчетната тежест за дружествата.</w:t>
      </w:r>
    </w:p>
    <w:p>
      <w:pPr>
        <w:jc w:val="both"/>
        <w:rPr>
          <w:rFonts w:ascii="Times" w:hAnsi="Times" w:cs="Times"/>
          <w:noProof/>
          <w:sz w:val="24"/>
          <w:szCs w:val="24"/>
        </w:rPr>
      </w:pPr>
      <w:r>
        <w:rPr>
          <w:rFonts w:ascii="Times" w:hAnsi="Times"/>
          <w:noProof/>
          <w:sz w:val="24"/>
        </w:rPr>
        <w:t>Отговорилите на поканата за представяне на мнения изразяват известни притеснения относно тежестта от привеждане в съответствие, произтичаща от изискванията за отчетност в различни законодателни актове на ЕС:</w:t>
      </w:r>
    </w:p>
    <w:p>
      <w:pPr>
        <w:pStyle w:val="ListParagraph"/>
        <w:numPr>
          <w:ilvl w:val="0"/>
          <w:numId w:val="11"/>
        </w:numPr>
        <w:jc w:val="both"/>
        <w:rPr>
          <w:rFonts w:ascii="Times" w:hAnsi="Times" w:cs="Times"/>
          <w:noProof/>
          <w:sz w:val="24"/>
          <w:szCs w:val="24"/>
        </w:rPr>
      </w:pPr>
      <w:r>
        <w:rPr>
          <w:rFonts w:ascii="Times" w:hAnsi="Times"/>
          <w:noProof/>
          <w:sz w:val="24"/>
        </w:rPr>
        <w:t>Изискванията за надзорна отчетност се възприемат като твърде много и твърде сложни. До голяма степен сложността се дължи на дублиране и застъпване на различни рамки за отчетност, но и на недостатъчното ниво на стандартизация и липсата на яснота относно какво трябва да се отчита (напр. липсата на хармонизирани дефиниции на финансовите данни, непозоваване на съществуващи международни стандарти и др.).</w:t>
      </w:r>
    </w:p>
    <w:p>
      <w:pPr>
        <w:pStyle w:val="ListParagraph"/>
        <w:numPr>
          <w:ilvl w:val="0"/>
          <w:numId w:val="11"/>
        </w:numPr>
        <w:jc w:val="both"/>
        <w:rPr>
          <w:rFonts w:ascii="Times" w:hAnsi="Times" w:cs="Times"/>
          <w:noProof/>
          <w:sz w:val="24"/>
          <w:szCs w:val="24"/>
        </w:rPr>
      </w:pPr>
      <w:r>
        <w:rPr>
          <w:rFonts w:ascii="Times" w:hAnsi="Times"/>
          <w:noProof/>
          <w:sz w:val="24"/>
        </w:rPr>
        <w:t>Големите промени в законодателството на ЕС за надзорната отчетност често водят до значителни еднократни разходи най-вече в ситуации, в които е необходимо приспособяване на ИТ системите и вътрешните процедури. В тази връзка заинтересованите страни подчертават, че е много важно да бъде намалена честотата на внасяне на промени в изискванията за надзорна отчетност, както и да се предоставя достатъчно време за внедряването им.</w:t>
      </w:r>
    </w:p>
    <w:p>
      <w:pPr>
        <w:pStyle w:val="ListParagraph"/>
        <w:numPr>
          <w:ilvl w:val="0"/>
          <w:numId w:val="11"/>
        </w:numPr>
        <w:jc w:val="both"/>
        <w:rPr>
          <w:rFonts w:ascii="Times" w:hAnsi="Times" w:cs="Times"/>
          <w:noProof/>
          <w:sz w:val="24"/>
          <w:szCs w:val="24"/>
        </w:rPr>
      </w:pPr>
      <w:r>
        <w:rPr>
          <w:rFonts w:ascii="Times" w:hAnsi="Times"/>
          <w:noProof/>
          <w:sz w:val="24"/>
        </w:rPr>
        <w:t xml:space="preserve">Ad-hoc изискванията, като например запитвания от надзорни органи извън обичайните изисквания за отчетност, се посочват като особено смущаващи и скъпи. </w:t>
      </w:r>
    </w:p>
    <w:p>
      <w:pPr>
        <w:jc w:val="both"/>
        <w:rPr>
          <w:rFonts w:ascii="Times New Roman" w:hAnsi="Times New Roman" w:cs="Times New Roman"/>
          <w:noProof/>
          <w:sz w:val="24"/>
          <w:szCs w:val="24"/>
        </w:rPr>
      </w:pPr>
      <w:r>
        <w:rPr>
          <w:rFonts w:ascii="Times New Roman" w:hAnsi="Times New Roman" w:cs="Times New Roman"/>
          <w:noProof/>
          <w:sz w:val="24"/>
          <w:szCs w:val="24"/>
        </w:rPr>
        <w:t>Надзорните органи смятат, че качеството на надзорната отчетност може да се подобри още повече, така че да могат да се вземат по-информирани и навременни решения във връзка с рисковия профил на различните дружества и сектори. До известна степен това се дължи на останалите различия между съществуващите рамки за надзорна отчетност. Друг фактор, който оказва влияние, е лошото качество на отчетните данни. Това от своя страна до голяма степен произтича от трудностите при събирането на данни в резултат на недостатъчното ниво на стандартизация.</w:t>
      </w:r>
    </w:p>
    <w:p>
      <w:pPr>
        <w:jc w:val="both"/>
        <w:rPr>
          <w:rFonts w:ascii="Times New Roman" w:hAnsi="Times New Roman" w:cs="Times New Roman"/>
          <w:noProof/>
          <w:sz w:val="24"/>
          <w:szCs w:val="24"/>
        </w:rPr>
      </w:pPr>
      <w:r>
        <w:rPr>
          <w:rFonts w:ascii="Times New Roman" w:hAnsi="Times New Roman" w:cs="Times New Roman"/>
          <w:noProof/>
          <w:sz w:val="24"/>
          <w:szCs w:val="24"/>
        </w:rPr>
        <w:t>В отговор на поканата за представяне на мнения Комисията заключава, че е необходим двояк подход при справянето с проблемите, засягащи надзорната отчетност. Първо, незабавно трябва да бъдат предприети целенасочени действия с цел максимално справяне с най-проблемните области. Второ, има нужда от по-обхватен дългосрочен подход за решаване на въпроса относно разходите и ползите от надзорната отчетност. Комисията е предприела и продължава да предприема действия и в двете направления, както е описано по-долу.</w:t>
      </w:r>
    </w:p>
    <w:p>
      <w:pPr>
        <w:jc w:val="both"/>
        <w:rPr>
          <w:rFonts w:ascii="Times" w:hAnsi="Times" w:cs="Times"/>
          <w:noProof/>
          <w:sz w:val="24"/>
          <w:szCs w:val="24"/>
        </w:rPr>
      </w:pPr>
    </w:p>
    <w:p>
      <w:pPr>
        <w:pStyle w:val="Heading2"/>
        <w:rPr>
          <w:noProof/>
        </w:rPr>
      </w:pPr>
      <w:r>
        <w:rPr>
          <w:noProof/>
        </w:rPr>
        <w:t xml:space="preserve">3.2 </w:t>
      </w:r>
      <w:r>
        <w:rPr>
          <w:noProof/>
        </w:rPr>
        <w:tab/>
        <w:t>Действия, предприети от ноември 2016 г. досега</w:t>
      </w:r>
    </w:p>
    <w:p>
      <w:pPr>
        <w:jc w:val="both"/>
        <w:rPr>
          <w:rFonts w:ascii="Times" w:hAnsi="Times" w:cs="Times"/>
          <w:noProof/>
          <w:sz w:val="24"/>
          <w:szCs w:val="24"/>
        </w:rPr>
      </w:pPr>
      <w:r>
        <w:rPr>
          <w:rFonts w:ascii="Times" w:hAnsi="Times"/>
          <w:noProof/>
          <w:sz w:val="24"/>
        </w:rPr>
        <w:t>От приемането на съобщението през ноември 2016 г. досега Комисията приложи различни целенасочени последващи мерки за незабавно разрешаване на очертаните по-горе проблеми. Акцентът в тях е върху най-очевидните недостатъци на рамката за надзорна отчетност, които могат да бъдат отстранени, без това да създава за дружествата големи административни разходи и разходи за привеждане в съответствие.</w:t>
      </w:r>
    </w:p>
    <w:p>
      <w:pPr>
        <w:pStyle w:val="ListParagraph"/>
        <w:numPr>
          <w:ilvl w:val="0"/>
          <w:numId w:val="12"/>
        </w:numPr>
        <w:jc w:val="both"/>
        <w:rPr>
          <w:rFonts w:ascii="Times" w:hAnsi="Times" w:cs="Times"/>
          <w:noProof/>
          <w:sz w:val="24"/>
          <w:szCs w:val="24"/>
        </w:rPr>
      </w:pPr>
      <w:r>
        <w:rPr>
          <w:rFonts w:ascii="Times" w:hAnsi="Times"/>
          <w:noProof/>
          <w:sz w:val="24"/>
        </w:rPr>
        <w:t xml:space="preserve">През май 2017 г. в предложението за </w:t>
      </w:r>
      <w:r>
        <w:rPr>
          <w:rFonts w:ascii="Times" w:hAnsi="Times"/>
          <w:b/>
          <w:noProof/>
          <w:sz w:val="24"/>
        </w:rPr>
        <w:t>REFIT на РЕПИ</w:t>
      </w:r>
      <w:r>
        <w:rPr>
          <w:rFonts w:ascii="Times" w:hAnsi="Times"/>
          <w:noProof/>
          <w:sz w:val="24"/>
        </w:rPr>
        <w:t xml:space="preserve"> бяха представени мерки за намаляване на отчетната тежест за нефинансовите предприятия (НФП) чрез освобождаването им от задължението за отчитане при вътрешногрупови трансакции и въвеждане на изискването при трансакции с НФП отчетните данни да се предоставят от името и на двата контрагента или от ЦК, или от финансовите контрагенти</w:t>
      </w:r>
      <w:r>
        <w:rPr>
          <w:rStyle w:val="FootnoteReference"/>
          <w:rFonts w:ascii="Times" w:hAnsi="Times"/>
          <w:noProof/>
          <w:sz w:val="24"/>
        </w:rPr>
        <w:footnoteReference w:id="20"/>
      </w:r>
      <w:r>
        <w:rPr>
          <w:rFonts w:ascii="Times" w:hAnsi="Times"/>
          <w:noProof/>
          <w:sz w:val="24"/>
        </w:rPr>
        <w:t>.</w:t>
      </w:r>
    </w:p>
    <w:p>
      <w:pPr>
        <w:pStyle w:val="ListParagraph"/>
        <w:numPr>
          <w:ilvl w:val="0"/>
          <w:numId w:val="12"/>
        </w:numPr>
        <w:jc w:val="both"/>
        <w:rPr>
          <w:rFonts w:ascii="Times" w:hAnsi="Times" w:cs="Times"/>
          <w:noProof/>
          <w:sz w:val="24"/>
          <w:szCs w:val="24"/>
        </w:rPr>
      </w:pPr>
      <w:r>
        <w:rPr>
          <w:rFonts w:ascii="Times" w:hAnsi="Times"/>
          <w:noProof/>
          <w:sz w:val="24"/>
        </w:rPr>
        <w:t xml:space="preserve">В </w:t>
      </w:r>
      <w:r>
        <w:rPr>
          <w:rFonts w:ascii="Times" w:hAnsi="Times"/>
          <w:b/>
          <w:noProof/>
          <w:sz w:val="24"/>
        </w:rPr>
        <w:t>пакета за банковото дело</w:t>
      </w:r>
      <w:r>
        <w:rPr>
          <w:rFonts w:ascii="Times" w:hAnsi="Times"/>
          <w:noProof/>
          <w:sz w:val="24"/>
        </w:rPr>
        <w:t xml:space="preserve"> Комисията предлага намаляване на честотата на отчитането за по-малките и не толкова сложни банки.  </w:t>
      </w:r>
    </w:p>
    <w:p>
      <w:pPr>
        <w:pStyle w:val="ListParagraph"/>
        <w:numPr>
          <w:ilvl w:val="0"/>
          <w:numId w:val="12"/>
        </w:numPr>
        <w:jc w:val="both"/>
        <w:rPr>
          <w:rFonts w:ascii="Times" w:hAnsi="Times" w:cs="Times"/>
          <w:noProof/>
          <w:sz w:val="24"/>
          <w:szCs w:val="24"/>
        </w:rPr>
      </w:pPr>
      <w:r>
        <w:rPr>
          <w:rFonts w:ascii="Times" w:hAnsi="Times"/>
          <w:noProof/>
          <w:sz w:val="24"/>
        </w:rPr>
        <w:t xml:space="preserve">Комисията ще разгледа задълженията за отчитане в рамките на започналия през юли 2017 г. преглед на </w:t>
      </w:r>
      <w:r>
        <w:rPr>
          <w:rFonts w:ascii="Times" w:hAnsi="Times"/>
          <w:b/>
          <w:noProof/>
          <w:sz w:val="24"/>
        </w:rPr>
        <w:t>ДЛУАИФ</w:t>
      </w:r>
      <w:r>
        <w:rPr>
          <w:rFonts w:ascii="Times" w:hAnsi="Times"/>
          <w:noProof/>
          <w:sz w:val="24"/>
        </w:rPr>
        <w:t>. При необходимост тя ще работи в тясно сътрудничество с Европейския орган за ценни книжа и пазари (ESMA) и националните надзорни органи. Освен това външният подизпълнител, натоварен с изготвянето на доклад относно функционирането на ДЛУАИФ, ще изготви специален анализ на ефективността и ефикасността на изискванията за отчитане.</w:t>
      </w:r>
    </w:p>
    <w:p>
      <w:pPr>
        <w:pStyle w:val="ListParagraph"/>
        <w:numPr>
          <w:ilvl w:val="0"/>
          <w:numId w:val="12"/>
        </w:numPr>
        <w:jc w:val="both"/>
        <w:rPr>
          <w:rFonts w:ascii="Times" w:hAnsi="Times"/>
          <w:noProof/>
          <w:sz w:val="24"/>
        </w:rPr>
      </w:pPr>
      <w:r>
        <w:rPr>
          <w:rFonts w:ascii="Times" w:hAnsi="Times"/>
          <w:noProof/>
          <w:sz w:val="24"/>
        </w:rPr>
        <w:t xml:space="preserve">По искане на Комисията ЕБО приключва консултацията по редица конкретни предложения за допълнително намаляване на </w:t>
      </w:r>
      <w:r>
        <w:rPr>
          <w:rFonts w:ascii="Times" w:hAnsi="Times"/>
          <w:b/>
          <w:noProof/>
          <w:sz w:val="24"/>
        </w:rPr>
        <w:t xml:space="preserve">отчетната тежест в банковия сектор. </w:t>
      </w:r>
      <w:r>
        <w:rPr>
          <w:rFonts w:ascii="Times" w:hAnsi="Times"/>
          <w:noProof/>
          <w:sz w:val="24"/>
        </w:rPr>
        <w:t>За целта ще се изисква хармонизиране на изискванията за надзорна, статистическа и макропруденциална отчетност и съгласуване на дефинициите в различните законодателни актове.</w:t>
      </w:r>
    </w:p>
    <w:p>
      <w:pPr>
        <w:pStyle w:val="ListParagraph"/>
        <w:numPr>
          <w:ilvl w:val="0"/>
          <w:numId w:val="12"/>
        </w:numPr>
        <w:jc w:val="both"/>
        <w:rPr>
          <w:rFonts w:ascii="Times New Roman" w:hAnsi="Times New Roman" w:cs="Times New Roman"/>
          <w:noProof/>
          <w:sz w:val="24"/>
          <w:szCs w:val="24"/>
        </w:rPr>
      </w:pPr>
      <w:r>
        <w:rPr>
          <w:rFonts w:ascii="Times" w:hAnsi="Times"/>
          <w:noProof/>
          <w:sz w:val="24"/>
        </w:rPr>
        <w:t xml:space="preserve">Скоро Комисията ще получи техническата консултация от ESMA относно осъществимостта на въвеждането на </w:t>
      </w:r>
      <w:r>
        <w:rPr>
          <w:rFonts w:ascii="Times" w:hAnsi="Times"/>
          <w:b/>
          <w:noProof/>
          <w:sz w:val="24"/>
        </w:rPr>
        <w:t>платформа за единно отчитане на късите продажби</w:t>
      </w:r>
      <w:r>
        <w:rPr>
          <w:rFonts w:ascii="Times" w:hAnsi="Times"/>
          <w:noProof/>
          <w:sz w:val="24"/>
        </w:rPr>
        <w:t xml:space="preserve">. Платформата за единно отчитане би могла да допринесе за </w:t>
      </w:r>
      <w:r>
        <w:rPr>
          <w:rFonts w:ascii="Times New Roman" w:hAnsi="Times New Roman" w:cs="Times New Roman"/>
          <w:noProof/>
          <w:sz w:val="24"/>
          <w:szCs w:val="24"/>
        </w:rPr>
        <w:t>подобряване на информацията, която регулаторите получават, като същевременно се намалява тежестта при отчитането на нетни къси позиции.</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 xml:space="preserve">Бяха преразгледани няколко технически стандарта относно отчитането (напр. свързаните с РЕПИ), с цел да се внесе повече яснота относно това какво трябва да се отчита и по какъв начин. Това включваше усилия за обезпечаване на по-добра </w:t>
      </w:r>
      <w:r>
        <w:rPr>
          <w:rFonts w:ascii="Times New Roman" w:hAnsi="Times New Roman" w:cs="Times New Roman"/>
          <w:b/>
          <w:noProof/>
          <w:sz w:val="24"/>
          <w:szCs w:val="24"/>
        </w:rPr>
        <w:t>съгласуваност между различните рамки за отчитане</w:t>
      </w:r>
      <w:r>
        <w:rPr>
          <w:rFonts w:ascii="Times New Roman" w:hAnsi="Times New Roman" w:cs="Times New Roman"/>
          <w:noProof/>
          <w:sz w:val="24"/>
          <w:szCs w:val="24"/>
        </w:rPr>
        <w:t xml:space="preserve"> (напр. РЕПИ и ДПФИ или Регламента относно пазарите на финансови инструменти (MiFIR)). Където е уместно, са включени и позовавания на международни стандарти</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 xml:space="preserve">Отговорилите на поканата за представяне на мнения споменават, че често държавите членки са въвели </w:t>
      </w:r>
      <w:r>
        <w:rPr>
          <w:rFonts w:ascii="Times New Roman" w:hAnsi="Times New Roman" w:cs="Times New Roman"/>
          <w:b/>
          <w:noProof/>
          <w:sz w:val="24"/>
          <w:szCs w:val="24"/>
        </w:rPr>
        <w:t>допълнителни изисквания за надзорна отчетност</w:t>
      </w:r>
      <w:r>
        <w:rPr>
          <w:rFonts w:ascii="Times New Roman" w:hAnsi="Times New Roman" w:cs="Times New Roman"/>
          <w:noProof/>
          <w:sz w:val="24"/>
          <w:szCs w:val="24"/>
        </w:rPr>
        <w:t xml:space="preserve"> извън определеното със законодателство на ЕС (т.нар „свръхрегулиране“). След приемането на доклада на Комисията относно националните пречки пред капиталовите потоци през март 2017 г. (вж. също Раздел 2.3) експертната група за пречките пред свободното движение на капитали, съставена от всички държави членки, призова за повече работа за справяне с установените пречки, включително избягване на двойно отчитане. </w:t>
      </w:r>
    </w:p>
    <w:p>
      <w:pPr>
        <w:pStyle w:val="ListParagraph"/>
        <w:jc w:val="both"/>
        <w:rPr>
          <w:rFonts w:ascii="Times" w:hAnsi="Times" w:cs="Times"/>
          <w:noProof/>
          <w:sz w:val="24"/>
          <w:szCs w:val="24"/>
        </w:rPr>
      </w:pPr>
    </w:p>
    <w:p>
      <w:pPr>
        <w:pStyle w:val="Heading2"/>
        <w:rPr>
          <w:noProof/>
        </w:rPr>
      </w:pPr>
      <w:r>
        <w:rPr>
          <w:noProof/>
        </w:rPr>
        <w:t xml:space="preserve">3.3 </w:t>
      </w:r>
      <w:r>
        <w:rPr>
          <w:noProof/>
        </w:rPr>
        <w:tab/>
        <w:t>Всеобхватният подход на Комисията към надзорната отчетност</w:t>
      </w:r>
    </w:p>
    <w:p>
      <w:pPr>
        <w:jc w:val="both"/>
        <w:rPr>
          <w:rFonts w:ascii="Times" w:hAnsi="Times" w:cs="Times"/>
          <w:noProof/>
          <w:sz w:val="24"/>
          <w:szCs w:val="24"/>
        </w:rPr>
      </w:pPr>
      <w:r>
        <w:rPr>
          <w:rFonts w:ascii="Times" w:hAnsi="Times"/>
          <w:noProof/>
          <w:sz w:val="24"/>
        </w:rPr>
        <w:t xml:space="preserve">Въпреки че е възможно с описаните по-горе краткосрочни последващи мерки да се </w:t>
      </w:r>
      <w:r>
        <w:rPr>
          <w:rFonts w:ascii="Times New Roman" w:hAnsi="Times New Roman" w:cs="Times New Roman"/>
          <w:noProof/>
          <w:sz w:val="24"/>
          <w:szCs w:val="24"/>
        </w:rPr>
        <w:t>подобри ефективността на надзорната отчетност, те са насочени към индивидуални законодателни актове, които не се отнасят непременно до взаимодействието между различните рамки за надзорна отчетност. Предвид многобройните връзки между изискванията за отчитане при различните законодателни актове е необходим всеобхватен подход към надзорната отчетност. Както се посочва в Раздел 3.1, заинтересованите страни подчертават, че е много важно да се избягва честото внасяне на промени в отделните изисквания за отчитане предвид големите еднократни разходи, свързани с адаптирането на ИТ системите. Поради тези причини Комисията възнамерява да възприеме по-всеобхватен подход към рамките за надзорната отчетност в ЕС. Общата визия е да се гарантира, че изискванията за надзорна отчетност, заложени в законодателството на ЕС, дават на надзорните органи и регулаторите качествена и навременна информация, чрез която да се гарантира стабилността на финансовата система, като същевременно за фирмите се поддържат минимални нива на административните разходи и тежести и разходите за привеждане в съответствие.</w:t>
      </w:r>
      <w:r>
        <w:rPr>
          <w:noProof/>
        </w:rPr>
        <w:t xml:space="preserve"> </w:t>
      </w:r>
    </w:p>
    <w:p>
      <w:pPr>
        <w:jc w:val="both"/>
        <w:rPr>
          <w:rFonts w:ascii="Times" w:hAnsi="Times" w:cs="Times"/>
          <w:noProof/>
          <w:sz w:val="24"/>
          <w:szCs w:val="24"/>
        </w:rPr>
      </w:pPr>
      <w:r>
        <w:rPr>
          <w:rFonts w:ascii="Times" w:hAnsi="Times"/>
          <w:noProof/>
          <w:sz w:val="24"/>
        </w:rPr>
        <w:t>Предвид тази визия проектът има две основни цели:</w:t>
      </w:r>
    </w:p>
    <w:p>
      <w:pPr>
        <w:pStyle w:val="ListParagraph"/>
        <w:numPr>
          <w:ilvl w:val="0"/>
          <w:numId w:val="16"/>
        </w:numPr>
        <w:jc w:val="both"/>
        <w:rPr>
          <w:rFonts w:ascii="Times" w:hAnsi="Times" w:cs="Times"/>
          <w:noProof/>
          <w:sz w:val="24"/>
          <w:szCs w:val="24"/>
        </w:rPr>
      </w:pPr>
      <w:r>
        <w:rPr>
          <w:rFonts w:ascii="Times" w:hAnsi="Times"/>
          <w:noProof/>
          <w:sz w:val="24"/>
        </w:rPr>
        <w:t>определяне на конкретни области, в които е необходимо предприемане на действия, напр. законодателството на ЕС, където изглежда, че изискванията за надзорна отчетност се припокриват или създават дублиране, както и при недостатъчна яснота относно това какво трябва да се отчита, недостатъчно ниво на стандартизация и липси или противоречия;</w:t>
      </w:r>
    </w:p>
    <w:p>
      <w:pPr>
        <w:pStyle w:val="ListParagraph"/>
        <w:numPr>
          <w:ilvl w:val="0"/>
          <w:numId w:val="16"/>
        </w:numPr>
        <w:jc w:val="both"/>
        <w:rPr>
          <w:rFonts w:ascii="Times" w:hAnsi="Times" w:cs="Times"/>
          <w:noProof/>
          <w:sz w:val="24"/>
          <w:szCs w:val="24"/>
        </w:rPr>
      </w:pPr>
      <w:r>
        <w:rPr>
          <w:rFonts w:ascii="Times" w:hAnsi="Times"/>
          <w:noProof/>
          <w:sz w:val="24"/>
        </w:rPr>
        <w:t xml:space="preserve">изработване на конкретни мерки за намаляване на разходите за привеждане в съответствие за фирмите, като същевременно се подобрява качеството на информацията, която се предоставя на надзорните органи. За целта изискванията за надзорна отчетност трябва да се рационализират и опростят, както и обаче да бъде разгледан напълно нов и иновативен подход по този въпрос. Основен е принципът за еднократно отчитане. Целта е образуванията да подават отчети за свързаната с тях информация само веднъж, като при нужда впоследствие съответния орган има достъп до тези данни. </w:t>
      </w:r>
    </w:p>
    <w:p>
      <w:pPr>
        <w:jc w:val="both"/>
        <w:rPr>
          <w:rFonts w:ascii="Times" w:hAnsi="Times" w:cs="Times"/>
          <w:noProof/>
          <w:sz w:val="24"/>
          <w:szCs w:val="24"/>
        </w:rPr>
      </w:pPr>
      <w:r>
        <w:rPr>
          <w:rFonts w:ascii="Times" w:hAnsi="Times"/>
          <w:noProof/>
          <w:sz w:val="24"/>
        </w:rPr>
        <w:t xml:space="preserve">Двете основни направления при този подход са: i) </w:t>
      </w:r>
      <w:r>
        <w:rPr>
          <w:rFonts w:ascii="Times" w:hAnsi="Times"/>
          <w:b/>
          <w:noProof/>
          <w:sz w:val="24"/>
        </w:rPr>
        <w:t>проверка за пригодност</w:t>
      </w:r>
      <w:r>
        <w:rPr>
          <w:rFonts w:ascii="Times" w:hAnsi="Times"/>
          <w:noProof/>
          <w:sz w:val="24"/>
        </w:rPr>
        <w:t xml:space="preserve"> на изискванията за надзорна отчетност; и ii) проект за „</w:t>
      </w:r>
      <w:r>
        <w:rPr>
          <w:rFonts w:ascii="Times" w:hAnsi="Times"/>
          <w:b/>
          <w:noProof/>
          <w:sz w:val="24"/>
        </w:rPr>
        <w:t>стандартизиране на финансовите данни</w:t>
      </w:r>
      <w:r>
        <w:rPr>
          <w:rFonts w:ascii="Times" w:hAnsi="Times"/>
          <w:noProof/>
          <w:sz w:val="24"/>
        </w:rPr>
        <w:t>“. Тези направления се извършват едновременно с цел взаимно укрепване.</w:t>
      </w:r>
    </w:p>
    <w:p>
      <w:pPr>
        <w:pStyle w:val="Heading2"/>
        <w:rPr>
          <w:noProof/>
          <w:sz w:val="24"/>
          <w:szCs w:val="24"/>
        </w:rPr>
      </w:pPr>
      <w:r>
        <w:rPr>
          <w:noProof/>
          <w:sz w:val="24"/>
        </w:rPr>
        <w:t>3.3.1</w:t>
      </w:r>
      <w:r>
        <w:rPr>
          <w:noProof/>
        </w:rPr>
        <w:tab/>
      </w:r>
      <w:r>
        <w:rPr>
          <w:noProof/>
          <w:sz w:val="24"/>
        </w:rPr>
        <w:t>Направление 1 — проверка за пригодност</w:t>
      </w:r>
    </w:p>
    <w:p>
      <w:pPr>
        <w:spacing w:before="100" w:beforeAutospacing="1" w:after="100" w:afterAutospacing="1"/>
        <w:jc w:val="both"/>
        <w:rPr>
          <w:rFonts w:ascii="Times" w:hAnsi="Times" w:cs="Times"/>
          <w:noProof/>
          <w:sz w:val="24"/>
          <w:szCs w:val="24"/>
        </w:rPr>
      </w:pPr>
      <w:r>
        <w:rPr>
          <w:rFonts w:ascii="Times" w:hAnsi="Times"/>
          <w:noProof/>
          <w:sz w:val="24"/>
        </w:rPr>
        <w:t xml:space="preserve">В стартиралата през лятото на 2017 г. проверка за пригодност ще бъде представена цялостна оценка на високо ниво на ефективността, ефикасността, съгласуваността, уместността и добавената от ЕС стойност на рамките за надзорна отчетност с особен акцент върху специфичните продукти и области на отчитане (напр. деривати). Тя ще включва цялостен преглед на основните източници на разходи и тежести в резултат на надзорната отчетност. В проверката за пригодност ще бъдат определени потенциалните области, в които биха могли да се намалят разходите за привеждане в съответствие и произтичащата от надзорното задължение за отчитане тежест (напр. като бъдат рационализирани или опростени), без да се прави компромис със заложените в тези задължения цели, свързани с финансовата стабилност, лоялните пазарни отношения и защитата на потребителите. Работата трябва да приключи в края на 2018 г., когато резултатите ще бъдат публикувани в работен документ на службите на Комисията. </w:t>
      </w:r>
    </w:p>
    <w:p>
      <w:pPr>
        <w:spacing w:before="100" w:beforeAutospacing="1" w:after="100" w:afterAutospacing="1"/>
        <w:jc w:val="both"/>
        <w:rPr>
          <w:rFonts w:ascii="Times" w:hAnsi="Times" w:cs="Times"/>
          <w:noProof/>
          <w:sz w:val="24"/>
          <w:szCs w:val="24"/>
        </w:rPr>
      </w:pPr>
      <w:r>
        <w:rPr>
          <w:rFonts w:ascii="Times" w:hAnsi="Times"/>
          <w:noProof/>
          <w:sz w:val="24"/>
        </w:rPr>
        <w:t xml:space="preserve">Като важна информация, която да захрани проверката за пригодност, Комисията днес даде ход на публична консултация за събиране на доказателства относно разходите за привеждане в съответствие с изискванията за надзорна отчетност, както и относно тяхната систематичност и ефективност. Консултацията ще стъпи върху констатациите от поканата за представяне на мнения и други по-целенасочени прегледи. Целта ѝ ще бъде събиране на по-конкретна информация относно, наред с друго, евентуално необходимите инвестиции с оглед спазване на изискванията за отчитане, примери за двойно отчитане и за отчитане на излишни или ненужни данни. Чрез нея ще бъдат събрани и данни за това как използването на по-модерни и ефективни ИКТ инструменти, наред със стандартите за данни, би допринесло за намаляването на разходите за привеждане в съответствие, както и дали има пречки пред внедряването и </w:t>
      </w:r>
      <w:r>
        <w:rPr>
          <w:rFonts w:ascii="Times New Roman" w:hAnsi="Times New Roman" w:cs="Times New Roman"/>
          <w:noProof/>
          <w:sz w:val="24"/>
          <w:szCs w:val="24"/>
        </w:rPr>
        <w:t>използването на подобни технологии и стандарти. Консултацията ще продължи 3 месеца. Резултатите ще бъдат представени и обсъдени по време на специален работен форум, планиран за 26 март 2018 г.</w:t>
      </w:r>
    </w:p>
    <w:p>
      <w:pPr>
        <w:jc w:val="both"/>
        <w:rPr>
          <w:rFonts w:ascii="Times" w:hAnsi="Times"/>
          <w:noProof/>
          <w:sz w:val="24"/>
        </w:rPr>
      </w:pPr>
      <w:r>
        <w:rPr>
          <w:rFonts w:ascii="Times" w:hAnsi="Times"/>
          <w:noProof/>
          <w:sz w:val="24"/>
        </w:rPr>
        <w:t xml:space="preserve">След другите аспекти на тази задача са външно експертно изследване за по-задълбочена оценка на разходите за привеждане в съответствие и изискванията за надзорна отчетност във финансовия сектор. </w:t>
      </w:r>
    </w:p>
    <w:p>
      <w:pPr>
        <w:jc w:val="both"/>
        <w:rPr>
          <w:rFonts w:ascii="Times" w:hAnsi="Times" w:cs="Times"/>
          <w:noProof/>
          <w:sz w:val="24"/>
          <w:szCs w:val="24"/>
        </w:rPr>
      </w:pPr>
      <w:r>
        <w:rPr>
          <w:noProof/>
        </w:rPr>
        <w:t xml:space="preserve"> </w:t>
      </w:r>
      <w:r>
        <w:rPr>
          <w:rFonts w:ascii="Times" w:hAnsi="Times"/>
          <w:noProof/>
          <w:sz w:val="24"/>
        </w:rPr>
        <w:t>През октомври 2017 г. Комисията създаде кръгла маса със заинтересованите страни, в която членуват значимите участници в областта на отчетността от надзорната и регулаторната общност в ЕС. Членовете на групата ще оказват помощ на Комисията при оценката на разходите за привеждане в съответствие с изискванията за надзорна отчетност. Задачата е в допълнение към обществената консултация и проучването. С нея се подчертава значението на използването на съгласуван подход.</w:t>
      </w:r>
    </w:p>
    <w:p>
      <w:pPr>
        <w:pStyle w:val="Heading2"/>
        <w:rPr>
          <w:noProof/>
          <w:sz w:val="24"/>
          <w:szCs w:val="24"/>
        </w:rPr>
      </w:pPr>
      <w:r>
        <w:rPr>
          <w:noProof/>
          <w:sz w:val="24"/>
        </w:rPr>
        <w:t>3.3.2</w:t>
      </w:r>
      <w:r>
        <w:rPr>
          <w:noProof/>
        </w:rPr>
        <w:tab/>
      </w:r>
      <w:r>
        <w:rPr>
          <w:noProof/>
          <w:sz w:val="24"/>
        </w:rPr>
        <w:t>Направление 2 — стандартизация на финансовите данни</w:t>
      </w:r>
    </w:p>
    <w:p>
      <w:pPr>
        <w:jc w:val="both"/>
        <w:rPr>
          <w:rFonts w:ascii="Times New Roman" w:hAnsi="Times New Roman" w:cs="Times New Roman"/>
          <w:noProof/>
          <w:sz w:val="24"/>
          <w:szCs w:val="24"/>
        </w:rPr>
      </w:pPr>
      <w:r>
        <w:rPr>
          <w:rFonts w:ascii="Times" w:hAnsi="Times"/>
          <w:noProof/>
          <w:sz w:val="24"/>
        </w:rPr>
        <w:t>Проектът за стандартизация на финансовите данни (СФД) започна през 2016 г. Той се финансира по програма ISA на ЕС</w:t>
      </w:r>
      <w:r>
        <w:rPr>
          <w:rFonts w:ascii="Times" w:hAnsi="Times"/>
          <w:noProof/>
          <w:sz w:val="24"/>
          <w:vertAlign w:val="superscript"/>
        </w:rPr>
        <w:t>2’</w:t>
      </w:r>
      <w:r>
        <w:rPr>
          <w:rFonts w:ascii="Times" w:hAnsi="Times"/>
          <w:noProof/>
          <w:sz w:val="24"/>
        </w:rPr>
        <w:t xml:space="preserve"> за решенията за оперативна съвместимост за европейските публични администрации, предприятията и гражданите</w:t>
      </w:r>
      <w:r>
        <w:rPr>
          <w:rStyle w:val="FootnoteReference"/>
          <w:rFonts w:ascii="Times" w:hAnsi="Times"/>
          <w:noProof/>
          <w:sz w:val="24"/>
        </w:rPr>
        <w:footnoteReference w:id="22"/>
      </w:r>
      <w:r>
        <w:rPr>
          <w:rFonts w:ascii="Times" w:hAnsi="Times"/>
          <w:noProof/>
          <w:sz w:val="24"/>
        </w:rPr>
        <w:t xml:space="preserve">. Резултатите от него ще бъдат използвани директно в проверката за пригодност, тъй като </w:t>
      </w:r>
      <w:r>
        <w:rPr>
          <w:rFonts w:ascii="Times New Roman" w:hAnsi="Times New Roman"/>
          <w:noProof/>
          <w:sz w:val="24"/>
        </w:rPr>
        <w:t>заложените в нея цели са:</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определяне на ниво на подробност на данните при всички съществуващи изисквания за надзорна отчетност с цел установяване на липси, припокривания, излишъци и разминавания;</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 xml:space="preserve">изследване на възможните начини за използване на хармонизираните дефиниции на данните („общ език за финансови данни“) с цел оптимизиране на надзорната отчетност, без да се прави компромис с целите на съответното законодателство. </w:t>
      </w:r>
    </w:p>
    <w:p>
      <w:pPr>
        <w:ind w:left="60"/>
        <w:jc w:val="both"/>
        <w:rPr>
          <w:rFonts w:ascii="Times New Roman" w:hAnsi="Times New Roman" w:cs="Times New Roman"/>
          <w:noProof/>
          <w:sz w:val="24"/>
          <w:szCs w:val="24"/>
        </w:rPr>
      </w:pPr>
      <w:r>
        <w:rPr>
          <w:rFonts w:ascii="Times New Roman" w:hAnsi="Times New Roman" w:cs="Times New Roman"/>
          <w:noProof/>
          <w:sz w:val="24"/>
          <w:szCs w:val="24"/>
        </w:rPr>
        <w:t>И по-конкретно, чрез проекта за стандартизиране на финансовите данни ще бъдат установени конкретни области, в които допълнителното стандартизиране би могло да донесе ползи, и ще бъдат направени конкретни предложения за рационализиране и опростяване на изискванията за отчетност. Дългосрочната цел е всички отчитащи се образувания да подават данните си само веднъж, като същевременно всички ангажирани органи имат достъп до тях („принципът на еднократно отчитане“). Задълбоченото изследване на припокриванията и разминаванията между рамките за отчетност на нивото на подробност на данните ще приключи в края на 2018 г. То ще се използва като основа за евентуални действия на по-късен етап с цел съгласувано и дългосрочно справяне с тях. Ранните констатации от проекта за стандартизация на финансовите данни вече показват, че една от предпоставките за по-добра стандартизация е въвеждането на хармонизирани определения за данните (т.е. общ език за финансовите данни).  Това очевидно е необходимо и с цел по-добро използване на ИКТ при надзорната отчетност. Целта на тази задача ще бъде и постигане на съгласуваност с успоредни разработки в сферата на финансовата отчетност и по-специално въвеждането на европейски единен електронен формат, базиран на разширения език за бизнес отчетност (XBRL), съгласно Директивата за прозрачност.</w:t>
      </w:r>
    </w:p>
    <w:p>
      <w:pPr>
        <w:jc w:val="both"/>
        <w:rPr>
          <w:rFonts w:ascii="Times New Roman" w:hAnsi="Times New Roman" w:cs="Times New Roman"/>
          <w:noProof/>
          <w:sz w:val="24"/>
          <w:szCs w:val="24"/>
        </w:rPr>
      </w:pPr>
      <w:r>
        <w:rPr>
          <w:rFonts w:ascii="Times New Roman" w:hAnsi="Times New Roman" w:cs="Times New Roman"/>
          <w:noProof/>
          <w:sz w:val="24"/>
          <w:szCs w:val="24"/>
        </w:rPr>
        <w:t>Екипът на проекта за стандартизиране на финансовите данни ще работи и с групата на заинтересованите страни и в тясно сътрудничество с екипа за провеждане на проверката за пригодност.</w:t>
      </w:r>
    </w:p>
    <w:p>
      <w:pPr>
        <w:pStyle w:val="Heading2"/>
        <w:rPr>
          <w:noProof/>
        </w:rPr>
      </w:pPr>
      <w:r>
        <w:rPr>
          <w:noProof/>
        </w:rPr>
        <w:t>3.4</w:t>
      </w:r>
      <w:r>
        <w:rPr>
          <w:noProof/>
        </w:rPr>
        <w:tab/>
        <w:t>Перспективи: технологии в услуга на надзорната отчетност</w:t>
      </w:r>
    </w:p>
    <w:p>
      <w:pPr>
        <w:spacing w:after="0"/>
        <w:jc w:val="both"/>
        <w:rPr>
          <w:rFonts w:ascii="Times" w:hAnsi="Times" w:cs="Times"/>
          <w:noProof/>
          <w:sz w:val="24"/>
          <w:szCs w:val="24"/>
        </w:rPr>
      </w:pPr>
      <w:r>
        <w:rPr>
          <w:rFonts w:ascii="Times" w:hAnsi="Times"/>
          <w:noProof/>
          <w:sz w:val="24"/>
        </w:rPr>
        <w:t>През лятото на 2019 г. Комисията ще докладва относно резултатите от проверката за пригодност и основните констатации на проекта за стандартизиране на финансовите данни и ще представи идеи за възможните начини за справяне с евентуално установените припокривания и разминавания и за оптимизиране на изискванията за надзорна отчетност. Те ще включват начини за постигане на по-добра стандартизация и пълноценно използване на потенциала на автоматизацията и иновативните информационни технологии при по-нататъшното рационализиране и опростяване на процеса за отчитане.</w:t>
      </w:r>
    </w:p>
    <w:p>
      <w:pPr>
        <w:spacing w:before="240" w:after="0"/>
        <w:jc w:val="both"/>
        <w:rPr>
          <w:rFonts w:ascii="Times" w:hAnsi="Times" w:cs="Times"/>
          <w:noProof/>
          <w:sz w:val="24"/>
          <w:szCs w:val="24"/>
        </w:rPr>
      </w:pPr>
      <w:r>
        <w:rPr>
          <w:rFonts w:ascii="Times" w:hAnsi="Times"/>
          <w:noProof/>
          <w:sz w:val="24"/>
        </w:rPr>
        <w:t>Стандартизацията е първият и задължителен етап от рационализирането на изискванията за надзорна отчетност и в крайна сметка за създаването на „общ език“ за отчитане. Автоматизацията включва един допълнителен етап: след като бъде разработен стандартизиран режим за отчетност, чрез инициативи за популяризиране на автоматизация с помощта на модерни технологии би могло да се постигне свеждане до минимум на нуждата от човешка намеса както при отчитането, така и при анализа на данни. Това до голяма степен ще опрости и ускори отчитането и обработването на данните и в резултат значително ще намали разходите и тежестта от надзорната отчетност.</w:t>
      </w:r>
    </w:p>
    <w:p>
      <w:pPr>
        <w:spacing w:after="0"/>
        <w:jc w:val="both"/>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В рамките на процеса по </w:t>
      </w:r>
      <w:r>
        <w:rPr>
          <w:rFonts w:ascii="Times" w:hAnsi="Times"/>
          <w:b/>
          <w:noProof/>
          <w:sz w:val="24"/>
        </w:rPr>
        <w:t>стандартизация</w:t>
      </w:r>
      <w:r>
        <w:rPr>
          <w:rFonts w:ascii="Times" w:hAnsi="Times"/>
          <w:noProof/>
          <w:sz w:val="24"/>
        </w:rPr>
        <w:t xml:space="preserve"> има редица инициативи, които вече са задействани в проекта за стандартизация на финансовите данни:</w:t>
      </w:r>
    </w:p>
    <w:p>
      <w:pPr>
        <w:pStyle w:val="ListParagraph"/>
        <w:numPr>
          <w:ilvl w:val="0"/>
          <w:numId w:val="13"/>
        </w:numPr>
        <w:jc w:val="both"/>
        <w:rPr>
          <w:rFonts w:ascii="Times" w:hAnsi="Times" w:cs="Times"/>
          <w:noProof/>
          <w:sz w:val="24"/>
          <w:szCs w:val="24"/>
        </w:rPr>
      </w:pPr>
      <w:r>
        <w:rPr>
          <w:rFonts w:ascii="Times" w:hAnsi="Times"/>
          <w:noProof/>
          <w:sz w:val="24"/>
        </w:rPr>
        <w:t xml:space="preserve">Комисията би могла да има водещо място при обезпечаването на въвеждането на </w:t>
      </w:r>
      <w:r>
        <w:rPr>
          <w:rFonts w:ascii="Times" w:hAnsi="Times"/>
          <w:b/>
          <w:noProof/>
          <w:sz w:val="24"/>
        </w:rPr>
        <w:t>общ език за финансовите данни</w:t>
      </w:r>
      <w:r>
        <w:rPr>
          <w:rFonts w:ascii="Times" w:hAnsi="Times"/>
          <w:noProof/>
          <w:sz w:val="24"/>
        </w:rPr>
        <w:t>. Чрез общ език ще се отстрани проблемът с неясните дефиниции, който се явява сред основните причини за отчетна тежест.</w:t>
      </w:r>
    </w:p>
    <w:p>
      <w:pPr>
        <w:pStyle w:val="ListParagraph"/>
        <w:numPr>
          <w:ilvl w:val="0"/>
          <w:numId w:val="13"/>
        </w:numPr>
        <w:jc w:val="both"/>
        <w:rPr>
          <w:rFonts w:ascii="Times" w:hAnsi="Times" w:cs="Times"/>
          <w:noProof/>
          <w:sz w:val="24"/>
          <w:szCs w:val="24"/>
        </w:rPr>
      </w:pPr>
      <w:r>
        <w:rPr>
          <w:rFonts w:ascii="Times" w:hAnsi="Times"/>
          <w:noProof/>
          <w:sz w:val="24"/>
        </w:rPr>
        <w:t>Наред с това Комисията ще разгледа ползите от създаването на „европейска база от справочни данни“ с цел задълбочаване и ускоряване на хармонизирането на използваните във финансовия сектор идентификатори на финансови данни и модели за справочни данни. Това ще улесни фирмите при отчитането на данни пред различните надзорни органи и ще помогне на самите надзорни органи да събират и анализират отчетните данни по-бързо и ефективно.</w:t>
      </w:r>
    </w:p>
    <w:p>
      <w:pPr>
        <w:jc w:val="both"/>
        <w:rPr>
          <w:rFonts w:ascii="Times" w:hAnsi="Times" w:cs="Times"/>
          <w:noProof/>
          <w:sz w:val="24"/>
          <w:szCs w:val="24"/>
        </w:rPr>
      </w:pPr>
      <w:r>
        <w:rPr>
          <w:rFonts w:ascii="Times" w:hAnsi="Times"/>
          <w:noProof/>
          <w:sz w:val="24"/>
        </w:rPr>
        <w:t xml:space="preserve">В рамките на процеса по </w:t>
      </w:r>
      <w:r>
        <w:rPr>
          <w:rFonts w:ascii="Times" w:hAnsi="Times"/>
          <w:b/>
          <w:noProof/>
          <w:sz w:val="24"/>
        </w:rPr>
        <w:t>автоматизация</w:t>
      </w:r>
      <w:r>
        <w:rPr>
          <w:rFonts w:ascii="Times" w:hAnsi="Times"/>
          <w:noProof/>
          <w:sz w:val="24"/>
        </w:rPr>
        <w:t xml:space="preserve"> Комисията ще разгледа ползите от възможните инициативи, които биха дали възможност на фирмите да изпълняват отчетните си задължения с никаква или минимална човешка намеса, което още повече ще намали разходите за привеждане в съответствие. Това ще включва разглеждане на иновативни информационни технологии, които ще имат водещо място на следващия етап, например чрез надстройване и при необходимост хармонизиране на инфраструктурата за пренос на данни с цел гарантиране на безпроблемен поток на данните. Това би могло да доведе, наред с други, до автоматично отчитане на сключените на финансовите пазари сделки, което би намалило още повече разходите за привеждане в съответствие. Що се отнася до надзорните органи, подобна автоматизация би дала възможност за по-ефективен мониторинг на риска във финансовите системи.</w:t>
      </w:r>
    </w:p>
    <w:p>
      <w:pPr>
        <w:jc w:val="both"/>
        <w:rPr>
          <w:rFonts w:ascii="Times" w:hAnsi="Times" w:cs="Times"/>
          <w:noProof/>
          <w:sz w:val="24"/>
          <w:szCs w:val="24"/>
        </w:rPr>
      </w:pPr>
      <w:r>
        <w:rPr>
          <w:rFonts w:ascii="Times" w:hAnsi="Times"/>
          <w:noProof/>
          <w:sz w:val="24"/>
        </w:rPr>
        <w:t>Като цяло тази обширна и всеобхватна оценка на изискванията за надзорна отчетност ще положи много стабилна основа, на която в бъдеще Комисията да стартира координирани действия, които биха могли да доведат до революция в отчитането и значително да подобрят качеството на данните и достъпа до тях.</w:t>
      </w: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rPr>
          <w:rFonts w:ascii="Times New Roman" w:hAnsi="Times New Roman" w:cs="Times New Roman"/>
          <w:noProof/>
        </w:rPr>
      </w:pPr>
      <w:r>
        <w:rPr>
          <w:rFonts w:ascii="Times New Roman" w:hAnsi="Times New Roman"/>
          <w:noProof/>
        </w:rPr>
        <w:t>4. ЗАКЛЮЧЕНИЯ</w:t>
      </w:r>
    </w:p>
    <w:p>
      <w:pPr>
        <w:jc w:val="both"/>
        <w:rPr>
          <w:rFonts w:ascii="Times New Roman" w:hAnsi="Times New Roman" w:cs="Times New Roman"/>
          <w:noProof/>
          <w:sz w:val="24"/>
          <w:szCs w:val="24"/>
        </w:rPr>
      </w:pPr>
      <w:r>
        <w:rPr>
          <w:rFonts w:ascii="Times New Roman" w:hAnsi="Times New Roman"/>
          <w:noProof/>
          <w:sz w:val="24"/>
        </w:rPr>
        <w:t>Поканата за представяне на мнения демонстрира стремежа на Комисията към по-добро регулиране като неин основен начин на работа. С нея бе потвърдено, че разработването и коригирането на политики въз основа на фактически доказателства, разглеждането на възможните взаимодействия със съществуващо законодателство и ангажирането на заинтересованите страни могат да създадат по-добро и по-ефективно регулиране. На свой ред това стимулира разкриването на работни места, растежа и инвестициите, като същевременно гарантира финансовата стабилност и защитава както потребителите, така и инвеститорите.</w:t>
      </w:r>
    </w:p>
    <w:p>
      <w:pPr>
        <w:jc w:val="both"/>
        <w:rPr>
          <w:rFonts w:ascii="Times New Roman" w:hAnsi="Times New Roman" w:cs="Times New Roman"/>
          <w:noProof/>
          <w:sz w:val="24"/>
          <w:szCs w:val="24"/>
        </w:rPr>
      </w:pPr>
      <w:r>
        <w:rPr>
          <w:rFonts w:ascii="Times New Roman" w:hAnsi="Times New Roman" w:cs="Times New Roman"/>
          <w:noProof/>
          <w:sz w:val="24"/>
          <w:szCs w:val="24"/>
        </w:rPr>
        <w:t>Една година след приемането на съобщението Комисията е изпълнила редица свои ангажименти и продължава да работи по останалите дейности, добавяйки нови мерки, наложени от обстоятелствата през последната година. При тази задача ще продължи стриктното и цялостното прилагане на принципите за по-добро регулиране, включително по отношение на потенциалното екологично и социално въздействие на финансовото законодателство на ЕС в съответствие с постоянната работа по по-пълното интегриране на съображенията във връзка с устойчивото развитие във финансовата система на Съюза. При разработването на законодателни предложения Комисията смята за важно да извършва систематична оценка на възможностите и потенциалното им въздействие с цел свеждане до минимум на разходите за привеждане в съответствие и гарантиране на пропорционалност. Освен това Комисията ще продължи да поддържа контакт с обществеността и други заинтересовани страни чрез своите различни механизми за консултиране, с което дава възможност за предоставяне на допълнителни доказателства и допринасяне към развитието на политиките.</w:t>
      </w:r>
    </w:p>
    <w:p>
      <w:pPr>
        <w:jc w:val="both"/>
        <w:rPr>
          <w:rFonts w:ascii="Times New Roman" w:hAnsi="Times New Roman" w:cs="Times New Roman"/>
          <w:noProof/>
          <w:sz w:val="24"/>
          <w:szCs w:val="24"/>
        </w:rPr>
      </w:pPr>
      <w:r>
        <w:rPr>
          <w:rFonts w:ascii="Times New Roman" w:hAnsi="Times New Roman" w:cs="Times New Roman"/>
          <w:noProof/>
          <w:sz w:val="24"/>
          <w:szCs w:val="24"/>
        </w:rPr>
        <w:t>Наред с това, както председателят Юнкер потвърди в речта си за състоянието на Съюза през септември 2017 г., Комисията е твърдо решена да взаимодейства с Европейския парламент и Съвета, както и с националните парламенти на държавите — членки на ЕС, съгласно рамковото споразумение за отношенията между Европейския парламент и Европейската комисия и Междуинституционално споразумение за по-добро законотворчество. На 14 ноември 2017 г. председателят официално обяви създаването на работна група за субсидиарност, пропорционалност и за „правене на по-малко, но по-ефективно“</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Тя ще докладва на председателя до 15 юли 2018 г. и ще отправи препоръки за по</w:t>
      </w:r>
      <w:r>
        <w:rPr>
          <w:rFonts w:ascii="Times New Roman" w:hAnsi="Times New Roman"/>
          <w:noProof/>
          <w:sz w:val="24"/>
        </w:rPr>
        <w:t>-добро прилагане на принципите на субсидиарност и пропорционалност, ще набележи областите на политиката, в които с течение на времето вземането на решения и/или изпълнението може да се пределегира или окончателно да се върне на държавите членки, и ще посочи начините за по-добро участие на регионалните и местните органи в определянето и изпълнението на политиката на ЕС.</w:t>
      </w:r>
    </w:p>
    <w:p>
      <w:pPr>
        <w:jc w:val="both"/>
        <w:rPr>
          <w:rFonts w:ascii="Times New Roman" w:hAnsi="Times New Roman" w:cs="Times New Roman"/>
          <w:noProof/>
          <w:sz w:val="24"/>
          <w:szCs w:val="24"/>
        </w:rPr>
      </w:pPr>
      <w:r>
        <w:rPr>
          <w:rFonts w:ascii="Times New Roman" w:hAnsi="Times New Roman" w:cs="Times New Roman"/>
          <w:noProof/>
          <w:sz w:val="24"/>
          <w:szCs w:val="24"/>
        </w:rPr>
        <w:t>Накрая, Комисията също така е решена да внедри принципите за по-добро регулиране в глобалното разработване на стандарти. Тя активно оформя и допринася към инициативата на Съвета за финансова стабилност за оценка на въздействието на следкризисните реформи на Г-20. Неотдавна лидерите на Г-20 приеха рамка на СФС за оценка, вдъхновена от европейския опит. Комисията ще играе активна роля при първата оценка по тази рамка, именно за да оцени въздействието на финансовото посредничество при устойчивото икономическо развитие и финансирането на инфраструктура. Поканата за представяне на мнения на Комисията във връзка с регулаторната рамка на ЕС за финансовите услуги е убедителен пример за ангажимента ѝ за използване на приложими и задълбочени фактически доказателства като основа за изготвяне на политики.</w:t>
      </w:r>
    </w:p>
    <w:p>
      <w:pPr>
        <w:jc w:val="both"/>
        <w:rPr>
          <w:rFonts w:ascii="Times" w:hAnsi="Times" w:cs="Time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73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t xml:space="preserve"> Регламент (ЕС) № 575/2013</w:t>
      </w:r>
    </w:p>
  </w:footnote>
  <w:footnote w:id="3">
    <w:p>
      <w:pPr>
        <w:pStyle w:val="FootnoteText"/>
        <w:rPr>
          <w:lang w:val="pt-PT"/>
        </w:rPr>
      </w:pPr>
      <w:r>
        <w:rPr>
          <w:rStyle w:val="FootnoteReference"/>
        </w:rPr>
        <w:footnoteRef/>
      </w:r>
      <w:r>
        <w:t xml:space="preserve"> Директива 2013/36/ЕС</w:t>
      </w:r>
    </w:p>
  </w:footnote>
  <w:footnote w:id="4">
    <w:p>
      <w:pPr>
        <w:pStyle w:val="FootnoteText"/>
        <w:rPr>
          <w:lang w:val="pt-PT"/>
        </w:rPr>
      </w:pPr>
      <w:r>
        <w:rPr>
          <w:rStyle w:val="FootnoteReference"/>
        </w:rPr>
        <w:footnoteRef/>
      </w:r>
      <w:r>
        <w:t xml:space="preserve"> Регламент (ЕС) № 648/2012</w:t>
      </w:r>
    </w:p>
  </w:footnote>
  <w:footnote w:id="5">
    <w:p>
      <w:pPr>
        <w:pStyle w:val="FootnoteText"/>
        <w:rPr>
          <w:lang w:val="pt-PT"/>
        </w:rPr>
      </w:pPr>
      <w:r>
        <w:rPr>
          <w:rStyle w:val="FootnoteReference"/>
        </w:rPr>
        <w:footnoteRef/>
      </w:r>
      <w:r>
        <w:t xml:space="preserve"> Предложение за регламент COM(2017)536/948972</w:t>
      </w:r>
    </w:p>
  </w:footnote>
  <w:footnote w:id="6">
    <w:p>
      <w:pPr>
        <w:pStyle w:val="FootnoteText"/>
        <w:rPr>
          <w:lang w:val="pt-PT"/>
        </w:rPr>
      </w:pPr>
      <w:r>
        <w:rPr>
          <w:rStyle w:val="FootnoteReference"/>
        </w:rPr>
        <w:footnoteRef/>
      </w:r>
      <w:r>
        <w:t xml:space="preserve"> COM(2017) 292 final.</w:t>
      </w:r>
    </w:p>
  </w:footnote>
  <w:footnote w:id="7">
    <w:p>
      <w:pPr>
        <w:pStyle w:val="FootnoteText"/>
      </w:pPr>
      <w:r>
        <w:rPr>
          <w:rStyle w:val="FootnoteReference"/>
        </w:rPr>
        <w:footnoteRef/>
      </w:r>
      <w:r>
        <w:t xml:space="preserve"> MEMO/16/3840</w:t>
      </w:r>
    </w:p>
  </w:footnote>
  <w:footnote w:id="8">
    <w:p>
      <w:pPr>
        <w:pStyle w:val="FootnoteText"/>
      </w:pPr>
      <w:r>
        <w:rPr>
          <w:rStyle w:val="FootnoteReference"/>
        </w:rPr>
        <w:footnoteRef/>
      </w:r>
      <w:r>
        <w:t xml:space="preserve"> Програмата на Комисията за пригодност и резултатност на регулаторната рамка (REFIT) гарантира, че законодателството на ЕС дава резултати за гражданите и бизнеса ефективно, ефикасно и при минимални разходи. Целите на REFIT са поддържане на опростено законодателство на ЕС, премахване на излишните тежести и приспособяване на съществуващото законодателство, без да се правят компромиси с целите на политиките.</w:t>
      </w:r>
    </w:p>
  </w:footnote>
  <w:footnote w:id="9">
    <w:p>
      <w:pPr>
        <w:pStyle w:val="FootnoteText"/>
      </w:pPr>
      <w:r>
        <w:rPr>
          <w:rStyle w:val="FootnoteReference"/>
        </w:rPr>
        <w:footnoteRef/>
      </w:r>
      <w:r>
        <w:t xml:space="preserve"> Обобщен анализ по програмата за пригодност и резултатност на регулаторната рамка REFIT (2017 г.)</w:t>
      </w:r>
    </w:p>
  </w:footnote>
  <w:footnote w:id="10">
    <w:p>
      <w:pPr>
        <w:pStyle w:val="FootnoteText"/>
      </w:pPr>
      <w:r>
        <w:rPr>
          <w:rStyle w:val="FootnoteReference"/>
        </w:rPr>
        <w:footnoteRef/>
      </w:r>
      <w:r>
        <w:t xml:space="preserve"> SWD(2017) 219 final.</w:t>
      </w:r>
    </w:p>
  </w:footnote>
  <w:footnote w:id="11">
    <w:p>
      <w:pPr>
        <w:pStyle w:val="FootnoteText"/>
      </w:pPr>
      <w:r>
        <w:rPr>
          <w:rStyle w:val="FootnoteReference"/>
        </w:rPr>
        <w:footnoteRef/>
      </w:r>
      <w:r>
        <w:t xml:space="preserve"> Както бе обявено в междинния преглед на СКП, COM(2017) 292 final</w:t>
      </w:r>
    </w:p>
  </w:footnote>
  <w:footnote w:id="12">
    <w:p>
      <w:pPr>
        <w:pStyle w:val="FootnoteText"/>
      </w:pPr>
      <w:r>
        <w:rPr>
          <w:rStyle w:val="FootnoteReference"/>
        </w:rPr>
        <w:footnoteRef/>
      </w:r>
      <w:r>
        <w:t xml:space="preserve"> https://ec.europa.eu/info/sites/info/files/170227-report-capital-barriers_en.pdf</w:t>
      </w:r>
    </w:p>
  </w:footnote>
  <w:footnote w:id="13">
    <w:p>
      <w:pPr>
        <w:pStyle w:val="FootnoteText"/>
        <w:rPr>
          <w:lang w:val="lv-LV"/>
        </w:rPr>
      </w:pPr>
      <w:r>
        <w:rPr>
          <w:rStyle w:val="FootnoteReference"/>
        </w:rPr>
        <w:footnoteRef/>
      </w:r>
      <w:r>
        <w:t xml:space="preserve"> https://ec.europa.eu/commission/publications/reflection-paper-deepening-economic-and-monetary-union_bg.</w:t>
      </w:r>
    </w:p>
  </w:footnote>
  <w:footnote w:id="14">
    <w:p>
      <w:pPr>
        <w:pStyle w:val="FootnoteText"/>
        <w:rPr>
          <w:lang w:val="lv-LV"/>
        </w:rPr>
      </w:pPr>
      <w:r>
        <w:rPr>
          <w:rStyle w:val="FootnoteReference"/>
        </w:rPr>
        <w:footnoteRef/>
      </w:r>
      <w:r>
        <w:t xml:space="preserve"> Директива 2010/78/ЕС Сборна директива I; Директива 2011/89/ЕС относно финансовите конгломерати; Директива 2011/61/ЕС относно лицата, управляващи фондове за алтернативни инвестиции; Директива 2013/36/ЕС относно капиталовите изисквания – ДКИ IV; Директива 2014/59/ЕС за възстановяване и преструктуриране на банките – ДВПБ; Директива 2014/49/ЕС относно схемите за гарантиране на депозити – ДСГД; Директива 2013/14/ЕС относно агенциите за кредитен рейтинг – ДАКР;</w:t>
      </w:r>
    </w:p>
  </w:footnote>
  <w:footnote w:id="15">
    <w:p>
      <w:pPr>
        <w:pStyle w:val="FootnoteText"/>
        <w:rPr>
          <w:lang w:val="lv-LV"/>
        </w:rPr>
      </w:pPr>
      <w:r>
        <w:rPr>
          <w:rStyle w:val="FootnoteReference"/>
        </w:rPr>
        <w:footnoteRef/>
      </w:r>
      <w:r>
        <w:t xml:space="preserve"> Директива 2009/138/EO „Платежоспособност II“; Директива 2014/51/ЕС Сборна директива II; Директива 2013/34/ЕС за счетоводството; Директива 2013/50/ЕС за прозрачност; Директива 2014/91/ЕС относно предприятията за колективно инвестиране в прехвърлими ценни книжа – ПКИПЦК; Директива 2014/17/ЕС за ипотечните кредити; Директива 2014/56/ЕС относно задължителния одит; Директива за изпълнение (ЕС) 2015/2392; Директива 2014/92/ЕС относно платежните сметки; Директива 2014/95/ЕС относно оповестяването на нефинансова информация.</w:t>
      </w:r>
    </w:p>
  </w:footnote>
  <w:footnote w:id="16">
    <w:p>
      <w:pPr>
        <w:pStyle w:val="FootnoteText"/>
      </w:pPr>
      <w:r>
        <w:rPr>
          <w:rStyle w:val="FootnoteReference"/>
        </w:rPr>
        <w:footnoteRef/>
      </w:r>
      <w:r>
        <w:t xml:space="preserve"> Директива 2014/65/ЕС – ДПФИ II; Директива за изпълнение 2017/593 – ДПФИ II; 3.7.2017 г.</w:t>
      </w:r>
    </w:p>
  </w:footnote>
  <w:footnote w:id="17">
    <w:p>
      <w:pPr>
        <w:pStyle w:val="FootnoteText"/>
      </w:pPr>
      <w:r>
        <w:rPr>
          <w:rStyle w:val="FootnoteReference"/>
        </w:rPr>
        <w:footnoteRef/>
      </w:r>
      <w:r>
        <w:t xml:space="preserve"> Комитет по платежни и сетълмент системи на Банката за международни разплащания – Международна организация на комисиите по ценни книжа.</w:t>
      </w:r>
    </w:p>
  </w:footnote>
  <w:footnote w:id="18">
    <w:p>
      <w:pPr>
        <w:pStyle w:val="FootnoteText"/>
      </w:pPr>
      <w:r>
        <w:rPr>
          <w:rStyle w:val="FootnoteReference"/>
        </w:rPr>
        <w:footnoteRef/>
      </w:r>
      <w:r>
        <w:t xml:space="preserve"> SWD(2017) 272 final.</w:t>
      </w:r>
    </w:p>
  </w:footnote>
  <w:footnote w:id="19">
    <w:p>
      <w:pPr>
        <w:pStyle w:val="FootnoteText"/>
      </w:pPr>
      <w:r>
        <w:rPr>
          <w:rStyle w:val="FootnoteReference"/>
        </w:rPr>
        <w:footnoteRef/>
      </w:r>
      <w:r>
        <w:t xml:space="preserve"> https://ec.europa.eu/info/finance-consultations-2017-fintech_en</w:t>
      </w:r>
    </w:p>
  </w:footnote>
  <w:footnote w:id="20">
    <w:p>
      <w:pPr>
        <w:pStyle w:val="FootnoteText"/>
      </w:pPr>
      <w:r>
        <w:rPr>
          <w:rStyle w:val="FootnoteReference"/>
        </w:rPr>
        <w:footnoteRef/>
      </w:r>
      <w:r>
        <w:t xml:space="preserve"> https://ec.europa.eu/info/law/better-regulation/initiatives/com-2017-208_en.</w:t>
      </w:r>
    </w:p>
  </w:footnote>
  <w:footnote w:id="21">
    <w:p>
      <w:pPr>
        <w:pStyle w:val="FootnoteText"/>
      </w:pPr>
      <w:r>
        <w:rPr>
          <w:rStyle w:val="FootnoteReference"/>
        </w:rPr>
        <w:footnoteRef/>
      </w:r>
      <w:r>
        <w:t xml:space="preserve"> Напр. ISO 2022, ISIN, UTI и др.</w:t>
      </w:r>
    </w:p>
  </w:footnote>
  <w:footnote w:id="22">
    <w:p>
      <w:pPr>
        <w:pStyle w:val="FootnoteText"/>
      </w:pPr>
      <w:r>
        <w:rPr>
          <w:rStyle w:val="FootnoteReference"/>
        </w:rPr>
        <w:footnoteRef/>
      </w:r>
      <w:r>
        <w:t xml:space="preserve"> Наред с това програмата подпомага Европейската рамка за оперативна съвместимост (ЕРОС) с цел: подобряване на управлението на оперативната съвместимост на дейностите; установяване на взаимоотношения между отделните организации; рационализиране на процесите за поддържане на цялостен цифров обмен; и следене за това, че както съществуващото, така и новото законодателство подкрепят усилията за оперативна съвместимост.</w:t>
      </w:r>
    </w:p>
  </w:footnote>
  <w:footnote w:id="23">
    <w:p>
      <w:pPr>
        <w:pStyle w:val="FootnoteText"/>
      </w:pPr>
      <w:r>
        <w:rPr>
          <w:rStyle w:val="FootnoteReference"/>
        </w:rPr>
        <w:footnoteRef/>
      </w:r>
      <w:r>
        <w:t xml:space="preserve"> C(2017)7810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0E"/>
    <w:multiLevelType w:val="hybridMultilevel"/>
    <w:tmpl w:val="E0325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E3DF4"/>
    <w:multiLevelType w:val="hybridMultilevel"/>
    <w:tmpl w:val="12B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5345D"/>
    <w:multiLevelType w:val="hybridMultilevel"/>
    <w:tmpl w:val="2CD67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255C7262"/>
    <w:multiLevelType w:val="hybridMultilevel"/>
    <w:tmpl w:val="EBC8E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174DE"/>
    <w:multiLevelType w:val="hybridMultilevel"/>
    <w:tmpl w:val="681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15857"/>
    <w:multiLevelType w:val="hybridMultilevel"/>
    <w:tmpl w:val="BA3405A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517D34"/>
    <w:multiLevelType w:val="hybridMultilevel"/>
    <w:tmpl w:val="FBD2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C53D2B"/>
    <w:multiLevelType w:val="hybridMultilevel"/>
    <w:tmpl w:val="B726BE16"/>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D11692"/>
    <w:multiLevelType w:val="hybridMultilevel"/>
    <w:tmpl w:val="0050532C"/>
    <w:lvl w:ilvl="0" w:tplc="A3EE84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2E716E23"/>
    <w:multiLevelType w:val="hybridMultilevel"/>
    <w:tmpl w:val="FEAE1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35E5C53"/>
    <w:multiLevelType w:val="hybridMultilevel"/>
    <w:tmpl w:val="6BE802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873F28"/>
    <w:multiLevelType w:val="hybridMultilevel"/>
    <w:tmpl w:val="494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AE244A"/>
    <w:multiLevelType w:val="hybridMultilevel"/>
    <w:tmpl w:val="B77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6619D2"/>
    <w:multiLevelType w:val="hybridMultilevel"/>
    <w:tmpl w:val="801E6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015672"/>
    <w:multiLevelType w:val="hybridMultilevel"/>
    <w:tmpl w:val="868E95AE"/>
    <w:lvl w:ilvl="0" w:tplc="F5F455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0F7497"/>
    <w:multiLevelType w:val="hybridMultilevel"/>
    <w:tmpl w:val="49FE1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CA0278"/>
    <w:multiLevelType w:val="hybridMultilevel"/>
    <w:tmpl w:val="DA06A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7C0F94"/>
    <w:multiLevelType w:val="hybridMultilevel"/>
    <w:tmpl w:val="20A0E7D8"/>
    <w:lvl w:ilvl="0" w:tplc="08090001">
      <w:start w:val="1"/>
      <w:numFmt w:val="bullet"/>
      <w:lvlText w:val=""/>
      <w:lvlJc w:val="left"/>
      <w:pPr>
        <w:ind w:left="720" w:hanging="360"/>
      </w:pPr>
      <w:rPr>
        <w:rFonts w:ascii="Symbol" w:hAnsi="Symbol" w:hint="default"/>
      </w:rPr>
    </w:lvl>
    <w:lvl w:ilvl="1" w:tplc="0F78B36A">
      <w:start w:val="3"/>
      <w:numFmt w:val="bullet"/>
      <w:lvlText w:val="•"/>
      <w:lvlJc w:val="left"/>
      <w:pPr>
        <w:ind w:left="1800" w:hanging="720"/>
      </w:pPr>
      <w:rPr>
        <w:rFonts w:ascii="Times" w:eastAsiaTheme="minorHAnsi"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50E70"/>
    <w:multiLevelType w:val="hybridMultilevel"/>
    <w:tmpl w:val="158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8"/>
  </w:num>
  <w:num w:numId="6">
    <w:abstractNumId w:val="11"/>
  </w:num>
  <w:num w:numId="7">
    <w:abstractNumId w:val="4"/>
  </w:num>
  <w:num w:numId="8">
    <w:abstractNumId w:val="0"/>
  </w:num>
  <w:num w:numId="9">
    <w:abstractNumId w:val="9"/>
  </w:num>
  <w:num w:numId="10">
    <w:abstractNumId w:val="15"/>
  </w:num>
  <w:num w:numId="11">
    <w:abstractNumId w:val="14"/>
  </w:num>
  <w:num w:numId="12">
    <w:abstractNumId w:val="17"/>
  </w:num>
  <w:num w:numId="13">
    <w:abstractNumId w:val="2"/>
  </w:num>
  <w:num w:numId="14">
    <w:abstractNumId w:val="6"/>
  </w:num>
  <w:num w:numId="15">
    <w:abstractNumId w:val="8"/>
  </w:num>
  <w:num w:numId="16">
    <w:abstractNumId w:val="13"/>
  </w:num>
  <w:num w:numId="17">
    <w:abstractNumId w:val="5"/>
  </w:num>
  <w:num w:numId="18">
    <w:abstractNumId w:val="7"/>
  </w:num>
  <w:num w:numId="19">
    <w:abstractNumId w:val="1"/>
  </w:num>
  <w:num w:numId="20">
    <w:abstractNumId w:val="10"/>
  </w:num>
  <w:num w:numId="21">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273821-D7FF-475F-ACAF-88E9DC8CD96A"/>
    <w:docVar w:name="LW_COVERPAGE_TYPE" w:val="1"/>
    <w:docVar w:name="LW_CROSSREFERENCE" w:val="&lt;UNUSED&gt;"/>
    <w:docVar w:name="LW_DocType" w:val="NORMAL"/>
    <w:docVar w:name="LW_EMISSION" w:val="1.12.2017"/>
    <w:docVar w:name="LW_EMISSION_ISODATE" w:val="2017-12-01"/>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5?\u1086?\u1089?\u1083?\u1077?\u1076?\u1074?\u1072?\u1097?\u1080? \u1084?\u1077?\u1088?\u1082?\u1080? \u1074?\u1098?\u1074? \u1074?\u1088?\u1098?\u1079?\u1082?\u1072? \u1089? \u1087?\u1086?\u1082?\u1072?\u1085?\u1072?\u1090?\u1072? \u1079?\u1072? \u1087?\u1088?\u1077?\u1076?\u1089?\u1090?\u1072?\u1074?\u1103?\u1085?\u1077? \u1085?\u1072? \u1084?\u1085?\u1077?\u1085?\u1080?\u1103?: \u1088?\u1077?\u1075?\u1091?\u1083?\u1072?\u1090?\u1086?\u1088?\u1085?\u1072? \u1088?\u1072?\u1084?\u1082?\u1072? \u1085?\u1072? \u1045?\u1057? \u1079?\u1072? \u1092?\u1080?\u1085?\u1072?\u1085?\u1089?\u1086?\u1074?\u1080? \u1091?\u1089?\u1083?\u1091?\u1075?\u1080?&lt;/FMT&gt;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FISMA\FISMA-2017-00453\FISMA-2017-00453-00-00-EN-REV-00.201710301135253798626.DOCX"/>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310333835">
      <w:bodyDiv w:val="1"/>
      <w:marLeft w:val="0"/>
      <w:marRight w:val="0"/>
      <w:marTop w:val="0"/>
      <w:marBottom w:val="0"/>
      <w:divBdr>
        <w:top w:val="none" w:sz="0" w:space="0" w:color="auto"/>
        <w:left w:val="none" w:sz="0" w:space="0" w:color="auto"/>
        <w:bottom w:val="none" w:sz="0" w:space="0" w:color="auto"/>
        <w:right w:val="none" w:sz="0" w:space="0" w:color="auto"/>
      </w:divBdr>
    </w:div>
    <w:div w:id="319387953">
      <w:bodyDiv w:val="1"/>
      <w:marLeft w:val="0"/>
      <w:marRight w:val="0"/>
      <w:marTop w:val="0"/>
      <w:marBottom w:val="0"/>
      <w:divBdr>
        <w:top w:val="none" w:sz="0" w:space="0" w:color="auto"/>
        <w:left w:val="none" w:sz="0" w:space="0" w:color="auto"/>
        <w:bottom w:val="none" w:sz="0" w:space="0" w:color="auto"/>
        <w:right w:val="none" w:sz="0" w:space="0" w:color="auto"/>
      </w:divBdr>
    </w:div>
    <w:div w:id="328027364">
      <w:bodyDiv w:val="1"/>
      <w:marLeft w:val="0"/>
      <w:marRight w:val="0"/>
      <w:marTop w:val="0"/>
      <w:marBottom w:val="0"/>
      <w:divBdr>
        <w:top w:val="none" w:sz="0" w:space="0" w:color="auto"/>
        <w:left w:val="none" w:sz="0" w:space="0" w:color="auto"/>
        <w:bottom w:val="none" w:sz="0" w:space="0" w:color="auto"/>
        <w:right w:val="none" w:sz="0" w:space="0" w:color="auto"/>
      </w:divBdr>
    </w:div>
    <w:div w:id="393090241">
      <w:bodyDiv w:val="1"/>
      <w:marLeft w:val="0"/>
      <w:marRight w:val="0"/>
      <w:marTop w:val="0"/>
      <w:marBottom w:val="0"/>
      <w:divBdr>
        <w:top w:val="none" w:sz="0" w:space="0" w:color="auto"/>
        <w:left w:val="none" w:sz="0" w:space="0" w:color="auto"/>
        <w:bottom w:val="none" w:sz="0" w:space="0" w:color="auto"/>
        <w:right w:val="none" w:sz="0" w:space="0" w:color="auto"/>
      </w:divBdr>
    </w:div>
    <w:div w:id="435490852">
      <w:bodyDiv w:val="1"/>
      <w:marLeft w:val="0"/>
      <w:marRight w:val="0"/>
      <w:marTop w:val="0"/>
      <w:marBottom w:val="0"/>
      <w:divBdr>
        <w:top w:val="none" w:sz="0" w:space="0" w:color="auto"/>
        <w:left w:val="none" w:sz="0" w:space="0" w:color="auto"/>
        <w:bottom w:val="none" w:sz="0" w:space="0" w:color="auto"/>
        <w:right w:val="none" w:sz="0" w:space="0" w:color="auto"/>
      </w:divBdr>
    </w:div>
    <w:div w:id="486244305">
      <w:bodyDiv w:val="1"/>
      <w:marLeft w:val="0"/>
      <w:marRight w:val="0"/>
      <w:marTop w:val="0"/>
      <w:marBottom w:val="0"/>
      <w:divBdr>
        <w:top w:val="none" w:sz="0" w:space="0" w:color="auto"/>
        <w:left w:val="none" w:sz="0" w:space="0" w:color="auto"/>
        <w:bottom w:val="none" w:sz="0" w:space="0" w:color="auto"/>
        <w:right w:val="none" w:sz="0" w:space="0" w:color="auto"/>
      </w:divBdr>
    </w:div>
    <w:div w:id="559249280">
      <w:bodyDiv w:val="1"/>
      <w:marLeft w:val="0"/>
      <w:marRight w:val="0"/>
      <w:marTop w:val="0"/>
      <w:marBottom w:val="0"/>
      <w:divBdr>
        <w:top w:val="none" w:sz="0" w:space="0" w:color="auto"/>
        <w:left w:val="none" w:sz="0" w:space="0" w:color="auto"/>
        <w:bottom w:val="none" w:sz="0" w:space="0" w:color="auto"/>
        <w:right w:val="none" w:sz="0" w:space="0" w:color="auto"/>
      </w:divBdr>
    </w:div>
    <w:div w:id="641038767">
      <w:bodyDiv w:val="1"/>
      <w:marLeft w:val="0"/>
      <w:marRight w:val="0"/>
      <w:marTop w:val="0"/>
      <w:marBottom w:val="0"/>
      <w:divBdr>
        <w:top w:val="none" w:sz="0" w:space="0" w:color="auto"/>
        <w:left w:val="none" w:sz="0" w:space="0" w:color="auto"/>
        <w:bottom w:val="none" w:sz="0" w:space="0" w:color="auto"/>
        <w:right w:val="none" w:sz="0" w:space="0" w:color="auto"/>
      </w:divBdr>
    </w:div>
    <w:div w:id="980421098">
      <w:bodyDiv w:val="1"/>
      <w:marLeft w:val="0"/>
      <w:marRight w:val="0"/>
      <w:marTop w:val="0"/>
      <w:marBottom w:val="0"/>
      <w:divBdr>
        <w:top w:val="none" w:sz="0" w:space="0" w:color="auto"/>
        <w:left w:val="none" w:sz="0" w:space="0" w:color="auto"/>
        <w:bottom w:val="none" w:sz="0" w:space="0" w:color="auto"/>
        <w:right w:val="none" w:sz="0" w:space="0" w:color="auto"/>
      </w:divBdr>
    </w:div>
    <w:div w:id="1052853365">
      <w:bodyDiv w:val="1"/>
      <w:marLeft w:val="0"/>
      <w:marRight w:val="0"/>
      <w:marTop w:val="0"/>
      <w:marBottom w:val="0"/>
      <w:divBdr>
        <w:top w:val="none" w:sz="0" w:space="0" w:color="auto"/>
        <w:left w:val="none" w:sz="0" w:space="0" w:color="auto"/>
        <w:bottom w:val="none" w:sz="0" w:space="0" w:color="auto"/>
        <w:right w:val="none" w:sz="0" w:space="0" w:color="auto"/>
      </w:divBdr>
    </w:div>
    <w:div w:id="1093285635">
      <w:bodyDiv w:val="1"/>
      <w:marLeft w:val="0"/>
      <w:marRight w:val="0"/>
      <w:marTop w:val="0"/>
      <w:marBottom w:val="0"/>
      <w:divBdr>
        <w:top w:val="none" w:sz="0" w:space="0" w:color="auto"/>
        <w:left w:val="none" w:sz="0" w:space="0" w:color="auto"/>
        <w:bottom w:val="none" w:sz="0" w:space="0" w:color="auto"/>
        <w:right w:val="none" w:sz="0" w:space="0" w:color="auto"/>
      </w:divBdr>
    </w:div>
    <w:div w:id="1103186236">
      <w:bodyDiv w:val="1"/>
      <w:marLeft w:val="0"/>
      <w:marRight w:val="0"/>
      <w:marTop w:val="0"/>
      <w:marBottom w:val="0"/>
      <w:divBdr>
        <w:top w:val="none" w:sz="0" w:space="0" w:color="auto"/>
        <w:left w:val="none" w:sz="0" w:space="0" w:color="auto"/>
        <w:bottom w:val="none" w:sz="0" w:space="0" w:color="auto"/>
        <w:right w:val="none" w:sz="0" w:space="0" w:color="auto"/>
      </w:divBdr>
    </w:div>
    <w:div w:id="1369526494">
      <w:bodyDiv w:val="1"/>
      <w:marLeft w:val="0"/>
      <w:marRight w:val="0"/>
      <w:marTop w:val="0"/>
      <w:marBottom w:val="0"/>
      <w:divBdr>
        <w:top w:val="none" w:sz="0" w:space="0" w:color="auto"/>
        <w:left w:val="none" w:sz="0" w:space="0" w:color="auto"/>
        <w:bottom w:val="none" w:sz="0" w:space="0" w:color="auto"/>
        <w:right w:val="none" w:sz="0" w:space="0" w:color="auto"/>
      </w:divBdr>
    </w:div>
    <w:div w:id="1510873601">
      <w:bodyDiv w:val="1"/>
      <w:marLeft w:val="0"/>
      <w:marRight w:val="0"/>
      <w:marTop w:val="0"/>
      <w:marBottom w:val="0"/>
      <w:divBdr>
        <w:top w:val="none" w:sz="0" w:space="0" w:color="auto"/>
        <w:left w:val="none" w:sz="0" w:space="0" w:color="auto"/>
        <w:bottom w:val="none" w:sz="0" w:space="0" w:color="auto"/>
        <w:right w:val="none" w:sz="0" w:space="0" w:color="auto"/>
      </w:divBdr>
      <w:divsChild>
        <w:div w:id="2118063181">
          <w:marLeft w:val="0"/>
          <w:marRight w:val="0"/>
          <w:marTop w:val="0"/>
          <w:marBottom w:val="0"/>
          <w:divBdr>
            <w:top w:val="none" w:sz="0" w:space="0" w:color="auto"/>
            <w:left w:val="none" w:sz="0" w:space="0" w:color="auto"/>
            <w:bottom w:val="none" w:sz="0" w:space="0" w:color="auto"/>
            <w:right w:val="none" w:sz="0" w:space="0" w:color="auto"/>
          </w:divBdr>
          <w:divsChild>
            <w:div w:id="1567304373">
              <w:marLeft w:val="0"/>
              <w:marRight w:val="0"/>
              <w:marTop w:val="0"/>
              <w:marBottom w:val="150"/>
              <w:divBdr>
                <w:top w:val="none" w:sz="0" w:space="0" w:color="auto"/>
                <w:left w:val="none" w:sz="0" w:space="0" w:color="auto"/>
                <w:bottom w:val="none" w:sz="0" w:space="0" w:color="auto"/>
                <w:right w:val="none" w:sz="0" w:space="0" w:color="auto"/>
              </w:divBdr>
              <w:divsChild>
                <w:div w:id="1831366269">
                  <w:marLeft w:val="0"/>
                  <w:marRight w:val="0"/>
                  <w:marTop w:val="0"/>
                  <w:marBottom w:val="0"/>
                  <w:divBdr>
                    <w:top w:val="none" w:sz="0" w:space="0" w:color="auto"/>
                    <w:left w:val="none" w:sz="0" w:space="0" w:color="auto"/>
                    <w:bottom w:val="none" w:sz="0" w:space="0" w:color="auto"/>
                    <w:right w:val="none" w:sz="0" w:space="0" w:color="auto"/>
                  </w:divBdr>
                  <w:divsChild>
                    <w:div w:id="540367848">
                      <w:marLeft w:val="0"/>
                      <w:marRight w:val="0"/>
                      <w:marTop w:val="0"/>
                      <w:marBottom w:val="0"/>
                      <w:divBdr>
                        <w:top w:val="none" w:sz="0" w:space="0" w:color="auto"/>
                        <w:left w:val="none" w:sz="0" w:space="0" w:color="auto"/>
                        <w:bottom w:val="none" w:sz="0" w:space="0" w:color="auto"/>
                        <w:right w:val="none" w:sz="0" w:space="0" w:color="auto"/>
                      </w:divBdr>
                      <w:divsChild>
                        <w:div w:id="2074153883">
                          <w:marLeft w:val="0"/>
                          <w:marRight w:val="0"/>
                          <w:marTop w:val="0"/>
                          <w:marBottom w:val="0"/>
                          <w:divBdr>
                            <w:top w:val="none" w:sz="0" w:space="0" w:color="auto"/>
                            <w:left w:val="none" w:sz="0" w:space="0" w:color="auto"/>
                            <w:bottom w:val="none" w:sz="0" w:space="0" w:color="auto"/>
                            <w:right w:val="none" w:sz="0" w:space="0" w:color="auto"/>
                          </w:divBdr>
                          <w:divsChild>
                            <w:div w:id="2132966792">
                              <w:marLeft w:val="0"/>
                              <w:marRight w:val="0"/>
                              <w:marTop w:val="0"/>
                              <w:marBottom w:val="0"/>
                              <w:divBdr>
                                <w:top w:val="none" w:sz="0" w:space="0" w:color="auto"/>
                                <w:left w:val="none" w:sz="0" w:space="0" w:color="auto"/>
                                <w:bottom w:val="none" w:sz="0" w:space="0" w:color="auto"/>
                                <w:right w:val="none" w:sz="0" w:space="0" w:color="auto"/>
                              </w:divBdr>
                              <w:divsChild>
                                <w:div w:id="552548903">
                                  <w:marLeft w:val="0"/>
                                  <w:marRight w:val="-3600"/>
                                  <w:marTop w:val="150"/>
                                  <w:marBottom w:val="0"/>
                                  <w:divBdr>
                                    <w:top w:val="none" w:sz="0" w:space="0" w:color="auto"/>
                                    <w:left w:val="none" w:sz="0" w:space="0" w:color="auto"/>
                                    <w:bottom w:val="none" w:sz="0" w:space="0" w:color="auto"/>
                                    <w:right w:val="none" w:sz="0" w:space="0" w:color="auto"/>
                                  </w:divBdr>
                                  <w:divsChild>
                                    <w:div w:id="1808889431">
                                      <w:marLeft w:val="0"/>
                                      <w:marRight w:val="3600"/>
                                      <w:marTop w:val="0"/>
                                      <w:marBottom w:val="0"/>
                                      <w:divBdr>
                                        <w:top w:val="none" w:sz="0" w:space="0" w:color="auto"/>
                                        <w:left w:val="none" w:sz="0" w:space="0" w:color="auto"/>
                                        <w:bottom w:val="none" w:sz="0" w:space="0" w:color="auto"/>
                                        <w:right w:val="none" w:sz="0" w:space="0" w:color="auto"/>
                                      </w:divBdr>
                                      <w:divsChild>
                                        <w:div w:id="81805656">
                                          <w:marLeft w:val="0"/>
                                          <w:marRight w:val="0"/>
                                          <w:marTop w:val="0"/>
                                          <w:marBottom w:val="0"/>
                                          <w:divBdr>
                                            <w:top w:val="none" w:sz="0" w:space="0" w:color="auto"/>
                                            <w:left w:val="none" w:sz="0" w:space="0" w:color="auto"/>
                                            <w:bottom w:val="none" w:sz="0" w:space="0" w:color="auto"/>
                                            <w:right w:val="none" w:sz="0" w:space="0" w:color="auto"/>
                                          </w:divBdr>
                                          <w:divsChild>
                                            <w:div w:id="75707019">
                                              <w:marLeft w:val="0"/>
                                              <w:marRight w:val="0"/>
                                              <w:marTop w:val="0"/>
                                              <w:marBottom w:val="0"/>
                                              <w:divBdr>
                                                <w:top w:val="none" w:sz="0" w:space="0" w:color="auto"/>
                                                <w:left w:val="none" w:sz="0" w:space="0" w:color="auto"/>
                                                <w:bottom w:val="none" w:sz="0" w:space="0" w:color="auto"/>
                                                <w:right w:val="none" w:sz="0" w:space="0" w:color="auto"/>
                                              </w:divBdr>
                                              <w:divsChild>
                                                <w:div w:id="1846239819">
                                                  <w:marLeft w:val="0"/>
                                                  <w:marRight w:val="0"/>
                                                  <w:marTop w:val="0"/>
                                                  <w:marBottom w:val="0"/>
                                                  <w:divBdr>
                                                    <w:top w:val="none" w:sz="0" w:space="0" w:color="auto"/>
                                                    <w:left w:val="none" w:sz="0" w:space="0" w:color="auto"/>
                                                    <w:bottom w:val="none" w:sz="0" w:space="0" w:color="auto"/>
                                                    <w:right w:val="none" w:sz="0" w:space="0" w:color="auto"/>
                                                  </w:divBdr>
                                                  <w:divsChild>
                                                    <w:div w:id="1057626984">
                                                      <w:marLeft w:val="0"/>
                                                      <w:marRight w:val="0"/>
                                                      <w:marTop w:val="0"/>
                                                      <w:marBottom w:val="0"/>
                                                      <w:divBdr>
                                                        <w:top w:val="none" w:sz="0" w:space="0" w:color="auto"/>
                                                        <w:left w:val="none" w:sz="0" w:space="0" w:color="auto"/>
                                                        <w:bottom w:val="none" w:sz="0" w:space="0" w:color="auto"/>
                                                        <w:right w:val="none" w:sz="0" w:space="0" w:color="auto"/>
                                                      </w:divBdr>
                                                      <w:divsChild>
                                                        <w:div w:id="1046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327544">
      <w:bodyDiv w:val="1"/>
      <w:marLeft w:val="0"/>
      <w:marRight w:val="0"/>
      <w:marTop w:val="0"/>
      <w:marBottom w:val="0"/>
      <w:divBdr>
        <w:top w:val="none" w:sz="0" w:space="0" w:color="auto"/>
        <w:left w:val="none" w:sz="0" w:space="0" w:color="auto"/>
        <w:bottom w:val="none" w:sz="0" w:space="0" w:color="auto"/>
        <w:right w:val="none" w:sz="0" w:space="0" w:color="auto"/>
      </w:divBdr>
    </w:div>
    <w:div w:id="1780681678">
      <w:bodyDiv w:val="1"/>
      <w:marLeft w:val="0"/>
      <w:marRight w:val="0"/>
      <w:marTop w:val="0"/>
      <w:marBottom w:val="0"/>
      <w:divBdr>
        <w:top w:val="none" w:sz="0" w:space="0" w:color="auto"/>
        <w:left w:val="none" w:sz="0" w:space="0" w:color="auto"/>
        <w:bottom w:val="none" w:sz="0" w:space="0" w:color="auto"/>
        <w:right w:val="none" w:sz="0" w:space="0" w:color="auto"/>
      </w:divBdr>
    </w:div>
    <w:div w:id="1809401137">
      <w:bodyDiv w:val="1"/>
      <w:marLeft w:val="0"/>
      <w:marRight w:val="0"/>
      <w:marTop w:val="0"/>
      <w:marBottom w:val="0"/>
      <w:divBdr>
        <w:top w:val="none" w:sz="0" w:space="0" w:color="auto"/>
        <w:left w:val="none" w:sz="0" w:space="0" w:color="auto"/>
        <w:bottom w:val="none" w:sz="0" w:space="0" w:color="auto"/>
        <w:right w:val="none" w:sz="0" w:space="0" w:color="auto"/>
      </w:divBdr>
    </w:div>
    <w:div w:id="1816795561">
      <w:bodyDiv w:val="1"/>
      <w:marLeft w:val="0"/>
      <w:marRight w:val="0"/>
      <w:marTop w:val="0"/>
      <w:marBottom w:val="0"/>
      <w:divBdr>
        <w:top w:val="none" w:sz="0" w:space="0" w:color="auto"/>
        <w:left w:val="none" w:sz="0" w:space="0" w:color="auto"/>
        <w:bottom w:val="none" w:sz="0" w:space="0" w:color="auto"/>
        <w:right w:val="none" w:sz="0" w:space="0" w:color="auto"/>
      </w:divBdr>
    </w:div>
    <w:div w:id="19307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20B4-71A3-4A18-BA2B-30E2DA01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7679</Words>
  <Characters>46230</Characters>
  <Application>Microsoft Office Word</Application>
  <DocSecurity>0</DocSecurity>
  <Lines>811</Lines>
  <Paragraphs>165</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Manager/>
  <Company/>
  <LinksUpToDate>false</LinksUpToDate>
  <CharactersWithSpaces>53744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39</cp:revision>
  <cp:lastPrinted>2017-11-23T08:13:00Z</cp:lastPrinted>
  <dcterms:created xsi:type="dcterms:W3CDTF">2017-11-24T08:48:00Z</dcterms:created>
  <dcterms:modified xsi:type="dcterms:W3CDTF">2017-12-18T14:10:00Z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