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78655574"/>
      <w:bookmarkStart w:id="1" w:name="_Toc478656304"/>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90065C3-72ED-4723-8048-33FF418B639F" style="width:450.8pt;height:334.2pt">
            <v:imagedata r:id="rId9" o:title=""/>
          </v:shape>
        </w:pict>
      </w:r>
    </w:p>
    <w:bookmarkEnd w:id="2"/>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Style w:val="Style1"/>
      </w:pPr>
      <w:bookmarkStart w:id="3" w:name="_GoBack"/>
      <w:bookmarkEnd w:id="3"/>
      <w:r>
        <w:lastRenderedPageBreak/>
        <w:t>I.</w:t>
      </w:r>
      <w:r>
        <w:tab/>
        <w:t>ВЪВЕДЕНИЕ</w:t>
      </w:r>
      <w:bookmarkEnd w:id="0"/>
      <w:bookmarkEnd w:id="1"/>
    </w:p>
    <w:p>
      <w:pPr>
        <w:jc w:val="both"/>
        <w:rPr>
          <w:noProof/>
        </w:rPr>
      </w:pPr>
      <w:r>
        <w:rPr>
          <w:noProof/>
        </w:rPr>
        <w:t>Настоящият доклад се отнася до изпълнението на информационните мерки, свързани с общата селскостопанска политика (ОСП) за 2015 г. и 2016 г., съгласно член 45 от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w:t>
      </w:r>
      <w:r>
        <w:rPr>
          <w:rStyle w:val="FootnoteReference"/>
          <w:noProof/>
        </w:rPr>
        <w:footnoteReference w:id="1"/>
      </w:r>
      <w:r>
        <w:rPr>
          <w:noProof/>
        </w:rPr>
        <w:t xml:space="preserve"> (наричан по-нататък „Регламентът“).</w:t>
      </w:r>
    </w:p>
    <w:p>
      <w:pPr>
        <w:autoSpaceDE w:val="0"/>
        <w:autoSpaceDN w:val="0"/>
        <w:adjustRightInd w:val="0"/>
        <w:spacing w:before="120" w:after="120"/>
        <w:jc w:val="both"/>
        <w:rPr>
          <w:iCs/>
          <w:noProof/>
        </w:rPr>
      </w:pPr>
      <w:r>
        <w:rPr>
          <w:noProof/>
        </w:rPr>
        <w:t>В член 45, параграф 1, първа алинея от Регламента се посочва, че финансирането на информационни мерки „има за цел по-специално да помогне за разясняването, изпълнението и развитието на ОСП и да повиши обществената осведоменост относно съдържанието и целите ѝ, да възстанови потребителското доверие след кризисни ситуации посредством информационни кампании, да информира земеделските стопани и други участници, действащи в селските райони, и да поощрява европейския модел на селско стопанство, както и да помага на гражданите да го разберат“.</w:t>
      </w:r>
      <w:r>
        <w:rPr>
          <w:noProof/>
          <w:color w:val="000000"/>
        </w:rPr>
        <w:t xml:space="preserve"> </w:t>
      </w:r>
      <w:r>
        <w:rPr>
          <w:noProof/>
        </w:rPr>
        <w:t>В член 45, параграф 2, последна алинея се посочва, че тези мерки „също допринасят за осигуряване на насочената към предприятията комуникация относно политическите приоритети на Съюза, доколкото тези приоритети са свързани с общите цели на настоящия регламент“.</w:t>
      </w:r>
    </w:p>
    <w:p>
      <w:pPr>
        <w:spacing w:before="120" w:after="120"/>
        <w:jc w:val="both"/>
        <w:rPr>
          <w:noProof/>
        </w:rPr>
      </w:pPr>
      <w:r>
        <w:rPr>
          <w:noProof/>
        </w:rPr>
        <w:t>Финансираните информационни мерки попадат в две основни категории:</w:t>
      </w:r>
    </w:p>
    <w:p>
      <w:pPr>
        <w:pStyle w:val="ListParagraph"/>
        <w:numPr>
          <w:ilvl w:val="0"/>
          <w:numId w:val="1"/>
        </w:numPr>
        <w:jc w:val="both"/>
        <w:rPr>
          <w:noProof/>
        </w:rPr>
      </w:pPr>
      <w:r>
        <w:rPr>
          <w:noProof/>
        </w:rPr>
        <w:t>представените от организации на трети страни за съфинансиране по линия на Европейския фонд за гарантиране на земеделието — ЕФГЗ (безвъзмездни средства);</w:t>
      </w:r>
    </w:p>
    <w:p>
      <w:pPr>
        <w:pStyle w:val="ListParagraph"/>
        <w:numPr>
          <w:ilvl w:val="0"/>
          <w:numId w:val="1"/>
        </w:numPr>
        <w:jc w:val="both"/>
        <w:rPr>
          <w:noProof/>
        </w:rPr>
      </w:pPr>
      <w:r>
        <w:rPr>
          <w:noProof/>
        </w:rPr>
        <w:t>осъществените по инициатива на Комисията и финансирани на 100 % по линия на Европейския фонд за гарантиране на земеделието — ЕФГЗ (преки дейности/обществени поръчки).</w:t>
      </w:r>
    </w:p>
    <w:p>
      <w:pPr>
        <w:spacing w:before="120" w:after="120"/>
        <w:jc w:val="both"/>
        <w:rPr>
          <w:noProof/>
        </w:rPr>
      </w:pPr>
      <w:r>
        <w:rPr>
          <w:noProof/>
        </w:rPr>
        <w:t>В съответствие с член 45, параграф 5 от Регламента доклад за прилагането на информационните мерки съгласно Регламента се представя на Европейския парламент и на Съвета на всеки две години. Настоящият такъв доклад е седми по ред</w:t>
      </w:r>
      <w:r>
        <w:rPr>
          <w:rStyle w:val="FootnoteReference"/>
          <w:noProof/>
        </w:rPr>
        <w:footnoteReference w:id="2"/>
      </w:r>
      <w:r>
        <w:rPr>
          <w:noProof/>
        </w:rPr>
        <w:t>.</w:t>
      </w:r>
    </w:p>
    <w:p>
      <w:pPr>
        <w:spacing w:before="120" w:after="120"/>
        <w:jc w:val="both"/>
        <w:rPr>
          <w:noProof/>
        </w:rPr>
      </w:pPr>
      <w:r>
        <w:rPr>
          <w:noProof/>
        </w:rPr>
        <w:t>През периода 2015—2016 г. Комисията продължи да развива дейностите си по корпоративната комуникация въз основа на десетте си политически приоритета, като постави специален акцент върху инвестициите, икономическия растеж и заетостта. Бяха обединени ресурси от различни разходни програми, за да се финансират комуникационните приоритети въз основа на общите цели на Европейския съюз. През 2015 г. (както и през 2014 г.) службите на Комисията, включително ГД „Земеделие и развитие на селските райони“, допринесоха за изпълнението на този съвместен подход. От края на 2015 г. и през 2016 г. се засилиха усилията за осведомяване на заинтересованите страни и на по-широката аудитория относно конкретните ползи, които ЕС предоставя на гражданите. Акцентът беше върху повишаването на обществената осведоменост относно ЕС като цяло, неговата роля, ценности, политически приоритетите и работата му за справяне с настоящите предизвикателства.</w:t>
      </w:r>
    </w:p>
    <w:p>
      <w:pPr>
        <w:spacing w:before="120" w:after="120"/>
        <w:jc w:val="both"/>
        <w:rPr>
          <w:noProof/>
        </w:rPr>
      </w:pPr>
      <w:r>
        <w:rPr>
          <w:noProof/>
        </w:rPr>
        <w:lastRenderedPageBreak/>
        <w:t>Този корпоративен подход към комуникационната дейност е от основно значение за външната комуникационна стратегия на ГД „Земеделие и развитие на селските райони“ за периода 2016—2020 г. В рамките на тази стратегия специфичните информационни мерки за всяка година са определени в годишни планове за действие. При изготвянето на своите информационни мерки за периода 2015—2016 г. ГД „Земеделие и развитие на селските райони“ взе предвид също препоръките от външната оценка на информационните мерки относно ОСП от юни 2015 г</w:t>
      </w:r>
      <w:r>
        <w:rPr>
          <w:rStyle w:val="FootnoteReference"/>
          <w:noProof/>
        </w:rPr>
        <w:footnoteReference w:id="3"/>
      </w:r>
      <w:r>
        <w:rPr>
          <w:noProof/>
        </w:rPr>
        <w:t xml:space="preserve">. </w:t>
      </w:r>
    </w:p>
    <w:p>
      <w:pPr>
        <w:spacing w:before="120" w:after="120"/>
        <w:jc w:val="both"/>
        <w:rPr>
          <w:noProof/>
        </w:rPr>
      </w:pPr>
      <w:r>
        <w:rPr>
          <w:noProof/>
        </w:rPr>
        <w:t>Приложенията, посочени в текста, са включени в придружаващия работен документ на службите на Комисията.</w:t>
      </w:r>
    </w:p>
    <w:p>
      <w:pPr>
        <w:spacing w:before="120" w:after="120"/>
        <w:jc w:val="both"/>
        <w:rPr>
          <w:noProof/>
        </w:rPr>
      </w:pPr>
    </w:p>
    <w:p>
      <w:pPr>
        <w:pStyle w:val="Style1"/>
      </w:pPr>
      <w:bookmarkStart w:id="4" w:name="_Toc478655575"/>
      <w:bookmarkStart w:id="5" w:name="_Toc478656305"/>
      <w:r>
        <w:t>II.</w:t>
      </w:r>
      <w:r>
        <w:tab/>
        <w:t>БЮДЖЕТ</w:t>
      </w:r>
      <w:bookmarkEnd w:id="4"/>
      <w:bookmarkEnd w:id="5"/>
    </w:p>
    <w:p>
      <w:pPr>
        <w:spacing w:before="120" w:after="120"/>
        <w:jc w:val="both"/>
        <w:rPr>
          <w:noProof/>
          <w:color w:val="000000"/>
        </w:rPr>
      </w:pPr>
      <w:r>
        <w:rPr>
          <w:noProof/>
          <w:color w:val="000000"/>
        </w:rPr>
        <w:t>Бюджетът, предоставен за информационни мерки по бюджетен ред 05 08 06, първоначално предвиден в решението за финансиране, възлизаше на 8 милиона евро през 2015 г.; и 8 милиона евро през 2016 г. (включително делът от 4 милиона евро на ГД „Земеделие и развитие на селските райони“ за кампанията на Комисията относно корпоративната комуникация). Разпределението на средствата между обществените поръчки (дейности, предприети по инициатива на Комисията) и безвъзмездните средства (съфинансирани дейности) бе, както следва:</w:t>
      </w:r>
    </w:p>
    <w:p>
      <w:pPr>
        <w:spacing w:before="120" w:after="120"/>
        <w:jc w:val="both"/>
        <w:rPr>
          <w:noProof/>
          <w:color w:val="000000"/>
        </w:rPr>
      </w:pPr>
      <w:r>
        <w:rPr>
          <w:noProof/>
          <w:color w:val="000000"/>
        </w:rPr>
        <w:t>2015 г.: обществени поръчки (5 милиона евро) (62,5 %) — безвъзмездни средства (3 милиона евро) (37,5 %);</w:t>
      </w:r>
      <w:r>
        <w:rPr>
          <w:noProof/>
          <w:color w:val="000000"/>
        </w:rPr>
        <w:br/>
        <w:t xml:space="preserve">2016 г.: обществени поръчки (1,5 милиона евро) (18,75 %) — безвъзмездни средства (2,5 милиона евро) (31,25 %) — 4 милиона евро, съделегирани на ГД „Комуникации“ за кампанията за корпоративната комуникация (50 %). </w:t>
      </w:r>
    </w:p>
    <w:p>
      <w:pPr>
        <w:spacing w:before="120" w:after="120"/>
        <w:jc w:val="both"/>
        <w:rPr>
          <w:noProof/>
          <w:color w:val="000000"/>
        </w:rPr>
      </w:pPr>
      <w:r>
        <w:rPr>
          <w:noProof/>
          <w:color w:val="000000"/>
        </w:rPr>
        <w:t xml:space="preserve">Изпълнението на мерките за 2015 г. възлезе на 91,18 % по отношение на поетите задължения и 88,60 % по отношение на плащанията. </w:t>
      </w:r>
    </w:p>
    <w:p>
      <w:pPr>
        <w:spacing w:before="120" w:after="120"/>
        <w:jc w:val="both"/>
        <w:rPr>
          <w:noProof/>
          <w:color w:val="000000"/>
        </w:rPr>
      </w:pPr>
      <w:r>
        <w:rPr>
          <w:noProof/>
          <w:color w:val="000000"/>
        </w:rPr>
        <w:t>Изпълнението на мерките за 2016 г. възлезе на 98,29 % по отношение на поетите задължения;</w:t>
      </w:r>
      <w:r>
        <w:rPr>
          <w:noProof/>
        </w:rPr>
        <w:t xml:space="preserve"> числените данни за плащанията по мерките за 2016 г. още не бяха окончателни към момента на изготвянето на настоящия доклад, тъй като плащанията могат все още да се извършват до 31 декември 2017 г.</w:t>
      </w:r>
    </w:p>
    <w:p>
      <w:pPr>
        <w:spacing w:before="120" w:after="120"/>
        <w:jc w:val="both"/>
        <w:rPr>
          <w:noProof/>
          <w:color w:val="000000"/>
        </w:rPr>
      </w:pPr>
      <w:r>
        <w:rPr>
          <w:noProof/>
          <w:color w:val="000000"/>
        </w:rPr>
        <w:t>Ключовите резултати и напредъкът към постигането на целите на Комисията във връзка с комуникацията, и по-специално относно дейностите на корпоративната комуникация, се съдържат в годишния доклад за дейността на ГД „Комуникации“ за 2016 г.</w:t>
      </w:r>
      <w:r>
        <w:rPr>
          <w:rStyle w:val="FootnoteReference"/>
          <w:noProof/>
          <w:color w:val="000000"/>
        </w:rPr>
        <w:footnoteReference w:id="4"/>
      </w:r>
      <w:r>
        <w:rPr>
          <w:noProof/>
          <w:color w:val="000000"/>
        </w:rPr>
        <w:t>.</w:t>
      </w:r>
    </w:p>
    <w:p>
      <w:pPr>
        <w:spacing w:before="120" w:after="120"/>
        <w:jc w:val="both"/>
        <w:rPr>
          <w:noProof/>
          <w:color w:val="000000"/>
        </w:rPr>
      </w:pPr>
    </w:p>
    <w:p>
      <w:pPr>
        <w:pStyle w:val="Style1"/>
      </w:pPr>
      <w:bookmarkStart w:id="6" w:name="_Toc478655576"/>
      <w:bookmarkStart w:id="7" w:name="_Toc478656306"/>
      <w:r>
        <w:lastRenderedPageBreak/>
        <w:t>III.</w:t>
      </w:r>
      <w:r>
        <w:tab/>
        <w:t>РАЗПРЕДЕЛЕНИЕ НА ФИНАНСИРАНИТЕ ДЕЙНОСТИ</w:t>
      </w:r>
      <w:bookmarkEnd w:id="6"/>
      <w:bookmarkEnd w:id="7"/>
    </w:p>
    <w:p>
      <w:pPr>
        <w:jc w:val="both"/>
        <w:rPr>
          <w:noProof/>
        </w:rPr>
      </w:pPr>
      <w:r>
        <w:rPr>
          <w:noProof/>
        </w:rPr>
        <w:t>Реформата на общата селскостопанска политика, приета през 2013 г., влезе в сила на 1 януари 2015 г. През отчетния период беше поставен силен акцент върху информационните мерки за повишаване на осведомеността на обществото относно реформираната ОСП и приноса ѝ за посрещане на предизвикателствата, определени в стратегията „Европа 2020“ на Комисията, по отношение на по-конкурентоспособна и устойчива политика в областта на селското стопанство и развитието на селските райони. Бяха положени усилия за разпространение на информация относно приноса на политиката за заетостта в сектора на хранително-вкусовата промишленост, за постигане на ползи за околната среда, за повишаване на знанията и иновациите, както и за насърчаване на ефективното използване на ресурсите.</w:t>
      </w:r>
    </w:p>
    <w:p>
      <w:pPr>
        <w:jc w:val="both"/>
        <w:rPr>
          <w:noProof/>
        </w:rPr>
      </w:pPr>
    </w:p>
    <w:p>
      <w:pPr>
        <w:jc w:val="both"/>
        <w:rPr>
          <w:noProof/>
        </w:rPr>
      </w:pPr>
      <w:r>
        <w:rPr>
          <w:noProof/>
        </w:rPr>
        <w:t>Селскостопанският сектор на ЕС беше изправен пред значителни предизвикателства по време на периода, през който се провеждаха преговорите относно реформата. Нестабилността на цените на земеделските продукти и несигурността на пазара, съчетани с геополитическите промени, предизвикаха енергичен обществен дебат относно икономическите перспективи пред селското стопанство и селските райони. Предизвикателствата, като например ролята на сектора за справянето с изменението на климата, заедно със способността му да се възползва от новите възможности, например в областта на здравеопазването, търговията или биоикономиката, трябва да бъдат разгледани допълнително. Поради това преодоляването на бъдещите предизвикателства пред сектора също заемаше централно място при разработването на информационни мерки относно ОСП през този период.</w:t>
      </w:r>
    </w:p>
    <w:p>
      <w:pPr>
        <w:jc w:val="both"/>
        <w:rPr>
          <w:noProof/>
        </w:rPr>
      </w:pPr>
    </w:p>
    <w:p>
      <w:pPr>
        <w:autoSpaceDE w:val="0"/>
        <w:autoSpaceDN w:val="0"/>
        <w:adjustRightInd w:val="0"/>
        <w:jc w:val="both"/>
        <w:rPr>
          <w:rFonts w:eastAsiaTheme="minorHAnsi"/>
          <w:noProof/>
        </w:rPr>
      </w:pPr>
      <w:r>
        <w:rPr>
          <w:noProof/>
        </w:rPr>
        <w:t>Бяха задълбочени усилията за установяване на полезни взаимодействия с различни участници в информационния процес, засягащ селското стопанство и развитието на селските райони, включително със заинтересовани страни. ГД „Земеделие и развитие на селските райони“ продължи да задълбочава сътрудничеството си с други служби на Комисията, представителствата на Комисията в държавите — членки на ЕС, други институции на ЕС, както и с мрежи като информационните центрове „Europe Direct“ и Европейската мрежа за развитие на селските райони.</w:t>
      </w:r>
    </w:p>
    <w:p>
      <w:pPr>
        <w:autoSpaceDE w:val="0"/>
        <w:autoSpaceDN w:val="0"/>
        <w:adjustRightInd w:val="0"/>
        <w:jc w:val="both"/>
        <w:rPr>
          <w:rFonts w:eastAsiaTheme="minorHAnsi"/>
          <w:noProof/>
        </w:rPr>
      </w:pPr>
    </w:p>
    <w:p>
      <w:pPr>
        <w:autoSpaceDE w:val="0"/>
        <w:autoSpaceDN w:val="0"/>
        <w:adjustRightInd w:val="0"/>
        <w:jc w:val="both"/>
        <w:rPr>
          <w:rFonts w:eastAsiaTheme="minorHAnsi"/>
          <w:noProof/>
        </w:rPr>
      </w:pPr>
      <w:r>
        <w:rPr>
          <w:noProof/>
        </w:rPr>
        <w:t xml:space="preserve">По отношение на мониторинга и оценката на информационните мерки ГД „Земеделие и развитие на селските райони“ взе предвид констатациите от външната оценка, че следва да се подобрят процедурите и практиките, свързани с определянето на целите, както и мониторинга на резултатите и оценката на въздействието на осъществените комуникационни дейности. В тази връзка бяха преразгледани процедурите, свързани с планирането и оценката на информационните мерки, а през 2015 г. бяха актуализирани насоките за оценка на комуникационните дейности. </w:t>
      </w:r>
    </w:p>
    <w:p>
      <w:pPr>
        <w:autoSpaceDE w:val="0"/>
        <w:autoSpaceDN w:val="0"/>
        <w:adjustRightInd w:val="0"/>
        <w:jc w:val="both"/>
        <w:rPr>
          <w:b/>
          <w:noProof/>
        </w:rPr>
      </w:pPr>
    </w:p>
    <w:p>
      <w:pPr>
        <w:jc w:val="both"/>
        <w:rPr>
          <w:b/>
          <w:noProof/>
        </w:rPr>
      </w:pPr>
      <w:r>
        <w:rPr>
          <w:b/>
          <w:noProof/>
        </w:rPr>
        <w:t>1.</w:t>
      </w:r>
      <w:r>
        <w:rPr>
          <w:noProof/>
        </w:rPr>
        <w:tab/>
      </w:r>
      <w:r>
        <w:rPr>
          <w:b/>
          <w:noProof/>
        </w:rPr>
        <w:t>Безвъзмездни средства (съфинансирани информационни мерки, извършвани по инициатива на организации на трети страни)</w:t>
      </w:r>
    </w:p>
    <w:p>
      <w:pPr>
        <w:spacing w:before="120" w:after="120"/>
        <w:jc w:val="both"/>
        <w:rPr>
          <w:noProof/>
        </w:rPr>
      </w:pPr>
      <w:r>
        <w:rPr>
          <w:noProof/>
        </w:rPr>
        <w:t xml:space="preserve">В член 45 (информационни мерки) от Регламента се предвиждат два вида мерки, които да бъдат финансирани чрез безвъзмездни средства — годишни работни програми или други специфични мерки, представени от трети страни. Специфичните информационни мерки се отнасят за информационни мероприятия, които са ограничени по време и място на провеждане и за които се предвижда отделен бюджет. Годишните работни програми са съвкупност от две до пет специфични информационни мерки. За 2015 и 2016 г. бе решено (както и през предходните години) да се запазят само специфичните </w:t>
      </w:r>
      <w:r>
        <w:rPr>
          <w:noProof/>
        </w:rPr>
        <w:lastRenderedPageBreak/>
        <w:t>информационни мерки за съфинансиране с цел да се опрости схемата за безвъзмездни средства и да се гарантира съгласуваност между различните комуникационни дейности.</w:t>
      </w:r>
    </w:p>
    <w:p>
      <w:pPr>
        <w:pStyle w:val="Default"/>
        <w:jc w:val="both"/>
        <w:rPr>
          <w:rFonts w:ascii="Times New Roman" w:hAnsi="Times New Roman" w:cs="Times New Roman"/>
          <w:noProof/>
        </w:rPr>
      </w:pPr>
      <w:r>
        <w:rPr>
          <w:rFonts w:ascii="Times New Roman" w:hAnsi="Times New Roman"/>
          <w:noProof/>
        </w:rPr>
        <w:t>За 2015 г. поканата за представяне на предложения имаше за цел да предостави информация относно реформираната ОСП и нейните три основни елемента — безопасността на храните, устойчивото управление на природните ресурси и развитието на селските райони</w:t>
      </w:r>
      <w:r>
        <w:rPr>
          <w:rStyle w:val="FootnoteReference"/>
          <w:rFonts w:ascii="Times New Roman" w:hAnsi="Times New Roman"/>
          <w:noProof/>
        </w:rPr>
        <w:footnoteReference w:id="5"/>
      </w:r>
      <w:r>
        <w:rPr>
          <w:rFonts w:ascii="Times New Roman" w:hAnsi="Times New Roman"/>
          <w:noProof/>
        </w:rPr>
        <w:t>. За 2016 г. бяха насърчени информационните дейности относно бъдещите предизвикателства пред селското стопанство, включително устойчивото развитие и модернизацията на европейското селско стопанство и икономиката на селските райони като цяло</w:t>
      </w:r>
      <w:r>
        <w:rPr>
          <w:rStyle w:val="FootnoteReference"/>
          <w:rFonts w:ascii="Times New Roman" w:hAnsi="Times New Roman"/>
          <w:noProof/>
        </w:rPr>
        <w:footnoteReference w:id="6"/>
      </w:r>
      <w:r>
        <w:rPr>
          <w:rFonts w:ascii="Times New Roman" w:hAnsi="Times New Roman"/>
          <w:noProof/>
        </w:rPr>
        <w:t>. Политическите насоки на Комисията заемаха централно място в процеса на определяне на поканите за представяне на предложения за безвъзмездни средства:</w:t>
      </w:r>
    </w:p>
    <w:p>
      <w:pPr>
        <w:pStyle w:val="Default"/>
        <w:jc w:val="both"/>
        <w:rPr>
          <w:rFonts w:ascii="Times New Roman" w:hAnsi="Times New Roman" w:cs="Times New Roman"/>
          <w:noProof/>
        </w:rPr>
      </w:pPr>
      <w:hyperlink r:id="rId16">
        <w:r>
          <w:rPr>
            <w:rStyle w:val="Hyperlink"/>
            <w:rFonts w:ascii="Times New Roman" w:hAnsi="Times New Roman"/>
            <w:noProof/>
          </w:rPr>
          <w:t>https://ec.europa.eu/commission/sites/beta-political/files/juncker-political-guidelines-speech_bg_0.pdf</w:t>
        </w:r>
      </w:hyperlink>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И през двете години те бяха насочени към широката общественост (по-специално младите хора в градските райони), земеделските стопани и други лица, които осъществяват дейност в селските райони.</w:t>
      </w:r>
    </w:p>
    <w:p>
      <w:pPr>
        <w:pStyle w:val="Default"/>
        <w:jc w:val="both"/>
        <w:rPr>
          <w:rFonts w:ascii="Times New Roman" w:hAnsi="Times New Roman" w:cs="Times New Roman"/>
          <w:noProof/>
        </w:rPr>
      </w:pPr>
    </w:p>
    <w:p>
      <w:pPr>
        <w:autoSpaceDE w:val="0"/>
        <w:autoSpaceDN w:val="0"/>
        <w:adjustRightInd w:val="0"/>
        <w:jc w:val="both"/>
        <w:rPr>
          <w:noProof/>
        </w:rPr>
      </w:pPr>
      <w:r>
        <w:rPr>
          <w:noProof/>
        </w:rPr>
        <w:t>Максималният размер на финансирането за посочените мерки е 50 % от допустимите разходи. През 2015 г. петнадесет мерки бяха съфинансирани на 50 %. В рамките на поканата от 2016 г. бяха финансирани осемнадесет мерки, като общо съфинансираните дейности бяха 33 за периода 2015—2016 г. Безвъзмездните средства бяха отпуснати за мерки като информационни кампании със значителен транснационален и мултимедиен елемент и за мерки със силен акцент върху устойчивостта и изграждането на мрежи в ЕС. Други мерки за повишаване на осведомеността, провеждани на национално или местно равнище, често до голяма степен бяха определяни с оглед на нуждите на място за развитието на селското стопанство. При мерките, насочени към младите хора и широката общественост, бяха използвани най-новите онлайн инструменти и инструменти на социалните медии с оглед свързване с целевата аудитория.</w:t>
      </w:r>
    </w:p>
    <w:p>
      <w:pPr>
        <w:spacing w:before="120" w:after="120"/>
        <w:jc w:val="both"/>
        <w:rPr>
          <w:noProof/>
        </w:rPr>
      </w:pPr>
      <w:r>
        <w:rPr>
          <w:noProof/>
        </w:rPr>
        <w:t xml:space="preserve">Проектите бяха изпълнени от национални земеделски сдружения и сдружения за селските райони; неправителствени организации на национално и европейско равнище, които работят по въпросите на околната среда, развитието на селските райони и биологичното земеделие; медийни организации, които работят на регионално, национално, европейско и световно равнище; местни и национални публични органи. </w:t>
      </w:r>
    </w:p>
    <w:p>
      <w:pPr>
        <w:spacing w:before="120" w:after="120"/>
        <w:jc w:val="both"/>
        <w:rPr>
          <w:noProof/>
        </w:rPr>
      </w:pPr>
      <w:r>
        <w:rPr>
          <w:noProof/>
        </w:rPr>
        <w:t>В работния документ на службите на Комисията, придружаващ настоящия доклад, се съдържа по-подробна информация относно безвъзмездните средства, отпуснати през отчетния период, както и за броя на успешните заявления на всяка държава членка.</w:t>
      </w:r>
    </w:p>
    <w:p>
      <w:pPr>
        <w:autoSpaceDE w:val="0"/>
        <w:autoSpaceDN w:val="0"/>
        <w:adjustRightInd w:val="0"/>
        <w:jc w:val="both"/>
        <w:rPr>
          <w:rFonts w:eastAsiaTheme="minorHAnsi"/>
          <w:noProof/>
        </w:rPr>
      </w:pPr>
      <w:r>
        <w:rPr>
          <w:noProof/>
        </w:rPr>
        <w:t>Поканите за представяне на предложения насърчиха кандидатите за безвъзмездни средства да се стремят към по-добро определяне на целевите аудитории, по-добро разпространение на информация и анализ на въздействието на мерките по отношение на броя на пряко и косвено достигнатите лица.  Кандидатите трябваше да предадат подробни планове за предлаганите от тях мерки, включително изпълнение на проекта, разпространение на съобщения и измерване на ефективността. Важно е да се подчертае, че през отчетния период много от съфинансираните дейности надхвърлиха кръга на преките участници и достигнаха до по-широка аудитория благодарение на мултиплициращия ефект на специализираната преса и медиите, както и на по-активното използване на интернет и социалните медии като средство за разпространение на информация.</w:t>
      </w:r>
    </w:p>
    <w:p>
      <w:pPr>
        <w:autoSpaceDE w:val="0"/>
        <w:autoSpaceDN w:val="0"/>
        <w:adjustRightInd w:val="0"/>
        <w:jc w:val="both"/>
        <w:rPr>
          <w:rFonts w:eastAsiaTheme="minorHAnsi"/>
          <w:noProof/>
        </w:rPr>
      </w:pPr>
    </w:p>
    <w:p>
      <w:pPr>
        <w:autoSpaceDE w:val="0"/>
        <w:autoSpaceDN w:val="0"/>
        <w:adjustRightInd w:val="0"/>
        <w:jc w:val="both"/>
        <w:rPr>
          <w:noProof/>
        </w:rPr>
      </w:pPr>
      <w:r>
        <w:rPr>
          <w:noProof/>
        </w:rPr>
        <w:t>Заявленията бяха разглеждани в контекста на строги критерии за допустимост, изключване, подбор и възлагане, определени в поканите за представяне на предложения. Тези критерии бяха съобразени с Финансовия регламент и с целта на Комисията да се гарантира равнопоставено третиране и лоялна конкуренция между заявителите</w:t>
      </w:r>
      <w:r>
        <w:rPr>
          <w:rStyle w:val="FootnoteReference"/>
          <w:noProof/>
        </w:rPr>
        <w:footnoteReference w:id="7"/>
      </w:r>
      <w:r>
        <w:rPr>
          <w:noProof/>
        </w:rPr>
        <w:t>.</w:t>
      </w:r>
    </w:p>
    <w:p>
      <w:pPr>
        <w:autoSpaceDE w:val="0"/>
        <w:autoSpaceDN w:val="0"/>
        <w:adjustRightInd w:val="0"/>
        <w:jc w:val="both"/>
        <w:rPr>
          <w:noProof/>
        </w:rPr>
      </w:pPr>
    </w:p>
    <w:p>
      <w:pPr>
        <w:pStyle w:val="Style2"/>
      </w:pPr>
      <w:r>
        <w:t>2.</w:t>
      </w:r>
      <w:r>
        <w:tab/>
        <w:t>Преки дейности/обществени поръчки (информационни мерки, предприети по инициатива на Комисията)</w:t>
      </w:r>
    </w:p>
    <w:p>
      <w:pPr>
        <w:pStyle w:val="Style2"/>
      </w:pPr>
    </w:p>
    <w:p>
      <w:pPr>
        <w:jc w:val="both"/>
        <w:rPr>
          <w:noProof/>
        </w:rPr>
      </w:pPr>
      <w:r>
        <w:rPr>
          <w:noProof/>
        </w:rPr>
        <w:t>През 2015—2016 г., както и през предходните години, бяха осъществени множество информационни мерки по инициатива на Комисията.</w:t>
      </w:r>
    </w:p>
    <w:p>
      <w:pPr>
        <w:pStyle w:val="Style3"/>
      </w:pPr>
      <w:r>
        <w:t>а) Изграждане на връзки с медиите</w:t>
      </w:r>
    </w:p>
    <w:p>
      <w:pPr>
        <w:jc w:val="both"/>
        <w:rPr>
          <w:noProof/>
        </w:rPr>
      </w:pPr>
      <w:r>
        <w:rPr>
          <w:noProof/>
        </w:rPr>
        <w:t>Подпомагането на медиите с информация и брифинги относно промените в ОСП и развитието на селските райони продължи да бъде много важна част от комуникационните дейности с изключително висок мултиплициращ ефект. През този период значението на социалните медии и комуникацията чрез интернет продължи да нараства. Налице бяха постоянни усилия за разпространение към медиите на съответната лесна за ползване информация относно политиката. Текущото разработване и поддръжка на журналистическата платформа AG-Press.eu, организирането на посещения за проучване за членовете на AG-Press, както и събитията за изграждане на връзки с медиите продължиха да насърчават близки контакти и обмени както с журналисти със специализация по селскостопански въпроси, така и с неспециализирани медии. Инструментите на социалните медии на ГД „Земеделие и развитие на селските райони“ (Facebook, Twitter) бяха допълнително развити и през този период се наблюдаваше бързо растяща аудитория. Те продължават да бъдат важен инструмент както за привличането на специалисти към уебсайта и към наличната там изчерпателна информация и последни новини, така и за достигането до широката общественост. Като цяло дейността във връзка с изграждането на връзки с медиите допринесе за повишаване на осведомеността и разбирането на журналистите по въпроси, свързани със селското стопанство и развитието на селските райони в целия ЕС.</w:t>
      </w:r>
    </w:p>
    <w:p>
      <w:pPr>
        <w:jc w:val="both"/>
        <w:rPr>
          <w:noProof/>
        </w:rPr>
      </w:pPr>
    </w:p>
    <w:p>
      <w:pPr>
        <w:jc w:val="both"/>
        <w:rPr>
          <w:noProof/>
        </w:rPr>
      </w:pPr>
      <w:r>
        <w:rPr>
          <w:noProof/>
        </w:rPr>
        <w:t xml:space="preserve">Мрежата AG-Press, която понастоящем включва над 800 активни журналисти, е полезен инструмент за Комисията и функционира като мрежа за нейните членове.  </w:t>
      </w:r>
    </w:p>
    <w:p>
      <w:pPr>
        <w:jc w:val="both"/>
        <w:rPr>
          <w:noProof/>
        </w:rPr>
      </w:pPr>
      <w:r>
        <w:rPr>
          <w:noProof/>
        </w:rPr>
        <w:t>По време на девет посещения за проучване журналистически групи имаха възможността да станат свидетели на често много различни условия на отглеждане в други региони и държави членки. Обикновено този тип упражнения „учене на място“ включват, наред с другото, брифинги относно иновации в земеделските стопанства, приемственост между поколенията, алтернативни предприятия, мерки за смекчаване на последиците от изменението на климата. Обмените с производители и предприемачи в селските райони спомогнаха за повишаване на осведомеността относно предизвикателствата и възможностите, с които се сблъскват земеделските стопани в Европейския съюз. Ежегодното събитие на мрежата AG-Press, което се проведе през януари 2016 г. и включваше програма с участието на експерти на високо равнище, включително участието на комисаря по земеделието и развитието на селските райони, също улесни общото разбиране на ОСП.</w:t>
      </w:r>
    </w:p>
    <w:p>
      <w:pPr>
        <w:jc w:val="both"/>
        <w:rPr>
          <w:noProof/>
        </w:rPr>
      </w:pPr>
    </w:p>
    <w:p>
      <w:pPr>
        <w:pStyle w:val="Style3"/>
      </w:pPr>
      <w:r>
        <w:t>б) Изграждане на връзки със заинтересованите страни — конференции</w:t>
      </w:r>
    </w:p>
    <w:p>
      <w:pPr>
        <w:autoSpaceDE w:val="0"/>
        <w:autoSpaceDN w:val="0"/>
        <w:adjustRightInd w:val="0"/>
        <w:jc w:val="both"/>
        <w:rPr>
          <w:rFonts w:eastAsiaTheme="minorHAnsi"/>
          <w:noProof/>
        </w:rPr>
      </w:pPr>
      <w:r>
        <w:rPr>
          <w:noProof/>
        </w:rPr>
        <w:t>Заинтересованите страни — измежду които земеделски стопани, кооперации, хранително-вкусовата промишленост, природозащитници и лица, които осъществяват дейност в селските райони — представляват много важен разпространител на информация по въпросите, свързани със селското стопанство и развитието на селските райони.</w:t>
      </w:r>
    </w:p>
    <w:p>
      <w:pPr>
        <w:autoSpaceDE w:val="0"/>
        <w:autoSpaceDN w:val="0"/>
        <w:adjustRightInd w:val="0"/>
        <w:jc w:val="both"/>
        <w:rPr>
          <w:rFonts w:eastAsiaTheme="minorHAnsi"/>
          <w:noProof/>
        </w:rPr>
      </w:pPr>
    </w:p>
    <w:p>
      <w:pPr>
        <w:autoSpaceDE w:val="0"/>
        <w:autoSpaceDN w:val="0"/>
        <w:adjustRightInd w:val="0"/>
        <w:jc w:val="both"/>
        <w:rPr>
          <w:rFonts w:eastAsiaTheme="minorHAnsi"/>
          <w:bCs/>
          <w:iCs/>
          <w:noProof/>
        </w:rPr>
      </w:pPr>
      <w:r>
        <w:rPr>
          <w:noProof/>
        </w:rPr>
        <w:t xml:space="preserve">През отчетния период конференциите продължиха да бъдат важна платформа за диалог относно изпълнението и бъдещото развитие на политиката. В съответствие с приоритетите на политиката на Комисията и поставянето на акцент върху широката консултация с гражданското общество бяха налице постоянни усилия за сътрудничество по важните приоритети на политиката с други институции на ЕС, администрациите на държавите членки, социално-професионалния сектор на равнище ЕС и на национално равнище и с академичната и научноизследователската общност. </w:t>
      </w:r>
    </w:p>
    <w:p>
      <w:pPr>
        <w:autoSpaceDE w:val="0"/>
        <w:autoSpaceDN w:val="0"/>
        <w:adjustRightInd w:val="0"/>
        <w:jc w:val="both"/>
        <w:rPr>
          <w:rFonts w:eastAsiaTheme="minorHAnsi"/>
          <w:bCs/>
          <w:iCs/>
          <w:noProof/>
        </w:rPr>
      </w:pPr>
    </w:p>
    <w:p>
      <w:pPr>
        <w:autoSpaceDE w:val="0"/>
        <w:autoSpaceDN w:val="0"/>
        <w:adjustRightInd w:val="0"/>
        <w:jc w:val="both"/>
        <w:rPr>
          <w:noProof/>
        </w:rPr>
      </w:pPr>
      <w:r>
        <w:rPr>
          <w:noProof/>
        </w:rPr>
        <w:t>ГД „Земеделие и развитие на селските райони“ продължи започналата през 2014 г. практика да представя на по-широка аудитория съвместната си работа със Съвместния изследователски център относно средносрочните перспективи за селскостопанските пазари на ЕС. Обхватът на организираната от нея през 2015 г. „Конференция за перспективите пред селското стопанство на ЕС“ бе разширен, за да включва предизвикателствата пред селското стопанство в ЕС и в световен мащаб. Събитието включваше важно политическо измерение с участието на групи на високо равнище по въпроси като устойчивостта и хранителната верига. Изданието на конференцията относно перспективите от 2016 г. продължи този по-широк формат на високо равнище, като представители от институциите на ЕС и на правителства, международни организации и заинтересовани страни обмениха мнения и виждания относно въпроси, свързани с изменението на климата и наличието на ресурси. Висшето политическо представителство от ЕС и трети държави по време на конференциите за перспективите през този период спомогна за значителното медийно отразяване на проблемите.</w:t>
      </w:r>
    </w:p>
    <w:p>
      <w:pPr>
        <w:autoSpaceDE w:val="0"/>
        <w:autoSpaceDN w:val="0"/>
        <w:adjustRightInd w:val="0"/>
        <w:jc w:val="both"/>
        <w:rPr>
          <w:noProof/>
        </w:rPr>
      </w:pPr>
    </w:p>
    <w:p>
      <w:pPr>
        <w:jc w:val="both"/>
        <w:rPr>
          <w:rFonts w:ascii="ECSquareSansPro-Light" w:eastAsiaTheme="minorHAnsi" w:hAnsi="ECSquareSansPro-Light" w:cs="ECSquareSansPro-Light"/>
          <w:noProof/>
          <w:sz w:val="20"/>
          <w:szCs w:val="20"/>
        </w:rPr>
      </w:pPr>
      <w:r>
        <w:rPr>
          <w:noProof/>
        </w:rPr>
        <w:t xml:space="preserve">Конференцията „Корк 2.0 Развитие на селските райони“ беше друго важно събитие през периода. Около триста заинтересовани страни от ЕС, заедно с висши представители на международни организации, обсъдиха и оцениха отново състоянието на селските райони и свързаните въздействия върху политиката за следващите 20 години. По време на конференцията беше приета декларация, озаглавена „ По-добър живот в селските райони“, в която се очертава обща визия за бъдещето на селските райони, включително укрепване на веригите за създаване на стойност в селските райони, както и инвестиране в жизнеспособността и стабилността на селските райони чрез увеличаване на достъпа до преобразуващи иновации и технологии. Тази стратегическа визия за бъдещето на селските райони е важен принос към текущото обсъждане в Комисията относно опростяването и модернизацията на ОСП. </w:t>
      </w:r>
    </w:p>
    <w:p>
      <w:pPr>
        <w:jc w:val="both"/>
        <w:rPr>
          <w:rFonts w:eastAsiaTheme="minorHAnsi"/>
          <w:b/>
          <w:bCs/>
          <w:noProof/>
          <w:color w:val="000000"/>
          <w:sz w:val="23"/>
          <w:szCs w:val="23"/>
        </w:rPr>
      </w:pPr>
    </w:p>
    <w:p>
      <w:pPr>
        <w:autoSpaceDE w:val="0"/>
        <w:autoSpaceDN w:val="0"/>
        <w:adjustRightInd w:val="0"/>
        <w:jc w:val="both"/>
        <w:rPr>
          <w:rFonts w:eastAsiaTheme="minorHAnsi"/>
          <w:noProof/>
        </w:rPr>
      </w:pPr>
      <w:r>
        <w:rPr>
          <w:noProof/>
        </w:rPr>
        <w:t>Освен това в поредица от работни форуми експерти както от публичния, така и от частния сектор, участваха в процес по обсъждане, за да определят основните елементи, които следва да бъдат поставени в основата на здравословното развитие на овцевъдството в Съюза в бъдеще.</w:t>
      </w:r>
    </w:p>
    <w:p>
      <w:pPr>
        <w:autoSpaceDE w:val="0"/>
        <w:autoSpaceDN w:val="0"/>
        <w:adjustRightInd w:val="0"/>
        <w:jc w:val="both"/>
        <w:rPr>
          <w:rFonts w:eastAsiaTheme="minorHAnsi"/>
          <w:noProof/>
        </w:rPr>
      </w:pPr>
    </w:p>
    <w:p>
      <w:pPr>
        <w:autoSpaceDE w:val="0"/>
        <w:autoSpaceDN w:val="0"/>
        <w:adjustRightInd w:val="0"/>
        <w:jc w:val="both"/>
        <w:rPr>
          <w:rFonts w:eastAsiaTheme="minorHAnsi"/>
          <w:bCs/>
          <w:iCs/>
          <w:noProof/>
        </w:rPr>
      </w:pPr>
    </w:p>
    <w:p>
      <w:pPr>
        <w:pStyle w:val="Style3"/>
      </w:pPr>
      <w:r>
        <w:t>в) Дейности с широката общественост</w:t>
      </w:r>
    </w:p>
    <w:p>
      <w:pPr>
        <w:autoSpaceDE w:val="0"/>
        <w:autoSpaceDN w:val="0"/>
        <w:adjustRightInd w:val="0"/>
        <w:jc w:val="both"/>
        <w:rPr>
          <w:rFonts w:eastAsiaTheme="minorHAnsi"/>
          <w:b/>
          <w:bCs/>
          <w:i/>
          <w:iCs/>
          <w:noProof/>
        </w:rPr>
      </w:pPr>
      <w:r>
        <w:rPr>
          <w:rFonts w:eastAsiaTheme="minorHAnsi"/>
          <w:b/>
          <w:i/>
          <w:noProof/>
        </w:rPr>
        <w:t>Участие в изложения</w:t>
      </w:r>
    </w:p>
    <w:p>
      <w:pPr>
        <w:autoSpaceDE w:val="0"/>
        <w:autoSpaceDN w:val="0"/>
        <w:adjustRightInd w:val="0"/>
        <w:jc w:val="both"/>
        <w:rPr>
          <w:rFonts w:eastAsiaTheme="minorHAnsi"/>
          <w:bCs/>
          <w:iCs/>
          <w:noProof/>
        </w:rPr>
      </w:pPr>
    </w:p>
    <w:p>
      <w:pPr>
        <w:autoSpaceDE w:val="0"/>
        <w:autoSpaceDN w:val="0"/>
        <w:adjustRightInd w:val="0"/>
        <w:jc w:val="both"/>
        <w:rPr>
          <w:rFonts w:eastAsiaTheme="minorHAnsi"/>
          <w:noProof/>
        </w:rPr>
      </w:pPr>
      <w:r>
        <w:rPr>
          <w:noProof/>
        </w:rPr>
        <w:t>Що се отнася до участието в изложения, Комисията продължи да отделя централно място на акцента върху подобряването на осведомеността на широката общественост относно ОСП и ЕС като цяло. Дейностите запазиха своята насоченост към граждани и заинтересовани страни и продължиха да предоставят форум за диалог със земеделските стопани, гражданското общество и широката общественост относно свързаните с политиката въпроси. При информационните мерки често се подчертаваха успешните проекти за развитие на селските райони, както и организирането на информационни и образователни прояви, насочени към семейства и ученици. Беше засилено сътрудничеството с други генерални дирекции и представителства на Комисията в държавите членки.  Например ГД „Земеделие и развитие на селските райони“ организира общи щандове съвместно с Генерална дирекция „Здравеопазване и безопасност на храните“ и ГД „Морско дело и рибарство“ по темата „От фермата до трапезата“ на по-големите изложения като „Grüne Woche“ в Берлин или „Salon International de l'Agriculture“ в Париж.</w:t>
      </w:r>
    </w:p>
    <w:p>
      <w:pPr>
        <w:autoSpaceDE w:val="0"/>
        <w:autoSpaceDN w:val="0"/>
        <w:adjustRightInd w:val="0"/>
        <w:jc w:val="both"/>
        <w:rPr>
          <w:rFonts w:eastAsiaTheme="minorHAnsi"/>
          <w:noProof/>
        </w:rPr>
      </w:pPr>
    </w:p>
    <w:p>
      <w:pPr>
        <w:autoSpaceDE w:val="0"/>
        <w:autoSpaceDN w:val="0"/>
        <w:adjustRightInd w:val="0"/>
        <w:jc w:val="both"/>
        <w:rPr>
          <w:rFonts w:eastAsiaTheme="minorHAnsi"/>
          <w:b/>
          <w:bCs/>
          <w:i/>
          <w:iCs/>
          <w:noProof/>
        </w:rPr>
      </w:pPr>
      <w:r>
        <w:rPr>
          <w:rFonts w:eastAsiaTheme="minorHAnsi"/>
          <w:b/>
          <w:i/>
          <w:noProof/>
        </w:rPr>
        <w:t>Образователен пакет за ученици</w:t>
      </w:r>
    </w:p>
    <w:p>
      <w:pPr>
        <w:autoSpaceDE w:val="0"/>
        <w:autoSpaceDN w:val="0"/>
        <w:adjustRightInd w:val="0"/>
        <w:jc w:val="both"/>
        <w:rPr>
          <w:rFonts w:eastAsiaTheme="minorHAnsi"/>
          <w:bCs/>
          <w:iCs/>
          <w:noProof/>
        </w:rPr>
      </w:pPr>
    </w:p>
    <w:p>
      <w:pPr>
        <w:autoSpaceDE w:val="0"/>
        <w:autoSpaceDN w:val="0"/>
        <w:adjustRightInd w:val="0"/>
        <w:jc w:val="both"/>
        <w:rPr>
          <w:b/>
          <w:noProof/>
        </w:rPr>
      </w:pPr>
      <w:r>
        <w:rPr>
          <w:noProof/>
        </w:rPr>
        <w:t>Образователният пакет за ученици на възраст между 11 и 15 години („пакет за забавно образование“) беше разработен през отчетния период и разпространен в началото на 2017 г. чрез информационните центрове „Europe Direct“ и представителствата на Комисията в държавите членки с подкрепата на кампания в цифровите и социалните медии. Целта е в привлекателен педагогически формат да се обяснят ролята на земеделските и фермерските семейства, техният принос към обществото и предизвикателствата, пред които са изправени.</w:t>
      </w:r>
    </w:p>
    <w:p>
      <w:pPr>
        <w:autoSpaceDE w:val="0"/>
        <w:autoSpaceDN w:val="0"/>
        <w:adjustRightInd w:val="0"/>
        <w:jc w:val="both"/>
        <w:rPr>
          <w:rFonts w:eastAsiaTheme="minorHAnsi"/>
          <w:noProof/>
        </w:rPr>
      </w:pPr>
    </w:p>
    <w:p>
      <w:pPr>
        <w:pStyle w:val="Style3"/>
      </w:pPr>
      <w:r>
        <w:t>г) Хоризонтални дейности</w:t>
      </w:r>
    </w:p>
    <w:p>
      <w:pPr>
        <w:jc w:val="both"/>
        <w:rPr>
          <w:b/>
          <w:i/>
          <w:noProof/>
        </w:rPr>
      </w:pPr>
      <w:r>
        <w:rPr>
          <w:b/>
          <w:i/>
          <w:noProof/>
        </w:rPr>
        <w:t xml:space="preserve">Световно изложение в Милано, 2015 г. (Експо) </w:t>
      </w:r>
    </w:p>
    <w:p>
      <w:pPr>
        <w:jc w:val="both"/>
        <w:rPr>
          <w:rFonts w:eastAsiaTheme="minorHAnsi"/>
          <w:bCs/>
          <w:iCs/>
          <w:noProof/>
        </w:rPr>
      </w:pPr>
    </w:p>
    <w:p>
      <w:pPr>
        <w:jc w:val="both"/>
        <w:rPr>
          <w:iCs/>
          <w:noProof/>
        </w:rPr>
      </w:pPr>
      <w:r>
        <w:rPr>
          <w:noProof/>
        </w:rPr>
        <w:t>Световното изложение през 2015 г. се проведе в Милано от 1 май до 31 октомври 2015 г. под мотото „Изхранването на планетата:  енергия за живот“ То беше важен акцент в комуникационната дейност на ГД „Земеделие и развитие на селските райони“ през 2015 г. Това издание на световното изложение беше основна платформа за политически дискусии в световен мащаб и инициативи за политиката в областта на храните и устойчивостта. За ЕС като ключов участник в този глобален дебат това беше възможност да работи за ползотворно сътрудничество по тези въпроси с други заинтересовани страни както от публичния, така и от частния сектор. С оглед на участието на 147 държави и международни организации, над 21 милиона посетители и още стотици милиони, достигнати чрез интернет, това беше един много ценен форум за комуникация относно въпросите, свързани с европейските граждани и гражданите на трети държави. Участието на ЕС имаше три основни цели — да съобщи за ключовите постижения на ЕС в областта на храните и устойчивостта, да осигури платформа за бъдещо разработване на политики и да изпълнява образователна роля чрез повишаване на осведомеността по въпроси като борбата с разхищаването на хранителни продукти и насърчаването на избора на по-здравословни храни.</w:t>
      </w:r>
    </w:p>
    <w:p>
      <w:pPr>
        <w:jc w:val="both"/>
        <w:rPr>
          <w:iCs/>
          <w:noProof/>
        </w:rPr>
      </w:pPr>
    </w:p>
    <w:p>
      <w:pPr>
        <w:jc w:val="both"/>
        <w:rPr>
          <w:noProof/>
        </w:rPr>
      </w:pPr>
      <w:r>
        <w:rPr>
          <w:noProof/>
        </w:rPr>
        <w:t>ЕС беше представен на световното изложение от Комисията, Европейския парламент и други институции, като участваха и голям брой заинтересовани страни. В сътрудничество със Съвместния изследователски център, който координираше участието на ЕС, ГД „Земеделие и развитие на селските райони“  и други служби на Комисията, изиграха ключова роля за изтъкването на свързани с политиката въпроси, имащи отношение към бъдещето на селскостопанската политика и развитието на селските райони. Повече от двадесет събития — семинари, конференции, работни форуми, дейности за повишаване на осведомеността на посетителите — бяха организирани от ГД „Земеделие и развитие на селските райони“. Те обхванаха, наред с другото, сигурността на храните и устойчивостта на селското стопанство, научните изследвания и иновациите, безопасността и качеството на храните, развитието на селските райони и световните предизвикателства, свързани с храните. Те осигуриха значителен принос от заинтересованите страни в дискусиите относно бъдещите предизвикателства пред създателите на политики. ГД „Земеделие и развитие на селските райони“ участва и в други подобни събития по време на световното изложение, по-специално в работата на Научния комитет по определяне на препоръките относно бъдещето на научните изследвания и иновациите в сферата на продоволствената и хранителната сигурност в световен мащаб.</w:t>
      </w:r>
    </w:p>
    <w:p>
      <w:pPr>
        <w:jc w:val="both"/>
        <w:rPr>
          <w:noProof/>
        </w:rPr>
      </w:pPr>
    </w:p>
    <w:p>
      <w:pPr>
        <w:jc w:val="both"/>
        <w:rPr>
          <w:noProof/>
        </w:rPr>
      </w:pPr>
      <w:r>
        <w:rPr>
          <w:noProof/>
        </w:rPr>
        <w:t>Павилионът на ЕС привлече над 650 000 посетители. Оценката на посетителите за основния експонат на павилиона — анимационен разказ за хляба, науката и селското стопанство, беше висока — 90 %, а други 74 % от запитаните заявиха, че сега биха искали да научат повече за политиките на ЕС относно храните и устойчивостта.</w:t>
      </w:r>
    </w:p>
    <w:p>
      <w:pPr>
        <w:jc w:val="both"/>
        <w:rPr>
          <w:noProof/>
        </w:rPr>
      </w:pPr>
    </w:p>
    <w:p>
      <w:pPr>
        <w:jc w:val="both"/>
        <w:rPr>
          <w:noProof/>
        </w:rPr>
      </w:pPr>
      <w:r>
        <w:rPr>
          <w:noProof/>
        </w:rPr>
        <w:t>Комуникационните дейности бяха насочени към медиите, като дейността в социалните медии беше разгърната преди и по време на световното изложение. Важното политическо представителство на високо равнище по време на световното изложение (държавни глави и министри, членове на Европейския парламент, включително неговия председател, европейски комисари, както и председателя г-н Юнкер) породи медиен интерес към световното изложение и спомогна за засилване на разпространението на информация относно неговите основни дейности.</w:t>
      </w:r>
    </w:p>
    <w:p>
      <w:pPr>
        <w:jc w:val="both"/>
        <w:rPr>
          <w:noProof/>
        </w:rPr>
      </w:pPr>
    </w:p>
    <w:p>
      <w:pPr>
        <w:jc w:val="both"/>
        <w:rPr>
          <w:b/>
          <w:i/>
          <w:noProof/>
        </w:rPr>
      </w:pPr>
      <w:r>
        <w:rPr>
          <w:b/>
          <w:i/>
          <w:noProof/>
        </w:rPr>
        <w:t>Публикации</w:t>
      </w:r>
    </w:p>
    <w:p>
      <w:pPr>
        <w:jc w:val="both"/>
        <w:rPr>
          <w:b/>
          <w:i/>
          <w:noProof/>
        </w:rPr>
      </w:pPr>
    </w:p>
    <w:p>
      <w:pPr>
        <w:autoSpaceDE w:val="0"/>
        <w:autoSpaceDN w:val="0"/>
        <w:adjustRightInd w:val="0"/>
        <w:jc w:val="both"/>
        <w:rPr>
          <w:rFonts w:eastAsiaTheme="minorHAnsi"/>
          <w:noProof/>
        </w:rPr>
      </w:pPr>
      <w:r>
        <w:rPr>
          <w:noProof/>
        </w:rPr>
        <w:t>През отчетния период продължи да е налице силен акцент върху по-нататъшното развитие на публикациите в електронен формат. Както и през минали периоди, бяха разработени редица публикации в сътрудничество със Службата за публикации на ЕС, както и със Службата за инфраструктура и логистика в Брюксел (OIB). Някои бяха насочени към учениците и поставяха акцент върху схемите за училищата. Те се доказаха като много популярни в качеството си на промоционални материали по време на изложения и събития. Освен това публикациите бяха насочени към въпроси на политиката, като например приноса на храните и селското стопанство за икономическия растеж и заетостта, както и към предпазните пазарни инструменти за селскостопанските пазари.</w:t>
      </w:r>
    </w:p>
    <w:p>
      <w:pPr>
        <w:autoSpaceDE w:val="0"/>
        <w:autoSpaceDN w:val="0"/>
        <w:adjustRightInd w:val="0"/>
        <w:jc w:val="both"/>
        <w:rPr>
          <w:rFonts w:eastAsiaTheme="minorHAnsi"/>
          <w:noProof/>
        </w:rPr>
      </w:pPr>
      <w:r>
        <w:rPr>
          <w:noProof/>
        </w:rPr>
        <w:t>Публикуването на важния доклад на Експертната група за селскостопанските пазари (AMTF), „Подобряване на пазарните резултати: утвърждаване на позицията на земеделските стопани във веригата на доставките“ се състоя през ноември 2016 г.</w:t>
      </w:r>
    </w:p>
    <w:p>
      <w:pPr>
        <w:autoSpaceDE w:val="0"/>
        <w:autoSpaceDN w:val="0"/>
        <w:adjustRightInd w:val="0"/>
        <w:jc w:val="both"/>
        <w:rPr>
          <w:noProof/>
        </w:rPr>
      </w:pPr>
    </w:p>
    <w:p>
      <w:pPr>
        <w:jc w:val="both"/>
        <w:rPr>
          <w:b/>
          <w:i/>
          <w:noProof/>
        </w:rPr>
      </w:pPr>
      <w:r>
        <w:rPr>
          <w:b/>
          <w:i/>
          <w:noProof/>
        </w:rPr>
        <w:t>Евробарометър</w:t>
      </w:r>
    </w:p>
    <w:p>
      <w:pPr>
        <w:jc w:val="both"/>
        <w:rPr>
          <w:noProof/>
        </w:rPr>
      </w:pPr>
    </w:p>
    <w:p>
      <w:pPr>
        <w:autoSpaceDE w:val="0"/>
        <w:autoSpaceDN w:val="0"/>
        <w:adjustRightInd w:val="0"/>
        <w:jc w:val="both"/>
        <w:rPr>
          <w:rFonts w:eastAsiaTheme="minorHAnsi"/>
          <w:noProof/>
        </w:rPr>
      </w:pPr>
      <w:r>
        <w:rPr>
          <w:noProof/>
          <w:color w:val="000000"/>
        </w:rPr>
        <w:t xml:space="preserve">През последното тримесечие на 2015 г. бе проведено специално количествено проучване на Евробарометър относно селското стопанство и ОСП. </w:t>
      </w:r>
      <w:r>
        <w:rPr>
          <w:noProof/>
        </w:rPr>
        <w:t>Публикуваните през януари 2016 г. резултати показват, че селското стопанство и селските райони са важни за европейците и че мнозинството от хората подкрепя ръководните принципи и цели на ОСП. Същевременно то показа, че 30 % от европейците не са запознати със свързаната политика за селското стопанство — ОСП. По време на разработването на специфични информационни мерки ГД „Земеделие и развитие на селските райони“ прави редовен преглед на тези резултати.</w:t>
      </w:r>
    </w:p>
    <w:p>
      <w:pPr>
        <w:jc w:val="both"/>
        <w:rPr>
          <w:noProof/>
        </w:rPr>
      </w:pPr>
    </w:p>
    <w:p>
      <w:pPr>
        <w:jc w:val="both"/>
        <w:rPr>
          <w:b/>
          <w:i/>
          <w:noProof/>
        </w:rPr>
      </w:pPr>
      <w:r>
        <w:rPr>
          <w:b/>
          <w:i/>
          <w:noProof/>
        </w:rPr>
        <w:t>Уебсайт</w:t>
      </w:r>
    </w:p>
    <w:p>
      <w:pPr>
        <w:jc w:val="both"/>
        <w:rPr>
          <w:noProof/>
        </w:rPr>
      </w:pPr>
    </w:p>
    <w:p>
      <w:pPr>
        <w:autoSpaceDE w:val="0"/>
        <w:autoSpaceDN w:val="0"/>
        <w:adjustRightInd w:val="0"/>
        <w:jc w:val="both"/>
        <w:rPr>
          <w:rFonts w:eastAsiaTheme="minorHAnsi"/>
          <w:noProof/>
        </w:rPr>
      </w:pPr>
      <w:r>
        <w:rPr>
          <w:noProof/>
        </w:rPr>
        <w:t>През отчетния период продължи разработването на уебсайта „Земеделие и развитие на селските райони“, който се превърна във важен източник на специализирана информация относно селското стопанство и развитието на селските райони. Той също така изигра значителна роля в процеса на консултации със заинтересованите страни и широката общественост относно бъдещата посока на селскостопанската политика. През отчетния период бяха направени важни промени в онлайн присъствието на Комисията, за да може уебсайтът да бъде по-лесен за ползване от потребителите и подходящ за широката общественост. Продължаващият процес на цифрова трансформация включва адаптиране на уеб съдържанието и включването му в новата уеб архитектура на Комисията до края на 2017 г., за да се осигури информация, която по-добре да съответства на нуждите на крайните потребители. През периода 2015—2016 г. ГД „Земеделие и развитие на селските райони“ активно участва в този процес с увеличен уеб екип, който осигури успешното преминаване от „Documentum“ към платформата „Drupal“.</w:t>
      </w:r>
    </w:p>
    <w:p>
      <w:pPr>
        <w:jc w:val="both"/>
        <w:rPr>
          <w:noProof/>
        </w:rPr>
      </w:pPr>
    </w:p>
    <w:p>
      <w:pPr>
        <w:jc w:val="both"/>
        <w:rPr>
          <w:noProof/>
        </w:rPr>
      </w:pPr>
    </w:p>
    <w:p>
      <w:pPr>
        <w:jc w:val="both"/>
        <w:rPr>
          <w:b/>
          <w:i/>
          <w:noProof/>
        </w:rPr>
      </w:pPr>
      <w:r>
        <w:rPr>
          <w:b/>
          <w:i/>
          <w:noProof/>
        </w:rPr>
        <w:t>Посетители</w:t>
      </w:r>
    </w:p>
    <w:p>
      <w:pPr>
        <w:jc w:val="both"/>
        <w:rPr>
          <w:noProof/>
        </w:rPr>
      </w:pPr>
    </w:p>
    <w:p>
      <w:pPr>
        <w:jc w:val="both"/>
        <w:rPr>
          <w:noProof/>
        </w:rPr>
      </w:pPr>
      <w:r>
        <w:rPr>
          <w:noProof/>
        </w:rPr>
        <w:t>През отчетния период ГД „Земеделие и развитие на селските райони“ продължи да участва в информационни сесии с групи от посетители, състоящи се главно от земеделски стопани и техни представители, студенти, служители на регионални и местни органи, журналисти и членове на академичните среди. Целта на посещенията бе да се обясни и задълбочи разбирането за ОСП, включително развитието на селските райони, както и да се повиши осведомеността относно по-обширните предизвикателства и възможности, които стоят пред селското стопанство в бъдеще. Тази комуникационна дейност беше осъществена в тясно сътрудничество с центъра за посетители на ГД „Комуникации“.</w:t>
      </w:r>
    </w:p>
    <w:p>
      <w:pPr>
        <w:pStyle w:val="Style1"/>
      </w:pPr>
      <w:bookmarkStart w:id="8" w:name="_Toc478655577"/>
      <w:bookmarkStart w:id="9" w:name="_Toc478656307"/>
      <w:r>
        <w:t>IV.</w:t>
      </w:r>
      <w:r>
        <w:tab/>
        <w:t>СЪОТНОШЕНИЕ НА РАЗХОДИТЕ (ПОЕТИ ЗАДЪЛЖЕНИЯ И ПЛАЩАНИЯ) МЕЖДУ СЪФИНАНСИРАНИТЕ ДЕЙНОСТИ ПО ИНИЦИАТИВА НА ТРЕТИ СТРАНИ (БЕЗВЪЗМЕЗДНИ СРЕДСТВА) И ИНФОРМАЦИОННИТЕ ДЕЙНОСТИ ПО ИНИЦИАТИВА НА КОМИСИЯТА (ОБЩЕСТВЕНИ ПОРЪЧКИ)</w:t>
      </w:r>
      <w:r>
        <w:rPr>
          <w:rStyle w:val="FootnoteReference"/>
          <w:b w:val="0"/>
          <w:u w:val="single"/>
        </w:rPr>
        <w:footnoteReference w:id="8"/>
      </w:r>
      <w:r>
        <w:t xml:space="preserve"> </w:t>
      </w:r>
      <w:bookmarkEnd w:id="8"/>
      <w:bookmarkEnd w:id="9"/>
    </w:p>
    <w:tbl>
      <w:tblPr>
        <w:tblW w:w="9855" w:type="dxa"/>
        <w:tblInd w:w="-783" w:type="dxa"/>
        <w:tblLayout w:type="fixed"/>
        <w:tblLook w:val="04A0" w:firstRow="1" w:lastRow="0" w:firstColumn="1" w:lastColumn="0" w:noHBand="0" w:noVBand="1"/>
      </w:tblPr>
      <w:tblGrid>
        <w:gridCol w:w="1617"/>
        <w:gridCol w:w="61"/>
        <w:gridCol w:w="809"/>
        <w:gridCol w:w="559"/>
        <w:gridCol w:w="1368"/>
        <w:gridCol w:w="1363"/>
        <w:gridCol w:w="1373"/>
        <w:gridCol w:w="1368"/>
        <w:gridCol w:w="1337"/>
      </w:tblGrid>
      <w:tr>
        <w:trPr>
          <w:gridAfter w:val="6"/>
          <w:wAfter w:w="7368" w:type="dxa"/>
          <w:trHeight w:val="20"/>
        </w:trPr>
        <w:tc>
          <w:tcPr>
            <w:tcW w:w="1617" w:type="dxa"/>
            <w:noWrap/>
            <w:vAlign w:val="bottom"/>
          </w:tcPr>
          <w:p>
            <w:pPr>
              <w:spacing w:before="240" w:line="276" w:lineRule="auto"/>
              <w:jc w:val="both"/>
              <w:rPr>
                <w:noProof/>
              </w:rPr>
            </w:pPr>
          </w:p>
        </w:tc>
        <w:tc>
          <w:tcPr>
            <w:tcW w:w="870" w:type="dxa"/>
            <w:gridSpan w:val="2"/>
            <w:noWrap/>
            <w:vAlign w:val="bottom"/>
          </w:tcPr>
          <w:p>
            <w:pPr>
              <w:spacing w:before="240" w:line="276" w:lineRule="auto"/>
              <w:jc w:val="both"/>
              <w:rPr>
                <w:noProof/>
              </w:rPr>
            </w:pPr>
          </w:p>
        </w:tc>
      </w:tr>
      <w:tr>
        <w:trPr>
          <w:trHeight w:val="20"/>
        </w:trPr>
        <w:tc>
          <w:tcPr>
            <w:tcW w:w="1678" w:type="dxa"/>
            <w:gridSpan w:val="2"/>
            <w:noWrap/>
            <w:vAlign w:val="bottom"/>
          </w:tcPr>
          <w:p>
            <w:pPr>
              <w:spacing w:before="90" w:after="78" w:line="276" w:lineRule="auto"/>
              <w:jc w:val="both"/>
              <w:rPr>
                <w:noProof/>
                <w:sz w:val="22"/>
                <w:szCs w:val="22"/>
              </w:rPr>
            </w:pPr>
          </w:p>
        </w:tc>
        <w:tc>
          <w:tcPr>
            <w:tcW w:w="4099" w:type="dxa"/>
            <w:gridSpan w:val="4"/>
            <w:tcBorders>
              <w:top w:val="single" w:sz="8" w:space="0" w:color="auto"/>
              <w:left w:val="single" w:sz="4" w:space="0" w:color="auto"/>
              <w:bottom w:val="single" w:sz="4" w:space="0" w:color="auto"/>
              <w:right w:val="single" w:sz="4" w:space="0" w:color="auto"/>
            </w:tcBorders>
            <w:noWrap/>
            <w:vAlign w:val="center"/>
            <w:hideMark/>
          </w:tcPr>
          <w:p>
            <w:pPr>
              <w:spacing w:line="276" w:lineRule="auto"/>
              <w:jc w:val="both"/>
              <w:rPr>
                <w:b/>
                <w:noProof/>
              </w:rPr>
            </w:pPr>
            <w:r>
              <w:rPr>
                <w:b/>
                <w:noProof/>
              </w:rPr>
              <w:t>2015 г.</w:t>
            </w:r>
          </w:p>
        </w:tc>
        <w:tc>
          <w:tcPr>
            <w:tcW w:w="4078" w:type="dxa"/>
            <w:gridSpan w:val="3"/>
            <w:tcBorders>
              <w:top w:val="single" w:sz="8" w:space="0" w:color="auto"/>
              <w:left w:val="single" w:sz="4" w:space="0" w:color="auto"/>
              <w:bottom w:val="single" w:sz="4" w:space="0" w:color="auto"/>
              <w:right w:val="single" w:sz="4" w:space="0" w:color="auto"/>
            </w:tcBorders>
            <w:vAlign w:val="center"/>
            <w:hideMark/>
          </w:tcPr>
          <w:p>
            <w:pPr>
              <w:spacing w:line="276" w:lineRule="auto"/>
              <w:jc w:val="both"/>
              <w:rPr>
                <w:b/>
                <w:bCs/>
                <w:noProof/>
                <w:sz w:val="22"/>
                <w:szCs w:val="22"/>
              </w:rPr>
            </w:pPr>
            <w:r>
              <w:rPr>
                <w:b/>
                <w:noProof/>
              </w:rPr>
              <w:t>2016 г.</w:t>
            </w:r>
          </w:p>
        </w:tc>
      </w:tr>
      <w:tr>
        <w:trPr>
          <w:trHeight w:val="567"/>
        </w:trPr>
        <w:tc>
          <w:tcPr>
            <w:tcW w:w="1678" w:type="dxa"/>
            <w:gridSpan w:val="2"/>
            <w:tcBorders>
              <w:top w:val="nil"/>
              <w:left w:val="nil"/>
              <w:bottom w:val="nil"/>
              <w:right w:val="single" w:sz="4" w:space="0" w:color="auto"/>
            </w:tcBorders>
            <w:noWrap/>
            <w:vAlign w:val="bottom"/>
          </w:tcPr>
          <w:p>
            <w:pPr>
              <w:spacing w:before="90" w:after="78" w:line="276" w:lineRule="auto"/>
              <w:jc w:val="both"/>
              <w:rPr>
                <w:noProof/>
                <w:sz w:val="22"/>
                <w:szCs w:val="22"/>
              </w:rPr>
            </w:pPr>
          </w:p>
        </w:tc>
        <w:tc>
          <w:tcPr>
            <w:tcW w:w="1368" w:type="dxa"/>
            <w:gridSpan w:val="2"/>
            <w:tcBorders>
              <w:top w:val="single" w:sz="4" w:space="0" w:color="auto"/>
              <w:left w:val="single" w:sz="4" w:space="0" w:color="auto"/>
              <w:bottom w:val="single" w:sz="4" w:space="0" w:color="auto"/>
              <w:right w:val="nil"/>
            </w:tcBorders>
            <w:noWrap/>
            <w:vAlign w:val="center"/>
            <w:hideMark/>
          </w:tcPr>
          <w:p>
            <w:pPr>
              <w:spacing w:before="90" w:after="78" w:line="276" w:lineRule="auto"/>
              <w:jc w:val="both"/>
              <w:rPr>
                <w:noProof/>
                <w:sz w:val="22"/>
                <w:szCs w:val="22"/>
              </w:rPr>
            </w:pPr>
            <w:r>
              <w:rPr>
                <w:noProof/>
                <w:sz w:val="22"/>
              </w:rPr>
              <w:t>Безвъзмездни средства</w:t>
            </w:r>
          </w:p>
        </w:tc>
        <w:tc>
          <w:tcPr>
            <w:tcW w:w="1368" w:type="dxa"/>
            <w:tcBorders>
              <w:top w:val="nil"/>
              <w:left w:val="single" w:sz="4" w:space="0" w:color="auto"/>
              <w:bottom w:val="nil"/>
              <w:right w:val="single" w:sz="4" w:space="0" w:color="auto"/>
            </w:tcBorders>
            <w:noWrap/>
            <w:vAlign w:val="center"/>
            <w:hideMark/>
          </w:tcPr>
          <w:p>
            <w:pPr>
              <w:spacing w:before="90" w:after="78" w:line="276" w:lineRule="auto"/>
              <w:jc w:val="both"/>
              <w:rPr>
                <w:noProof/>
                <w:sz w:val="22"/>
                <w:szCs w:val="22"/>
              </w:rPr>
            </w:pPr>
            <w:r>
              <w:rPr>
                <w:noProof/>
                <w:sz w:val="22"/>
              </w:rPr>
              <w:t>Обществени поръчки</w:t>
            </w:r>
          </w:p>
        </w:tc>
        <w:tc>
          <w:tcPr>
            <w:tcW w:w="1363" w:type="dxa"/>
            <w:noWrap/>
            <w:vAlign w:val="center"/>
            <w:hideMark/>
          </w:tcPr>
          <w:p>
            <w:pPr>
              <w:spacing w:before="90" w:after="78" w:line="276" w:lineRule="auto"/>
              <w:jc w:val="both"/>
              <w:rPr>
                <w:noProof/>
                <w:sz w:val="22"/>
                <w:szCs w:val="22"/>
              </w:rPr>
            </w:pPr>
            <w:r>
              <w:rPr>
                <w:noProof/>
                <w:sz w:val="22"/>
              </w:rPr>
              <w:t>Общо</w:t>
            </w:r>
          </w:p>
        </w:tc>
        <w:tc>
          <w:tcPr>
            <w:tcW w:w="1373" w:type="dxa"/>
            <w:tcBorders>
              <w:top w:val="nil"/>
              <w:left w:val="single" w:sz="4" w:space="0" w:color="auto"/>
              <w:bottom w:val="nil"/>
              <w:right w:val="single" w:sz="4" w:space="0" w:color="auto"/>
            </w:tcBorders>
            <w:noWrap/>
            <w:vAlign w:val="center"/>
            <w:hideMark/>
          </w:tcPr>
          <w:p>
            <w:pPr>
              <w:spacing w:before="90" w:after="78" w:line="276" w:lineRule="auto"/>
              <w:jc w:val="both"/>
              <w:rPr>
                <w:noProof/>
                <w:sz w:val="22"/>
                <w:szCs w:val="22"/>
              </w:rPr>
            </w:pPr>
            <w:r>
              <w:rPr>
                <w:noProof/>
                <w:sz w:val="22"/>
              </w:rPr>
              <w:t>Безвъзмездни средства</w:t>
            </w:r>
          </w:p>
        </w:tc>
        <w:tc>
          <w:tcPr>
            <w:tcW w:w="1368" w:type="dxa"/>
            <w:noWrap/>
            <w:vAlign w:val="center"/>
            <w:hideMark/>
          </w:tcPr>
          <w:p>
            <w:pPr>
              <w:spacing w:before="90" w:after="78" w:line="276" w:lineRule="auto"/>
              <w:jc w:val="both"/>
              <w:rPr>
                <w:noProof/>
                <w:sz w:val="22"/>
                <w:szCs w:val="22"/>
              </w:rPr>
            </w:pPr>
            <w:r>
              <w:rPr>
                <w:noProof/>
                <w:sz w:val="22"/>
              </w:rPr>
              <w:t>Обществени поръчки</w:t>
            </w:r>
          </w:p>
        </w:tc>
        <w:tc>
          <w:tcPr>
            <w:tcW w:w="1337" w:type="dxa"/>
            <w:tcBorders>
              <w:top w:val="single" w:sz="4" w:space="0" w:color="auto"/>
              <w:left w:val="single" w:sz="4" w:space="0" w:color="auto"/>
              <w:bottom w:val="single" w:sz="4" w:space="0" w:color="auto"/>
              <w:right w:val="single" w:sz="4" w:space="0" w:color="auto"/>
            </w:tcBorders>
            <w:noWrap/>
            <w:vAlign w:val="center"/>
            <w:hideMark/>
          </w:tcPr>
          <w:p>
            <w:pPr>
              <w:spacing w:before="90" w:after="78" w:line="276" w:lineRule="auto"/>
              <w:jc w:val="both"/>
              <w:rPr>
                <w:noProof/>
                <w:sz w:val="22"/>
                <w:szCs w:val="22"/>
              </w:rPr>
            </w:pPr>
            <w:r>
              <w:rPr>
                <w:noProof/>
                <w:sz w:val="22"/>
              </w:rPr>
              <w:t>Общо</w:t>
            </w:r>
          </w:p>
        </w:tc>
      </w:tr>
      <w:tr>
        <w:trPr>
          <w:trHeight w:val="454"/>
        </w:trPr>
        <w:tc>
          <w:tcPr>
            <w:tcW w:w="1678" w:type="dxa"/>
            <w:gridSpan w:val="2"/>
            <w:tcBorders>
              <w:top w:val="single" w:sz="4" w:space="0" w:color="auto"/>
              <w:left w:val="single" w:sz="4" w:space="0" w:color="auto"/>
              <w:bottom w:val="single" w:sz="4" w:space="0" w:color="auto"/>
              <w:right w:val="single" w:sz="4" w:space="0" w:color="auto"/>
            </w:tcBorders>
            <w:noWrap/>
            <w:vAlign w:val="bottom"/>
            <w:hideMark/>
          </w:tcPr>
          <w:p>
            <w:pPr>
              <w:spacing w:before="40" w:after="40" w:line="276" w:lineRule="auto"/>
              <w:jc w:val="both"/>
              <w:rPr>
                <w:b/>
                <w:bCs/>
                <w:noProof/>
                <w:sz w:val="22"/>
                <w:szCs w:val="22"/>
              </w:rPr>
            </w:pPr>
            <w:r>
              <w:rPr>
                <w:b/>
                <w:noProof/>
                <w:sz w:val="22"/>
              </w:rPr>
              <w:t xml:space="preserve">Първоначален предвиден бюджет </w:t>
            </w:r>
          </w:p>
        </w:tc>
        <w:tc>
          <w:tcPr>
            <w:tcW w:w="1368" w:type="dxa"/>
            <w:gridSpan w:val="2"/>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noProof/>
                <w:sz w:val="22"/>
                <w:szCs w:val="22"/>
              </w:rPr>
            </w:pPr>
            <w:r>
              <w:rPr>
                <w:noProof/>
                <w:sz w:val="22"/>
              </w:rPr>
              <w:t>3 000 000</w:t>
            </w:r>
          </w:p>
        </w:tc>
        <w:tc>
          <w:tcPr>
            <w:tcW w:w="1368" w:type="dxa"/>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noProof/>
                <w:sz w:val="22"/>
                <w:szCs w:val="22"/>
              </w:rPr>
            </w:pPr>
            <w:r>
              <w:rPr>
                <w:noProof/>
                <w:sz w:val="22"/>
              </w:rPr>
              <w:t>5 000 000</w:t>
            </w:r>
          </w:p>
        </w:tc>
        <w:tc>
          <w:tcPr>
            <w:tcW w:w="1363" w:type="dxa"/>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noProof/>
                <w:sz w:val="22"/>
                <w:szCs w:val="22"/>
              </w:rPr>
            </w:pPr>
            <w:r>
              <w:rPr>
                <w:noProof/>
                <w:sz w:val="22"/>
              </w:rPr>
              <w:t xml:space="preserve">8 000 000 </w:t>
            </w:r>
          </w:p>
        </w:tc>
        <w:tc>
          <w:tcPr>
            <w:tcW w:w="1373" w:type="dxa"/>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noProof/>
                <w:sz w:val="22"/>
                <w:szCs w:val="22"/>
              </w:rPr>
            </w:pPr>
            <w:r>
              <w:rPr>
                <w:noProof/>
                <w:sz w:val="22"/>
              </w:rPr>
              <w:t>2 500 000</w:t>
            </w:r>
          </w:p>
        </w:tc>
        <w:tc>
          <w:tcPr>
            <w:tcW w:w="1368" w:type="dxa"/>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noProof/>
                <w:sz w:val="22"/>
              </w:rPr>
            </w:pPr>
            <w:r>
              <w:rPr>
                <w:noProof/>
                <w:sz w:val="22"/>
              </w:rPr>
              <w:t>1 580 900</w:t>
            </w:r>
          </w:p>
          <w:p>
            <w:pPr>
              <w:spacing w:before="64" w:line="276" w:lineRule="auto"/>
              <w:jc w:val="both"/>
              <w:rPr>
                <w:noProof/>
                <w:sz w:val="22"/>
                <w:szCs w:val="22"/>
              </w:rPr>
            </w:pPr>
            <w:r>
              <w:rPr>
                <w:noProof/>
                <w:sz w:val="22"/>
              </w:rPr>
              <w:t>(**)</w:t>
            </w:r>
          </w:p>
          <w:p>
            <w:pPr>
              <w:spacing w:before="64" w:line="276" w:lineRule="auto"/>
              <w:jc w:val="both"/>
              <w:rPr>
                <w:noProof/>
                <w:sz w:val="22"/>
                <w:szCs w:val="22"/>
              </w:rPr>
            </w:pPr>
          </w:p>
        </w:tc>
        <w:tc>
          <w:tcPr>
            <w:tcW w:w="1337" w:type="dxa"/>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noProof/>
                <w:sz w:val="22"/>
                <w:szCs w:val="22"/>
              </w:rPr>
            </w:pPr>
            <w:r>
              <w:rPr>
                <w:noProof/>
                <w:sz w:val="22"/>
              </w:rPr>
              <w:t>4 000 000,</w:t>
            </w:r>
          </w:p>
        </w:tc>
      </w:tr>
      <w:tr>
        <w:trPr>
          <w:trHeight w:val="454"/>
        </w:trPr>
        <w:tc>
          <w:tcPr>
            <w:tcW w:w="1678" w:type="dxa"/>
            <w:gridSpan w:val="2"/>
            <w:tcBorders>
              <w:top w:val="single" w:sz="4" w:space="0" w:color="auto"/>
              <w:left w:val="single" w:sz="4" w:space="0" w:color="auto"/>
              <w:bottom w:val="single" w:sz="4" w:space="0" w:color="auto"/>
              <w:right w:val="single" w:sz="4" w:space="0" w:color="auto"/>
            </w:tcBorders>
            <w:noWrap/>
            <w:vAlign w:val="bottom"/>
            <w:hideMark/>
          </w:tcPr>
          <w:p>
            <w:pPr>
              <w:spacing w:before="40" w:after="40" w:line="276" w:lineRule="auto"/>
              <w:jc w:val="both"/>
              <w:rPr>
                <w:b/>
                <w:bCs/>
                <w:noProof/>
                <w:sz w:val="22"/>
                <w:szCs w:val="22"/>
              </w:rPr>
            </w:pPr>
            <w:r>
              <w:rPr>
                <w:b/>
                <w:noProof/>
                <w:sz w:val="22"/>
              </w:rPr>
              <w:t>Поети задължения в EUR</w:t>
            </w:r>
          </w:p>
        </w:tc>
        <w:tc>
          <w:tcPr>
            <w:tcW w:w="1368" w:type="dxa"/>
            <w:gridSpan w:val="2"/>
            <w:tcBorders>
              <w:top w:val="single" w:sz="4" w:space="0" w:color="auto"/>
              <w:left w:val="single" w:sz="4" w:space="0" w:color="auto"/>
              <w:bottom w:val="single" w:sz="4" w:space="0" w:color="auto"/>
              <w:right w:val="single" w:sz="4" w:space="0" w:color="auto"/>
            </w:tcBorders>
            <w:noWrap/>
            <w:vAlign w:val="bottom"/>
          </w:tcPr>
          <w:p>
            <w:pPr>
              <w:spacing w:before="64" w:line="276" w:lineRule="auto"/>
              <w:jc w:val="both"/>
              <w:rPr>
                <w:noProof/>
                <w:sz w:val="22"/>
                <w:szCs w:val="22"/>
              </w:rPr>
            </w:pPr>
            <w:r>
              <w:rPr>
                <w:noProof/>
                <w:sz w:val="22"/>
              </w:rPr>
              <w:t>2 759 449</w:t>
            </w:r>
          </w:p>
          <w:p>
            <w:pPr>
              <w:spacing w:before="64" w:line="276" w:lineRule="auto"/>
              <w:jc w:val="both"/>
              <w:rPr>
                <w:noProof/>
                <w:sz w:val="22"/>
                <w:szCs w:val="22"/>
              </w:rPr>
            </w:pPr>
          </w:p>
        </w:tc>
        <w:tc>
          <w:tcPr>
            <w:tcW w:w="1368" w:type="dxa"/>
            <w:tcBorders>
              <w:top w:val="single" w:sz="4" w:space="0" w:color="auto"/>
              <w:left w:val="single" w:sz="4" w:space="0" w:color="auto"/>
              <w:bottom w:val="single" w:sz="4" w:space="0" w:color="auto"/>
              <w:right w:val="single" w:sz="4" w:space="0" w:color="auto"/>
            </w:tcBorders>
            <w:noWrap/>
            <w:vAlign w:val="bottom"/>
          </w:tcPr>
          <w:p>
            <w:pPr>
              <w:spacing w:before="64" w:line="276" w:lineRule="auto"/>
              <w:jc w:val="both"/>
              <w:rPr>
                <w:noProof/>
                <w:sz w:val="22"/>
                <w:szCs w:val="22"/>
              </w:rPr>
            </w:pPr>
            <w:r>
              <w:rPr>
                <w:noProof/>
                <w:sz w:val="22"/>
              </w:rPr>
              <w:t>4 535 172</w:t>
            </w:r>
          </w:p>
          <w:p>
            <w:pPr>
              <w:spacing w:before="64" w:line="276" w:lineRule="auto"/>
              <w:jc w:val="both"/>
              <w:rPr>
                <w:noProof/>
                <w:sz w:val="22"/>
                <w:szCs w:val="22"/>
              </w:rPr>
            </w:pPr>
          </w:p>
        </w:tc>
        <w:tc>
          <w:tcPr>
            <w:tcW w:w="1363" w:type="dxa"/>
            <w:tcBorders>
              <w:top w:val="single" w:sz="4" w:space="0" w:color="auto"/>
              <w:left w:val="single" w:sz="4" w:space="0" w:color="auto"/>
              <w:bottom w:val="single" w:sz="4" w:space="0" w:color="auto"/>
              <w:right w:val="single" w:sz="4" w:space="0" w:color="auto"/>
            </w:tcBorders>
            <w:noWrap/>
            <w:vAlign w:val="bottom"/>
          </w:tcPr>
          <w:p>
            <w:pPr>
              <w:spacing w:before="64" w:line="276" w:lineRule="auto"/>
              <w:jc w:val="both"/>
              <w:rPr>
                <w:noProof/>
                <w:sz w:val="22"/>
                <w:szCs w:val="22"/>
              </w:rPr>
            </w:pPr>
            <w:r>
              <w:rPr>
                <w:noProof/>
                <w:sz w:val="22"/>
              </w:rPr>
              <w:t>7 294 621</w:t>
            </w:r>
          </w:p>
          <w:p>
            <w:pPr>
              <w:spacing w:before="64" w:line="276" w:lineRule="auto"/>
              <w:ind w:left="-17" w:right="-17"/>
              <w:jc w:val="both"/>
              <w:rPr>
                <w:noProof/>
                <w:sz w:val="22"/>
                <w:szCs w:val="22"/>
              </w:rPr>
            </w:pPr>
          </w:p>
        </w:tc>
        <w:tc>
          <w:tcPr>
            <w:tcW w:w="1373" w:type="dxa"/>
            <w:tcBorders>
              <w:top w:val="single" w:sz="4" w:space="0" w:color="auto"/>
              <w:left w:val="single" w:sz="4" w:space="0" w:color="auto"/>
              <w:bottom w:val="single" w:sz="4" w:space="0" w:color="auto"/>
              <w:right w:val="single" w:sz="4" w:space="0" w:color="auto"/>
            </w:tcBorders>
            <w:noWrap/>
            <w:vAlign w:val="bottom"/>
            <w:hideMark/>
          </w:tcPr>
          <w:p>
            <w:pPr>
              <w:spacing w:before="64" w:after="240" w:line="276" w:lineRule="auto"/>
              <w:jc w:val="both"/>
              <w:rPr>
                <w:noProof/>
                <w:sz w:val="22"/>
                <w:szCs w:val="22"/>
              </w:rPr>
            </w:pPr>
            <w:r>
              <w:rPr>
                <w:noProof/>
                <w:sz w:val="22"/>
              </w:rPr>
              <w:t>2 419 099</w:t>
            </w:r>
          </w:p>
          <w:p>
            <w:pPr>
              <w:spacing w:before="64" w:after="240" w:line="276" w:lineRule="auto"/>
              <w:jc w:val="both"/>
              <w:rPr>
                <w:noProof/>
                <w:sz w:val="22"/>
                <w:szCs w:val="22"/>
              </w:rPr>
            </w:pPr>
            <w:r>
              <w:rPr>
                <w:noProof/>
                <w:sz w:val="22"/>
              </w:rPr>
              <w:t>(**)</w:t>
            </w:r>
          </w:p>
        </w:tc>
        <w:tc>
          <w:tcPr>
            <w:tcW w:w="1368" w:type="dxa"/>
            <w:tcBorders>
              <w:top w:val="single" w:sz="4" w:space="0" w:color="auto"/>
              <w:left w:val="single" w:sz="4" w:space="0" w:color="auto"/>
              <w:bottom w:val="single" w:sz="4" w:space="0" w:color="auto"/>
              <w:right w:val="single" w:sz="4" w:space="0" w:color="auto"/>
            </w:tcBorders>
            <w:noWrap/>
            <w:vAlign w:val="bottom"/>
          </w:tcPr>
          <w:p>
            <w:pPr>
              <w:spacing w:before="64" w:line="276" w:lineRule="auto"/>
              <w:jc w:val="both"/>
              <w:rPr>
                <w:noProof/>
                <w:sz w:val="22"/>
                <w:szCs w:val="22"/>
              </w:rPr>
            </w:pPr>
            <w:r>
              <w:rPr>
                <w:noProof/>
                <w:sz w:val="22"/>
              </w:rPr>
              <w:t xml:space="preserve">1 512 640 </w:t>
            </w:r>
          </w:p>
          <w:p>
            <w:pPr>
              <w:spacing w:before="64" w:line="276" w:lineRule="auto"/>
              <w:jc w:val="both"/>
              <w:rPr>
                <w:noProof/>
                <w:sz w:val="22"/>
                <w:szCs w:val="22"/>
              </w:rPr>
            </w:pPr>
            <w:r>
              <w:rPr>
                <w:noProof/>
                <w:sz w:val="22"/>
              </w:rPr>
              <w:t>(**)</w:t>
            </w:r>
          </w:p>
          <w:p>
            <w:pPr>
              <w:spacing w:before="64" w:line="276" w:lineRule="auto"/>
              <w:ind w:left="-17" w:right="-17"/>
              <w:jc w:val="both"/>
              <w:rPr>
                <w:noProof/>
                <w:sz w:val="22"/>
                <w:szCs w:val="22"/>
              </w:rPr>
            </w:pPr>
          </w:p>
        </w:tc>
        <w:tc>
          <w:tcPr>
            <w:tcW w:w="1337" w:type="dxa"/>
            <w:tcBorders>
              <w:top w:val="single" w:sz="4" w:space="0" w:color="auto"/>
              <w:left w:val="single" w:sz="4" w:space="0" w:color="auto"/>
              <w:bottom w:val="single" w:sz="4" w:space="0" w:color="auto"/>
              <w:right w:val="single" w:sz="4" w:space="0" w:color="auto"/>
            </w:tcBorders>
            <w:noWrap/>
            <w:vAlign w:val="bottom"/>
          </w:tcPr>
          <w:p>
            <w:pPr>
              <w:spacing w:before="64" w:line="276" w:lineRule="auto"/>
              <w:jc w:val="both"/>
              <w:rPr>
                <w:noProof/>
                <w:sz w:val="22"/>
                <w:szCs w:val="22"/>
              </w:rPr>
            </w:pPr>
            <w:r>
              <w:rPr>
                <w:noProof/>
                <w:sz w:val="22"/>
              </w:rPr>
              <w:t xml:space="preserve">3 931 739 </w:t>
            </w:r>
          </w:p>
          <w:p>
            <w:pPr>
              <w:spacing w:before="64" w:line="276" w:lineRule="auto"/>
              <w:jc w:val="both"/>
              <w:rPr>
                <w:noProof/>
                <w:sz w:val="22"/>
                <w:szCs w:val="22"/>
              </w:rPr>
            </w:pPr>
            <w:r>
              <w:rPr>
                <w:noProof/>
                <w:sz w:val="22"/>
              </w:rPr>
              <w:t>(**)</w:t>
            </w:r>
          </w:p>
          <w:p>
            <w:pPr>
              <w:spacing w:before="64" w:line="276" w:lineRule="auto"/>
              <w:ind w:left="-17" w:right="-17"/>
              <w:jc w:val="both"/>
              <w:rPr>
                <w:noProof/>
                <w:sz w:val="22"/>
                <w:szCs w:val="22"/>
              </w:rPr>
            </w:pPr>
          </w:p>
        </w:tc>
      </w:tr>
      <w:tr>
        <w:trPr>
          <w:trHeight w:val="454"/>
        </w:trPr>
        <w:tc>
          <w:tcPr>
            <w:tcW w:w="1678" w:type="dxa"/>
            <w:gridSpan w:val="2"/>
            <w:tcBorders>
              <w:top w:val="single" w:sz="4" w:space="0" w:color="auto"/>
              <w:left w:val="single" w:sz="4" w:space="0" w:color="auto"/>
              <w:bottom w:val="single" w:sz="4" w:space="0" w:color="auto"/>
              <w:right w:val="single" w:sz="4" w:space="0" w:color="auto"/>
            </w:tcBorders>
            <w:noWrap/>
            <w:vAlign w:val="bottom"/>
            <w:hideMark/>
          </w:tcPr>
          <w:p>
            <w:pPr>
              <w:spacing w:before="40" w:after="60" w:line="276" w:lineRule="auto"/>
              <w:jc w:val="both"/>
              <w:rPr>
                <w:b/>
                <w:bCs/>
                <w:noProof/>
                <w:sz w:val="22"/>
                <w:szCs w:val="22"/>
              </w:rPr>
            </w:pPr>
            <w:r>
              <w:rPr>
                <w:b/>
                <w:noProof/>
                <w:sz w:val="22"/>
              </w:rPr>
              <w:t>% поети задължения</w:t>
            </w:r>
          </w:p>
        </w:tc>
        <w:tc>
          <w:tcPr>
            <w:tcW w:w="1368" w:type="dxa"/>
            <w:gridSpan w:val="2"/>
            <w:tcBorders>
              <w:top w:val="single" w:sz="4" w:space="0" w:color="auto"/>
              <w:left w:val="single" w:sz="4" w:space="0" w:color="auto"/>
              <w:bottom w:val="single" w:sz="4" w:space="0" w:color="auto"/>
              <w:right w:val="single" w:sz="4" w:space="0" w:color="auto"/>
            </w:tcBorders>
            <w:noWrap/>
            <w:vAlign w:val="bottom"/>
            <w:hideMark/>
          </w:tcPr>
          <w:p>
            <w:pPr>
              <w:spacing w:before="40" w:after="60" w:line="276" w:lineRule="auto"/>
              <w:jc w:val="both"/>
              <w:rPr>
                <w:noProof/>
                <w:sz w:val="22"/>
                <w:szCs w:val="22"/>
              </w:rPr>
            </w:pPr>
            <w:r>
              <w:rPr>
                <w:noProof/>
                <w:sz w:val="22"/>
              </w:rPr>
              <w:t>91,98 %</w:t>
            </w:r>
          </w:p>
        </w:tc>
        <w:tc>
          <w:tcPr>
            <w:tcW w:w="1368" w:type="dxa"/>
            <w:tcBorders>
              <w:top w:val="single" w:sz="4" w:space="0" w:color="auto"/>
              <w:left w:val="single" w:sz="4" w:space="0" w:color="auto"/>
              <w:bottom w:val="single" w:sz="4" w:space="0" w:color="auto"/>
              <w:right w:val="single" w:sz="4" w:space="0" w:color="auto"/>
            </w:tcBorders>
            <w:noWrap/>
            <w:vAlign w:val="bottom"/>
            <w:hideMark/>
          </w:tcPr>
          <w:p>
            <w:pPr>
              <w:spacing w:before="40" w:after="60" w:line="276" w:lineRule="auto"/>
              <w:ind w:left="-17" w:right="-17"/>
              <w:jc w:val="both"/>
              <w:rPr>
                <w:noProof/>
                <w:sz w:val="22"/>
                <w:szCs w:val="22"/>
              </w:rPr>
            </w:pPr>
            <w:r>
              <w:rPr>
                <w:noProof/>
                <w:sz w:val="22"/>
              </w:rPr>
              <w:t>90,70 %</w:t>
            </w:r>
          </w:p>
        </w:tc>
        <w:tc>
          <w:tcPr>
            <w:tcW w:w="1363" w:type="dxa"/>
            <w:tcBorders>
              <w:top w:val="single" w:sz="4" w:space="0" w:color="auto"/>
              <w:left w:val="single" w:sz="4" w:space="0" w:color="auto"/>
              <w:bottom w:val="single" w:sz="4" w:space="0" w:color="auto"/>
              <w:right w:val="single" w:sz="4" w:space="0" w:color="auto"/>
            </w:tcBorders>
            <w:noWrap/>
            <w:vAlign w:val="bottom"/>
            <w:hideMark/>
          </w:tcPr>
          <w:p>
            <w:pPr>
              <w:spacing w:before="40" w:after="60" w:line="276" w:lineRule="auto"/>
              <w:ind w:left="-17" w:right="-17"/>
              <w:jc w:val="both"/>
              <w:rPr>
                <w:noProof/>
                <w:sz w:val="22"/>
                <w:szCs w:val="22"/>
              </w:rPr>
            </w:pPr>
            <w:r>
              <w:rPr>
                <w:noProof/>
                <w:sz w:val="22"/>
              </w:rPr>
              <w:t>91,18 %</w:t>
            </w:r>
          </w:p>
        </w:tc>
        <w:tc>
          <w:tcPr>
            <w:tcW w:w="1373" w:type="dxa"/>
            <w:tcBorders>
              <w:top w:val="single" w:sz="4" w:space="0" w:color="auto"/>
              <w:left w:val="single" w:sz="4" w:space="0" w:color="auto"/>
              <w:bottom w:val="single" w:sz="4" w:space="0" w:color="auto"/>
              <w:right w:val="single" w:sz="4" w:space="0" w:color="auto"/>
            </w:tcBorders>
            <w:noWrap/>
            <w:vAlign w:val="bottom"/>
            <w:hideMark/>
          </w:tcPr>
          <w:p>
            <w:pPr>
              <w:spacing w:before="40" w:after="60" w:line="276" w:lineRule="auto"/>
              <w:ind w:left="-17" w:right="-17"/>
              <w:jc w:val="both"/>
              <w:rPr>
                <w:noProof/>
                <w:sz w:val="22"/>
                <w:szCs w:val="22"/>
              </w:rPr>
            </w:pPr>
            <w:r>
              <w:rPr>
                <w:noProof/>
                <w:sz w:val="22"/>
              </w:rPr>
              <w:t>96,76 %</w:t>
            </w:r>
          </w:p>
        </w:tc>
        <w:tc>
          <w:tcPr>
            <w:tcW w:w="1368" w:type="dxa"/>
            <w:tcBorders>
              <w:top w:val="single" w:sz="4" w:space="0" w:color="auto"/>
              <w:left w:val="single" w:sz="4" w:space="0" w:color="auto"/>
              <w:bottom w:val="single" w:sz="4" w:space="0" w:color="auto"/>
              <w:right w:val="single" w:sz="4" w:space="0" w:color="auto"/>
            </w:tcBorders>
            <w:noWrap/>
            <w:vAlign w:val="bottom"/>
            <w:hideMark/>
          </w:tcPr>
          <w:p>
            <w:pPr>
              <w:spacing w:before="40" w:after="60" w:line="276" w:lineRule="auto"/>
              <w:ind w:left="-17" w:right="-17"/>
              <w:jc w:val="both"/>
              <w:rPr>
                <w:noProof/>
                <w:sz w:val="22"/>
                <w:szCs w:val="22"/>
              </w:rPr>
            </w:pPr>
            <w:r>
              <w:rPr>
                <w:noProof/>
                <w:sz w:val="22"/>
              </w:rPr>
              <w:t>95,7 %</w:t>
            </w:r>
          </w:p>
        </w:tc>
        <w:tc>
          <w:tcPr>
            <w:tcW w:w="1337" w:type="dxa"/>
            <w:tcBorders>
              <w:top w:val="single" w:sz="4" w:space="0" w:color="auto"/>
              <w:left w:val="single" w:sz="4" w:space="0" w:color="auto"/>
              <w:bottom w:val="single" w:sz="4" w:space="0" w:color="auto"/>
              <w:right w:val="single" w:sz="4" w:space="0" w:color="auto"/>
            </w:tcBorders>
            <w:noWrap/>
            <w:vAlign w:val="bottom"/>
            <w:hideMark/>
          </w:tcPr>
          <w:p>
            <w:pPr>
              <w:spacing w:before="40" w:after="60" w:line="276" w:lineRule="auto"/>
              <w:ind w:left="-17" w:right="-17"/>
              <w:jc w:val="both"/>
              <w:rPr>
                <w:noProof/>
                <w:sz w:val="22"/>
                <w:szCs w:val="22"/>
              </w:rPr>
            </w:pPr>
            <w:r>
              <w:rPr>
                <w:noProof/>
                <w:sz w:val="22"/>
              </w:rPr>
              <w:t>98,29 %</w:t>
            </w:r>
          </w:p>
        </w:tc>
      </w:tr>
      <w:tr>
        <w:trPr>
          <w:trHeight w:val="454"/>
        </w:trPr>
        <w:tc>
          <w:tcPr>
            <w:tcW w:w="1678" w:type="dxa"/>
            <w:gridSpan w:val="2"/>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b/>
                <w:bCs/>
                <w:noProof/>
                <w:sz w:val="22"/>
                <w:szCs w:val="22"/>
              </w:rPr>
            </w:pPr>
            <w:r>
              <w:rPr>
                <w:b/>
                <w:noProof/>
                <w:sz w:val="22"/>
              </w:rPr>
              <w:t>Поети задължения (**) в EUR</w:t>
            </w:r>
          </w:p>
        </w:tc>
        <w:tc>
          <w:tcPr>
            <w:tcW w:w="1368" w:type="dxa"/>
            <w:gridSpan w:val="2"/>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rPr>
              <w:t>2 323 802</w:t>
            </w:r>
          </w:p>
        </w:tc>
        <w:tc>
          <w:tcPr>
            <w:tcW w:w="1368"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sz w:val="22"/>
              </w:rPr>
              <w:t>4 139 141</w:t>
            </w:r>
          </w:p>
        </w:tc>
        <w:tc>
          <w:tcPr>
            <w:tcW w:w="1363"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rPr>
              <w:t>6 462 943</w:t>
            </w:r>
          </w:p>
        </w:tc>
        <w:tc>
          <w:tcPr>
            <w:tcW w:w="1373"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sz w:val="22"/>
              </w:rPr>
              <w:t>(*)</w:t>
            </w:r>
          </w:p>
        </w:tc>
        <w:tc>
          <w:tcPr>
            <w:tcW w:w="1368"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sz w:val="22"/>
              </w:rPr>
              <w:t>890 638 (***)</w:t>
            </w:r>
          </w:p>
        </w:tc>
        <w:tc>
          <w:tcPr>
            <w:tcW w:w="1337"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sz w:val="22"/>
              </w:rPr>
              <w:t>890 638 (***)</w:t>
            </w:r>
          </w:p>
        </w:tc>
      </w:tr>
      <w:tr>
        <w:trPr>
          <w:trHeight w:val="454"/>
        </w:trPr>
        <w:tc>
          <w:tcPr>
            <w:tcW w:w="1678" w:type="dxa"/>
            <w:gridSpan w:val="2"/>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b/>
                <w:bCs/>
                <w:noProof/>
                <w:sz w:val="22"/>
                <w:szCs w:val="22"/>
              </w:rPr>
            </w:pPr>
            <w:r>
              <w:rPr>
                <w:b/>
                <w:noProof/>
                <w:sz w:val="22"/>
              </w:rPr>
              <w:t>% на плащанията спрямо поетите задължения</w:t>
            </w:r>
          </w:p>
        </w:tc>
        <w:tc>
          <w:tcPr>
            <w:tcW w:w="1368" w:type="dxa"/>
            <w:gridSpan w:val="2"/>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rPr>
            </w:pPr>
            <w:r>
              <w:rPr>
                <w:noProof/>
              </w:rPr>
              <w:t>84,21 %</w:t>
            </w:r>
          </w:p>
        </w:tc>
        <w:tc>
          <w:tcPr>
            <w:tcW w:w="1368"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rPr>
            </w:pPr>
            <w:r>
              <w:rPr>
                <w:noProof/>
              </w:rPr>
              <w:t>91,27 %</w:t>
            </w:r>
          </w:p>
        </w:tc>
        <w:tc>
          <w:tcPr>
            <w:tcW w:w="1363"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rPr>
            </w:pPr>
            <w:r>
              <w:rPr>
                <w:noProof/>
              </w:rPr>
              <w:t>88,60 %</w:t>
            </w:r>
          </w:p>
        </w:tc>
        <w:tc>
          <w:tcPr>
            <w:tcW w:w="1373"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sz w:val="22"/>
              </w:rPr>
              <w:t>(*)</w:t>
            </w:r>
          </w:p>
        </w:tc>
        <w:tc>
          <w:tcPr>
            <w:tcW w:w="1368"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sz w:val="22"/>
              </w:rPr>
              <w:t>58,88 %</w:t>
            </w:r>
          </w:p>
        </w:tc>
        <w:tc>
          <w:tcPr>
            <w:tcW w:w="1337"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sz w:val="22"/>
              </w:rPr>
              <w:t>22,65 %</w:t>
            </w:r>
          </w:p>
        </w:tc>
      </w:tr>
    </w:tbl>
    <w:p>
      <w:pPr>
        <w:jc w:val="both"/>
        <w:rPr>
          <w:noProof/>
          <w:sz w:val="18"/>
          <w:szCs w:val="18"/>
        </w:rPr>
      </w:pPr>
      <w:r>
        <w:rPr>
          <w:noProof/>
          <w:sz w:val="18"/>
        </w:rPr>
        <w:t>(*) За никоя от дейностите все още не е извършено плащане.</w:t>
      </w:r>
    </w:p>
    <w:p>
      <w:pPr>
        <w:jc w:val="both"/>
        <w:rPr>
          <w:noProof/>
          <w:sz w:val="18"/>
          <w:szCs w:val="18"/>
        </w:rPr>
      </w:pPr>
      <w:r>
        <w:rPr>
          <w:noProof/>
          <w:sz w:val="18"/>
        </w:rPr>
        <w:t>(**) срв. Вследствие на изменението на плана за действие за външна комуникация на ГД „Земеделие и развитие на селските райони“ от 2016 г.</w:t>
      </w:r>
    </w:p>
    <w:p>
      <w:pPr>
        <w:jc w:val="both"/>
        <w:rPr>
          <w:noProof/>
          <w:sz w:val="18"/>
          <w:szCs w:val="18"/>
        </w:rPr>
      </w:pPr>
      <w:r>
        <w:rPr>
          <w:noProof/>
          <w:sz w:val="18"/>
        </w:rPr>
        <w:t>(***) Числените данни за плащанията по мерките за 2016 г. все още не са финализирани.</w:t>
      </w:r>
    </w:p>
    <w:p>
      <w:pPr>
        <w:spacing w:before="120" w:after="120"/>
        <w:jc w:val="both"/>
        <w:rPr>
          <w:noProof/>
        </w:rPr>
      </w:pPr>
      <w:r>
        <w:rPr>
          <w:noProof/>
        </w:rPr>
        <w:t>Плащанията са по принцип по-ниски от първоначално заделените суми. При отпускането на безвъзмездни средства това се обяснява с факта, че окончателните разходи за дейностите са по-малки от първоначално прогнозираните от бенефициерите, и второ, че не всички декларирани от тях разходи могат да се считат за допустими. При действията, предприети по инициатива на Комисията, разликата между плащанията и поетите задължения произтича от факта, че докато поетите задължения са фиксирани, фактическите разходи са по-малки от предвидените в резултат на реализираните икономии и използването на по-рентабилни мерки при изпълнение на проектите.</w:t>
      </w:r>
    </w:p>
    <w:p>
      <w:pPr>
        <w:spacing w:before="120" w:after="120"/>
        <w:jc w:val="both"/>
        <w:rPr>
          <w:noProof/>
        </w:rPr>
      </w:pPr>
    </w:p>
    <w:p>
      <w:pPr>
        <w:spacing w:before="120" w:after="120"/>
        <w:jc w:val="both"/>
        <w:rPr>
          <w:noProof/>
        </w:rPr>
      </w:pPr>
    </w:p>
    <w:p>
      <w:pPr>
        <w:spacing w:before="120" w:after="120"/>
        <w:jc w:val="both"/>
        <w:rPr>
          <w:noProof/>
        </w:rPr>
      </w:pPr>
    </w:p>
    <w:p>
      <w:pPr>
        <w:pStyle w:val="Style1"/>
      </w:pPr>
      <w:bookmarkStart w:id="10" w:name="_Toc478655578"/>
      <w:bookmarkStart w:id="11" w:name="_Toc478656308"/>
      <w:r>
        <w:t>V.</w:t>
      </w:r>
      <w:r>
        <w:tab/>
        <w:t>ЗАКЛЮЧЕНИЕ</w:t>
      </w:r>
      <w:bookmarkEnd w:id="10"/>
      <w:bookmarkEnd w:id="11"/>
    </w:p>
    <w:p>
      <w:pPr>
        <w:spacing w:before="120" w:after="120"/>
        <w:jc w:val="both"/>
        <w:rPr>
          <w:noProof/>
        </w:rPr>
      </w:pPr>
      <w:r>
        <w:rPr>
          <w:noProof/>
        </w:rPr>
        <w:t>През отчетния период Комисията продължи да развива дейността си по корпоративната комуникация въз основа на десетте си политически приоритета, като поставяше акцент върху осезаемите ползи, които ЕС предоставя на своите граждани. Информационните мерки, осъществени във връзка с общата селскостопанска политика и развитието на селските райони, целят да подчертаят постиженията на ОСП по отношение на осигуряването на устойчиво снабдяване със здравословни храни и нейния принос за икономическия растеж и жизнеспособните селски райони. Успоредно с това ключови въпроси относно бъдещето, като например ефективното използване на ресурсите, приемствеността между поколенията, както и ролята на селското стопанство за справянето с предизвикателствата на изменението на климата, също заемаха централно място в комуникационните дейности. Бяха укрепени също така усилията за установяване на взаимоотношения с гражданското общество и с широк кръг от заинтересовани страни, както и за насърчаване на по-задълбочено сътрудничество при осъществяването на информационни дейности както в рамките на службите на Комисията, така и с други институции на ЕС и с държавите членки.</w:t>
      </w:r>
    </w:p>
    <w:p>
      <w:pPr>
        <w:spacing w:before="120" w:after="120"/>
        <w:jc w:val="both"/>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SquareSans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9667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Официален вестник на Европейския съюз, OВ L 347, 20.12.2013 г., стр. 549.</w:t>
      </w:r>
    </w:p>
    <w:p>
      <w:pPr>
        <w:pStyle w:val="FootnoteText"/>
      </w:pPr>
    </w:p>
  </w:footnote>
  <w:footnote w:id="2">
    <w:p>
      <w:pPr>
        <w:pStyle w:val="FootnoteText"/>
        <w:ind w:left="0" w:firstLine="0"/>
      </w:pPr>
      <w:r>
        <w:rPr>
          <w:rStyle w:val="FootnoteReference"/>
        </w:rPr>
        <w:footnoteRef/>
      </w:r>
      <w:r>
        <w:t xml:space="preserve"> COM(2003) 235 окончателен, 8.5.2003 г.; COM(2007) 324 окончателен, 13.6.2007 г.; COM(2009) 237 окончателен, 20.5.2009 г.;  COM(2011) 294 final, 25.5.2011 г.; COM(2013) 645 final, 29.9.2013 г.; COM(2016) 83 final, 23.2.2016 г.</w:t>
      </w:r>
    </w:p>
    <w:p>
      <w:pPr>
        <w:pStyle w:val="FootnoteText"/>
      </w:pPr>
    </w:p>
  </w:footnote>
  <w:footnote w:id="3">
    <w:p>
      <w:pPr>
        <w:pStyle w:val="FootnoteText"/>
      </w:pPr>
      <w:r>
        <w:rPr>
          <w:rStyle w:val="FootnoteReference"/>
        </w:rPr>
        <w:footnoteRef/>
      </w:r>
      <w:r>
        <w:t xml:space="preserve"> </w:t>
      </w:r>
      <w:hyperlink r:id="rId1">
        <w:r>
          <w:rPr>
            <w:rStyle w:val="Hyperlink"/>
          </w:rPr>
          <w:t>https://ec.europa.eu/agriculture/evaluation/market-and-income-reports/information-policy-2015_bg</w:t>
        </w:r>
      </w:hyperlink>
    </w:p>
    <w:p>
      <w:pPr>
        <w:pStyle w:val="FootnoteText"/>
      </w:pPr>
    </w:p>
    <w:p>
      <w:pPr>
        <w:pStyle w:val="FootnoteText"/>
      </w:pPr>
    </w:p>
  </w:footnote>
  <w:footnote w:id="4">
    <w:p>
      <w:pPr>
        <w:spacing w:before="120" w:after="120"/>
        <w:jc w:val="both"/>
        <w:rPr>
          <w:noProof/>
          <w:color w:val="000000"/>
        </w:rPr>
      </w:pPr>
      <w:r>
        <w:rPr>
          <w:rStyle w:val="FootnoteReference"/>
        </w:rPr>
        <w:footnoteRef/>
      </w:r>
      <w:r>
        <w:t xml:space="preserve"> </w:t>
      </w:r>
      <w:hyperlink r:id="rId2">
        <w:r>
          <w:rPr>
            <w:rStyle w:val="Hyperlink"/>
            <w:noProof/>
          </w:rPr>
          <w:t>https://ec.europa.eu/info/sites/info/files/file_import/aar-comm-2016_en_0.pdf</w:t>
        </w:r>
      </w:hyperlink>
      <w:r>
        <w:rPr>
          <w:noProof/>
          <w:color w:val="000000"/>
        </w:rPr>
        <w:t xml:space="preserve"> (стр. 24 и следващи)</w:t>
      </w:r>
    </w:p>
    <w:p>
      <w:pPr>
        <w:pStyle w:val="FootnoteText"/>
      </w:pPr>
    </w:p>
  </w:footnote>
  <w:footnote w:id="5">
    <w:p>
      <w:pPr>
        <w:pStyle w:val="FootnoteText"/>
      </w:pPr>
      <w:r>
        <w:rPr>
          <w:rStyle w:val="FootnoteReference"/>
        </w:rPr>
        <w:footnoteRef/>
      </w:r>
      <w:r>
        <w:t xml:space="preserve"> Покана за представяне на предложения за 2015 г., Официален вестник на Европейския съюз, 2014/C 383/06, 29.10.2014 г. </w:t>
      </w:r>
    </w:p>
  </w:footnote>
  <w:footnote w:id="6">
    <w:p>
      <w:pPr>
        <w:pStyle w:val="FootnoteText"/>
      </w:pPr>
      <w:r>
        <w:rPr>
          <w:rStyle w:val="FootnoteReference"/>
        </w:rPr>
        <w:footnoteRef/>
      </w:r>
      <w:r>
        <w:t xml:space="preserve"> Покана за представяне на предложения за 2016 г., Официален вестник на Европейския съюз, 2015/C 351/09, 23.10.2015 г.</w:t>
      </w:r>
    </w:p>
  </w:footnote>
  <w:footnote w:id="7">
    <w:p>
      <w:pPr>
        <w:pStyle w:val="FootnoteText"/>
      </w:pPr>
      <w:r>
        <w:rPr>
          <w:rStyle w:val="FootnoteReference"/>
        </w:rPr>
        <w:footnoteRef/>
      </w:r>
      <w:r>
        <w:t xml:space="preserve"> По-подробна информация относно безвъзмездните средства е публикувана също на уебсайта Europa:</w:t>
      </w:r>
    </w:p>
    <w:p>
      <w:pPr>
        <w:pStyle w:val="FootnoteText"/>
      </w:pPr>
      <w:r>
        <w:t xml:space="preserve"> </w:t>
      </w:r>
      <w:hyperlink r:id="rId3">
        <w:r>
          <w:rPr>
            <w:rStyle w:val="Hyperlink"/>
          </w:rPr>
          <w:t>https://ec.europa.eu/agriculture/grants-for-information-measures_bg</w:t>
        </w:r>
      </w:hyperlink>
    </w:p>
    <w:p>
      <w:pPr>
        <w:pStyle w:val="FootnoteText"/>
      </w:pPr>
    </w:p>
  </w:footnote>
  <w:footnote w:id="8">
    <w:p>
      <w:pPr>
        <w:pStyle w:val="FootnoteText"/>
      </w:pPr>
      <w:r>
        <w:rPr>
          <w:rStyle w:val="FootnoteReference"/>
        </w:rPr>
        <w:footnoteRef/>
      </w:r>
      <w:r>
        <w:t xml:space="preserve"> </w:t>
      </w:r>
      <w:r>
        <w:tab/>
        <w:t>4 000 000 EUR — съделегирани на ГД „Комуникации“ през 2016 г. за дейности по корпоративната комуникация, не са включени в настоящата таблица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0CCF"/>
    <w:multiLevelType w:val="hybridMultilevel"/>
    <w:tmpl w:val="EC32D58A"/>
    <w:lvl w:ilvl="0" w:tplc="15EEA44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236503"/>
    <w:multiLevelType w:val="hybridMultilevel"/>
    <w:tmpl w:val="C5C00F3C"/>
    <w:lvl w:ilvl="0" w:tplc="6A6C2826">
      <w:numFmt w:val="bullet"/>
      <w:lvlText w:val="•"/>
      <w:lvlJc w:val="left"/>
      <w:pPr>
        <w:ind w:left="360" w:hanging="360"/>
      </w:pPr>
      <w:rPr>
        <w:rFonts w:ascii="Times New Roman" w:eastAsia="Calibri" w:hAnsi="Times New Roman" w:cs="Times New Roman"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90065C3-72ED-4723-8048-33FF418B639F"/>
    <w:docVar w:name="LW_COVERPAGE_TYPE" w:val="1"/>
    <w:docVar w:name="LW_CROSSREFERENCE" w:val="{SWD(2017) 459 final}"/>
    <w:docVar w:name="LW_DocType" w:val="NORMAL"/>
    <w:docVar w:name="LW_EMISSION" w:val="19.12.2017"/>
    <w:docVar w:name="LW_EMISSION_ISODATE" w:val="2017-12-19"/>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79?\u1072? \u1087?\u1088?\u1080?\u1083?\u1072?\u1075?\u1072?\u1085?\u1077?\u1090?\u1086? \u1085?\u1072? \u1095?\u1083?\u1077?\u1085? 45 \u1086?\u1090? \u1056?\u1077?\u1075?\u1083?\u1072?\u1084?\u1077?\u1085?\u1090? (\u1045?\u1057?) \u8470? 1306/2013 \u1085?\u1072? \u1045?\u1074?\u1088?\u1086?\u1087?\u1077?\u1081?\u1089?\u1082?\u1080?\u1103? \u1087?\u1072?\u1088?\u1083?\u1072?\u1084?\u1077?\u1085?\u1090? \u1080? \u1085?\u1072? \u1057?\u1098?\u1074?\u1077?\u1090?\u1072? \u1086?\u1090?\u1085?\u1086?\u1089?\u1085?\u1086? \u1080?\u1085?\u1092?\u1086?\u1088?\u1084?\u1072?\u1094?\u1080?\u1086?\u1085?\u1085?\u1080?\u1090?\u1077? \u1084?\u1077?\u1088?\u1082?\u1080? \u1074? \u1086?\u1073?\u1083?\u1072?\u1089?\u1090?\u1090?\u1072? \u1085?\u1072? \u1086?\u1073?\u1097?\u1072?\u1090?\u1072? \u1089?\u1077?\u1083?\u1089?\u1082?\u1086?\u1089?\u1090?\u1086?\u1087?\u1072?\u1085?\u1089?\u1082?\u1072? \u1087?\u1086?\u1083?\u1080?\u1090?\u1080?\u1082?\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Heading1">
    <w:name w:val="Manual Heading 1"/>
    <w:basedOn w:val="Normal"/>
    <w:next w:val="Normal"/>
    <w:link w:val="ManualHeading1Char"/>
    <w:pPr>
      <w:keepNext/>
      <w:tabs>
        <w:tab w:val="left" w:pos="850"/>
      </w:tabs>
      <w:spacing w:before="360" w:after="120"/>
      <w:ind w:left="850" w:hanging="850"/>
      <w:jc w:val="both"/>
      <w:outlineLvl w:val="0"/>
    </w:pPr>
    <w:rPr>
      <w:rFonts w:eastAsia="Times New Roman"/>
      <w:b/>
      <w:smallCaps/>
    </w:rPr>
  </w:style>
  <w:style w:type="paragraph" w:styleId="FootnoteText">
    <w:name w:val="footnote text"/>
    <w:basedOn w:val="Normal"/>
    <w:link w:val="FootnoteTextChar"/>
    <w:pPr>
      <w:ind w:left="720" w:hanging="720"/>
      <w:jc w:val="both"/>
    </w:pPr>
    <w:rPr>
      <w:rFonts w:eastAsia="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rPr>
      <w:shd w:val="clear" w:color="auto" w:fill="auto"/>
      <w:vertAlign w:val="superscript"/>
    </w:rPr>
  </w:style>
  <w:style w:type="paragraph" w:styleId="ListParagraph">
    <w:name w:val="List Paragraph"/>
    <w:basedOn w:val="Normal"/>
    <w:uiPriority w:val="34"/>
    <w:qFormat/>
    <w:pPr>
      <w:ind w:left="720"/>
      <w:contextualSpacing/>
    </w:p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rFonts w:eastAsia="Times New Roman"/>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Pr>
      <w:color w:val="0000FF"/>
      <w:u w:val="single"/>
      <w:shd w:val="clear" w:color="auto" w:fill="auto"/>
    </w:rPr>
  </w:style>
  <w:style w:type="paragraph" w:customStyle="1" w:styleId="basic-paragraph">
    <w:name w:val="basic-paragraph"/>
    <w:link w:val="basic-paragraphChar"/>
    <w:uiPriority w:val="99"/>
    <w:pPr>
      <w:spacing w:after="120"/>
      <w:jc w:val="both"/>
    </w:pPr>
    <w:rPr>
      <w:rFonts w:ascii="Times New Roman" w:eastAsia="Times New Roman" w:hAnsi="Times New Roman" w:cs="Times New Roman"/>
      <w:sz w:val="24"/>
      <w:szCs w:val="20"/>
    </w:rPr>
  </w:style>
  <w:style w:type="character" w:customStyle="1" w:styleId="basic-paragraphChar">
    <w:name w:val="basic-paragraph Char"/>
    <w:link w:val="basic-paragraph"/>
    <w:uiPriority w:val="99"/>
    <w:rPr>
      <w:rFonts w:ascii="Times New Roman" w:eastAsia="Times New Roman" w:hAnsi="Times New Roman" w:cs="Times New Roman"/>
      <w:sz w:val="24"/>
      <w:szCs w:val="20"/>
      <w:lang w:eastAsia="bg-BG"/>
    </w:rPr>
  </w:style>
  <w:style w:type="paragraph" w:customStyle="1" w:styleId="Title2">
    <w:name w:val="Title 2"/>
    <w:basedOn w:val="Normal"/>
    <w:pPr>
      <w:spacing w:after="240"/>
    </w:pPr>
    <w:rPr>
      <w:rFonts w:ascii="Verdana" w:eastAsia="Times New Roman" w:hAnsi="Verdana"/>
      <w:b/>
      <w:bCs/>
      <w:sz w:val="18"/>
      <w:szCs w:val="20"/>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tyle1">
    <w:name w:val="Style1"/>
    <w:basedOn w:val="ManualHeading1"/>
    <w:link w:val="Style1Char"/>
    <w:qFormat/>
    <w:rPr>
      <w:noProof/>
    </w:rPr>
  </w:style>
  <w:style w:type="paragraph" w:customStyle="1" w:styleId="Style2">
    <w:name w:val="Style2"/>
    <w:basedOn w:val="Normal"/>
    <w:qFormat/>
    <w:pPr>
      <w:jc w:val="both"/>
    </w:pPr>
    <w:rPr>
      <w:b/>
      <w:noProof/>
    </w:rPr>
  </w:style>
  <w:style w:type="paragraph" w:customStyle="1" w:styleId="Style3">
    <w:name w:val="Style3"/>
    <w:basedOn w:val="Normal"/>
    <w:qFormat/>
    <w:pPr>
      <w:spacing w:before="120" w:after="120"/>
      <w:jc w:val="both"/>
    </w:pPr>
    <w:rPr>
      <w:b/>
      <w:noProof/>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pPr>
      <w:spacing w:line="276" w:lineRule="auto"/>
      <w:outlineLvl w:val="9"/>
    </w:pPr>
  </w:style>
  <w:style w:type="paragraph" w:styleId="TOC1">
    <w:name w:val="toc 1"/>
    <w:basedOn w:val="Normal"/>
    <w:next w:val="Normal"/>
    <w:autoRedefine/>
    <w:uiPriority w:val="39"/>
    <w:unhideWhenUsed/>
    <w:qFormat/>
    <w:pPr>
      <w:tabs>
        <w:tab w:val="left" w:pos="660"/>
        <w:tab w:val="right" w:leader="dot" w:pos="9062"/>
      </w:tabs>
      <w:spacing w:after="100"/>
    </w:pPr>
    <w:rPr>
      <w:noProof/>
    </w:rPr>
  </w:style>
  <w:style w:type="paragraph" w:styleId="TOC2">
    <w:name w:val="toc 2"/>
    <w:basedOn w:val="Normal"/>
    <w:next w:val="Normal"/>
    <w:autoRedefine/>
    <w:uiPriority w:val="39"/>
    <w:semiHidden/>
    <w:unhideWhenUsed/>
    <w:qFormat/>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pPr>
      <w:spacing w:after="100" w:line="276" w:lineRule="auto"/>
      <w:ind w:left="440"/>
    </w:pPr>
    <w:rPr>
      <w:rFonts w:asciiTheme="minorHAnsi" w:eastAsiaTheme="minorEastAsia" w:hAnsiTheme="minorHAnsi" w:cstheme="minorBid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4"/>
    </w:rPr>
  </w:style>
  <w:style w:type="character" w:customStyle="1" w:styleId="Style1Char">
    <w:name w:val="Style1 Char"/>
    <w:basedOn w:val="ManualHeading1Char"/>
    <w:link w:val="Style1"/>
    <w:rPr>
      <w:rFonts w:ascii="Times New Roman" w:eastAsia="Times New Roman" w:hAnsi="Times New Roman" w:cs="Times New Roman"/>
      <w:b/>
      <w:smallCaps/>
      <w:noProof/>
      <w:sz w:val="24"/>
      <w:szCs w:val="24"/>
    </w:rPr>
  </w:style>
  <w:style w:type="character" w:customStyle="1" w:styleId="FooterCoverPageChar">
    <w:name w:val="Footer Cover Page Char"/>
    <w:basedOn w:val="Style1Char"/>
    <w:link w:val="FooterCoverPage"/>
    <w:rPr>
      <w:rFonts w:ascii="Times New Roman" w:eastAsia="Calibri" w:hAnsi="Times New Roman" w:cs="Times New Roman"/>
      <w:b w:val="0"/>
      <w:smallCaps w:val="0"/>
      <w:noProof/>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Style1Char"/>
    <w:link w:val="HeaderCoverPage"/>
    <w:rPr>
      <w:rFonts w:ascii="Times New Roman" w:eastAsia="Calibri" w:hAnsi="Times New Roman" w:cs="Times New Roman"/>
      <w:b w:val="0"/>
      <w:smallCaps w:val="0"/>
      <w:noProo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paragraph" w:customStyle="1" w:styleId="Declassification">
    <w:name w:val="Declassification"/>
    <w:basedOn w:val="Normal"/>
    <w:next w:val="Normal"/>
    <w:pPr>
      <w:jc w:val="both"/>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Heading1">
    <w:name w:val="Manual Heading 1"/>
    <w:basedOn w:val="Normal"/>
    <w:next w:val="Normal"/>
    <w:link w:val="ManualHeading1Char"/>
    <w:pPr>
      <w:keepNext/>
      <w:tabs>
        <w:tab w:val="left" w:pos="850"/>
      </w:tabs>
      <w:spacing w:before="360" w:after="120"/>
      <w:ind w:left="850" w:hanging="850"/>
      <w:jc w:val="both"/>
      <w:outlineLvl w:val="0"/>
    </w:pPr>
    <w:rPr>
      <w:rFonts w:eastAsia="Times New Roman"/>
      <w:b/>
      <w:smallCaps/>
    </w:rPr>
  </w:style>
  <w:style w:type="paragraph" w:styleId="FootnoteText">
    <w:name w:val="footnote text"/>
    <w:basedOn w:val="Normal"/>
    <w:link w:val="FootnoteTextChar"/>
    <w:pPr>
      <w:ind w:left="720" w:hanging="720"/>
      <w:jc w:val="both"/>
    </w:pPr>
    <w:rPr>
      <w:rFonts w:eastAsia="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rPr>
      <w:shd w:val="clear" w:color="auto" w:fill="auto"/>
      <w:vertAlign w:val="superscript"/>
    </w:rPr>
  </w:style>
  <w:style w:type="paragraph" w:styleId="ListParagraph">
    <w:name w:val="List Paragraph"/>
    <w:basedOn w:val="Normal"/>
    <w:uiPriority w:val="34"/>
    <w:qFormat/>
    <w:pPr>
      <w:ind w:left="720"/>
      <w:contextualSpacing/>
    </w:p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rFonts w:eastAsia="Times New Roman"/>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Pr>
      <w:color w:val="0000FF"/>
      <w:u w:val="single"/>
      <w:shd w:val="clear" w:color="auto" w:fill="auto"/>
    </w:rPr>
  </w:style>
  <w:style w:type="paragraph" w:customStyle="1" w:styleId="basic-paragraph">
    <w:name w:val="basic-paragraph"/>
    <w:link w:val="basic-paragraphChar"/>
    <w:uiPriority w:val="99"/>
    <w:pPr>
      <w:spacing w:after="120"/>
      <w:jc w:val="both"/>
    </w:pPr>
    <w:rPr>
      <w:rFonts w:ascii="Times New Roman" w:eastAsia="Times New Roman" w:hAnsi="Times New Roman" w:cs="Times New Roman"/>
      <w:sz w:val="24"/>
      <w:szCs w:val="20"/>
    </w:rPr>
  </w:style>
  <w:style w:type="character" w:customStyle="1" w:styleId="basic-paragraphChar">
    <w:name w:val="basic-paragraph Char"/>
    <w:link w:val="basic-paragraph"/>
    <w:uiPriority w:val="99"/>
    <w:rPr>
      <w:rFonts w:ascii="Times New Roman" w:eastAsia="Times New Roman" w:hAnsi="Times New Roman" w:cs="Times New Roman"/>
      <w:sz w:val="24"/>
      <w:szCs w:val="20"/>
      <w:lang w:eastAsia="bg-BG"/>
    </w:rPr>
  </w:style>
  <w:style w:type="paragraph" w:customStyle="1" w:styleId="Title2">
    <w:name w:val="Title 2"/>
    <w:basedOn w:val="Normal"/>
    <w:pPr>
      <w:spacing w:after="240"/>
    </w:pPr>
    <w:rPr>
      <w:rFonts w:ascii="Verdana" w:eastAsia="Times New Roman" w:hAnsi="Verdana"/>
      <w:b/>
      <w:bCs/>
      <w:sz w:val="18"/>
      <w:szCs w:val="20"/>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tyle1">
    <w:name w:val="Style1"/>
    <w:basedOn w:val="ManualHeading1"/>
    <w:link w:val="Style1Char"/>
    <w:qFormat/>
    <w:rPr>
      <w:noProof/>
    </w:rPr>
  </w:style>
  <w:style w:type="paragraph" w:customStyle="1" w:styleId="Style2">
    <w:name w:val="Style2"/>
    <w:basedOn w:val="Normal"/>
    <w:qFormat/>
    <w:pPr>
      <w:jc w:val="both"/>
    </w:pPr>
    <w:rPr>
      <w:b/>
      <w:noProof/>
    </w:rPr>
  </w:style>
  <w:style w:type="paragraph" w:customStyle="1" w:styleId="Style3">
    <w:name w:val="Style3"/>
    <w:basedOn w:val="Normal"/>
    <w:qFormat/>
    <w:pPr>
      <w:spacing w:before="120" w:after="120"/>
      <w:jc w:val="both"/>
    </w:pPr>
    <w:rPr>
      <w:b/>
      <w:noProof/>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pPr>
      <w:spacing w:line="276" w:lineRule="auto"/>
      <w:outlineLvl w:val="9"/>
    </w:pPr>
  </w:style>
  <w:style w:type="paragraph" w:styleId="TOC1">
    <w:name w:val="toc 1"/>
    <w:basedOn w:val="Normal"/>
    <w:next w:val="Normal"/>
    <w:autoRedefine/>
    <w:uiPriority w:val="39"/>
    <w:unhideWhenUsed/>
    <w:qFormat/>
    <w:pPr>
      <w:tabs>
        <w:tab w:val="left" w:pos="660"/>
        <w:tab w:val="right" w:leader="dot" w:pos="9062"/>
      </w:tabs>
      <w:spacing w:after="100"/>
    </w:pPr>
    <w:rPr>
      <w:noProof/>
    </w:rPr>
  </w:style>
  <w:style w:type="paragraph" w:styleId="TOC2">
    <w:name w:val="toc 2"/>
    <w:basedOn w:val="Normal"/>
    <w:next w:val="Normal"/>
    <w:autoRedefine/>
    <w:uiPriority w:val="39"/>
    <w:semiHidden/>
    <w:unhideWhenUsed/>
    <w:qFormat/>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pPr>
      <w:spacing w:after="100" w:line="276" w:lineRule="auto"/>
      <w:ind w:left="440"/>
    </w:pPr>
    <w:rPr>
      <w:rFonts w:asciiTheme="minorHAnsi" w:eastAsiaTheme="minorEastAsia" w:hAnsiTheme="minorHAnsi" w:cstheme="minorBid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4"/>
    </w:rPr>
  </w:style>
  <w:style w:type="character" w:customStyle="1" w:styleId="Style1Char">
    <w:name w:val="Style1 Char"/>
    <w:basedOn w:val="ManualHeading1Char"/>
    <w:link w:val="Style1"/>
    <w:rPr>
      <w:rFonts w:ascii="Times New Roman" w:eastAsia="Times New Roman" w:hAnsi="Times New Roman" w:cs="Times New Roman"/>
      <w:b/>
      <w:smallCaps/>
      <w:noProof/>
      <w:sz w:val="24"/>
      <w:szCs w:val="24"/>
    </w:rPr>
  </w:style>
  <w:style w:type="character" w:customStyle="1" w:styleId="FooterCoverPageChar">
    <w:name w:val="Footer Cover Page Char"/>
    <w:basedOn w:val="Style1Char"/>
    <w:link w:val="FooterCoverPage"/>
    <w:rPr>
      <w:rFonts w:ascii="Times New Roman" w:eastAsia="Calibri" w:hAnsi="Times New Roman" w:cs="Times New Roman"/>
      <w:b w:val="0"/>
      <w:smallCaps w:val="0"/>
      <w:noProof/>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Style1Char"/>
    <w:link w:val="HeaderCoverPage"/>
    <w:rPr>
      <w:rFonts w:ascii="Times New Roman" w:eastAsia="Calibri" w:hAnsi="Times New Roman" w:cs="Times New Roman"/>
      <w:b w:val="0"/>
      <w:smallCaps w:val="0"/>
      <w:noProo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paragraph" w:customStyle="1" w:styleId="Declassification">
    <w:name w:val="Declassification"/>
    <w:basedOn w:val="Normal"/>
    <w:next w:val="Normal"/>
    <w:pPr>
      <w:jc w:val="both"/>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65316">
      <w:bodyDiv w:val="1"/>
      <w:marLeft w:val="0"/>
      <w:marRight w:val="0"/>
      <w:marTop w:val="0"/>
      <w:marBottom w:val="0"/>
      <w:divBdr>
        <w:top w:val="none" w:sz="0" w:space="0" w:color="auto"/>
        <w:left w:val="none" w:sz="0" w:space="0" w:color="auto"/>
        <w:bottom w:val="none" w:sz="0" w:space="0" w:color="auto"/>
        <w:right w:val="none" w:sz="0" w:space="0" w:color="auto"/>
      </w:divBdr>
    </w:div>
    <w:div w:id="670839562">
      <w:bodyDiv w:val="1"/>
      <w:marLeft w:val="0"/>
      <w:marRight w:val="0"/>
      <w:marTop w:val="0"/>
      <w:marBottom w:val="0"/>
      <w:divBdr>
        <w:top w:val="none" w:sz="0" w:space="0" w:color="auto"/>
        <w:left w:val="none" w:sz="0" w:space="0" w:color="auto"/>
        <w:bottom w:val="none" w:sz="0" w:space="0" w:color="auto"/>
        <w:right w:val="none" w:sz="0" w:space="0" w:color="auto"/>
      </w:divBdr>
    </w:div>
    <w:div w:id="766191489">
      <w:bodyDiv w:val="1"/>
      <w:marLeft w:val="0"/>
      <w:marRight w:val="0"/>
      <w:marTop w:val="0"/>
      <w:marBottom w:val="0"/>
      <w:divBdr>
        <w:top w:val="none" w:sz="0" w:space="0" w:color="auto"/>
        <w:left w:val="none" w:sz="0" w:space="0" w:color="auto"/>
        <w:bottom w:val="none" w:sz="0" w:space="0" w:color="auto"/>
        <w:right w:val="none" w:sz="0" w:space="0" w:color="auto"/>
      </w:divBdr>
    </w:div>
    <w:div w:id="149699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commission/sites/beta-political/files/juncker-political-guidelines-speech_bg_0.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agriculture/grants-for-information-measures_bg" TargetMode="External"/><Relationship Id="rId2" Type="http://schemas.openxmlformats.org/officeDocument/2006/relationships/hyperlink" Target="https://ec.europa.eu/info/sites/info/files/file_import/aar-comm-2016_en_0.pdf" TargetMode="External"/><Relationship Id="rId1" Type="http://schemas.openxmlformats.org/officeDocument/2006/relationships/hyperlink" Target="https://ec.europa.eu/agriculture/evaluation/market-and-income-reports/information-policy-2015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DBE8B-A09C-4A33-96ED-D11FFD28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4131</Words>
  <Characters>25206</Characters>
  <Application>Microsoft Office Word</Application>
  <DocSecurity>0</DocSecurity>
  <Lines>525</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cp:lastPrinted>2017-10-12T11:53:00Z</cp:lastPrinted>
  <dcterms:created xsi:type="dcterms:W3CDTF">2017-10-12T11:53:00Z</dcterms:created>
  <dcterms:modified xsi:type="dcterms:W3CDTF">2017-12-07T08:14:00Z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