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0CDDC7E-D822-4C92-9542-43D8B09C69A6" style="width:451.05pt;height:394.95pt">
            <v:imagedata r:id="rId11" o:title=""/>
          </v:shape>
        </w:pict>
      </w:r>
    </w:p>
    <w:bookmarkEnd w:id="0"/>
    <w:p>
      <w:pPr>
        <w:pStyle w:val="Pagedecouverture"/>
        <w:rPr>
          <w:rFonts w:ascii="Tahoma" w:hAnsi="Tahoma" w:cs="Tahoma"/>
          <w:noProof/>
          <w:sz w:val="20"/>
          <w:szCs w:val="20"/>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9747" w:type="dxa"/>
        <w:tblLook w:val="01E0" w:firstRow="1" w:lastRow="1" w:firstColumn="1" w:lastColumn="1" w:noHBand="0" w:noVBand="0"/>
      </w:tblPr>
      <w:tblGrid>
        <w:gridCol w:w="9747"/>
      </w:tblGrid>
      <w:tr>
        <w:tc>
          <w:tcPr>
            <w:tcW w:w="9747" w:type="dxa"/>
            <w:tcBorders>
              <w:bottom w:val="single" w:sz="4" w:space="0" w:color="auto"/>
            </w:tcBorders>
            <w:shd w:val="clear" w:color="auto" w:fill="CCCCCC"/>
          </w:tcPr>
          <w:p>
            <w:pPr>
              <w:spacing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9747"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60"/>
              <w:jc w:val="both"/>
              <w:rPr>
                <w:rFonts w:ascii="Tahoma" w:hAnsi="Tahoma" w:cs="Tahoma"/>
                <w:b/>
                <w:noProof/>
                <w:sz w:val="20"/>
                <w:szCs w:val="20"/>
              </w:rPr>
            </w:pPr>
            <w:r>
              <w:rPr>
                <w:rFonts w:ascii="Tahoma" w:hAnsi="Tahoma" w:cs="Tahoma"/>
                <w:noProof/>
                <w:color w:val="FFFFFF" w:themeColor="background1"/>
                <w:sz w:val="20"/>
                <w:szCs w:val="20"/>
              </w:rPr>
              <w:t>Impact assessment on Proposal for a Regulation of the European Parliament and of the Council on mutual recognition on goods</w:t>
            </w:r>
          </w:p>
        </w:tc>
      </w:tr>
      <w:tr>
        <w:tc>
          <w:tcPr>
            <w:tcW w:w="9747" w:type="dxa"/>
            <w:tcBorders>
              <w:bottom w:val="single" w:sz="4" w:space="0" w:color="auto"/>
            </w:tcBorders>
            <w:shd w:val="clear" w:color="auto" w:fill="CCCCCC"/>
          </w:tcPr>
          <w:p>
            <w:pPr>
              <w:spacing w:after="60"/>
              <w:jc w:val="center"/>
              <w:rPr>
                <w:rFonts w:ascii="Tahoma" w:hAnsi="Tahoma" w:cs="Tahoma"/>
                <w:b/>
                <w:noProof/>
                <w:sz w:val="20"/>
                <w:szCs w:val="20"/>
              </w:rPr>
            </w:pPr>
            <w:r>
              <w:rPr>
                <w:rFonts w:ascii="Tahoma" w:hAnsi="Tahoma" w:cs="Tahoma"/>
                <w:b/>
                <w:noProof/>
                <w:sz w:val="20"/>
                <w:szCs w:val="20"/>
              </w:rPr>
              <w:t>A. Need for action</w:t>
            </w:r>
          </w:p>
        </w:tc>
      </w:tr>
      <w:tr>
        <w:tc>
          <w:tcPr>
            <w:tcW w:w="9747" w:type="dxa"/>
            <w:tcBorders>
              <w:bottom w:val="single" w:sz="4" w:space="0" w:color="auto"/>
            </w:tcBorders>
            <w:shd w:val="clear" w:color="auto" w:fill="E0E0E0"/>
          </w:tcPr>
          <w:p>
            <w:pPr>
              <w:spacing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The Evaluation has concluded that mutual recognition does not function as it should, due to the lack of awareness, the legal uncertainty and the lack of efficient communication and cooperation among stakeholders. Economic operators don’t benefit fully from their existing rights. National authorities lose time and resources. Consumers face higher prices and lower choices. Absent any action at EU level, it is expected for the problem to remain.</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While the expected benefits cannot be estimated with accuracy, a recent study on "The Costs of Non-Europe in the Single Market" shows that a reduction of trade barriers could lead to an increase of intra-EU trade of more than 100 billion EUR per year. The concept of trade barriers in this study is broader than mutual recognition only, but it provides an estimation of the expected benefits.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Having a common set of rules guarantees equal treatment and allows a coherent application of mutual recognition. Action by Member States alone would dismantle the principle in 28 different and potentially contradicting national procedures.  </w:t>
            </w:r>
          </w:p>
        </w:tc>
      </w:tr>
      <w:tr>
        <w:tc>
          <w:tcPr>
            <w:tcW w:w="9747" w:type="dxa"/>
            <w:tcBorders>
              <w:bottom w:val="single" w:sz="4" w:space="0" w:color="auto"/>
            </w:tcBorders>
            <w:shd w:val="clear" w:color="auto" w:fill="CCCCCC"/>
          </w:tcPr>
          <w:p>
            <w:pPr>
              <w:spacing w:after="60"/>
              <w:jc w:val="center"/>
              <w:rPr>
                <w:rFonts w:ascii="Tahoma" w:hAnsi="Tahoma" w:cs="Tahoma"/>
                <w:b/>
                <w:noProof/>
                <w:sz w:val="20"/>
                <w:szCs w:val="20"/>
              </w:rPr>
            </w:pPr>
            <w:r>
              <w:rPr>
                <w:rFonts w:ascii="Tahoma" w:hAnsi="Tahoma" w:cs="Tahoma"/>
                <w:b/>
                <w:noProof/>
                <w:sz w:val="20"/>
                <w:szCs w:val="20"/>
              </w:rPr>
              <w:t>B. Solutions</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The policy options assessed were:</w:t>
            </w:r>
          </w:p>
          <w:p>
            <w:pPr>
              <w:pStyle w:val="ListParagraph"/>
              <w:numPr>
                <w:ilvl w:val="0"/>
                <w:numId w:val="1"/>
              </w:numPr>
              <w:spacing w:after="60"/>
              <w:ind w:left="284" w:hanging="284"/>
              <w:contextualSpacing w:val="0"/>
              <w:jc w:val="both"/>
              <w:rPr>
                <w:rFonts w:ascii="Tahoma" w:hAnsi="Tahoma" w:cs="Tahoma"/>
                <w:noProof/>
                <w:sz w:val="20"/>
                <w:szCs w:val="20"/>
              </w:rPr>
            </w:pPr>
            <w:r>
              <w:rPr>
                <w:rFonts w:ascii="Tahoma" w:hAnsi="Tahoma" w:cs="Tahoma"/>
                <w:noProof/>
                <w:sz w:val="20"/>
                <w:szCs w:val="20"/>
              </w:rPr>
              <w:t xml:space="preserve">Option 2 - Soft law </w:t>
            </w:r>
          </w:p>
          <w:p>
            <w:pPr>
              <w:pStyle w:val="ListParagraph"/>
              <w:numPr>
                <w:ilvl w:val="0"/>
                <w:numId w:val="1"/>
              </w:numPr>
              <w:spacing w:after="60"/>
              <w:ind w:left="284" w:hanging="284"/>
              <w:contextualSpacing w:val="0"/>
              <w:jc w:val="both"/>
              <w:rPr>
                <w:rFonts w:ascii="Tahoma" w:hAnsi="Tahoma" w:cs="Tahoma"/>
                <w:noProof/>
                <w:sz w:val="20"/>
                <w:szCs w:val="20"/>
              </w:rPr>
            </w:pPr>
            <w:r>
              <w:rPr>
                <w:rFonts w:ascii="Tahoma" w:hAnsi="Tahoma" w:cs="Tahoma"/>
                <w:noProof/>
                <w:sz w:val="20"/>
                <w:szCs w:val="20"/>
              </w:rPr>
              <w:t xml:space="preserve">Option 3 - Minimum legislative changes </w:t>
            </w:r>
          </w:p>
          <w:p>
            <w:pPr>
              <w:pStyle w:val="ListParagraph"/>
              <w:numPr>
                <w:ilvl w:val="0"/>
                <w:numId w:val="1"/>
              </w:numPr>
              <w:spacing w:after="60"/>
              <w:ind w:left="284" w:hanging="284"/>
              <w:contextualSpacing w:val="0"/>
              <w:jc w:val="both"/>
              <w:rPr>
                <w:rFonts w:ascii="Tahoma" w:hAnsi="Tahoma" w:cs="Tahoma"/>
                <w:noProof/>
                <w:sz w:val="20"/>
                <w:szCs w:val="20"/>
              </w:rPr>
            </w:pPr>
            <w:r>
              <w:rPr>
                <w:rFonts w:ascii="Tahoma" w:hAnsi="Tahoma" w:cs="Tahoma"/>
                <w:noProof/>
                <w:sz w:val="20"/>
                <w:szCs w:val="20"/>
              </w:rPr>
              <w:t xml:space="preserve">Option 4 - Comprehensive legislative </w:t>
            </w:r>
          </w:p>
          <w:p>
            <w:pPr>
              <w:pStyle w:val="ListParagraph"/>
              <w:numPr>
                <w:ilvl w:val="0"/>
                <w:numId w:val="1"/>
              </w:numPr>
              <w:spacing w:after="60"/>
              <w:ind w:left="284" w:hanging="284"/>
              <w:contextualSpacing w:val="0"/>
              <w:jc w:val="both"/>
              <w:rPr>
                <w:rFonts w:ascii="Tahoma" w:hAnsi="Tahoma" w:cs="Tahoma"/>
                <w:noProof/>
                <w:sz w:val="20"/>
                <w:szCs w:val="20"/>
              </w:rPr>
            </w:pPr>
            <w:r>
              <w:rPr>
                <w:rFonts w:ascii="Tahoma" w:hAnsi="Tahoma" w:cs="Tahoma"/>
                <w:noProof/>
                <w:sz w:val="20"/>
                <w:szCs w:val="20"/>
              </w:rPr>
              <w:t>Option 5 - Voluntary prior authorisation to marketing</w:t>
            </w:r>
          </w:p>
          <w:p>
            <w:pPr>
              <w:spacing w:after="60"/>
              <w:jc w:val="both"/>
              <w:rPr>
                <w:rFonts w:ascii="Tahoma" w:hAnsi="Tahoma" w:cs="Tahoma"/>
                <w:noProof/>
                <w:sz w:val="20"/>
                <w:szCs w:val="20"/>
              </w:rPr>
            </w:pPr>
            <w:r>
              <w:rPr>
                <w:rFonts w:ascii="Tahoma" w:hAnsi="Tahoma" w:cs="Tahoma"/>
                <w:noProof/>
                <w:sz w:val="20"/>
                <w:szCs w:val="20"/>
              </w:rPr>
              <w:t>The preferred option is option 4 complemented by option 2.</w:t>
            </w:r>
          </w:p>
        </w:tc>
      </w:tr>
      <w:tr>
        <w:tc>
          <w:tcPr>
            <w:tcW w:w="9747" w:type="dxa"/>
            <w:shd w:val="clear" w:color="auto" w:fill="CCCCCC"/>
          </w:tcPr>
          <w:p>
            <w:pPr>
              <w:spacing w:after="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9747" w:type="dxa"/>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Option 2 was supported by all, if complemented by other tools. </w:t>
            </w:r>
          </w:p>
          <w:p>
            <w:pPr>
              <w:spacing w:after="60"/>
              <w:jc w:val="both"/>
              <w:rPr>
                <w:rFonts w:ascii="Tahoma" w:hAnsi="Tahoma" w:cs="Tahoma"/>
                <w:noProof/>
                <w:sz w:val="20"/>
                <w:szCs w:val="20"/>
              </w:rPr>
            </w:pPr>
            <w:r>
              <w:rPr>
                <w:rFonts w:ascii="Tahoma" w:hAnsi="Tahoma" w:cs="Tahoma"/>
                <w:noProof/>
                <w:sz w:val="20"/>
                <w:szCs w:val="20"/>
              </w:rPr>
              <w:t xml:space="preserve">Option 3 was considered potentially effective by all but to a less extent than other options. </w:t>
            </w:r>
          </w:p>
          <w:p>
            <w:pPr>
              <w:spacing w:after="60"/>
              <w:jc w:val="both"/>
              <w:rPr>
                <w:rFonts w:ascii="Tahoma" w:hAnsi="Tahoma" w:cs="Tahoma"/>
                <w:noProof/>
                <w:sz w:val="20"/>
                <w:szCs w:val="20"/>
              </w:rPr>
            </w:pPr>
            <w:r>
              <w:rPr>
                <w:rFonts w:ascii="Tahoma" w:hAnsi="Tahoma" w:cs="Tahoma"/>
                <w:noProof/>
                <w:sz w:val="20"/>
                <w:szCs w:val="20"/>
              </w:rPr>
              <w:t xml:space="preserve">Option 4 was considered by all as the most effective. </w:t>
            </w:r>
          </w:p>
          <w:p>
            <w:pPr>
              <w:spacing w:after="60"/>
              <w:jc w:val="both"/>
              <w:rPr>
                <w:rFonts w:ascii="Tahoma" w:hAnsi="Tahoma" w:cs="Tahoma"/>
                <w:noProof/>
                <w:sz w:val="20"/>
                <w:szCs w:val="20"/>
              </w:rPr>
            </w:pPr>
            <w:r>
              <w:rPr>
                <w:rFonts w:ascii="Tahoma" w:hAnsi="Tahoma" w:cs="Tahoma"/>
                <w:noProof/>
                <w:sz w:val="20"/>
                <w:szCs w:val="20"/>
              </w:rPr>
              <w:t>There was a consensus against option 5.</w:t>
            </w:r>
          </w:p>
        </w:tc>
      </w:tr>
      <w:tr>
        <w:tc>
          <w:tcPr>
            <w:tcW w:w="9747" w:type="dxa"/>
            <w:tcBorders>
              <w:bottom w:val="single" w:sz="4" w:space="0" w:color="auto"/>
            </w:tcBorders>
            <w:shd w:val="clear" w:color="auto" w:fill="CCCCCC"/>
          </w:tcPr>
          <w:p>
            <w:pPr>
              <w:spacing w:after="60"/>
              <w:jc w:val="center"/>
              <w:rPr>
                <w:rFonts w:ascii="Tahoma" w:hAnsi="Tahoma" w:cs="Tahoma"/>
                <w:b/>
                <w:noProof/>
                <w:sz w:val="20"/>
                <w:szCs w:val="20"/>
              </w:rPr>
            </w:pPr>
            <w:r>
              <w:rPr>
                <w:rFonts w:ascii="Tahoma" w:hAnsi="Tahoma" w:cs="Tahoma"/>
                <w:b/>
                <w:noProof/>
                <w:sz w:val="20"/>
                <w:szCs w:val="20"/>
              </w:rPr>
              <w:t>C. Impacts of the preferred option</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Option 4 combined with option 2 will increase awareness and knowledge about mutual recognition, while bringing legal certainty on the application of the principle and improving administrative cooperation among Member States.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Costs for companies are minimal. Member States and the Commission will bear certain necessary costs, estimated as follows: organisation and coordination of awareness and training events (500 000 Euro), exchange of officials' scheme (170 000 Euro per year), the fast track appeal procedure (3-4 Commission FTEs, 225 000-300 000 Euro per year), increased administrative cooperation (1 200 000 Euro per year).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Micro and SMEs will be positively impacted by the initiative without incurring any additional costs. </w:t>
            </w:r>
          </w:p>
        </w:tc>
      </w:tr>
      <w:tr>
        <w:tc>
          <w:tcPr>
            <w:tcW w:w="9747" w:type="dxa"/>
            <w:tcBorders>
              <w:bottom w:val="single" w:sz="4" w:space="0" w:color="auto"/>
            </w:tcBorders>
            <w:shd w:val="clear" w:color="auto" w:fill="E6E6E6"/>
          </w:tcPr>
          <w:p>
            <w:pPr>
              <w:spacing w:after="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9747" w:type="dxa"/>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Product Contact Points may be affected as appropriate resources will be needed for the entrusted tasks.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There will be bigger market opportunities for companies, in particular the innovative ones.  </w:t>
            </w:r>
          </w:p>
        </w:tc>
      </w:tr>
    </w:tbl>
    <w:p>
      <w:pPr>
        <w:rPr>
          <w:noProof/>
        </w:rPr>
      </w:pPr>
      <w:r>
        <w:rPr>
          <w:noProof/>
        </w:rPr>
        <w:br w:type="page"/>
      </w:r>
    </w:p>
    <w:tbl>
      <w:tblPr>
        <w:tblStyle w:val="TableGrid"/>
        <w:tblW w:w="9747" w:type="dxa"/>
        <w:tblLook w:val="01E0" w:firstRow="1" w:lastRow="1" w:firstColumn="1" w:lastColumn="1" w:noHBand="0" w:noVBand="0"/>
      </w:tblPr>
      <w:tblGrid>
        <w:gridCol w:w="9747"/>
      </w:tblGrid>
      <w:tr>
        <w:tc>
          <w:tcPr>
            <w:tcW w:w="9747" w:type="dxa"/>
            <w:tcBorders>
              <w:bottom w:val="single" w:sz="4" w:space="0" w:color="auto"/>
            </w:tcBorders>
            <w:shd w:val="clear" w:color="auto" w:fill="C0C0C0"/>
          </w:tcPr>
          <w:p>
            <w:pPr>
              <w:spacing w:after="60"/>
              <w:jc w:val="center"/>
              <w:rPr>
                <w:rFonts w:ascii="Tahoma" w:hAnsi="Tahoma" w:cs="Tahoma"/>
                <w:b/>
                <w:noProof/>
                <w:sz w:val="20"/>
                <w:szCs w:val="20"/>
              </w:rPr>
            </w:pPr>
            <w:r>
              <w:rPr>
                <w:rFonts w:ascii="Tahoma" w:hAnsi="Tahoma" w:cs="Tahoma"/>
                <w:b/>
                <w:noProof/>
                <w:sz w:val="20"/>
                <w:szCs w:val="20"/>
              </w:rPr>
              <w:lastRenderedPageBreak/>
              <w:t>D. Follow up</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The Commission would report to the European Parliament and to the Council five years after the entry into force of the new regulation and every five years thereafter.</w:t>
            </w:r>
          </w:p>
        </w:tc>
      </w:tr>
    </w:tbl>
    <w:p>
      <w:pPr>
        <w:rPr>
          <w:rFonts w:ascii="Tahoma" w:hAnsi="Tahoma" w:cs="Tahoma"/>
          <w:noProof/>
          <w:sz w:val="20"/>
          <w:szCs w:val="20"/>
        </w:rPr>
      </w:pPr>
    </w:p>
    <w:sectPr>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21775996"/>
      <w:docPartObj>
        <w:docPartGallery w:val="Page Numbers (Bottom of Page)"/>
        <w:docPartUnique/>
      </w:docPartObj>
    </w:sdtPr>
    <w:sdtEndPr>
      <w:rPr>
        <w:noProof/>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216"/>
    <w:multiLevelType w:val="hybridMultilevel"/>
    <w:tmpl w:val="2A961AD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revisionView w:markup="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0CDDC7E-D822-4C92-9542-43D8B09C69A6"/>
    <w:docVar w:name="LW_COVERPAGE_TYPE" w:val="1"/>
    <w:docVar w:name="LW_CROSSREFERENCE" w:val="{COM(2017) 796 final}_x000b_{SWD(2017) 471 final}_x000b_{SWD(2017) 475 final}_x000b_{SWD(2017) 476 final}_x000b_{SWD(2017) 477 final}"/>
    <w:docVar w:name="LW_DocType" w:val="NORMAL"/>
    <w:docVar w:name="LW_EMISSION" w:val="19.12.2017"/>
    <w:docVar w:name="LW_EMISSION_ISODATE" w:val="2017-12-19"/>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the mutual recognition on goods lawfully marketed in another Member State"/>
    <w:docVar w:name="LW_PART_NBR" w:val="1"/>
    <w:docVar w:name="LW_PART_NBR_TOTAL" w:val="1"/>
    <w:docVar w:name="LW_REF.INST.NEW" w:val="SWD"/>
    <w:docVar w:name="LW_REF.INST.NEW_ADOPTED" w:val="final"/>
    <w:docVar w:name="LW_REF.INST.NEW_TEXT" w:val="(2017)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customStyle="1" w:styleId="Text3">
    <w:name w:val="Text 3"/>
    <w:basedOn w:val="Normal"/>
    <w:pPr>
      <w:tabs>
        <w:tab w:val="left" w:pos="2302"/>
      </w:tabs>
      <w:spacing w:after="240"/>
      <w:ind w:left="1202"/>
      <w:jc w:val="both"/>
    </w:pPr>
    <w:rPr>
      <w:szCs w:val="20"/>
      <w:lang w:eastAsia="en-U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customStyle="1" w:styleId="Text3">
    <w:name w:val="Text 3"/>
    <w:basedOn w:val="Normal"/>
    <w:pPr>
      <w:tabs>
        <w:tab w:val="left" w:pos="2302"/>
      </w:tabs>
      <w:spacing w:after="240"/>
      <w:ind w:left="1202"/>
      <w:jc w:val="both"/>
    </w:pPr>
    <w:rPr>
      <w:szCs w:val="20"/>
      <w:lang w:eastAsia="en-U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7EFD9B919FF4BA61E610B5F3FFB70" ma:contentTypeVersion="1" ma:contentTypeDescription="Create a new document." ma:contentTypeScope="" ma:versionID="aa558f749e9fe6460ed6440df957c349">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D33F7-210E-460D-B1EA-C6B5F2306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3035</Characters>
  <Application>Microsoft Office Word</Application>
  <DocSecurity>0</DocSecurity>
  <Lines>57</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2017-12-11T15:37:00Z</cp:lastPrinted>
  <dcterms:created xsi:type="dcterms:W3CDTF">2017-12-11T15:37:00Z</dcterms:created>
  <dcterms:modified xsi:type="dcterms:W3CDTF">2017-12-19T08:26:00Z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0x0101007527EFD9B919FF4BA61E610B5F3FFB70</vt:lpwstr>
  </property>
  <property fmtid="{D5CDD505-2E9C-101B-9397-08002B2CF9AE}" pid="10" name="TemplateUrl">
    <vt:lpwstr/>
  </property>
  <property fmtid="{D5CDD505-2E9C-101B-9397-08002B2CF9AE}" pid="11" name="Level of sensitivity">
    <vt:lpwstr>Standard treatment</vt:lpwstr>
  </property>
</Properties>
</file>