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D5E4DE1-B953-4E0B-8D0A-E68F9B3D782F" style="width:450.65pt;height:403.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1"/>
        <w:jc w:val="center"/>
        <w:rPr>
          <w:rFonts w:ascii="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lastRenderedPageBreak/>
        <w:t>Executive summary</w:t>
      </w:r>
    </w:p>
    <w:p>
      <w:pPr>
        <w:spacing w:after="120" w:line="240" w:lineRule="auto"/>
        <w:jc w:val="both"/>
        <w:rPr>
          <w:rFonts w:ascii="Times New Roman" w:hAnsi="Times New Roman" w:cs="Times New Roman"/>
          <w:noProof/>
        </w:rPr>
      </w:pPr>
      <w:r>
        <w:rPr>
          <w:rFonts w:ascii="Times New Roman" w:hAnsi="Times New Roman" w:cs="Times New Roman"/>
          <w:noProof/>
        </w:rPr>
        <w:t xml:space="preserve">Mutual recognition is influential for a proper functioning of the single market for goods. It consists of a principle, embedded in Articles 34 and 36 of the Treaty on the Functioning of the European Union (TFEU), and further elaborated on in the case law, and of a legal act, Regulation (EC) No 764/2008 (the Mutual Recognition Regulation), defining the practical modalities of its implementation. </w:t>
      </w:r>
    </w:p>
    <w:p>
      <w:pPr>
        <w:spacing w:after="120" w:line="240" w:lineRule="auto"/>
        <w:jc w:val="both"/>
        <w:rPr>
          <w:rFonts w:ascii="Times New Roman" w:hAnsi="Times New Roman" w:cs="Times New Roman"/>
          <w:noProof/>
        </w:rPr>
      </w:pPr>
      <w:r>
        <w:rPr>
          <w:rFonts w:ascii="Times New Roman" w:hAnsi="Times New Roman" w:cs="Times New Roman"/>
          <w:noProof/>
        </w:rPr>
        <w:t>If a business is lawfully selling a product in one Member State, it should be able to sell it in other Member States without adapting it to the national rules of that Member State, even when there are no common European rules on how the product has to be manufactured (rules on i.e. characteristics of the product, size, composition, etc.). The right to sell a product lawfully marketed in another Member State</w:t>
      </w:r>
      <w:r>
        <w:rPr>
          <w:rStyle w:val="FootnoteReference"/>
          <w:rFonts w:ascii="Times New Roman" w:hAnsi="Times New Roman" w:cs="Times New Roman"/>
          <w:noProof/>
        </w:rPr>
        <w:footnoteReference w:id="1"/>
      </w:r>
      <w:r>
        <w:rPr>
          <w:rFonts w:ascii="Times New Roman" w:hAnsi="Times New Roman" w:cs="Times New Roman"/>
          <w:noProof/>
        </w:rPr>
        <w:t xml:space="preserve"> can be refused only when the Member State of destination has diverging product requirements whose mandatory imposition is justified by the need to protect a certain public interest, and those requirements are necessary and proportionate for achieving that objective. This is the principle of mutual recognition in the field of goods. The application of the principle has proved to be problematic in practice. Therefore, in 2008, the Mutual Recognition Regulation was adopted. It introduces procedural guarantees to ensure on one hand that businesses can easily invoke their right to mutual recognition, and on the other hand that Member States use their right to deny mutual recognition in the light of the proportionality principle. </w:t>
      </w:r>
    </w:p>
    <w:p>
      <w:pPr>
        <w:spacing w:after="120" w:line="240" w:lineRule="auto"/>
        <w:jc w:val="both"/>
        <w:rPr>
          <w:rFonts w:ascii="Times New Roman" w:hAnsi="Times New Roman" w:cs="Times New Roman"/>
          <w:noProof/>
        </w:rPr>
      </w:pPr>
      <w:r>
        <w:rPr>
          <w:rFonts w:ascii="Times New Roman" w:hAnsi="Times New Roman" w:cs="Times New Roman"/>
          <w:noProof/>
        </w:rPr>
        <w:t>This evaluation assessed the functioning of mutual recognition in the field of goods, i.e. the mutual recognition principle and the Mutual Recognition Regulation. Its findings feed the impact assessment for the planned initiative on achieving higher and better mutual recognition, called upon in the Single Market Strategy, Upgrading the Single Market: more opportunities for people and business, adopted on 28 October 2015</w:t>
      </w:r>
      <w:r>
        <w:rPr>
          <w:rFonts w:ascii="Times New Roman" w:hAnsi="Times New Roman" w:cs="Times New Roman"/>
          <w:noProof/>
          <w:vertAlign w:val="superscript"/>
        </w:rPr>
        <w:footnoteReference w:id="2"/>
      </w:r>
      <w:r>
        <w:rPr>
          <w:rFonts w:ascii="Times New Roman" w:hAnsi="Times New Roman" w:cs="Times New Roman"/>
          <w:noProof/>
        </w:rPr>
        <w:t>, and one of the main objectives of the 2017 Commission Work Programme</w:t>
      </w:r>
      <w:r>
        <w:rPr>
          <w:rFonts w:ascii="Times New Roman" w:hAnsi="Times New Roman" w:cs="Times New Roman"/>
          <w:noProof/>
          <w:vertAlign w:val="superscript"/>
        </w:rPr>
        <w:footnoteReference w:id="3"/>
      </w:r>
      <w:r>
        <w:rPr>
          <w:rFonts w:ascii="Times New Roman" w:hAnsi="Times New Roman" w:cs="Times New Roman"/>
          <w:noProof/>
          <w:vertAlign w:val="superscript"/>
        </w:rPr>
        <w:t xml:space="preserve">.  </w:t>
      </w:r>
      <w:r>
        <w:rPr>
          <w:rFonts w:ascii="Times New Roman" w:hAnsi="Times New Roman" w:cs="Times New Roman"/>
          <w:noProof/>
        </w:rPr>
        <w:t xml:space="preserve">This initiative, called "the Goods package", aims to give citizens and businesses the assurance that the Single Market protects and empowers them by proposing, on the one hand, to strengthen the implementation of EU harmonisation legislation by supporting compliance and enforcement and on the other, to give a major boost to mutual recognition in the area of goods. The initiative has been linked to the REFIT programme due to the impacts that the malfunctioning of mutual recognition has on the internal market. </w:t>
      </w:r>
    </w:p>
    <w:p>
      <w:pPr>
        <w:spacing w:after="120" w:line="240" w:lineRule="auto"/>
        <w:jc w:val="both"/>
        <w:rPr>
          <w:rFonts w:ascii="Times New Roman" w:hAnsi="Times New Roman" w:cs="Times New Roman"/>
          <w:b/>
          <w:noProof/>
          <w:u w:val="single"/>
        </w:rPr>
      </w:pPr>
      <w:r>
        <w:rPr>
          <w:rFonts w:ascii="Times New Roman" w:hAnsi="Times New Roman" w:cs="Times New Roman"/>
          <w:b/>
          <w:noProof/>
          <w:u w:val="single"/>
        </w:rPr>
        <w:t>Effectiveness</w:t>
      </w:r>
    </w:p>
    <w:p>
      <w:pPr>
        <w:spacing w:after="120" w:line="240" w:lineRule="auto"/>
        <w:jc w:val="both"/>
        <w:rPr>
          <w:rFonts w:ascii="Times New Roman" w:hAnsi="Times New Roman" w:cs="Times New Roman"/>
          <w:noProof/>
        </w:rPr>
      </w:pPr>
      <w:r>
        <w:rPr>
          <w:rFonts w:ascii="Times New Roman" w:hAnsi="Times New Roman" w:cs="Times New Roman"/>
          <w:noProof/>
        </w:rPr>
        <w:t xml:space="preserve">The general objective of the mutual recognition principle and Regulation was </w:t>
      </w:r>
      <w:r>
        <w:rPr>
          <w:rFonts w:ascii="Times New Roman" w:hAnsi="Times New Roman" w:cs="Times New Roman"/>
          <w:b/>
          <w:noProof/>
        </w:rPr>
        <w:t>to facilitate free movement of goods in the non-harmonised area.</w:t>
      </w:r>
      <w:r>
        <w:rPr>
          <w:rFonts w:ascii="Times New Roman" w:hAnsi="Times New Roman" w:cs="Times New Roman"/>
          <w:noProof/>
        </w:rPr>
        <w:t xml:space="preserve"> Additionally, the Regulation had the following specific objectives:</w:t>
      </w:r>
    </w:p>
    <w:p>
      <w:pPr>
        <w:pStyle w:val="ListParagraph"/>
        <w:numPr>
          <w:ilvl w:val="0"/>
          <w:numId w:val="1"/>
        </w:numPr>
        <w:spacing w:after="120" w:line="240" w:lineRule="auto"/>
        <w:ind w:left="567" w:hanging="567"/>
        <w:jc w:val="both"/>
        <w:rPr>
          <w:rFonts w:ascii="Times New Roman" w:hAnsi="Times New Roman" w:cs="Times New Roman"/>
          <w:i/>
          <w:noProof/>
          <w:lang w:val="en-GB"/>
        </w:rPr>
      </w:pPr>
      <w:r>
        <w:rPr>
          <w:rFonts w:ascii="Times New Roman" w:hAnsi="Times New Roman" w:cs="Times New Roman"/>
          <w:i/>
          <w:noProof/>
          <w:lang w:val="en-GB"/>
        </w:rPr>
        <w:t xml:space="preserve">To increase awareness of the principle , </w:t>
      </w:r>
    </w:p>
    <w:p>
      <w:pPr>
        <w:pStyle w:val="ListParagraph"/>
        <w:numPr>
          <w:ilvl w:val="0"/>
          <w:numId w:val="1"/>
        </w:numPr>
        <w:spacing w:after="120" w:line="240" w:lineRule="auto"/>
        <w:ind w:left="567" w:hanging="567"/>
        <w:jc w:val="both"/>
        <w:rPr>
          <w:rFonts w:ascii="Times New Roman" w:hAnsi="Times New Roman" w:cs="Times New Roman"/>
          <w:i/>
          <w:noProof/>
          <w:lang w:val="en-GB"/>
        </w:rPr>
      </w:pPr>
      <w:r>
        <w:rPr>
          <w:rFonts w:ascii="Times New Roman" w:hAnsi="Times New Roman" w:cs="Times New Roman"/>
          <w:i/>
          <w:noProof/>
          <w:lang w:val="en-GB"/>
        </w:rPr>
        <w:t xml:space="preserve">To ensure legal certainty when using the principle, </w:t>
      </w:r>
    </w:p>
    <w:p>
      <w:pPr>
        <w:pStyle w:val="ListParagraph"/>
        <w:numPr>
          <w:ilvl w:val="0"/>
          <w:numId w:val="1"/>
        </w:numPr>
        <w:spacing w:after="120" w:line="240" w:lineRule="auto"/>
        <w:ind w:left="567" w:hanging="567"/>
        <w:jc w:val="both"/>
        <w:rPr>
          <w:rFonts w:ascii="Times New Roman" w:hAnsi="Times New Roman" w:cs="Times New Roman"/>
          <w:i/>
          <w:noProof/>
          <w:lang w:val="en-GB"/>
        </w:rPr>
      </w:pPr>
      <w:r>
        <w:rPr>
          <w:rFonts w:ascii="Times New Roman" w:hAnsi="Times New Roman" w:cs="Times New Roman"/>
          <w:i/>
          <w:noProof/>
          <w:lang w:val="en-GB"/>
        </w:rPr>
        <w:t xml:space="preserve">To improve administrative cooperation among national authorities when applying the principle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Despite the existence of the principle and the adoption of the Regulation, free movement of goods in the non-harmonised area remains problematic. Businesses are still facing difficulties with regards to market access, even if their products are already lawfully marketed in other Member States. Thus, they often adapt their products or give up entering a new market. The comparison of the value of the intra EU exports with domestic consumption shows that for harmonised products, the value of intra EU exports is 55% of the domestic consumption, while for the non-harmonised and partially harmonised goods it represents only 35%. Stakeholders' consultation shows that the level of awareness about mutual recognition increased over the years, but not sufficiently. All stakeholders consider that awareness should be increased, and that this should be one of the Commission's main priorities. Legal certainty when using mutual recognition remains a major obstacle to free movement of non-harmonised products, </w:t>
      </w:r>
      <w:r>
        <w:rPr>
          <w:rFonts w:ascii="Times New Roman" w:hAnsi="Times New Roman" w:cs="Times New Roman"/>
          <w:noProof/>
        </w:rPr>
        <w:lastRenderedPageBreak/>
        <w:t xml:space="preserve">and one of the main reasons why businesses and national authorities are reluctant towards mutual recognition. As regards administrative cooperation, the evaluation shows that it needs to be further enhanced in order to facilitate the application of the mutual recognition principle. Furthermore, the lack of reliable data on the functioning of mutual recognition needs to be addressed, in order to allow the gathering of accurate data on how mutual recognition impacts the free movement of goods. </w:t>
      </w:r>
    </w:p>
    <w:p>
      <w:pPr>
        <w:spacing w:after="120" w:line="240" w:lineRule="auto"/>
        <w:jc w:val="both"/>
        <w:rPr>
          <w:rFonts w:ascii="Times New Roman" w:hAnsi="Times New Roman" w:cs="Times New Roman"/>
          <w:b/>
          <w:noProof/>
          <w:u w:val="single"/>
        </w:rPr>
      </w:pPr>
      <w:r>
        <w:rPr>
          <w:rFonts w:ascii="Times New Roman" w:hAnsi="Times New Roman" w:cs="Times New Roman"/>
          <w:b/>
          <w:noProof/>
          <w:u w:val="single"/>
        </w:rPr>
        <w:t xml:space="preserve">Efficiency </w:t>
      </w:r>
    </w:p>
    <w:p>
      <w:pPr>
        <w:spacing w:after="120" w:line="240" w:lineRule="auto"/>
        <w:jc w:val="both"/>
        <w:rPr>
          <w:rFonts w:ascii="Times New Roman" w:hAnsi="Times New Roman" w:cs="Times New Roman"/>
          <w:noProof/>
        </w:rPr>
      </w:pPr>
      <w:r>
        <w:rPr>
          <w:rFonts w:ascii="Times New Roman" w:hAnsi="Times New Roman" w:cs="Times New Roman"/>
          <w:noProof/>
        </w:rPr>
        <w:t>In terms of costs, the Regulation generated few costs for national authorities: the implementation and functioning of the PCPs (EURO 7417-47 450, based on 1 FTE) and the costs related to the assessment of products lawfully marketed in another Member State (EURO 420 000 in one sector such as fertilisers). The main costs incurred by businesses are rather due to the incorrect application of mutual recognition. They have to adapt their products, redo tests and procedures (EURO 1000-150 000 per product and market), or lose opportunities (EURO 40 000-500 000 per product and market). National authorities tend to agree that the costs are proportionate to the benefits, while businesses mostly disagree. A study done for the European Parliament</w:t>
      </w:r>
      <w:r>
        <w:rPr>
          <w:rStyle w:val="FootnoteReference"/>
          <w:rFonts w:ascii="Times New Roman" w:hAnsi="Times New Roman" w:cs="Times New Roman"/>
          <w:noProof/>
        </w:rPr>
        <w:footnoteReference w:id="4"/>
      </w:r>
      <w:r>
        <w:rPr>
          <w:rFonts w:ascii="Times New Roman" w:hAnsi="Times New Roman" w:cs="Times New Roman"/>
          <w:noProof/>
        </w:rPr>
        <w:t xml:space="preserve">  shows that a reduction of barriers to trade could lead to an increase in intra-EU trade of more than 100 billion EUR per year. The fact that mutual recognition does not function as well as it should is, de facto, a regulatory burden triggering barriers to trade. Therefore, any efforts to improve it would result in simplification for businesses. </w:t>
      </w:r>
    </w:p>
    <w:p>
      <w:pPr>
        <w:spacing w:after="120" w:line="240" w:lineRule="auto"/>
        <w:jc w:val="both"/>
        <w:rPr>
          <w:rFonts w:ascii="Times New Roman" w:hAnsi="Times New Roman" w:cs="Times New Roman"/>
          <w:b/>
          <w:noProof/>
          <w:u w:val="single"/>
        </w:rPr>
      </w:pPr>
      <w:r>
        <w:rPr>
          <w:rFonts w:ascii="Times New Roman" w:hAnsi="Times New Roman" w:cs="Times New Roman"/>
          <w:b/>
          <w:noProof/>
          <w:u w:val="single"/>
        </w:rPr>
        <w:t>Coherence</w:t>
      </w:r>
    </w:p>
    <w:p>
      <w:pPr>
        <w:tabs>
          <w:tab w:val="num" w:pos="720"/>
        </w:tabs>
        <w:spacing w:after="120" w:line="240" w:lineRule="auto"/>
        <w:jc w:val="both"/>
        <w:rPr>
          <w:rFonts w:ascii="Times New Roman" w:hAnsi="Times New Roman" w:cs="Times New Roman"/>
          <w:noProof/>
        </w:rPr>
      </w:pPr>
      <w:r>
        <w:rPr>
          <w:rFonts w:ascii="Times New Roman" w:hAnsi="Times New Roman" w:cs="Times New Roman"/>
          <w:noProof/>
        </w:rPr>
        <w:t>There does not seem to be any contradiction between mutual recognition and other EU policies in this area. Rather, the mutual recognition principle and the Regulation complement and are coherent with a number of initiatives such as the "Transparency" Directive</w:t>
      </w:r>
      <w:r>
        <w:rPr>
          <w:noProof/>
          <w:vertAlign w:val="superscript"/>
        </w:rPr>
        <w:footnoteReference w:id="5"/>
      </w:r>
      <w:r>
        <w:rPr>
          <w:rFonts w:ascii="Times New Roman" w:hAnsi="Times New Roman" w:cs="Times New Roman"/>
          <w:noProof/>
        </w:rPr>
        <w:t>, the Construction Products Regulation</w:t>
      </w:r>
      <w:r>
        <w:rPr>
          <w:noProof/>
          <w:vertAlign w:val="superscript"/>
        </w:rPr>
        <w:footnoteReference w:id="6"/>
      </w:r>
      <w:r>
        <w:rPr>
          <w:rFonts w:ascii="Times New Roman" w:hAnsi="Times New Roman" w:cs="Times New Roman"/>
          <w:noProof/>
        </w:rPr>
        <w:t>, The SOLVIT network</w:t>
      </w:r>
      <w:r>
        <w:rPr>
          <w:noProof/>
          <w:vertAlign w:val="superscript"/>
        </w:rPr>
        <w:footnoteReference w:id="7"/>
      </w:r>
      <w:r>
        <w:rPr>
          <w:rFonts w:ascii="Times New Roman" w:hAnsi="Times New Roman" w:cs="Times New Roman"/>
          <w:noProof/>
        </w:rPr>
        <w:t>, the General Product Safety Directive</w:t>
      </w:r>
      <w:r>
        <w:rPr>
          <w:rStyle w:val="FootnoteReference"/>
          <w:rFonts w:ascii="Times New Roman" w:hAnsi="Times New Roman" w:cs="Times New Roman"/>
          <w:noProof/>
        </w:rPr>
        <w:footnoteReference w:id="8"/>
      </w:r>
      <w:r>
        <w:rPr>
          <w:rFonts w:ascii="Times New Roman" w:hAnsi="Times New Roman" w:cs="Times New Roman"/>
          <w:noProof/>
        </w:rPr>
        <w:t xml:space="preserve"> and EU harmonisation legislation. </w:t>
      </w:r>
    </w:p>
    <w:p>
      <w:pPr>
        <w:spacing w:after="120" w:line="240" w:lineRule="auto"/>
        <w:jc w:val="both"/>
        <w:rPr>
          <w:rFonts w:ascii="Times New Roman" w:hAnsi="Times New Roman" w:cs="Times New Roman"/>
          <w:b/>
          <w:noProof/>
          <w:u w:val="single"/>
        </w:rPr>
      </w:pPr>
      <w:r>
        <w:rPr>
          <w:rFonts w:ascii="Times New Roman" w:hAnsi="Times New Roman" w:cs="Times New Roman"/>
          <w:b/>
          <w:noProof/>
          <w:u w:val="single"/>
        </w:rPr>
        <w:t xml:space="preserve">Relevance </w:t>
      </w:r>
    </w:p>
    <w:p>
      <w:pPr>
        <w:tabs>
          <w:tab w:val="num" w:pos="720"/>
        </w:tabs>
        <w:spacing w:after="120" w:line="240" w:lineRule="auto"/>
        <w:jc w:val="both"/>
        <w:rPr>
          <w:rFonts w:ascii="Times New Roman" w:hAnsi="Times New Roman" w:cs="Times New Roman"/>
          <w:noProof/>
        </w:rPr>
      </w:pPr>
      <w:r>
        <w:rPr>
          <w:rFonts w:ascii="Times New Roman" w:hAnsi="Times New Roman" w:cs="Times New Roman"/>
          <w:noProof/>
        </w:rPr>
        <w:t xml:space="preserve">Mutual recognition is seen as an alternative to harmonisation, when the latest is not necessary, justified and proportionate. There are currently 0.99 million enterprises operating in the non-harmonised area.  It is particularly relevant for supporting innovation. </w:t>
      </w:r>
    </w:p>
    <w:p>
      <w:pPr>
        <w:tabs>
          <w:tab w:val="num" w:pos="720"/>
        </w:tabs>
        <w:spacing w:after="120" w:line="240" w:lineRule="auto"/>
        <w:jc w:val="both"/>
        <w:rPr>
          <w:rFonts w:ascii="Times New Roman" w:hAnsi="Times New Roman" w:cs="Times New Roman"/>
          <w:b/>
          <w:noProof/>
          <w:u w:val="single"/>
        </w:rPr>
      </w:pPr>
      <w:r>
        <w:rPr>
          <w:rFonts w:ascii="Times New Roman" w:hAnsi="Times New Roman" w:cs="Times New Roman"/>
          <w:b/>
          <w:noProof/>
          <w:u w:val="single"/>
        </w:rPr>
        <w:t xml:space="preserve">EU added value </w:t>
      </w:r>
    </w:p>
    <w:p>
      <w:pPr>
        <w:tabs>
          <w:tab w:val="num" w:pos="720"/>
        </w:tabs>
        <w:spacing w:after="120" w:line="240" w:lineRule="auto"/>
        <w:jc w:val="both"/>
        <w:rPr>
          <w:rFonts w:ascii="Times New Roman" w:hAnsi="Times New Roman" w:cs="Times New Roman"/>
          <w:noProof/>
        </w:rPr>
      </w:pPr>
      <w:r>
        <w:rPr>
          <w:rFonts w:ascii="Times New Roman" w:hAnsi="Times New Roman" w:cs="Times New Roman"/>
          <w:noProof/>
        </w:rPr>
        <w:t xml:space="preserve">There is a general consensus among stakeholders that mutual recognition allows free movement of goods, while maintaining the Member States' regulatory autonomy and diversity. It is widely acknowledged that the objectives it sets out can be met only by acting at EU level.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361" w:bottom="1418" w:left="136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751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ind w:left="567" w:hanging="567"/>
        <w:jc w:val="both"/>
      </w:pPr>
      <w:r>
        <w:rPr>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Applies also to EEA products</w:t>
      </w:r>
    </w:p>
  </w:footnote>
  <w:footnote w:id="2">
    <w:p>
      <w:pPr>
        <w:spacing w:after="0" w:line="240" w:lineRule="auto"/>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Communication from Commission to the European Parliament, the Council, the European Economic and Social Committee and the Committee of the Regions, Upgrading the Single Market: more opportunities for people and business, COM 2015 550/2</w:t>
      </w:r>
    </w:p>
  </w:footnote>
  <w:footnote w:id="3">
    <w:p>
      <w:pPr>
        <w:spacing w:after="0" w:line="240" w:lineRule="auto"/>
        <w:ind w:left="567" w:hanging="567"/>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hyperlink r:id="rId1" w:history="1">
        <w:r>
          <w:rPr>
            <w:rStyle w:val="Hyperlink"/>
            <w:rFonts w:ascii="Times New Roman" w:hAnsi="Times New Roman" w:cs="Times New Roman"/>
            <w:sz w:val="16"/>
            <w:szCs w:val="16"/>
          </w:rPr>
          <w:t>http://ec.europa.eu/atwork/key-documents/index_en.htm</w:t>
        </w:r>
      </w:hyperlink>
      <w:r>
        <w:rPr>
          <w:rFonts w:ascii="Times New Roman" w:hAnsi="Times New Roman" w:cs="Times New Roman"/>
          <w:sz w:val="16"/>
          <w:szCs w:val="16"/>
        </w:rPr>
        <w:t xml:space="preserve"> </w:t>
      </w:r>
    </w:p>
  </w:footnote>
  <w:footnote w:id="4">
    <w:p>
      <w:pPr>
        <w:pStyle w:val="FootnoteText"/>
        <w:spacing w:after="0"/>
        <w:ind w:left="567" w:hanging="567"/>
      </w:pPr>
      <w:r>
        <w:rPr>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The costs of non –Europe in the Single market, 'Cecchini Revisited', An overview of the potential economic gains from further completion of the European Single Market, CoNE 1/204</w:t>
      </w:r>
    </w:p>
  </w:footnote>
  <w:footnote w:id="5">
    <w:p>
      <w:pPr>
        <w:pStyle w:val="FootnoteText"/>
        <w:spacing w:after="0"/>
        <w:ind w:left="567" w:hanging="567"/>
        <w:rPr>
          <w:rFonts w:ascii="Times New Roman" w:hAnsi="Times New Roman"/>
          <w:sz w:val="16"/>
          <w:szCs w:val="16"/>
        </w:rPr>
      </w:pPr>
      <w:r>
        <w:rPr>
          <w:rStyle w:val="FootnoteReference"/>
          <w:rFonts w:ascii="Times New Roman" w:hAnsi="Times New Roman"/>
          <w:sz w:val="16"/>
          <w:szCs w:val="16"/>
          <w:vertAlign w:val="baseline"/>
        </w:rPr>
        <w:footnoteRef/>
      </w:r>
      <w:r>
        <w:rPr>
          <w:rFonts w:ascii="Times New Roman" w:hAnsi="Times New Roman"/>
          <w:sz w:val="16"/>
          <w:szCs w:val="16"/>
        </w:rPr>
        <w:t xml:space="preserve"> </w:t>
      </w:r>
      <w:r>
        <w:rPr>
          <w:rFonts w:ascii="Times New Roman" w:hAnsi="Times New Roman"/>
          <w:sz w:val="16"/>
          <w:szCs w:val="16"/>
        </w:rPr>
        <w:tab/>
        <w:t>Directive (EU) 2015/1535 laying down a procedure for the provision of information in the field of technical regulations and of rules on Information Society services</w:t>
      </w:r>
      <w:r>
        <w:rPr>
          <w:rFonts w:ascii="Times New Roman" w:hAnsi="Times New Roman"/>
          <w:iCs/>
          <w:sz w:val="16"/>
          <w:szCs w:val="16"/>
        </w:rPr>
        <w:t xml:space="preserve"> OJ L 241, 17.9.2015, p. 1–15</w:t>
      </w:r>
    </w:p>
  </w:footnote>
  <w:footnote w:id="6">
    <w:p>
      <w:pPr>
        <w:pStyle w:val="FootnoteText"/>
        <w:spacing w:after="0"/>
        <w:ind w:left="567" w:hanging="567"/>
        <w:rPr>
          <w:rFonts w:ascii="Times New Roman" w:hAnsi="Times New Roman"/>
          <w:sz w:val="16"/>
          <w:szCs w:val="16"/>
        </w:rPr>
      </w:pPr>
      <w:r>
        <w:rPr>
          <w:rStyle w:val="FootnoteReference"/>
          <w:rFonts w:ascii="Times New Roman" w:hAnsi="Times New Roman"/>
          <w:sz w:val="16"/>
          <w:szCs w:val="16"/>
          <w:vertAlign w:val="baseline"/>
        </w:rPr>
        <w:footnoteRef/>
      </w:r>
      <w:r>
        <w:rPr>
          <w:rFonts w:ascii="Times New Roman" w:hAnsi="Times New Roman"/>
          <w:sz w:val="16"/>
          <w:szCs w:val="16"/>
        </w:rPr>
        <w:t xml:space="preserve"> </w:t>
      </w:r>
      <w:r>
        <w:rPr>
          <w:rFonts w:ascii="Times New Roman" w:hAnsi="Times New Roman"/>
          <w:sz w:val="16"/>
          <w:szCs w:val="16"/>
        </w:rPr>
        <w:tab/>
        <w:t>Regulation (EU) No 305/2011 on Construction products OJ L 88, 4.4.2011, p. 5–43</w:t>
      </w:r>
    </w:p>
  </w:footnote>
  <w:footnote w:id="7">
    <w:p>
      <w:pPr>
        <w:pStyle w:val="FootnoteText"/>
        <w:spacing w:after="0"/>
        <w:ind w:left="567" w:hanging="567"/>
        <w:rPr>
          <w:rFonts w:ascii="Times New Roman" w:hAnsi="Times New Roman"/>
          <w:sz w:val="16"/>
          <w:szCs w:val="16"/>
        </w:rPr>
      </w:pPr>
      <w:r>
        <w:rPr>
          <w:rStyle w:val="FootnoteReference"/>
          <w:rFonts w:ascii="Times New Roman" w:hAnsi="Times New Roman"/>
          <w:sz w:val="16"/>
          <w:szCs w:val="16"/>
          <w:vertAlign w:val="baseline"/>
        </w:rPr>
        <w:footnoteRef/>
      </w:r>
      <w:r>
        <w:rPr>
          <w:rFonts w:ascii="Times New Roman" w:hAnsi="Times New Roman"/>
          <w:sz w:val="16"/>
          <w:szCs w:val="16"/>
        </w:rPr>
        <w:t xml:space="preserve"> </w:t>
      </w:r>
      <w:r>
        <w:rPr>
          <w:rFonts w:ascii="Times New Roman" w:hAnsi="Times New Roman"/>
          <w:sz w:val="16"/>
          <w:szCs w:val="16"/>
        </w:rPr>
        <w:tab/>
      </w:r>
      <w:hyperlink r:id="rId2" w:history="1">
        <w:r>
          <w:rPr>
            <w:rStyle w:val="Hyperlink"/>
            <w:rFonts w:ascii="Times New Roman" w:hAnsi="Times New Roman"/>
            <w:sz w:val="16"/>
            <w:szCs w:val="16"/>
          </w:rPr>
          <w:t>http://ec.europa.eu/solvit/what-is-solvit/index_en.htm</w:t>
        </w:r>
      </w:hyperlink>
      <w:r>
        <w:rPr>
          <w:rFonts w:ascii="Times New Roman" w:hAnsi="Times New Roman"/>
          <w:sz w:val="16"/>
          <w:szCs w:val="16"/>
        </w:rPr>
        <w:t xml:space="preserve"> </w:t>
      </w:r>
    </w:p>
  </w:footnote>
  <w:footnote w:id="8">
    <w:p>
      <w:pPr>
        <w:pStyle w:val="FootnoteText"/>
        <w:spacing w:after="0"/>
        <w:ind w:left="567" w:hanging="567"/>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rPr>
        <w:tab/>
        <w:t>Directive 2001/95/EC on General Product Safety, OJ, L 001? 15.01.2002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7385"/>
    <w:multiLevelType w:val="hybridMultilevel"/>
    <w:tmpl w:val="1218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D5E4DE1-B953-4E0B-8D0A-E68F9B3D782F"/>
    <w:docVar w:name="LW_COVERPAGE_TYPE" w:val="1"/>
    <w:docVar w:name="LW_CROSSREFERENCE" w:val="{COM(2017) 796 final}_x000b_{SWD(2017) 471 final}_x000b_{SWD(2017) 472 final}_x000b_{SWD(2017) 475 final}_x000b_{SWD(2017) 477 final}"/>
    <w:docVar w:name="LW_DocType" w:val="NORMAL"/>
    <w:docVar w:name="LW_EMISSION" w:val="19.12.2017"/>
    <w:docVar w:name="LW_EMISSION_ISODATE" w:val="2017-12-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mutual recognition on goods lawfully marketed in another Member State"/>
    <w:docVar w:name="LW_PART_NBR" w:val="1"/>
    <w:docVar w:name="LW_PART_NBR_TOTAL" w:val="1"/>
    <w:docVar w:name="LW_REF.INST.NEW" w:val="SWD"/>
    <w:docVar w:name="LW_REF.INST.NEW_ADOPTED" w:val="final"/>
    <w:docVar w:name="LW_REF.INST.NEW_TEXT" w:val="(2017)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REFIT EVALUATION"/>
    <w:docVar w:name="LW_TYPE.DOC.CP" w:val="COMMISSION STAFF WORKING DOCUMENT"/>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Footnote symbol,Times 10 Point,Exposant 3 Point,Appel note de bas de p,PBO Footnote Reference,FR + (Complex) Arial,(Latin) 9 pt,(Complex) 10 pt + (Compl...,Footnote reference number,Odwołanie przypisu,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link w:val="ListParagraphChar"/>
    <w:uiPriority w:val="34"/>
    <w:qFormat/>
    <w:pPr>
      <w:ind w:left="720"/>
      <w:contextualSpacing/>
    </w:pPr>
    <w:rPr>
      <w:lang w:val="fr-BE"/>
    </w:rPr>
  </w:style>
  <w:style w:type="character" w:customStyle="1" w:styleId="ListParagraphChar">
    <w:name w:val="List Paragraph Char"/>
    <w:link w:val="ListParagraph"/>
    <w:uiPriority w:val="34"/>
    <w:rPr>
      <w:lang w:val="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Verdana" w:eastAsia="Times New Roman" w:hAnsi="Verdana"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Verdana" w:eastAsia="Times New Roman" w:hAnsi="Verdana"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Footnote symbol,Times 10 Point,Exposant 3 Point,Appel note de bas de p,PBO Footnote Reference,FR + (Complex) Arial,(Latin) 9 pt,(Complex) 10 pt + (Compl...,Footnote reference number,Odwołanie przypisu,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link w:val="ListParagraphChar"/>
    <w:uiPriority w:val="34"/>
    <w:qFormat/>
    <w:pPr>
      <w:ind w:left="720"/>
      <w:contextualSpacing/>
    </w:pPr>
    <w:rPr>
      <w:lang w:val="fr-BE"/>
    </w:rPr>
  </w:style>
  <w:style w:type="character" w:customStyle="1" w:styleId="ListParagraphChar">
    <w:name w:val="List Paragraph Char"/>
    <w:link w:val="ListParagraph"/>
    <w:uiPriority w:val="34"/>
    <w:rPr>
      <w:lang w:val="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Verdana" w:eastAsia="Times New Roman" w:hAnsi="Verdana"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Verdana" w:eastAsia="Times New Roman" w:hAnsi="Verdana"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olvit/what-is-solvit/index_en.htm" TargetMode="External"/><Relationship Id="rId1" Type="http://schemas.openxmlformats.org/officeDocument/2006/relationships/hyperlink" Target="http://ec.europa.eu/atwork/key-documen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154E0-C38C-494F-863E-5C6B2677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5561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2017-03-06T09:48:00Z</cp:lastPrinted>
  <dcterms:created xsi:type="dcterms:W3CDTF">2017-12-11T15:52:00Z</dcterms:created>
  <dcterms:modified xsi:type="dcterms:W3CDTF">2017-12-19T08:26:00Z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