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66B" w:rsidRDefault="00C627B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8B9798-1D2F-4227-A2EF-C0F1135182B5" style="width:452.3pt;height:395.1pt">
            <v:imagedata r:id="rId9" o:title=""/>
          </v:shape>
        </w:pict>
      </w:r>
    </w:p>
    <w:bookmarkEnd w:id="0"/>
    <w:p w:rsidR="0037666B" w:rsidRDefault="0037666B">
      <w:pPr>
        <w:rPr>
          <w:noProof/>
          <w:szCs w:val="24"/>
        </w:rPr>
        <w:sectPr w:rsidR="0037666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rsidR="0037666B" w:rsidRDefault="00C627B8">
      <w:pPr>
        <w:pStyle w:val="TOCHeading"/>
        <w:keepNext w:val="0"/>
        <w:spacing w:before="0"/>
        <w:rPr>
          <w:noProof/>
          <w:szCs w:val="24"/>
        </w:rPr>
      </w:pPr>
      <w:r>
        <w:rPr>
          <w:noProof/>
          <w:szCs w:val="24"/>
        </w:rPr>
        <w:lastRenderedPageBreak/>
        <w:t>Contents</w:t>
      </w:r>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r>
        <w:rPr>
          <w:noProof/>
          <w:szCs w:val="24"/>
        </w:rPr>
        <w:fldChar w:fldCharType="begin"/>
      </w:r>
      <w:r>
        <w:rPr>
          <w:noProof/>
          <w:szCs w:val="24"/>
        </w:rPr>
        <w:instrText xml:space="preserve"> TOC \o "1-4" \h \t "ChapterTitle,5,PartTitle,5,SectionTitle,5" </w:instrText>
      </w:r>
      <w:r>
        <w:rPr>
          <w:noProof/>
          <w:szCs w:val="24"/>
        </w:rPr>
        <w:fldChar w:fldCharType="separate"/>
      </w:r>
      <w:hyperlink w:anchor="_Toc483992714" w:history="1">
        <w:r>
          <w:rPr>
            <w:rStyle w:val="Hyperlink"/>
            <w:noProof/>
          </w:rPr>
          <w:t>Introduction</w:t>
        </w:r>
        <w:r>
          <w:rPr>
            <w:noProof/>
          </w:rPr>
          <w:tab/>
        </w:r>
        <w:r>
          <w:rPr>
            <w:noProof/>
          </w:rPr>
          <w:fldChar w:fldCharType="begin"/>
        </w:r>
        <w:r>
          <w:rPr>
            <w:noProof/>
          </w:rPr>
          <w:instrText xml:space="preserve"> PAGEREF _Toc483992714 \h </w:instrText>
        </w:r>
        <w:r>
          <w:rPr>
            <w:noProof/>
          </w:rPr>
        </w:r>
        <w:r>
          <w:rPr>
            <w:noProof/>
          </w:rPr>
          <w:fldChar w:fldCharType="separate"/>
        </w:r>
        <w:r>
          <w:rPr>
            <w:noProof/>
          </w:rPr>
          <w:t>5</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1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Regulatory Context</w:t>
        </w:r>
        <w:r>
          <w:rPr>
            <w:noProof/>
          </w:rPr>
          <w:tab/>
        </w:r>
        <w:r>
          <w:rPr>
            <w:noProof/>
          </w:rPr>
          <w:fldChar w:fldCharType="begin"/>
        </w:r>
        <w:r>
          <w:rPr>
            <w:noProof/>
          </w:rPr>
          <w:instrText xml:space="preserve"> PAGEREF _Toc483992715 \h </w:instrText>
        </w:r>
        <w:r>
          <w:rPr>
            <w:noProof/>
          </w:rPr>
        </w:r>
        <w:r>
          <w:rPr>
            <w:noProof/>
          </w:rPr>
          <w:fldChar w:fldCharType="separate"/>
        </w:r>
        <w:r>
          <w:rPr>
            <w:noProof/>
          </w:rPr>
          <w:t>7</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1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Econo</w:t>
        </w:r>
        <w:r>
          <w:rPr>
            <w:rStyle w:val="Hyperlink"/>
            <w:noProof/>
          </w:rPr>
          <w:t>mic Context: non-harmonised products in the EU</w:t>
        </w:r>
        <w:r>
          <w:rPr>
            <w:noProof/>
          </w:rPr>
          <w:tab/>
        </w:r>
        <w:r>
          <w:rPr>
            <w:noProof/>
          </w:rPr>
          <w:fldChar w:fldCharType="begin"/>
        </w:r>
        <w:r>
          <w:rPr>
            <w:noProof/>
          </w:rPr>
          <w:instrText xml:space="preserve"> PAGEREF _Toc483992716 \h </w:instrText>
        </w:r>
        <w:r>
          <w:rPr>
            <w:noProof/>
          </w:rPr>
        </w:r>
        <w:r>
          <w:rPr>
            <w:noProof/>
          </w:rPr>
          <w:fldChar w:fldCharType="separate"/>
        </w:r>
        <w:r>
          <w:rPr>
            <w:noProof/>
          </w:rPr>
          <w:t>10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17"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Problem Definition</w:t>
        </w:r>
        <w:r>
          <w:rPr>
            <w:noProof/>
          </w:rPr>
          <w:tab/>
        </w:r>
        <w:r>
          <w:rPr>
            <w:noProof/>
          </w:rPr>
          <w:fldChar w:fldCharType="begin"/>
        </w:r>
        <w:r>
          <w:rPr>
            <w:noProof/>
          </w:rPr>
          <w:instrText xml:space="preserve"> PAGEREF _Toc483992717 \h </w:instrText>
        </w:r>
        <w:r>
          <w:rPr>
            <w:noProof/>
          </w:rPr>
        </w:r>
        <w:r>
          <w:rPr>
            <w:noProof/>
          </w:rPr>
          <w:fldChar w:fldCharType="separate"/>
        </w:r>
        <w:r>
          <w:rPr>
            <w:noProof/>
          </w:rPr>
          <w:t>12</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18"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M</w:t>
        </w:r>
        <w:r>
          <w:rPr>
            <w:rStyle w:val="Hyperlink"/>
            <w:noProof/>
          </w:rPr>
          <w:t>agnitude of the problem</w:t>
        </w:r>
        <w:r>
          <w:rPr>
            <w:noProof/>
          </w:rPr>
          <w:tab/>
        </w:r>
        <w:r>
          <w:rPr>
            <w:noProof/>
          </w:rPr>
          <w:fldChar w:fldCharType="begin"/>
        </w:r>
        <w:r>
          <w:rPr>
            <w:noProof/>
          </w:rPr>
          <w:instrText xml:space="preserve"> PAGEREF _Toc483992718 \h </w:instrText>
        </w:r>
        <w:r>
          <w:rPr>
            <w:noProof/>
          </w:rPr>
        </w:r>
        <w:r>
          <w:rPr>
            <w:noProof/>
          </w:rPr>
          <w:fldChar w:fldCharType="separate"/>
        </w:r>
        <w:r>
          <w:rPr>
            <w:noProof/>
          </w:rPr>
          <w:t>13</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19"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The drivers of the problem</w:t>
        </w:r>
        <w:r>
          <w:rPr>
            <w:noProof/>
          </w:rPr>
          <w:tab/>
        </w:r>
        <w:r>
          <w:rPr>
            <w:noProof/>
          </w:rPr>
          <w:fldChar w:fldCharType="begin"/>
        </w:r>
        <w:r>
          <w:rPr>
            <w:noProof/>
          </w:rPr>
          <w:instrText xml:space="preserve"> PAGEREF _Toc483992719 \h </w:instrText>
        </w:r>
        <w:r>
          <w:rPr>
            <w:noProof/>
          </w:rPr>
        </w:r>
        <w:r>
          <w:rPr>
            <w:noProof/>
          </w:rPr>
          <w:fldChar w:fldCharType="separate"/>
        </w:r>
        <w:r>
          <w:rPr>
            <w:noProof/>
          </w:rPr>
          <w:t>16</w:t>
        </w:r>
        <w:r>
          <w:rPr>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20" w:history="1">
        <w:r>
          <w:rPr>
            <w:rStyle w:val="Hyperlink"/>
            <w:i/>
            <w:noProof/>
          </w:rPr>
          <w:t>3.2.1.</w:t>
        </w:r>
        <w:r>
          <w:rPr>
            <w:rFonts w:asciiTheme="minorHAnsi" w:eastAsiaTheme="minorEastAsia" w:hAnsiTheme="minorHAnsi" w:cstheme="minorBidi"/>
            <w:i/>
            <w:noProof/>
            <w:sz w:val="22"/>
            <w:szCs w:val="22"/>
            <w:lang w:eastAsia="en-GB"/>
          </w:rPr>
          <w:tab/>
        </w:r>
        <w:r>
          <w:rPr>
            <w:rStyle w:val="Hyperlink"/>
            <w:i/>
            <w:noProof/>
          </w:rPr>
          <w:t>Lack of awareness about the mutual recognition principle and Regulation</w:t>
        </w:r>
        <w:r>
          <w:rPr>
            <w:i/>
            <w:noProof/>
          </w:rPr>
          <w:tab/>
        </w:r>
        <w:r>
          <w:rPr>
            <w:i/>
            <w:noProof/>
          </w:rPr>
          <w:fldChar w:fldCharType="begin"/>
        </w:r>
        <w:r>
          <w:rPr>
            <w:i/>
            <w:noProof/>
          </w:rPr>
          <w:instrText xml:space="preserve"> PAGEREF _Toc483992720 \h </w:instrText>
        </w:r>
        <w:r>
          <w:rPr>
            <w:i/>
            <w:noProof/>
          </w:rPr>
        </w:r>
        <w:r>
          <w:rPr>
            <w:i/>
            <w:noProof/>
          </w:rPr>
          <w:fldChar w:fldCharType="separate"/>
        </w:r>
        <w:r>
          <w:rPr>
            <w:i/>
            <w:noProof/>
          </w:rPr>
          <w:t>17</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21" w:history="1">
        <w:r>
          <w:rPr>
            <w:rStyle w:val="Hyperlink"/>
            <w:i/>
            <w:noProof/>
          </w:rPr>
          <w:t>3.2.2.</w:t>
        </w:r>
        <w:r>
          <w:rPr>
            <w:rFonts w:asciiTheme="minorHAnsi" w:eastAsiaTheme="minorEastAsia" w:hAnsiTheme="minorHAnsi" w:cstheme="minorBidi"/>
            <w:i/>
            <w:noProof/>
            <w:sz w:val="22"/>
            <w:szCs w:val="22"/>
            <w:lang w:eastAsia="en-GB"/>
          </w:rPr>
          <w:tab/>
        </w:r>
        <w:r>
          <w:rPr>
            <w:rStyle w:val="Hyperlink"/>
            <w:i/>
            <w:noProof/>
          </w:rPr>
          <w:t>Legal uncertainty as regards the scope of mutual recognition</w:t>
        </w:r>
        <w:r>
          <w:rPr>
            <w:i/>
            <w:noProof/>
          </w:rPr>
          <w:tab/>
        </w:r>
        <w:r>
          <w:rPr>
            <w:i/>
            <w:noProof/>
          </w:rPr>
          <w:fldChar w:fldCharType="begin"/>
        </w:r>
        <w:r>
          <w:rPr>
            <w:i/>
            <w:noProof/>
          </w:rPr>
          <w:instrText xml:space="preserve"> PAGEREF _Toc483992721 \h </w:instrText>
        </w:r>
        <w:r>
          <w:rPr>
            <w:i/>
            <w:noProof/>
          </w:rPr>
        </w:r>
        <w:r>
          <w:rPr>
            <w:i/>
            <w:noProof/>
          </w:rPr>
          <w:fldChar w:fldCharType="separate"/>
        </w:r>
        <w:r>
          <w:rPr>
            <w:i/>
            <w:noProof/>
          </w:rPr>
          <w:t>18</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22" w:history="1">
        <w:r>
          <w:rPr>
            <w:rStyle w:val="Hyperlink"/>
            <w:i/>
            <w:noProof/>
          </w:rPr>
          <w:t>3.2.3.</w:t>
        </w:r>
        <w:r>
          <w:rPr>
            <w:rFonts w:asciiTheme="minorHAnsi" w:eastAsiaTheme="minorEastAsia" w:hAnsiTheme="minorHAnsi" w:cstheme="minorBidi"/>
            <w:i/>
            <w:noProof/>
            <w:sz w:val="22"/>
            <w:szCs w:val="22"/>
            <w:lang w:eastAsia="en-GB"/>
          </w:rPr>
          <w:tab/>
        </w:r>
        <w:r>
          <w:rPr>
            <w:rStyle w:val="Hyperlink"/>
            <w:i/>
            <w:noProof/>
          </w:rPr>
          <w:t>Legal uncertainty as regards the application of mutual recognition and unreliability of the outcome</w:t>
        </w:r>
        <w:r>
          <w:rPr>
            <w:i/>
            <w:noProof/>
          </w:rPr>
          <w:tab/>
        </w:r>
        <w:r>
          <w:rPr>
            <w:i/>
            <w:noProof/>
          </w:rPr>
          <w:fldChar w:fldCharType="begin"/>
        </w:r>
        <w:r>
          <w:rPr>
            <w:i/>
            <w:noProof/>
          </w:rPr>
          <w:instrText xml:space="preserve"> PAGEREF _Toc483992722 \h </w:instrText>
        </w:r>
        <w:r>
          <w:rPr>
            <w:i/>
            <w:noProof/>
          </w:rPr>
        </w:r>
        <w:r>
          <w:rPr>
            <w:i/>
            <w:noProof/>
          </w:rPr>
          <w:fldChar w:fldCharType="separate"/>
        </w:r>
        <w:r>
          <w:rPr>
            <w:i/>
            <w:noProof/>
          </w:rPr>
          <w:t>20</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noProof/>
          <w:sz w:val="22"/>
          <w:szCs w:val="22"/>
          <w:lang w:eastAsia="en-GB"/>
        </w:rPr>
      </w:pPr>
      <w:hyperlink w:anchor="_Toc483992723" w:history="1">
        <w:r>
          <w:rPr>
            <w:rStyle w:val="Hyperlink"/>
            <w:noProof/>
          </w:rPr>
          <w:t>3.2.4.</w:t>
        </w:r>
        <w:r>
          <w:rPr>
            <w:rFonts w:asciiTheme="minorHAnsi" w:eastAsiaTheme="minorEastAsia" w:hAnsiTheme="minorHAnsi" w:cstheme="minorBidi"/>
            <w:noProof/>
            <w:sz w:val="22"/>
            <w:szCs w:val="22"/>
            <w:lang w:eastAsia="en-GB"/>
          </w:rPr>
          <w:tab/>
        </w:r>
        <w:r>
          <w:rPr>
            <w:rStyle w:val="Hyperlink"/>
            <w:noProof/>
          </w:rPr>
          <w:t>Lack of trust and cooperation among authorities</w:t>
        </w:r>
        <w:r>
          <w:rPr>
            <w:noProof/>
          </w:rPr>
          <w:tab/>
        </w:r>
        <w:r>
          <w:rPr>
            <w:noProof/>
          </w:rPr>
          <w:fldChar w:fldCharType="begin"/>
        </w:r>
        <w:r>
          <w:rPr>
            <w:noProof/>
          </w:rPr>
          <w:instrText xml:space="preserve"> PAGEREF _Toc483992723 \h </w:instrText>
        </w:r>
        <w:r>
          <w:rPr>
            <w:noProof/>
          </w:rPr>
        </w:r>
        <w:r>
          <w:rPr>
            <w:noProof/>
          </w:rPr>
          <w:fldChar w:fldCharType="separate"/>
        </w:r>
        <w:r>
          <w:rPr>
            <w:noProof/>
          </w:rPr>
          <w:t>23</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24"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The consequences of the problem/ Who is affected and how</w:t>
        </w:r>
        <w:r>
          <w:rPr>
            <w:noProof/>
          </w:rPr>
          <w:tab/>
        </w:r>
        <w:r>
          <w:rPr>
            <w:noProof/>
          </w:rPr>
          <w:fldChar w:fldCharType="begin"/>
        </w:r>
        <w:r>
          <w:rPr>
            <w:noProof/>
          </w:rPr>
          <w:instrText xml:space="preserve"> PAGEREF _Toc483992724 \h </w:instrText>
        </w:r>
        <w:r>
          <w:rPr>
            <w:noProof/>
          </w:rPr>
        </w:r>
        <w:r>
          <w:rPr>
            <w:noProof/>
          </w:rPr>
          <w:fldChar w:fldCharType="separate"/>
        </w:r>
        <w:r>
          <w:rPr>
            <w:noProof/>
          </w:rPr>
          <w:t>24</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25"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Foreseen evolution of the problem</w:t>
        </w:r>
        <w:r>
          <w:rPr>
            <w:noProof/>
          </w:rPr>
          <w:tab/>
        </w:r>
        <w:r>
          <w:rPr>
            <w:noProof/>
          </w:rPr>
          <w:fldChar w:fldCharType="begin"/>
        </w:r>
        <w:r>
          <w:rPr>
            <w:noProof/>
          </w:rPr>
          <w:instrText xml:space="preserve"> PAGEREF _Toc483992725 \h </w:instrText>
        </w:r>
        <w:r>
          <w:rPr>
            <w:noProof/>
          </w:rPr>
        </w:r>
        <w:r>
          <w:rPr>
            <w:noProof/>
          </w:rPr>
          <w:fldChar w:fldCharType="separate"/>
        </w:r>
        <w:r>
          <w:rPr>
            <w:noProof/>
          </w:rPr>
          <w:t>28</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2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Analysis of Subsidiarity</w:t>
        </w:r>
        <w:r>
          <w:rPr>
            <w:noProof/>
          </w:rPr>
          <w:tab/>
        </w:r>
        <w:r>
          <w:rPr>
            <w:noProof/>
          </w:rPr>
          <w:fldChar w:fldCharType="begin"/>
        </w:r>
        <w:r>
          <w:rPr>
            <w:noProof/>
          </w:rPr>
          <w:instrText xml:space="preserve"> PAGEREF _Toc483992726 \h </w:instrText>
        </w:r>
        <w:r>
          <w:rPr>
            <w:noProof/>
          </w:rPr>
        </w:r>
        <w:r>
          <w:rPr>
            <w:noProof/>
          </w:rPr>
          <w:fldChar w:fldCharType="separate"/>
        </w:r>
        <w:r>
          <w:rPr>
            <w:noProof/>
          </w:rPr>
          <w:t>30</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27"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Legal Basis</w:t>
        </w:r>
        <w:r>
          <w:rPr>
            <w:noProof/>
          </w:rPr>
          <w:tab/>
        </w:r>
        <w:r>
          <w:rPr>
            <w:noProof/>
          </w:rPr>
          <w:fldChar w:fldCharType="begin"/>
        </w:r>
        <w:r>
          <w:rPr>
            <w:noProof/>
          </w:rPr>
          <w:instrText xml:space="preserve"> PAGEREF _Toc483992727 \h </w:instrText>
        </w:r>
        <w:r>
          <w:rPr>
            <w:noProof/>
          </w:rPr>
        </w:r>
        <w:r>
          <w:rPr>
            <w:noProof/>
          </w:rPr>
          <w:fldChar w:fldCharType="separate"/>
        </w:r>
        <w:r>
          <w:rPr>
            <w:noProof/>
          </w:rPr>
          <w:t>30</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28"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Subsidiarity and Proportionality</w:t>
        </w:r>
        <w:r>
          <w:rPr>
            <w:noProof/>
          </w:rPr>
          <w:tab/>
        </w:r>
        <w:r>
          <w:rPr>
            <w:noProof/>
          </w:rPr>
          <w:fldChar w:fldCharType="begin"/>
        </w:r>
        <w:r>
          <w:rPr>
            <w:noProof/>
          </w:rPr>
          <w:instrText xml:space="preserve"> PAGEREF _Toc483992728 \h </w:instrText>
        </w:r>
        <w:r>
          <w:rPr>
            <w:noProof/>
          </w:rPr>
        </w:r>
        <w:r>
          <w:rPr>
            <w:noProof/>
          </w:rPr>
          <w:fldChar w:fldCharType="separate"/>
        </w:r>
        <w:r>
          <w:rPr>
            <w:noProof/>
          </w:rPr>
          <w:t>30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29"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Objectives</w:t>
        </w:r>
        <w:r>
          <w:rPr>
            <w:noProof/>
          </w:rPr>
          <w:tab/>
        </w:r>
        <w:r>
          <w:rPr>
            <w:noProof/>
          </w:rPr>
          <w:fldChar w:fldCharType="begin"/>
        </w:r>
        <w:r>
          <w:rPr>
            <w:noProof/>
          </w:rPr>
          <w:instrText xml:space="preserve"> PAGEREF _Toc483992729 \h </w:instrText>
        </w:r>
        <w:r>
          <w:rPr>
            <w:noProof/>
          </w:rPr>
        </w:r>
        <w:r>
          <w:rPr>
            <w:noProof/>
          </w:rPr>
          <w:fldChar w:fldCharType="separate"/>
        </w:r>
        <w:r>
          <w:rPr>
            <w:noProof/>
          </w:rPr>
          <w:t>31</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0"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General Policy Objectives</w:t>
        </w:r>
        <w:r>
          <w:rPr>
            <w:noProof/>
          </w:rPr>
          <w:tab/>
        </w:r>
        <w:r>
          <w:rPr>
            <w:noProof/>
          </w:rPr>
          <w:fldChar w:fldCharType="begin"/>
        </w:r>
        <w:r>
          <w:rPr>
            <w:noProof/>
          </w:rPr>
          <w:instrText xml:space="preserve"> PAGEREF _Toc483992730 \h </w:instrText>
        </w:r>
        <w:r>
          <w:rPr>
            <w:noProof/>
          </w:rPr>
        </w:r>
        <w:r>
          <w:rPr>
            <w:noProof/>
          </w:rPr>
          <w:fldChar w:fldCharType="separate"/>
        </w:r>
        <w:r>
          <w:rPr>
            <w:noProof/>
          </w:rPr>
          <w:t>31</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1"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Specific Policy Objectives</w:t>
        </w:r>
        <w:r>
          <w:rPr>
            <w:noProof/>
          </w:rPr>
          <w:tab/>
        </w:r>
        <w:r>
          <w:rPr>
            <w:noProof/>
          </w:rPr>
          <w:fldChar w:fldCharType="begin"/>
        </w:r>
        <w:r>
          <w:rPr>
            <w:noProof/>
          </w:rPr>
          <w:instrText xml:space="preserve"> PAGEREF _Toc483992731 \h </w:instrText>
        </w:r>
        <w:r>
          <w:rPr>
            <w:noProof/>
          </w:rPr>
        </w:r>
        <w:r>
          <w:rPr>
            <w:noProof/>
          </w:rPr>
          <w:fldChar w:fldCharType="separate"/>
        </w:r>
        <w:r>
          <w:rPr>
            <w:noProof/>
          </w:rPr>
          <w:t>31</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3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Policy Options</w:t>
        </w:r>
        <w:r>
          <w:rPr>
            <w:noProof/>
          </w:rPr>
          <w:tab/>
        </w:r>
        <w:r>
          <w:rPr>
            <w:noProof/>
          </w:rPr>
          <w:fldChar w:fldCharType="begin"/>
        </w:r>
        <w:r>
          <w:rPr>
            <w:noProof/>
          </w:rPr>
          <w:instrText xml:space="preserve"> PAGEREF _Toc483992732 \h </w:instrText>
        </w:r>
        <w:r>
          <w:rPr>
            <w:noProof/>
          </w:rPr>
        </w:r>
        <w:r>
          <w:rPr>
            <w:noProof/>
          </w:rPr>
          <w:fldChar w:fldCharType="separate"/>
        </w:r>
        <w:r>
          <w:rPr>
            <w:noProof/>
          </w:rPr>
          <w:t>32</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3"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Disca</w:t>
        </w:r>
        <w:r>
          <w:rPr>
            <w:rStyle w:val="Hyperlink"/>
            <w:noProof/>
          </w:rPr>
          <w:t>rded options</w:t>
        </w:r>
        <w:r>
          <w:rPr>
            <w:noProof/>
          </w:rPr>
          <w:tab/>
        </w:r>
        <w:r>
          <w:rPr>
            <w:noProof/>
          </w:rPr>
          <w:fldChar w:fldCharType="begin"/>
        </w:r>
        <w:r>
          <w:rPr>
            <w:noProof/>
          </w:rPr>
          <w:instrText xml:space="preserve"> PAGEREF _Toc483992733 \h </w:instrText>
        </w:r>
        <w:r>
          <w:rPr>
            <w:noProof/>
          </w:rPr>
        </w:r>
        <w:r>
          <w:rPr>
            <w:noProof/>
          </w:rPr>
          <w:fldChar w:fldCharType="separate"/>
        </w:r>
        <w:r>
          <w:rPr>
            <w:noProof/>
          </w:rPr>
          <w:t>32</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34"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Analysis of Impacts</w:t>
        </w:r>
        <w:r>
          <w:rPr>
            <w:noProof/>
          </w:rPr>
          <w:tab/>
        </w:r>
        <w:r>
          <w:rPr>
            <w:noProof/>
          </w:rPr>
          <w:fldChar w:fldCharType="begin"/>
        </w:r>
        <w:r>
          <w:rPr>
            <w:noProof/>
          </w:rPr>
          <w:instrText xml:space="preserve"> PAGEREF _Toc483992734 \h </w:instrText>
        </w:r>
        <w:r>
          <w:rPr>
            <w:noProof/>
          </w:rPr>
        </w:r>
        <w:r>
          <w:rPr>
            <w:noProof/>
          </w:rPr>
          <w:fldChar w:fldCharType="separate"/>
        </w:r>
        <w:r>
          <w:rPr>
            <w:noProof/>
          </w:rPr>
          <w:t>41</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5"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Assessment of the impacts</w:t>
        </w:r>
        <w:r>
          <w:rPr>
            <w:noProof/>
          </w:rPr>
          <w:tab/>
        </w:r>
        <w:r>
          <w:rPr>
            <w:noProof/>
          </w:rPr>
          <w:fldChar w:fldCharType="begin"/>
        </w:r>
        <w:r>
          <w:rPr>
            <w:noProof/>
          </w:rPr>
          <w:instrText xml:space="preserve"> PAGEREF _Toc483992735 \h </w:instrText>
        </w:r>
        <w:r>
          <w:rPr>
            <w:noProof/>
          </w:rPr>
        </w:r>
        <w:r>
          <w:rPr>
            <w:noProof/>
          </w:rPr>
          <w:fldChar w:fldCharType="separate"/>
        </w:r>
        <w:r>
          <w:rPr>
            <w:noProof/>
          </w:rPr>
          <w:t>41</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36"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Comparison of Options</w:t>
        </w:r>
        <w:r>
          <w:rPr>
            <w:noProof/>
          </w:rPr>
          <w:tab/>
        </w:r>
        <w:r>
          <w:rPr>
            <w:noProof/>
          </w:rPr>
          <w:fldChar w:fldCharType="begin"/>
        </w:r>
        <w:r>
          <w:rPr>
            <w:noProof/>
          </w:rPr>
          <w:instrText xml:space="preserve"> PAGEREF _Toc483992736 \h </w:instrText>
        </w:r>
        <w:r>
          <w:rPr>
            <w:noProof/>
          </w:rPr>
        </w:r>
        <w:r>
          <w:rPr>
            <w:noProof/>
          </w:rPr>
          <w:fldChar w:fldCharType="separate"/>
        </w:r>
        <w:r>
          <w:rPr>
            <w:noProof/>
          </w:rPr>
          <w:t>56</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7"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Effectiveness</w:t>
        </w:r>
        <w:r>
          <w:rPr>
            <w:noProof/>
          </w:rPr>
          <w:tab/>
        </w:r>
        <w:r>
          <w:rPr>
            <w:noProof/>
          </w:rPr>
          <w:fldChar w:fldCharType="begin"/>
        </w:r>
        <w:r>
          <w:rPr>
            <w:noProof/>
          </w:rPr>
          <w:instrText xml:space="preserve"> PAGEREF _Toc483992737 \h </w:instrText>
        </w:r>
        <w:r>
          <w:rPr>
            <w:noProof/>
          </w:rPr>
        </w:r>
        <w:r>
          <w:rPr>
            <w:noProof/>
          </w:rPr>
          <w:fldChar w:fldCharType="separate"/>
        </w:r>
        <w:r>
          <w:rPr>
            <w:noProof/>
          </w:rPr>
          <w:t>56</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8"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Efficiency</w:t>
        </w:r>
        <w:r>
          <w:rPr>
            <w:noProof/>
          </w:rPr>
          <w:tab/>
        </w:r>
        <w:r>
          <w:rPr>
            <w:noProof/>
          </w:rPr>
          <w:fldChar w:fldCharType="begin"/>
        </w:r>
        <w:r>
          <w:rPr>
            <w:noProof/>
          </w:rPr>
          <w:instrText xml:space="preserve"> PAGEREF _Toc483992738 \h </w:instrText>
        </w:r>
        <w:r>
          <w:rPr>
            <w:noProof/>
          </w:rPr>
        </w:r>
        <w:r>
          <w:rPr>
            <w:noProof/>
          </w:rPr>
          <w:fldChar w:fldCharType="separate"/>
        </w:r>
        <w:r>
          <w:rPr>
            <w:noProof/>
          </w:rPr>
          <w:t>57</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39"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Coherence</w:t>
        </w:r>
        <w:r>
          <w:rPr>
            <w:noProof/>
          </w:rPr>
          <w:tab/>
        </w:r>
        <w:r>
          <w:rPr>
            <w:noProof/>
          </w:rPr>
          <w:fldChar w:fldCharType="begin"/>
        </w:r>
        <w:r>
          <w:rPr>
            <w:noProof/>
          </w:rPr>
          <w:instrText xml:space="preserve"> PAGEREF _Toc483992739 \h </w:instrText>
        </w:r>
        <w:r>
          <w:rPr>
            <w:noProof/>
          </w:rPr>
        </w:r>
        <w:r>
          <w:rPr>
            <w:noProof/>
          </w:rPr>
          <w:fldChar w:fldCharType="separate"/>
        </w:r>
        <w:r>
          <w:rPr>
            <w:noProof/>
          </w:rPr>
          <w:t>57</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40" w:history="1">
        <w:r>
          <w:rPr>
            <w:rStyle w:val="Hyperlink"/>
            <w:noProof/>
          </w:rPr>
          <w:t>8.4.</w:t>
        </w:r>
        <w:r>
          <w:rPr>
            <w:rFonts w:asciiTheme="minorHAnsi" w:eastAsiaTheme="minorEastAsia" w:hAnsiTheme="minorHAnsi" w:cstheme="minorBidi"/>
            <w:noProof/>
            <w:sz w:val="22"/>
            <w:szCs w:val="22"/>
            <w:lang w:eastAsia="en-GB"/>
          </w:rPr>
          <w:tab/>
        </w:r>
        <w:r>
          <w:rPr>
            <w:rStyle w:val="Hyperlink"/>
            <w:noProof/>
          </w:rPr>
          <w:t>Potential</w:t>
        </w:r>
        <w:r>
          <w:rPr>
            <w:rStyle w:val="Hyperlink"/>
            <w:noProof/>
          </w:rPr>
          <w:t xml:space="preserve"> for reduction of administrative burdens for companies</w:t>
        </w:r>
        <w:r>
          <w:rPr>
            <w:noProof/>
          </w:rPr>
          <w:tab/>
        </w:r>
        <w:r>
          <w:rPr>
            <w:noProof/>
          </w:rPr>
          <w:fldChar w:fldCharType="begin"/>
        </w:r>
        <w:r>
          <w:rPr>
            <w:noProof/>
          </w:rPr>
          <w:instrText xml:space="preserve"> PAGEREF _Toc483992740 \h </w:instrText>
        </w:r>
        <w:r>
          <w:rPr>
            <w:noProof/>
          </w:rPr>
        </w:r>
        <w:r>
          <w:rPr>
            <w:noProof/>
          </w:rPr>
          <w:fldChar w:fldCharType="separate"/>
        </w:r>
        <w:r>
          <w:rPr>
            <w:noProof/>
          </w:rPr>
          <w:t>59</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41"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Monitoring and Evaluation</w:t>
        </w:r>
        <w:r>
          <w:rPr>
            <w:noProof/>
          </w:rPr>
          <w:tab/>
        </w:r>
        <w:r>
          <w:rPr>
            <w:noProof/>
          </w:rPr>
          <w:fldChar w:fldCharType="begin"/>
        </w:r>
        <w:r>
          <w:rPr>
            <w:noProof/>
          </w:rPr>
          <w:instrText xml:space="preserve"> PAGEREF _Toc483992741 \h </w:instrText>
        </w:r>
        <w:r>
          <w:rPr>
            <w:noProof/>
          </w:rPr>
        </w:r>
        <w:r>
          <w:rPr>
            <w:noProof/>
          </w:rPr>
          <w:fldChar w:fldCharType="separate"/>
        </w:r>
        <w:r>
          <w:rPr>
            <w:noProof/>
          </w:rPr>
          <w:t>59</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42" w:history="1">
        <w:r>
          <w:rPr>
            <w:rStyle w:val="Hyperlink"/>
            <w:noProof/>
          </w:rPr>
          <w:t>9.1.</w:t>
        </w:r>
        <w:r>
          <w:rPr>
            <w:rFonts w:asciiTheme="minorHAnsi" w:eastAsiaTheme="minorEastAsia" w:hAnsiTheme="minorHAnsi" w:cstheme="minorBidi"/>
            <w:noProof/>
            <w:sz w:val="22"/>
            <w:szCs w:val="22"/>
            <w:lang w:eastAsia="en-GB"/>
          </w:rPr>
          <w:tab/>
        </w:r>
        <w:r>
          <w:rPr>
            <w:rStyle w:val="Hyperlink"/>
            <w:noProof/>
          </w:rPr>
          <w:t>Operational Objectives</w:t>
        </w:r>
        <w:r>
          <w:rPr>
            <w:noProof/>
          </w:rPr>
          <w:tab/>
        </w:r>
        <w:r>
          <w:rPr>
            <w:noProof/>
          </w:rPr>
          <w:fldChar w:fldCharType="begin"/>
        </w:r>
        <w:r>
          <w:rPr>
            <w:noProof/>
          </w:rPr>
          <w:instrText xml:space="preserve"> PAGEREF _Toc483992742 \h </w:instrText>
        </w:r>
        <w:r>
          <w:rPr>
            <w:noProof/>
          </w:rPr>
        </w:r>
        <w:r>
          <w:rPr>
            <w:noProof/>
          </w:rPr>
          <w:fldChar w:fldCharType="separate"/>
        </w:r>
        <w:r>
          <w:rPr>
            <w:noProof/>
          </w:rPr>
          <w:t>60</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43" w:history="1">
        <w:r>
          <w:rPr>
            <w:rStyle w:val="Hyperlink"/>
            <w:noProof/>
          </w:rPr>
          <w:t>9.2.</w:t>
        </w:r>
        <w:r>
          <w:rPr>
            <w:rFonts w:asciiTheme="minorHAnsi" w:eastAsiaTheme="minorEastAsia" w:hAnsiTheme="minorHAnsi" w:cstheme="minorBidi"/>
            <w:noProof/>
            <w:sz w:val="22"/>
            <w:szCs w:val="22"/>
            <w:lang w:eastAsia="en-GB"/>
          </w:rPr>
          <w:tab/>
        </w:r>
        <w:r>
          <w:rPr>
            <w:rStyle w:val="Hyperlink"/>
            <w:noProof/>
          </w:rPr>
          <w:t>Indicators for the monitoring</w:t>
        </w:r>
        <w:r>
          <w:rPr>
            <w:noProof/>
          </w:rPr>
          <w:tab/>
        </w:r>
        <w:r>
          <w:rPr>
            <w:noProof/>
          </w:rPr>
          <w:fldChar w:fldCharType="begin"/>
        </w:r>
        <w:r>
          <w:rPr>
            <w:noProof/>
          </w:rPr>
          <w:instrText xml:space="preserve"> PAGEREF _Toc483992743 \h </w:instrText>
        </w:r>
        <w:r>
          <w:rPr>
            <w:noProof/>
          </w:rPr>
        </w:r>
        <w:r>
          <w:rPr>
            <w:noProof/>
          </w:rPr>
          <w:fldChar w:fldCharType="separate"/>
        </w:r>
        <w:r>
          <w:rPr>
            <w:noProof/>
          </w:rPr>
          <w:t>61</w:t>
        </w:r>
        <w:r>
          <w:rPr>
            <w:noProof/>
          </w:rPr>
          <w:fldChar w:fldCharType="end"/>
        </w:r>
      </w:hyperlink>
    </w:p>
    <w:p w:rsidR="0037666B" w:rsidRDefault="00C627B8">
      <w:pPr>
        <w:pStyle w:val="TOC1"/>
        <w:ind w:left="0" w:right="-29" w:firstLine="0"/>
        <w:rPr>
          <w:rFonts w:asciiTheme="minorHAnsi" w:eastAsiaTheme="minorEastAsia" w:hAnsiTheme="minorHAnsi" w:cstheme="minorBidi"/>
          <w:caps w:val="0"/>
          <w:noProof/>
          <w:sz w:val="22"/>
          <w:szCs w:val="22"/>
          <w:lang w:eastAsia="en-GB"/>
        </w:rPr>
      </w:pPr>
      <w:hyperlink w:anchor="_Toc483992744" w:history="1">
        <w:r>
          <w:rPr>
            <w:rStyle w:val="Hyperlink"/>
            <w:noProof/>
          </w:rPr>
          <w:t>Annex 1 Procedural Issues and Consultation of Interested Parties</w:t>
        </w:r>
        <w:r>
          <w:rPr>
            <w:noProof/>
          </w:rPr>
          <w:tab/>
        </w:r>
        <w:r>
          <w:rPr>
            <w:noProof/>
          </w:rPr>
          <w:fldChar w:fldCharType="begin"/>
        </w:r>
        <w:r>
          <w:rPr>
            <w:noProof/>
          </w:rPr>
          <w:instrText xml:space="preserve"> PAGEREF _Toc483992744 \h </w:instrText>
        </w:r>
        <w:r>
          <w:rPr>
            <w:noProof/>
          </w:rPr>
        </w:r>
        <w:r>
          <w:rPr>
            <w:noProof/>
          </w:rPr>
          <w:fldChar w:fldCharType="separate"/>
        </w:r>
        <w:r>
          <w:rPr>
            <w:noProof/>
          </w:rPr>
          <w:t>62</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45"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Identification</w:t>
        </w:r>
        <w:r>
          <w:rPr>
            <w:noProof/>
          </w:rPr>
          <w:tab/>
        </w:r>
        <w:r>
          <w:rPr>
            <w:noProof/>
          </w:rPr>
          <w:fldChar w:fldCharType="begin"/>
        </w:r>
        <w:r>
          <w:rPr>
            <w:noProof/>
          </w:rPr>
          <w:instrText xml:space="preserve"> PAGEREF _Toc483992745 \h </w:instrText>
        </w:r>
        <w:r>
          <w:rPr>
            <w:noProof/>
          </w:rPr>
        </w:r>
        <w:r>
          <w:rPr>
            <w:noProof/>
          </w:rPr>
          <w:fldChar w:fldCharType="separate"/>
        </w:r>
        <w:r>
          <w:rPr>
            <w:noProof/>
          </w:rPr>
          <w:t>62</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4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Organisation and Timing</w:t>
        </w:r>
        <w:r>
          <w:rPr>
            <w:noProof/>
          </w:rPr>
          <w:tab/>
        </w:r>
        <w:r>
          <w:rPr>
            <w:noProof/>
          </w:rPr>
          <w:fldChar w:fldCharType="begin"/>
        </w:r>
        <w:r>
          <w:rPr>
            <w:noProof/>
          </w:rPr>
          <w:instrText xml:space="preserve"> PAGEREF _Toc483992746 \h </w:instrText>
        </w:r>
        <w:r>
          <w:rPr>
            <w:noProof/>
          </w:rPr>
        </w:r>
        <w:r>
          <w:rPr>
            <w:noProof/>
          </w:rPr>
          <w:fldChar w:fldCharType="separate"/>
        </w:r>
        <w:r>
          <w:rPr>
            <w:noProof/>
          </w:rPr>
          <w:t>62</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47"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Consultation Of The Regulatory Scrutiny Board</w:t>
        </w:r>
        <w:r>
          <w:rPr>
            <w:noProof/>
          </w:rPr>
          <w:tab/>
        </w:r>
        <w:r>
          <w:rPr>
            <w:noProof/>
          </w:rPr>
          <w:fldChar w:fldCharType="begin"/>
        </w:r>
        <w:r>
          <w:rPr>
            <w:noProof/>
          </w:rPr>
          <w:instrText xml:space="preserve"> PAGEREF _Toc483992747 \h </w:instrText>
        </w:r>
        <w:r>
          <w:rPr>
            <w:noProof/>
          </w:rPr>
        </w:r>
        <w:r>
          <w:rPr>
            <w:noProof/>
          </w:rPr>
          <w:fldChar w:fldCharType="separate"/>
        </w:r>
        <w:r>
          <w:rPr>
            <w:noProof/>
          </w:rPr>
          <w:t>62</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48"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Consultation and Expertise</w:t>
        </w:r>
        <w:r>
          <w:rPr>
            <w:noProof/>
          </w:rPr>
          <w:tab/>
        </w:r>
        <w:r>
          <w:rPr>
            <w:noProof/>
          </w:rPr>
          <w:fldChar w:fldCharType="begin"/>
        </w:r>
        <w:r>
          <w:rPr>
            <w:noProof/>
          </w:rPr>
          <w:instrText xml:space="preserve"> PAGEREF _Toc483992748 \h </w:instrText>
        </w:r>
        <w:r>
          <w:rPr>
            <w:noProof/>
          </w:rPr>
        </w:r>
        <w:r>
          <w:rPr>
            <w:noProof/>
          </w:rPr>
          <w:fldChar w:fldCharType="separate"/>
        </w:r>
        <w:r>
          <w:rPr>
            <w:noProof/>
          </w:rPr>
          <w:t>65</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49"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Limitations and assessment of robustness of findings</w:t>
        </w:r>
        <w:r>
          <w:rPr>
            <w:noProof/>
          </w:rPr>
          <w:tab/>
        </w:r>
        <w:r>
          <w:rPr>
            <w:noProof/>
          </w:rPr>
          <w:fldChar w:fldCharType="begin"/>
        </w:r>
        <w:r>
          <w:rPr>
            <w:noProof/>
          </w:rPr>
          <w:instrText xml:space="preserve"> PAGEREF _Toc4839927</w:instrText>
        </w:r>
        <w:r>
          <w:rPr>
            <w:noProof/>
          </w:rPr>
          <w:instrText xml:space="preserve">49 \h </w:instrText>
        </w:r>
        <w:r>
          <w:rPr>
            <w:noProof/>
          </w:rPr>
        </w:r>
        <w:r>
          <w:rPr>
            <w:noProof/>
          </w:rPr>
          <w:fldChar w:fldCharType="separate"/>
        </w:r>
        <w:r>
          <w:rPr>
            <w:noProof/>
          </w:rPr>
          <w:t>67</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50" w:history="1">
        <w:r>
          <w:rPr>
            <w:rStyle w:val="Hyperlink"/>
            <w:noProof/>
          </w:rPr>
          <w:t>Annex 2 Synopsis report of the stakeholder consultation</w:t>
        </w:r>
        <w:r>
          <w:rPr>
            <w:noProof/>
          </w:rPr>
          <w:tab/>
        </w:r>
        <w:r>
          <w:rPr>
            <w:noProof/>
          </w:rPr>
          <w:fldChar w:fldCharType="begin"/>
        </w:r>
        <w:r>
          <w:rPr>
            <w:noProof/>
          </w:rPr>
          <w:instrText xml:space="preserve"> PAGEREF _Toc483992750 \h </w:instrText>
        </w:r>
        <w:r>
          <w:rPr>
            <w:noProof/>
          </w:rPr>
        </w:r>
        <w:r>
          <w:rPr>
            <w:noProof/>
          </w:rPr>
          <w:fldChar w:fldCharType="separate"/>
        </w:r>
        <w:r>
          <w:rPr>
            <w:noProof/>
          </w:rPr>
          <w:t>70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5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OBJECTIVES OF THE CONSULTATION</w:t>
        </w:r>
        <w:r>
          <w:rPr>
            <w:noProof/>
          </w:rPr>
          <w:tab/>
        </w:r>
        <w:r>
          <w:rPr>
            <w:noProof/>
          </w:rPr>
          <w:fldChar w:fldCharType="begin"/>
        </w:r>
        <w:r>
          <w:rPr>
            <w:noProof/>
          </w:rPr>
          <w:instrText xml:space="preserve"> PAGEREF _Toc483992751 \h </w:instrText>
        </w:r>
        <w:r>
          <w:rPr>
            <w:noProof/>
          </w:rPr>
        </w:r>
        <w:r>
          <w:rPr>
            <w:noProof/>
          </w:rPr>
          <w:fldChar w:fldCharType="separate"/>
        </w:r>
        <w:r>
          <w:rPr>
            <w:noProof/>
          </w:rPr>
          <w:t>70</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52"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Consultation methods and tools</w:t>
        </w:r>
        <w:r>
          <w:rPr>
            <w:noProof/>
          </w:rPr>
          <w:tab/>
        </w:r>
        <w:r>
          <w:rPr>
            <w:noProof/>
          </w:rPr>
          <w:fldChar w:fldCharType="begin"/>
        </w:r>
        <w:r>
          <w:rPr>
            <w:noProof/>
          </w:rPr>
          <w:instrText xml:space="preserve"> PAGEREF _Toc483992752 \h </w:instrText>
        </w:r>
        <w:r>
          <w:rPr>
            <w:noProof/>
          </w:rPr>
        </w:r>
        <w:r>
          <w:rPr>
            <w:noProof/>
          </w:rPr>
          <w:fldChar w:fldCharType="separate"/>
        </w:r>
        <w:r>
          <w:rPr>
            <w:noProof/>
          </w:rPr>
          <w:t>70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5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RESULTS OF THE CONSULTATION ACTIVITIES</w:t>
        </w:r>
        <w:r>
          <w:rPr>
            <w:noProof/>
          </w:rPr>
          <w:tab/>
        </w:r>
        <w:r>
          <w:rPr>
            <w:noProof/>
          </w:rPr>
          <w:fldChar w:fldCharType="begin"/>
        </w:r>
        <w:r>
          <w:rPr>
            <w:noProof/>
          </w:rPr>
          <w:instrText xml:space="preserve"> PAGEREF _Toc483992753 \h </w:instrText>
        </w:r>
        <w:r>
          <w:rPr>
            <w:noProof/>
          </w:rPr>
        </w:r>
        <w:r>
          <w:rPr>
            <w:noProof/>
          </w:rPr>
          <w:fldChar w:fldCharType="separate"/>
        </w:r>
        <w:r>
          <w:rPr>
            <w:noProof/>
          </w:rPr>
          <w:t>70</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54"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Meetings of the Mutual Recognition Consultative Committee</w:t>
        </w:r>
        <w:r>
          <w:rPr>
            <w:noProof/>
          </w:rPr>
          <w:tab/>
        </w:r>
        <w:r>
          <w:rPr>
            <w:noProof/>
          </w:rPr>
          <w:fldChar w:fldCharType="begin"/>
        </w:r>
        <w:r>
          <w:rPr>
            <w:noProof/>
          </w:rPr>
          <w:instrText xml:space="preserve"> PAGEREF _Toc</w:instrText>
        </w:r>
        <w:r>
          <w:rPr>
            <w:noProof/>
          </w:rPr>
          <w:instrText xml:space="preserve">483992754 \h </w:instrText>
        </w:r>
        <w:r>
          <w:rPr>
            <w:noProof/>
          </w:rPr>
        </w:r>
        <w:r>
          <w:rPr>
            <w:noProof/>
          </w:rPr>
          <w:fldChar w:fldCharType="separate"/>
        </w:r>
        <w:r>
          <w:rPr>
            <w:noProof/>
          </w:rPr>
          <w:t>70</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55"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Stakeholder conference of 17 June 2016</w:t>
        </w:r>
        <w:r>
          <w:rPr>
            <w:noProof/>
          </w:rPr>
          <w:tab/>
        </w:r>
        <w:r>
          <w:rPr>
            <w:noProof/>
          </w:rPr>
          <w:fldChar w:fldCharType="begin"/>
        </w:r>
        <w:r>
          <w:rPr>
            <w:noProof/>
          </w:rPr>
          <w:instrText xml:space="preserve"> PAGEREF _Toc483992755 \h </w:instrText>
        </w:r>
        <w:r>
          <w:rPr>
            <w:noProof/>
          </w:rPr>
        </w:r>
        <w:r>
          <w:rPr>
            <w:noProof/>
          </w:rPr>
          <w:fldChar w:fldCharType="separate"/>
        </w:r>
        <w:r>
          <w:rPr>
            <w:noProof/>
          </w:rPr>
          <w:t>72</w:t>
        </w:r>
        <w:r>
          <w:rPr>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56" w:history="1">
        <w:r>
          <w:rPr>
            <w:rStyle w:val="Hyperlink"/>
            <w:i/>
            <w:noProof/>
          </w:rPr>
          <w:t>2.2.1.</w:t>
        </w:r>
        <w:r>
          <w:rPr>
            <w:rFonts w:asciiTheme="minorHAnsi" w:eastAsiaTheme="minorEastAsia" w:hAnsiTheme="minorHAnsi" w:cstheme="minorBidi"/>
            <w:i/>
            <w:noProof/>
            <w:sz w:val="22"/>
            <w:szCs w:val="22"/>
            <w:lang w:eastAsia="en-GB"/>
          </w:rPr>
          <w:tab/>
        </w:r>
        <w:r>
          <w:rPr>
            <w:rStyle w:val="Hyperlink"/>
            <w:i/>
            <w:noProof/>
          </w:rPr>
          <w:t>Main meeting</w:t>
        </w:r>
        <w:r>
          <w:rPr>
            <w:i/>
            <w:noProof/>
          </w:rPr>
          <w:tab/>
        </w:r>
        <w:r>
          <w:rPr>
            <w:i/>
            <w:noProof/>
          </w:rPr>
          <w:fldChar w:fldCharType="begin"/>
        </w:r>
        <w:r>
          <w:rPr>
            <w:i/>
            <w:noProof/>
          </w:rPr>
          <w:instrText xml:space="preserve"> PAGEREF _Toc483992756 \h </w:instrText>
        </w:r>
        <w:r>
          <w:rPr>
            <w:i/>
            <w:noProof/>
          </w:rPr>
        </w:r>
        <w:r>
          <w:rPr>
            <w:i/>
            <w:noProof/>
          </w:rPr>
          <w:fldChar w:fldCharType="separate"/>
        </w:r>
        <w:r>
          <w:rPr>
            <w:i/>
            <w:noProof/>
          </w:rPr>
          <w:t>72</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57" w:history="1">
        <w:r>
          <w:rPr>
            <w:rStyle w:val="Hyperlink"/>
            <w:i/>
            <w:noProof/>
          </w:rPr>
          <w:t>2.2.2.</w:t>
        </w:r>
        <w:r>
          <w:rPr>
            <w:rFonts w:asciiTheme="minorHAnsi" w:eastAsiaTheme="minorEastAsia" w:hAnsiTheme="minorHAnsi" w:cstheme="minorBidi"/>
            <w:i/>
            <w:noProof/>
            <w:sz w:val="22"/>
            <w:szCs w:val="22"/>
            <w:lang w:eastAsia="en-GB"/>
          </w:rPr>
          <w:tab/>
        </w:r>
        <w:r>
          <w:rPr>
            <w:rStyle w:val="Hyperlink"/>
            <w:i/>
            <w:noProof/>
          </w:rPr>
          <w:t>W</w:t>
        </w:r>
        <w:r>
          <w:rPr>
            <w:rStyle w:val="Hyperlink"/>
            <w:i/>
            <w:noProof/>
          </w:rPr>
          <w:t>orkshops</w:t>
        </w:r>
        <w:r>
          <w:rPr>
            <w:i/>
            <w:noProof/>
          </w:rPr>
          <w:tab/>
        </w:r>
        <w:r>
          <w:rPr>
            <w:i/>
            <w:noProof/>
          </w:rPr>
          <w:fldChar w:fldCharType="begin"/>
        </w:r>
        <w:r>
          <w:rPr>
            <w:i/>
            <w:noProof/>
          </w:rPr>
          <w:instrText xml:space="preserve"> PAGEREF _Toc483992757 \h </w:instrText>
        </w:r>
        <w:r>
          <w:rPr>
            <w:i/>
            <w:noProof/>
          </w:rPr>
        </w:r>
        <w:r>
          <w:rPr>
            <w:i/>
            <w:noProof/>
          </w:rPr>
          <w:fldChar w:fldCharType="separate"/>
        </w:r>
        <w:r>
          <w:rPr>
            <w:i/>
            <w:noProof/>
          </w:rPr>
          <w:t>72</w:t>
        </w:r>
        <w:r>
          <w:rPr>
            <w:i/>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58"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Public Consultation</w:t>
        </w:r>
        <w:r>
          <w:rPr>
            <w:noProof/>
          </w:rPr>
          <w:tab/>
        </w:r>
        <w:r>
          <w:rPr>
            <w:noProof/>
          </w:rPr>
          <w:fldChar w:fldCharType="begin"/>
        </w:r>
        <w:r>
          <w:rPr>
            <w:noProof/>
          </w:rPr>
          <w:instrText xml:space="preserve"> PAGEREF _Toc483992758 \h </w:instrText>
        </w:r>
        <w:r>
          <w:rPr>
            <w:noProof/>
          </w:rPr>
        </w:r>
        <w:r>
          <w:rPr>
            <w:noProof/>
          </w:rPr>
          <w:fldChar w:fldCharType="separate"/>
        </w:r>
        <w:r>
          <w:rPr>
            <w:noProof/>
          </w:rPr>
          <w:t>73</w:t>
        </w:r>
        <w:r>
          <w:rPr>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59" w:history="1">
        <w:r>
          <w:rPr>
            <w:rStyle w:val="Hyperlink"/>
            <w:i/>
            <w:noProof/>
          </w:rPr>
          <w:t>2.3.1.</w:t>
        </w:r>
        <w:r>
          <w:rPr>
            <w:rFonts w:asciiTheme="minorHAnsi" w:eastAsiaTheme="minorEastAsia" w:hAnsiTheme="minorHAnsi" w:cstheme="minorBidi"/>
            <w:i/>
            <w:noProof/>
            <w:sz w:val="22"/>
            <w:szCs w:val="22"/>
            <w:lang w:eastAsia="en-GB"/>
          </w:rPr>
          <w:tab/>
        </w:r>
        <w:r>
          <w:rPr>
            <w:rStyle w:val="Hyperlink"/>
            <w:i/>
            <w:noProof/>
          </w:rPr>
          <w:t>How stakeholders see mutual recognition and its potential shortcomings</w:t>
        </w:r>
        <w:r>
          <w:rPr>
            <w:i/>
            <w:noProof/>
          </w:rPr>
          <w:tab/>
        </w:r>
        <w:r>
          <w:rPr>
            <w:i/>
            <w:noProof/>
          </w:rPr>
          <w:fldChar w:fldCharType="begin"/>
        </w:r>
        <w:r>
          <w:rPr>
            <w:i/>
            <w:noProof/>
          </w:rPr>
          <w:instrText xml:space="preserve"> PAGEREF _Toc483992759 \h </w:instrText>
        </w:r>
        <w:r>
          <w:rPr>
            <w:i/>
            <w:noProof/>
          </w:rPr>
        </w:r>
        <w:r>
          <w:rPr>
            <w:i/>
            <w:noProof/>
          </w:rPr>
          <w:fldChar w:fldCharType="separate"/>
        </w:r>
        <w:r>
          <w:rPr>
            <w:i/>
            <w:noProof/>
          </w:rPr>
          <w:t>73</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60" w:history="1">
        <w:r>
          <w:rPr>
            <w:rStyle w:val="Hyperlink"/>
            <w:i/>
            <w:noProof/>
          </w:rPr>
          <w:t>2.3.2.</w:t>
        </w:r>
        <w:r>
          <w:rPr>
            <w:rFonts w:asciiTheme="minorHAnsi" w:eastAsiaTheme="minorEastAsia" w:hAnsiTheme="minorHAnsi" w:cstheme="minorBidi"/>
            <w:i/>
            <w:noProof/>
            <w:sz w:val="22"/>
            <w:szCs w:val="22"/>
            <w:lang w:eastAsia="en-GB"/>
          </w:rPr>
          <w:tab/>
        </w:r>
        <w:r>
          <w:rPr>
            <w:rStyle w:val="Hyperlink"/>
            <w:i/>
            <w:noProof/>
          </w:rPr>
          <w:t>Functioning of the Mutual Recognition Regulation</w:t>
        </w:r>
        <w:r>
          <w:rPr>
            <w:i/>
            <w:noProof/>
          </w:rPr>
          <w:tab/>
        </w:r>
        <w:r>
          <w:rPr>
            <w:i/>
            <w:noProof/>
          </w:rPr>
          <w:fldChar w:fldCharType="begin"/>
        </w:r>
        <w:r>
          <w:rPr>
            <w:i/>
            <w:noProof/>
          </w:rPr>
          <w:instrText xml:space="preserve"> PAGEREF _Toc483992760 \h </w:instrText>
        </w:r>
        <w:r>
          <w:rPr>
            <w:i/>
            <w:noProof/>
          </w:rPr>
        </w:r>
        <w:r>
          <w:rPr>
            <w:i/>
            <w:noProof/>
          </w:rPr>
          <w:fldChar w:fldCharType="separate"/>
        </w:r>
        <w:r>
          <w:rPr>
            <w:i/>
            <w:noProof/>
          </w:rPr>
          <w:t>74</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61" w:history="1">
        <w:r>
          <w:rPr>
            <w:rStyle w:val="Hyperlink"/>
            <w:i/>
            <w:noProof/>
          </w:rPr>
          <w:t>2.3.3.</w:t>
        </w:r>
        <w:r>
          <w:rPr>
            <w:rFonts w:asciiTheme="minorHAnsi" w:eastAsiaTheme="minorEastAsia" w:hAnsiTheme="minorHAnsi" w:cstheme="minorBidi"/>
            <w:i/>
            <w:noProof/>
            <w:sz w:val="22"/>
            <w:szCs w:val="22"/>
            <w:lang w:eastAsia="en-GB"/>
          </w:rPr>
          <w:tab/>
        </w:r>
        <w:r>
          <w:rPr>
            <w:rStyle w:val="Hyperlink"/>
            <w:i/>
            <w:noProof/>
          </w:rPr>
          <w:t>Assessment of</w:t>
        </w:r>
        <w:r>
          <w:rPr>
            <w:rStyle w:val="Hyperlink"/>
            <w:i/>
            <w:noProof/>
          </w:rPr>
          <w:t xml:space="preserve"> communication when using Mutual Recognition</w:t>
        </w:r>
        <w:r>
          <w:rPr>
            <w:i/>
            <w:noProof/>
          </w:rPr>
          <w:tab/>
        </w:r>
        <w:r>
          <w:rPr>
            <w:i/>
            <w:noProof/>
          </w:rPr>
          <w:fldChar w:fldCharType="begin"/>
        </w:r>
        <w:r>
          <w:rPr>
            <w:i/>
            <w:noProof/>
          </w:rPr>
          <w:instrText xml:space="preserve"> PAGEREF _Toc483992761 \h </w:instrText>
        </w:r>
        <w:r>
          <w:rPr>
            <w:i/>
            <w:noProof/>
          </w:rPr>
        </w:r>
        <w:r>
          <w:rPr>
            <w:i/>
            <w:noProof/>
          </w:rPr>
          <w:fldChar w:fldCharType="separate"/>
        </w:r>
        <w:r>
          <w:rPr>
            <w:i/>
            <w:noProof/>
          </w:rPr>
          <w:t>75</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62" w:history="1">
        <w:r>
          <w:rPr>
            <w:rStyle w:val="Hyperlink"/>
            <w:i/>
            <w:noProof/>
          </w:rPr>
          <w:t>2.3.4.</w:t>
        </w:r>
        <w:r>
          <w:rPr>
            <w:rFonts w:asciiTheme="minorHAnsi" w:eastAsiaTheme="minorEastAsia" w:hAnsiTheme="minorHAnsi" w:cstheme="minorBidi"/>
            <w:i/>
            <w:noProof/>
            <w:sz w:val="22"/>
            <w:szCs w:val="22"/>
            <w:lang w:eastAsia="en-GB"/>
          </w:rPr>
          <w:tab/>
        </w:r>
        <w:r>
          <w:rPr>
            <w:rStyle w:val="Hyperlink"/>
            <w:i/>
            <w:noProof/>
          </w:rPr>
          <w:t>Priorities to improve Mutual Recognition</w:t>
        </w:r>
        <w:r>
          <w:rPr>
            <w:i/>
            <w:noProof/>
          </w:rPr>
          <w:tab/>
        </w:r>
        <w:r>
          <w:rPr>
            <w:i/>
            <w:noProof/>
          </w:rPr>
          <w:fldChar w:fldCharType="begin"/>
        </w:r>
        <w:r>
          <w:rPr>
            <w:i/>
            <w:noProof/>
          </w:rPr>
          <w:instrText xml:space="preserve"> PAGEREF _Toc483992762 \h </w:instrText>
        </w:r>
        <w:r>
          <w:rPr>
            <w:i/>
            <w:noProof/>
          </w:rPr>
        </w:r>
        <w:r>
          <w:rPr>
            <w:i/>
            <w:noProof/>
          </w:rPr>
          <w:fldChar w:fldCharType="separate"/>
        </w:r>
        <w:r>
          <w:rPr>
            <w:i/>
            <w:noProof/>
          </w:rPr>
          <w:t>76</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63" w:history="1">
        <w:r>
          <w:rPr>
            <w:rStyle w:val="Hyperlink"/>
            <w:i/>
            <w:noProof/>
          </w:rPr>
          <w:t>2.3.5.</w:t>
        </w:r>
        <w:r>
          <w:rPr>
            <w:rFonts w:asciiTheme="minorHAnsi" w:eastAsiaTheme="minorEastAsia" w:hAnsiTheme="minorHAnsi" w:cstheme="minorBidi"/>
            <w:i/>
            <w:noProof/>
            <w:sz w:val="22"/>
            <w:szCs w:val="22"/>
            <w:lang w:eastAsia="en-GB"/>
          </w:rPr>
          <w:tab/>
        </w:r>
        <w:r>
          <w:rPr>
            <w:rStyle w:val="Hyperlink"/>
            <w:i/>
            <w:noProof/>
          </w:rPr>
          <w:t>Options</w:t>
        </w:r>
        <w:r>
          <w:rPr>
            <w:i/>
            <w:noProof/>
          </w:rPr>
          <w:tab/>
        </w:r>
        <w:r>
          <w:rPr>
            <w:i/>
            <w:noProof/>
          </w:rPr>
          <w:tab/>
        </w:r>
        <w:r>
          <w:rPr>
            <w:i/>
            <w:noProof/>
          </w:rPr>
          <w:fldChar w:fldCharType="begin"/>
        </w:r>
        <w:r>
          <w:rPr>
            <w:i/>
            <w:noProof/>
          </w:rPr>
          <w:instrText xml:space="preserve"> PAGEREF _Toc483992763 \h </w:instrText>
        </w:r>
        <w:r>
          <w:rPr>
            <w:i/>
            <w:noProof/>
          </w:rPr>
        </w:r>
        <w:r>
          <w:rPr>
            <w:i/>
            <w:noProof/>
          </w:rPr>
          <w:fldChar w:fldCharType="separate"/>
        </w:r>
        <w:r>
          <w:rPr>
            <w:i/>
            <w:noProof/>
          </w:rPr>
          <w:t>77</w:t>
        </w:r>
        <w:r>
          <w:rPr>
            <w:i/>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64"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 xml:space="preserve">Surveys </w:t>
        </w:r>
        <w:r>
          <w:rPr>
            <w:rStyle w:val="Hyperlink"/>
            <w:noProof/>
          </w:rPr>
          <w:t>carried out by the external contractors</w:t>
        </w:r>
        <w:r>
          <w:rPr>
            <w:noProof/>
          </w:rPr>
          <w:tab/>
        </w:r>
        <w:r>
          <w:rPr>
            <w:noProof/>
          </w:rPr>
          <w:fldChar w:fldCharType="begin"/>
        </w:r>
        <w:r>
          <w:rPr>
            <w:noProof/>
          </w:rPr>
          <w:instrText xml:space="preserve"> PAGEREF _Toc483992764 \h </w:instrText>
        </w:r>
        <w:r>
          <w:rPr>
            <w:noProof/>
          </w:rPr>
        </w:r>
        <w:r>
          <w:rPr>
            <w:noProof/>
          </w:rPr>
          <w:fldChar w:fldCharType="separate"/>
        </w:r>
        <w:r>
          <w:rPr>
            <w:noProof/>
          </w:rPr>
          <w:t>79</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65"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Other contributions received (position papers or e-mail)</w:t>
        </w:r>
        <w:r>
          <w:rPr>
            <w:noProof/>
          </w:rPr>
          <w:tab/>
        </w:r>
        <w:r>
          <w:rPr>
            <w:noProof/>
          </w:rPr>
          <w:fldChar w:fldCharType="begin"/>
        </w:r>
        <w:r>
          <w:rPr>
            <w:noProof/>
          </w:rPr>
          <w:instrText xml:space="preserve"> PAGEREF _Toc483992765 \h </w:instrText>
        </w:r>
        <w:r>
          <w:rPr>
            <w:noProof/>
          </w:rPr>
        </w:r>
        <w:r>
          <w:rPr>
            <w:noProof/>
          </w:rPr>
          <w:fldChar w:fldCharType="separate"/>
        </w:r>
        <w:r>
          <w:rPr>
            <w:noProof/>
          </w:rPr>
          <w:t>80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66"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FEEDBACK TO STAKEHOLDERS</w:t>
        </w:r>
        <w:r>
          <w:rPr>
            <w:noProof/>
          </w:rPr>
          <w:tab/>
        </w:r>
        <w:r>
          <w:rPr>
            <w:noProof/>
          </w:rPr>
          <w:fldChar w:fldCharType="begin"/>
        </w:r>
        <w:r>
          <w:rPr>
            <w:noProof/>
          </w:rPr>
          <w:instrText xml:space="preserve"> PAGEREF _Toc483992766 \h </w:instrText>
        </w:r>
        <w:r>
          <w:rPr>
            <w:noProof/>
          </w:rPr>
        </w:r>
        <w:r>
          <w:rPr>
            <w:noProof/>
          </w:rPr>
          <w:fldChar w:fldCharType="separate"/>
        </w:r>
        <w:r>
          <w:rPr>
            <w:noProof/>
          </w:rPr>
          <w:t>81</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67" w:history="1">
        <w:r>
          <w:rPr>
            <w:rStyle w:val="Hyperlink"/>
            <w:noProof/>
          </w:rPr>
          <w:t>Annex 3 who is affected and how</w:t>
        </w:r>
        <w:r>
          <w:rPr>
            <w:noProof/>
          </w:rPr>
          <w:tab/>
        </w:r>
        <w:r>
          <w:rPr>
            <w:noProof/>
          </w:rPr>
          <w:fldChar w:fldCharType="begin"/>
        </w:r>
        <w:r>
          <w:rPr>
            <w:noProof/>
          </w:rPr>
          <w:instrText xml:space="preserve"> PAGEREF _Toc483992767 \h </w:instrText>
        </w:r>
        <w:r>
          <w:rPr>
            <w:noProof/>
          </w:rPr>
        </w:r>
        <w:r>
          <w:rPr>
            <w:noProof/>
          </w:rPr>
          <w:fldChar w:fldCharType="separate"/>
        </w:r>
        <w:r>
          <w:rPr>
            <w:noProof/>
          </w:rPr>
          <w:t>84</w:t>
        </w:r>
        <w:r>
          <w:rPr>
            <w:noProof/>
          </w:rPr>
          <w:fldChar w:fldCharType="end"/>
        </w:r>
      </w:hyperlink>
    </w:p>
    <w:p w:rsidR="0037666B" w:rsidRDefault="00C627B8">
      <w:pPr>
        <w:pStyle w:val="TOC1"/>
        <w:ind w:left="0" w:right="-29" w:firstLine="0"/>
        <w:rPr>
          <w:rFonts w:asciiTheme="minorHAnsi" w:eastAsiaTheme="minorEastAsia" w:hAnsiTheme="minorHAnsi" w:cstheme="minorBidi"/>
          <w:caps w:val="0"/>
          <w:noProof/>
          <w:sz w:val="22"/>
          <w:szCs w:val="22"/>
          <w:lang w:eastAsia="en-GB"/>
        </w:rPr>
      </w:pPr>
      <w:hyperlink w:anchor="_Toc483992768" w:history="1">
        <w:r>
          <w:rPr>
            <w:rStyle w:val="Hyperlink"/>
            <w:noProof/>
          </w:rPr>
          <w:t>Annex 4 Analytical Models Used In Preparing The Impact Assessm</w:t>
        </w:r>
        <w:r>
          <w:rPr>
            <w:rStyle w:val="Hyperlink"/>
            <w:noProof/>
          </w:rPr>
          <w:t>ent</w:t>
        </w:r>
        <w:r>
          <w:rPr>
            <w:noProof/>
          </w:rPr>
          <w:tab/>
        </w:r>
        <w:r>
          <w:rPr>
            <w:noProof/>
          </w:rPr>
          <w:fldChar w:fldCharType="begin"/>
        </w:r>
        <w:r>
          <w:rPr>
            <w:noProof/>
          </w:rPr>
          <w:instrText xml:space="preserve"> PAGEREF _Toc483992768 \h </w:instrText>
        </w:r>
        <w:r>
          <w:rPr>
            <w:noProof/>
          </w:rPr>
        </w:r>
        <w:r>
          <w:rPr>
            <w:noProof/>
          </w:rPr>
          <w:fldChar w:fldCharType="separate"/>
        </w:r>
        <w:r>
          <w:rPr>
            <w:noProof/>
          </w:rPr>
          <w:t>86</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69"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Methodology for the market analysis</w:t>
        </w:r>
        <w:r>
          <w:rPr>
            <w:noProof/>
          </w:rPr>
          <w:tab/>
        </w:r>
        <w:r>
          <w:rPr>
            <w:noProof/>
          </w:rPr>
          <w:fldChar w:fldCharType="begin"/>
        </w:r>
        <w:r>
          <w:rPr>
            <w:noProof/>
          </w:rPr>
          <w:instrText xml:space="preserve"> PAGEREF _Toc483992769 \h </w:instrText>
        </w:r>
        <w:r>
          <w:rPr>
            <w:noProof/>
          </w:rPr>
        </w:r>
        <w:r>
          <w:rPr>
            <w:noProof/>
          </w:rPr>
          <w:fldChar w:fldCharType="separate"/>
        </w:r>
        <w:r>
          <w:rPr>
            <w:noProof/>
          </w:rPr>
          <w:t>86</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70"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Methodology for the estimation of the magnitude of the problem</w:t>
        </w:r>
        <w:r>
          <w:rPr>
            <w:noProof/>
          </w:rPr>
          <w:tab/>
        </w:r>
        <w:r>
          <w:rPr>
            <w:noProof/>
          </w:rPr>
          <w:fldChar w:fldCharType="begin"/>
        </w:r>
        <w:r>
          <w:rPr>
            <w:noProof/>
          </w:rPr>
          <w:instrText xml:space="preserve"> PAGEREF _Toc483992770 \h </w:instrText>
        </w:r>
        <w:r>
          <w:rPr>
            <w:noProof/>
          </w:rPr>
        </w:r>
        <w:r>
          <w:rPr>
            <w:noProof/>
          </w:rPr>
          <w:fldChar w:fldCharType="separate"/>
        </w:r>
        <w:r>
          <w:rPr>
            <w:noProof/>
          </w:rPr>
          <w:t>89</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71"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Methodology for case studies</w:t>
        </w:r>
        <w:r>
          <w:rPr>
            <w:noProof/>
          </w:rPr>
          <w:tab/>
        </w:r>
        <w:r>
          <w:rPr>
            <w:noProof/>
          </w:rPr>
          <w:fldChar w:fldCharType="begin"/>
        </w:r>
        <w:r>
          <w:rPr>
            <w:noProof/>
          </w:rPr>
          <w:instrText xml:space="preserve"> PAGEREF _Toc48399</w:instrText>
        </w:r>
        <w:r>
          <w:rPr>
            <w:noProof/>
          </w:rPr>
          <w:instrText xml:space="preserve">2771 \h </w:instrText>
        </w:r>
        <w:r>
          <w:rPr>
            <w:noProof/>
          </w:rPr>
        </w:r>
        <w:r>
          <w:rPr>
            <w:noProof/>
          </w:rPr>
          <w:fldChar w:fldCharType="separate"/>
        </w:r>
        <w:r>
          <w:rPr>
            <w:noProof/>
          </w:rPr>
          <w:t>90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72"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Estimation of the Market for Non-Harmonised products</w:t>
        </w:r>
        <w:r>
          <w:rPr>
            <w:noProof/>
          </w:rPr>
          <w:tab/>
        </w:r>
        <w:r>
          <w:rPr>
            <w:noProof/>
          </w:rPr>
          <w:fldChar w:fldCharType="begin"/>
        </w:r>
        <w:r>
          <w:rPr>
            <w:noProof/>
          </w:rPr>
          <w:instrText xml:space="preserve"> PAGEREF _Toc483992772 \h </w:instrText>
        </w:r>
        <w:r>
          <w:rPr>
            <w:noProof/>
          </w:rPr>
        </w:r>
        <w:r>
          <w:rPr>
            <w:noProof/>
          </w:rPr>
          <w:fldChar w:fldCharType="separate"/>
        </w:r>
        <w:r>
          <w:rPr>
            <w:noProof/>
          </w:rPr>
          <w:t>91</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73"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Estimate of the market value of current intra-EU trade in non-harmonised products falling under the mutual recognition principle</w:t>
        </w:r>
        <w:r>
          <w:rPr>
            <w:noProof/>
          </w:rPr>
          <w:tab/>
        </w:r>
        <w:r>
          <w:rPr>
            <w:noProof/>
          </w:rPr>
          <w:fldChar w:fldCharType="begin"/>
        </w:r>
        <w:r>
          <w:rPr>
            <w:noProof/>
          </w:rPr>
          <w:instrText xml:space="preserve"> PAGEREF _Toc483992773 \h </w:instrText>
        </w:r>
        <w:r>
          <w:rPr>
            <w:noProof/>
          </w:rPr>
        </w:r>
        <w:r>
          <w:rPr>
            <w:noProof/>
          </w:rPr>
          <w:fldChar w:fldCharType="separate"/>
        </w:r>
        <w:r>
          <w:rPr>
            <w:noProof/>
          </w:rPr>
          <w:t>91</w:t>
        </w:r>
        <w:r>
          <w:rPr>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74" w:history="1">
        <w:r>
          <w:rPr>
            <w:rStyle w:val="Hyperlink"/>
            <w:i/>
            <w:noProof/>
          </w:rPr>
          <w:t>4.1.1.</w:t>
        </w:r>
        <w:r>
          <w:rPr>
            <w:rFonts w:asciiTheme="minorHAnsi" w:eastAsiaTheme="minorEastAsia" w:hAnsiTheme="minorHAnsi" w:cstheme="minorBidi"/>
            <w:i/>
            <w:noProof/>
            <w:sz w:val="22"/>
            <w:szCs w:val="22"/>
            <w:lang w:eastAsia="en-GB"/>
          </w:rPr>
          <w:tab/>
        </w:r>
        <w:r>
          <w:rPr>
            <w:rStyle w:val="Hyperlink"/>
            <w:i/>
            <w:noProof/>
          </w:rPr>
          <w:t>Analysis at the sectorial level</w:t>
        </w:r>
        <w:r>
          <w:rPr>
            <w:i/>
            <w:noProof/>
          </w:rPr>
          <w:tab/>
        </w:r>
        <w:r>
          <w:rPr>
            <w:i/>
            <w:noProof/>
          </w:rPr>
          <w:fldChar w:fldCharType="begin"/>
        </w:r>
        <w:r>
          <w:rPr>
            <w:i/>
            <w:noProof/>
          </w:rPr>
          <w:instrText xml:space="preserve"> PAGEREF _Toc483992774 \h </w:instrText>
        </w:r>
        <w:r>
          <w:rPr>
            <w:i/>
            <w:noProof/>
          </w:rPr>
        </w:r>
        <w:r>
          <w:rPr>
            <w:i/>
            <w:noProof/>
          </w:rPr>
          <w:fldChar w:fldCharType="separate"/>
        </w:r>
        <w:r>
          <w:rPr>
            <w:i/>
            <w:noProof/>
          </w:rPr>
          <w:t>92</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75" w:history="1">
        <w:r>
          <w:rPr>
            <w:rStyle w:val="Hyperlink"/>
            <w:i/>
            <w:noProof/>
          </w:rPr>
          <w:t>4.1.2.</w:t>
        </w:r>
        <w:r>
          <w:rPr>
            <w:rFonts w:asciiTheme="minorHAnsi" w:eastAsiaTheme="minorEastAsia" w:hAnsiTheme="minorHAnsi" w:cstheme="minorBidi"/>
            <w:i/>
            <w:noProof/>
            <w:sz w:val="22"/>
            <w:szCs w:val="22"/>
            <w:lang w:eastAsia="en-GB"/>
          </w:rPr>
          <w:tab/>
        </w:r>
        <w:r>
          <w:rPr>
            <w:rStyle w:val="Hyperlink"/>
            <w:i/>
            <w:noProof/>
          </w:rPr>
          <w:t>Analysis at product level</w:t>
        </w:r>
        <w:r>
          <w:rPr>
            <w:i/>
            <w:noProof/>
          </w:rPr>
          <w:tab/>
        </w:r>
        <w:r>
          <w:rPr>
            <w:i/>
            <w:noProof/>
          </w:rPr>
          <w:fldChar w:fldCharType="begin"/>
        </w:r>
        <w:r>
          <w:rPr>
            <w:i/>
            <w:noProof/>
          </w:rPr>
          <w:instrText xml:space="preserve"> PAGEREF _Toc483992775 \h </w:instrText>
        </w:r>
        <w:r>
          <w:rPr>
            <w:i/>
            <w:noProof/>
          </w:rPr>
        </w:r>
        <w:r>
          <w:rPr>
            <w:i/>
            <w:noProof/>
          </w:rPr>
          <w:fldChar w:fldCharType="separate"/>
        </w:r>
        <w:r>
          <w:rPr>
            <w:i/>
            <w:noProof/>
          </w:rPr>
          <w:t>97</w:t>
        </w:r>
        <w:r>
          <w:rPr>
            <w:i/>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76"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 xml:space="preserve">Estimating the magnitude of the problem triggered by suboptimal functioning of </w:t>
        </w:r>
        <w:r>
          <w:rPr>
            <w:rStyle w:val="Hyperlink"/>
            <w:noProof/>
          </w:rPr>
          <w:t>the mutual recognition principle</w:t>
        </w:r>
        <w:r>
          <w:rPr>
            <w:noProof/>
          </w:rPr>
          <w:tab/>
        </w:r>
        <w:r>
          <w:rPr>
            <w:noProof/>
          </w:rPr>
          <w:fldChar w:fldCharType="begin"/>
        </w:r>
        <w:r>
          <w:rPr>
            <w:noProof/>
          </w:rPr>
          <w:instrText xml:space="preserve"> PAGEREF _Toc483992776 \h </w:instrText>
        </w:r>
        <w:r>
          <w:rPr>
            <w:noProof/>
          </w:rPr>
        </w:r>
        <w:r>
          <w:rPr>
            <w:noProof/>
          </w:rPr>
          <w:fldChar w:fldCharType="separate"/>
        </w:r>
        <w:r>
          <w:rPr>
            <w:noProof/>
          </w:rPr>
          <w:t>102</w:t>
        </w:r>
        <w:r>
          <w:rPr>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77" w:history="1">
        <w:r>
          <w:rPr>
            <w:rStyle w:val="Hyperlink"/>
            <w:i/>
            <w:noProof/>
          </w:rPr>
          <w:t>4.2.1.</w:t>
        </w:r>
        <w:r>
          <w:rPr>
            <w:rFonts w:asciiTheme="minorHAnsi" w:eastAsiaTheme="minorEastAsia" w:hAnsiTheme="minorHAnsi" w:cstheme="minorBidi"/>
            <w:i/>
            <w:noProof/>
            <w:sz w:val="22"/>
            <w:szCs w:val="22"/>
            <w:lang w:eastAsia="en-GB"/>
          </w:rPr>
          <w:tab/>
        </w:r>
        <w:r>
          <w:rPr>
            <w:rStyle w:val="Hyperlink"/>
            <w:i/>
            <w:noProof/>
          </w:rPr>
          <w:t>Introduction and exporting decision tree</w:t>
        </w:r>
        <w:r>
          <w:rPr>
            <w:i/>
            <w:noProof/>
          </w:rPr>
          <w:tab/>
        </w:r>
        <w:r>
          <w:rPr>
            <w:i/>
            <w:noProof/>
          </w:rPr>
          <w:fldChar w:fldCharType="begin"/>
        </w:r>
        <w:r>
          <w:rPr>
            <w:i/>
            <w:noProof/>
          </w:rPr>
          <w:instrText xml:space="preserve"> PAGEREF _Toc483992777 \h </w:instrText>
        </w:r>
        <w:r>
          <w:rPr>
            <w:i/>
            <w:noProof/>
          </w:rPr>
        </w:r>
        <w:r>
          <w:rPr>
            <w:i/>
            <w:noProof/>
          </w:rPr>
          <w:fldChar w:fldCharType="separate"/>
        </w:r>
        <w:r>
          <w:rPr>
            <w:i/>
            <w:noProof/>
          </w:rPr>
          <w:t>102</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78" w:history="1">
        <w:r>
          <w:rPr>
            <w:rStyle w:val="Hyperlink"/>
            <w:i/>
            <w:noProof/>
          </w:rPr>
          <w:t>4.2.2.</w:t>
        </w:r>
        <w:r>
          <w:rPr>
            <w:rFonts w:asciiTheme="minorHAnsi" w:eastAsiaTheme="minorEastAsia" w:hAnsiTheme="minorHAnsi" w:cstheme="minorBidi"/>
            <w:i/>
            <w:noProof/>
            <w:sz w:val="22"/>
            <w:szCs w:val="22"/>
            <w:lang w:eastAsia="en-GB"/>
          </w:rPr>
          <w:tab/>
        </w:r>
        <w:r>
          <w:rPr>
            <w:rStyle w:val="Hyperlink"/>
            <w:i/>
            <w:noProof/>
          </w:rPr>
          <w:t>The Sub-optimal Functioning of the Mutual Recognition model</w:t>
        </w:r>
        <w:r>
          <w:rPr>
            <w:i/>
            <w:noProof/>
          </w:rPr>
          <w:tab/>
        </w:r>
        <w:r>
          <w:rPr>
            <w:i/>
            <w:noProof/>
          </w:rPr>
          <w:fldChar w:fldCharType="begin"/>
        </w:r>
        <w:r>
          <w:rPr>
            <w:i/>
            <w:noProof/>
          </w:rPr>
          <w:instrText xml:space="preserve"> PAGEREF _Toc483992778 \h </w:instrText>
        </w:r>
        <w:r>
          <w:rPr>
            <w:i/>
            <w:noProof/>
          </w:rPr>
        </w:r>
        <w:r>
          <w:rPr>
            <w:i/>
            <w:noProof/>
          </w:rPr>
          <w:fldChar w:fldCharType="separate"/>
        </w:r>
        <w:r>
          <w:rPr>
            <w:i/>
            <w:noProof/>
          </w:rPr>
          <w:t>107</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79" w:history="1">
        <w:r>
          <w:rPr>
            <w:rStyle w:val="Hyperlink"/>
            <w:i/>
            <w:noProof/>
          </w:rPr>
          <w:t>4.2.3.</w:t>
        </w:r>
        <w:r>
          <w:rPr>
            <w:rFonts w:asciiTheme="minorHAnsi" w:eastAsiaTheme="minorEastAsia" w:hAnsiTheme="minorHAnsi" w:cstheme="minorBidi"/>
            <w:i/>
            <w:noProof/>
            <w:sz w:val="22"/>
            <w:szCs w:val="22"/>
            <w:lang w:eastAsia="en-GB"/>
          </w:rPr>
          <w:tab/>
        </w:r>
        <w:r>
          <w:rPr>
            <w:rStyle w:val="Hyperlink"/>
            <w:i/>
            <w:noProof/>
          </w:rPr>
          <w:t>Number of enterprises undertaking non-harmonised trade</w:t>
        </w:r>
        <w:r>
          <w:rPr>
            <w:i/>
            <w:noProof/>
          </w:rPr>
          <w:tab/>
        </w:r>
        <w:r>
          <w:rPr>
            <w:i/>
            <w:noProof/>
          </w:rPr>
          <w:fldChar w:fldCharType="begin"/>
        </w:r>
        <w:r>
          <w:rPr>
            <w:i/>
            <w:noProof/>
          </w:rPr>
          <w:instrText xml:space="preserve"> PAGEREF _Toc483992779 \h </w:instrText>
        </w:r>
        <w:r>
          <w:rPr>
            <w:i/>
            <w:noProof/>
          </w:rPr>
        </w:r>
        <w:r>
          <w:rPr>
            <w:i/>
            <w:noProof/>
          </w:rPr>
          <w:fldChar w:fldCharType="separate"/>
        </w:r>
        <w:r>
          <w:rPr>
            <w:i/>
            <w:noProof/>
          </w:rPr>
          <w:t>108</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80" w:history="1">
        <w:r>
          <w:rPr>
            <w:rStyle w:val="Hyperlink"/>
            <w:i/>
            <w:noProof/>
          </w:rPr>
          <w:t>4.2.4.</w:t>
        </w:r>
        <w:r>
          <w:rPr>
            <w:rFonts w:asciiTheme="minorHAnsi" w:eastAsiaTheme="minorEastAsia" w:hAnsiTheme="minorHAnsi" w:cstheme="minorBidi"/>
            <w:i/>
            <w:noProof/>
            <w:sz w:val="22"/>
            <w:szCs w:val="22"/>
            <w:lang w:eastAsia="en-GB"/>
          </w:rPr>
          <w:tab/>
        </w:r>
        <w:r>
          <w:rPr>
            <w:rStyle w:val="Hyperlink"/>
            <w:i/>
            <w:noProof/>
          </w:rPr>
          <w:t>Lost Opportunity</w:t>
        </w:r>
        <w:r>
          <w:rPr>
            <w:i/>
            <w:noProof/>
          </w:rPr>
          <w:tab/>
        </w:r>
        <w:r>
          <w:rPr>
            <w:i/>
            <w:noProof/>
          </w:rPr>
          <w:fldChar w:fldCharType="begin"/>
        </w:r>
        <w:r>
          <w:rPr>
            <w:i/>
            <w:noProof/>
          </w:rPr>
          <w:instrText xml:space="preserve"> PAGEREF _Toc483992780 \h </w:instrText>
        </w:r>
        <w:r>
          <w:rPr>
            <w:i/>
            <w:noProof/>
          </w:rPr>
        </w:r>
        <w:r>
          <w:rPr>
            <w:i/>
            <w:noProof/>
          </w:rPr>
          <w:fldChar w:fldCharType="separate"/>
        </w:r>
        <w:r>
          <w:rPr>
            <w:i/>
            <w:noProof/>
          </w:rPr>
          <w:t>111</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81" w:history="1">
        <w:r>
          <w:rPr>
            <w:rStyle w:val="Hyperlink"/>
            <w:i/>
            <w:noProof/>
          </w:rPr>
          <w:t>4.2.5.</w:t>
        </w:r>
        <w:r>
          <w:rPr>
            <w:rFonts w:asciiTheme="minorHAnsi" w:eastAsiaTheme="minorEastAsia" w:hAnsiTheme="minorHAnsi" w:cstheme="minorBidi"/>
            <w:i/>
            <w:noProof/>
            <w:sz w:val="22"/>
            <w:szCs w:val="22"/>
            <w:lang w:eastAsia="en-GB"/>
          </w:rPr>
          <w:tab/>
        </w:r>
        <w:r>
          <w:rPr>
            <w:rStyle w:val="Hyperlink"/>
            <w:i/>
            <w:noProof/>
          </w:rPr>
          <w:t>The Sub-optimal Functioning of the Mutual Recognition (SFMR) model</w:t>
        </w:r>
        <w:r>
          <w:rPr>
            <w:i/>
            <w:noProof/>
          </w:rPr>
          <w:tab/>
        </w:r>
        <w:r>
          <w:rPr>
            <w:i/>
            <w:noProof/>
          </w:rPr>
          <w:fldChar w:fldCharType="begin"/>
        </w:r>
        <w:r>
          <w:rPr>
            <w:i/>
            <w:noProof/>
          </w:rPr>
          <w:instrText xml:space="preserve"> PAGEREF _Toc483992781 \h </w:instrText>
        </w:r>
        <w:r>
          <w:rPr>
            <w:i/>
            <w:noProof/>
          </w:rPr>
        </w:r>
        <w:r>
          <w:rPr>
            <w:i/>
            <w:noProof/>
          </w:rPr>
          <w:fldChar w:fldCharType="separate"/>
        </w:r>
        <w:r>
          <w:rPr>
            <w:i/>
            <w:noProof/>
          </w:rPr>
          <w:t>112</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782" w:history="1">
        <w:r>
          <w:rPr>
            <w:rStyle w:val="Hyperlink"/>
            <w:i/>
            <w:noProof/>
          </w:rPr>
          <w:t>4.2.6.</w:t>
        </w:r>
        <w:r>
          <w:rPr>
            <w:rFonts w:asciiTheme="minorHAnsi" w:eastAsiaTheme="minorEastAsia" w:hAnsiTheme="minorHAnsi" w:cstheme="minorBidi"/>
            <w:i/>
            <w:noProof/>
            <w:sz w:val="22"/>
            <w:szCs w:val="22"/>
            <w:lang w:eastAsia="en-GB"/>
          </w:rPr>
          <w:tab/>
        </w:r>
        <w:r>
          <w:rPr>
            <w:rStyle w:val="Hyperlink"/>
            <w:i/>
            <w:noProof/>
          </w:rPr>
          <w:t>Conclusion</w:t>
        </w:r>
        <w:r>
          <w:rPr>
            <w:i/>
            <w:noProof/>
          </w:rPr>
          <w:tab/>
        </w:r>
        <w:r>
          <w:rPr>
            <w:i/>
            <w:noProof/>
          </w:rPr>
          <w:fldChar w:fldCharType="begin"/>
        </w:r>
        <w:r>
          <w:rPr>
            <w:i/>
            <w:noProof/>
          </w:rPr>
          <w:instrText xml:space="preserve"> PAGEREF _Toc483992782 \h </w:instrText>
        </w:r>
        <w:r>
          <w:rPr>
            <w:i/>
            <w:noProof/>
          </w:rPr>
        </w:r>
        <w:r>
          <w:rPr>
            <w:i/>
            <w:noProof/>
          </w:rPr>
          <w:fldChar w:fldCharType="separate"/>
        </w:r>
        <w:r>
          <w:rPr>
            <w:i/>
            <w:noProof/>
          </w:rPr>
          <w:t>114</w:t>
        </w:r>
        <w:r>
          <w:rPr>
            <w:i/>
            <w:noProof/>
          </w:rPr>
          <w:fldChar w:fldCharType="end"/>
        </w:r>
      </w:hyperlink>
    </w:p>
    <w:p w:rsidR="0037666B" w:rsidRDefault="00C627B8">
      <w:pPr>
        <w:pStyle w:val="TOC1"/>
        <w:ind w:left="0" w:right="-29" w:firstLine="0"/>
        <w:rPr>
          <w:rFonts w:asciiTheme="minorHAnsi" w:eastAsiaTheme="minorEastAsia" w:hAnsiTheme="minorHAnsi" w:cstheme="minorBidi"/>
          <w:caps w:val="0"/>
          <w:noProof/>
          <w:sz w:val="22"/>
          <w:szCs w:val="22"/>
          <w:lang w:eastAsia="en-GB"/>
        </w:rPr>
      </w:pPr>
      <w:hyperlink w:anchor="_Toc483992783" w:history="1">
        <w:r>
          <w:rPr>
            <w:rStyle w:val="Hyperlink"/>
            <w:noProof/>
          </w:rPr>
          <w:t>Annex 5 harmonised non harmoni</w:t>
        </w:r>
        <w:r>
          <w:rPr>
            <w:rStyle w:val="Hyperlink"/>
            <w:noProof/>
          </w:rPr>
          <w:t>sed and partially harmonised products- sector and product level analysis</w:t>
        </w:r>
        <w:r>
          <w:rPr>
            <w:noProof/>
          </w:rPr>
          <w:tab/>
        </w:r>
        <w:r>
          <w:rPr>
            <w:noProof/>
          </w:rPr>
          <w:fldChar w:fldCharType="begin"/>
        </w:r>
        <w:r>
          <w:rPr>
            <w:noProof/>
          </w:rPr>
          <w:instrText xml:space="preserve"> PAGEREF _Toc483992783 \h </w:instrText>
        </w:r>
        <w:r>
          <w:rPr>
            <w:noProof/>
          </w:rPr>
        </w:r>
        <w:r>
          <w:rPr>
            <w:noProof/>
          </w:rPr>
          <w:fldChar w:fldCharType="separate"/>
        </w:r>
        <w:r>
          <w:rPr>
            <w:noProof/>
          </w:rPr>
          <w:t>115</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8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Harmonised, Non-Harmonised and partially harmonised sectors - Classification used in the market analysis (Sectorial Level)</w:t>
        </w:r>
        <w:r>
          <w:rPr>
            <w:noProof/>
          </w:rPr>
          <w:tab/>
        </w:r>
        <w:r>
          <w:rPr>
            <w:noProof/>
          </w:rPr>
          <w:fldChar w:fldCharType="begin"/>
        </w:r>
        <w:r>
          <w:rPr>
            <w:noProof/>
          </w:rPr>
          <w:instrText xml:space="preserve"> PAGEREF _Toc483992784 \h </w:instrText>
        </w:r>
        <w:r>
          <w:rPr>
            <w:noProof/>
          </w:rPr>
        </w:r>
        <w:r>
          <w:rPr>
            <w:noProof/>
          </w:rPr>
          <w:fldChar w:fldCharType="separate"/>
        </w:r>
        <w:r>
          <w:rPr>
            <w:noProof/>
          </w:rPr>
          <w:t>115</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8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Products classified as non or partially harmonised in the market analysis (Product level)  by sector</w:t>
        </w:r>
        <w:r>
          <w:rPr>
            <w:noProof/>
          </w:rPr>
          <w:tab/>
        </w:r>
        <w:r>
          <w:rPr>
            <w:noProof/>
          </w:rPr>
          <w:fldChar w:fldCharType="begin"/>
        </w:r>
        <w:r>
          <w:rPr>
            <w:noProof/>
          </w:rPr>
          <w:instrText xml:space="preserve"> PAGEREF _Toc483992785 \h </w:instrText>
        </w:r>
        <w:r>
          <w:rPr>
            <w:noProof/>
          </w:rPr>
        </w:r>
        <w:r>
          <w:rPr>
            <w:noProof/>
          </w:rPr>
          <w:fldChar w:fldCharType="separate"/>
        </w:r>
        <w:r>
          <w:rPr>
            <w:noProof/>
          </w:rPr>
          <w:t>119</w:t>
        </w:r>
        <w:r>
          <w:rPr>
            <w:noProof/>
          </w:rPr>
          <w:fldChar w:fldCharType="end"/>
        </w:r>
      </w:hyperlink>
    </w:p>
    <w:p w:rsidR="0037666B" w:rsidRDefault="00C627B8">
      <w:pPr>
        <w:pStyle w:val="TOC1"/>
        <w:ind w:left="0" w:right="-29" w:firstLine="0"/>
        <w:rPr>
          <w:rFonts w:asciiTheme="minorHAnsi" w:eastAsiaTheme="minorEastAsia" w:hAnsiTheme="minorHAnsi" w:cstheme="minorBidi"/>
          <w:caps w:val="0"/>
          <w:noProof/>
          <w:sz w:val="22"/>
          <w:szCs w:val="22"/>
          <w:lang w:eastAsia="en-GB"/>
        </w:rPr>
      </w:pPr>
      <w:hyperlink w:anchor="_Toc483992786" w:history="1">
        <w:r>
          <w:rPr>
            <w:rStyle w:val="Hyperlink"/>
            <w:noProof/>
          </w:rPr>
          <w:t>Annex 6 – Main Findings of the Evaluation of the REFIT Evaluation on the Principle of Mutual Recognition and the Mutual Recognition Regulation No (EC) 764/2008</w:t>
        </w:r>
        <w:r>
          <w:rPr>
            <w:noProof/>
          </w:rPr>
          <w:tab/>
        </w:r>
        <w:r>
          <w:rPr>
            <w:noProof/>
          </w:rPr>
          <w:fldChar w:fldCharType="begin"/>
        </w:r>
        <w:r>
          <w:rPr>
            <w:noProof/>
          </w:rPr>
          <w:instrText xml:space="preserve"> PAGEREF _Toc4839927</w:instrText>
        </w:r>
        <w:r>
          <w:rPr>
            <w:noProof/>
          </w:rPr>
          <w:instrText xml:space="preserve">86 \h </w:instrText>
        </w:r>
        <w:r>
          <w:rPr>
            <w:noProof/>
          </w:rPr>
        </w:r>
        <w:r>
          <w:rPr>
            <w:noProof/>
          </w:rPr>
          <w:fldChar w:fldCharType="separate"/>
        </w:r>
        <w:r>
          <w:rPr>
            <w:noProof/>
          </w:rPr>
          <w:t>126</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87" w:history="1">
        <w:r>
          <w:rPr>
            <w:rStyle w:val="Hyperlink"/>
            <w:noProof/>
          </w:rPr>
          <w:t>Annex 7 assessed literature and jurisprudence</w:t>
        </w:r>
        <w:r>
          <w:rPr>
            <w:noProof/>
          </w:rPr>
          <w:tab/>
        </w:r>
        <w:r>
          <w:rPr>
            <w:noProof/>
          </w:rPr>
          <w:fldChar w:fldCharType="begin"/>
        </w:r>
        <w:r>
          <w:rPr>
            <w:noProof/>
          </w:rPr>
          <w:instrText xml:space="preserve"> PAGEREF _Toc483992787 \h </w:instrText>
        </w:r>
        <w:r>
          <w:rPr>
            <w:noProof/>
          </w:rPr>
        </w:r>
        <w:r>
          <w:rPr>
            <w:noProof/>
          </w:rPr>
          <w:fldChar w:fldCharType="separate"/>
        </w:r>
        <w:r>
          <w:rPr>
            <w:noProof/>
          </w:rPr>
          <w:t>140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88"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Literature</w:t>
        </w:r>
        <w:r>
          <w:rPr>
            <w:noProof/>
          </w:rPr>
          <w:tab/>
        </w:r>
        <w:r>
          <w:rPr>
            <w:noProof/>
          </w:rPr>
          <w:fldChar w:fldCharType="begin"/>
        </w:r>
        <w:r>
          <w:rPr>
            <w:noProof/>
          </w:rPr>
          <w:instrText xml:space="preserve"> PAGEREF _Toc483992788 \h </w:instrText>
        </w:r>
        <w:r>
          <w:rPr>
            <w:noProof/>
          </w:rPr>
        </w:r>
        <w:r>
          <w:rPr>
            <w:noProof/>
          </w:rPr>
          <w:fldChar w:fldCharType="separate"/>
        </w:r>
        <w:r>
          <w:rPr>
            <w:noProof/>
          </w:rPr>
          <w:t>140</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89"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Recent case</w:t>
        </w:r>
        <w:r>
          <w:rPr>
            <w:rStyle w:val="Hyperlink"/>
            <w:noProof/>
          </w:rPr>
          <w:t xml:space="preserve"> law of the CJEU on mutual recognition</w:t>
        </w:r>
        <w:r>
          <w:rPr>
            <w:noProof/>
          </w:rPr>
          <w:tab/>
        </w:r>
        <w:r>
          <w:rPr>
            <w:noProof/>
          </w:rPr>
          <w:fldChar w:fldCharType="begin"/>
        </w:r>
        <w:r>
          <w:rPr>
            <w:noProof/>
          </w:rPr>
          <w:instrText xml:space="preserve"> PAGEREF _Toc483992789 \h </w:instrText>
        </w:r>
        <w:r>
          <w:rPr>
            <w:noProof/>
          </w:rPr>
        </w:r>
        <w:r>
          <w:rPr>
            <w:noProof/>
          </w:rPr>
          <w:fldChar w:fldCharType="separate"/>
        </w:r>
        <w:r>
          <w:rPr>
            <w:noProof/>
          </w:rPr>
          <w:t>144</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90" w:history="1">
        <w:r>
          <w:rPr>
            <w:rStyle w:val="Hyperlink"/>
            <w:noProof/>
          </w:rPr>
          <w:t>Annex  8 The Declaration of Compliance</w:t>
        </w:r>
        <w:r>
          <w:rPr>
            <w:noProof/>
          </w:rPr>
          <w:tab/>
        </w:r>
        <w:r>
          <w:rPr>
            <w:noProof/>
          </w:rPr>
          <w:fldChar w:fldCharType="begin"/>
        </w:r>
        <w:r>
          <w:rPr>
            <w:noProof/>
          </w:rPr>
          <w:instrText xml:space="preserve"> PAGEREF _Toc483992790 \h </w:instrText>
        </w:r>
        <w:r>
          <w:rPr>
            <w:noProof/>
          </w:rPr>
        </w:r>
        <w:r>
          <w:rPr>
            <w:noProof/>
          </w:rPr>
          <w:fldChar w:fldCharType="separate"/>
        </w:r>
        <w:r>
          <w:rPr>
            <w:noProof/>
          </w:rPr>
          <w:t>149</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9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EU Product legislation under the 'New Approach'</w:t>
        </w:r>
        <w:r>
          <w:rPr>
            <w:noProof/>
          </w:rPr>
          <w:tab/>
        </w:r>
        <w:r>
          <w:rPr>
            <w:noProof/>
          </w:rPr>
          <w:fldChar w:fldCharType="begin"/>
        </w:r>
        <w:r>
          <w:rPr>
            <w:noProof/>
          </w:rPr>
          <w:instrText xml:space="preserve"> PAGEREF _Toc483992791 \h </w:instrText>
        </w:r>
        <w:r>
          <w:rPr>
            <w:noProof/>
          </w:rPr>
        </w:r>
        <w:r>
          <w:rPr>
            <w:noProof/>
          </w:rPr>
          <w:fldChar w:fldCharType="separate"/>
        </w:r>
        <w:r>
          <w:rPr>
            <w:noProof/>
          </w:rPr>
          <w:t>149</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92"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EU declaration of conformity in EU Product legislation</w:t>
        </w:r>
        <w:r>
          <w:rPr>
            <w:noProof/>
          </w:rPr>
          <w:tab/>
        </w:r>
        <w:r>
          <w:rPr>
            <w:noProof/>
          </w:rPr>
          <w:fldChar w:fldCharType="begin"/>
        </w:r>
        <w:r>
          <w:rPr>
            <w:noProof/>
          </w:rPr>
          <w:instrText xml:space="preserve"> PAGEREF _Toc483992792 \h </w:instrText>
        </w:r>
        <w:r>
          <w:rPr>
            <w:noProof/>
          </w:rPr>
        </w:r>
        <w:r>
          <w:rPr>
            <w:noProof/>
          </w:rPr>
          <w:fldChar w:fldCharType="separate"/>
        </w:r>
        <w:r>
          <w:rPr>
            <w:noProof/>
          </w:rPr>
          <w:t>151</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9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 xml:space="preserve">Comparison between the role of the manufacturer in </w:t>
        </w:r>
        <w:r>
          <w:rPr>
            <w:rStyle w:val="Hyperlink"/>
            <w:noProof/>
          </w:rPr>
          <w:t>EU harmonisation legislation and in the Mutual Recognition proposal</w:t>
        </w:r>
        <w:r>
          <w:rPr>
            <w:noProof/>
          </w:rPr>
          <w:tab/>
        </w:r>
        <w:r>
          <w:rPr>
            <w:noProof/>
          </w:rPr>
          <w:fldChar w:fldCharType="begin"/>
        </w:r>
        <w:r>
          <w:rPr>
            <w:noProof/>
          </w:rPr>
          <w:instrText xml:space="preserve"> PAGEREF _Toc483992793 \h </w:instrText>
        </w:r>
        <w:r>
          <w:rPr>
            <w:noProof/>
          </w:rPr>
        </w:r>
        <w:r>
          <w:rPr>
            <w:noProof/>
          </w:rPr>
          <w:fldChar w:fldCharType="separate"/>
        </w:r>
        <w:r>
          <w:rPr>
            <w:noProof/>
          </w:rPr>
          <w:t>154</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9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Comparison between the declarations of conformity</w:t>
        </w:r>
        <w:r>
          <w:rPr>
            <w:noProof/>
          </w:rPr>
          <w:tab/>
        </w:r>
        <w:r>
          <w:rPr>
            <w:noProof/>
          </w:rPr>
          <w:fldChar w:fldCharType="begin"/>
        </w:r>
        <w:r>
          <w:rPr>
            <w:noProof/>
          </w:rPr>
          <w:instrText xml:space="preserve"> PAGEREF _Toc483992794 \h </w:instrText>
        </w:r>
        <w:r>
          <w:rPr>
            <w:noProof/>
          </w:rPr>
        </w:r>
        <w:r>
          <w:rPr>
            <w:noProof/>
          </w:rPr>
          <w:fldChar w:fldCharType="separate"/>
        </w:r>
        <w:r>
          <w:rPr>
            <w:noProof/>
          </w:rPr>
          <w:t>155</w:t>
        </w:r>
        <w:r>
          <w:rPr>
            <w:noProof/>
          </w:rPr>
          <w:fldChar w:fldCharType="end"/>
        </w:r>
      </w:hyperlink>
    </w:p>
    <w:p w:rsidR="0037666B" w:rsidRDefault="00C627B8">
      <w:pPr>
        <w:pStyle w:val="TOC1"/>
        <w:ind w:left="993" w:right="-29" w:hanging="993"/>
        <w:rPr>
          <w:rFonts w:asciiTheme="minorHAnsi" w:eastAsiaTheme="minorEastAsia" w:hAnsiTheme="minorHAnsi" w:cstheme="minorBidi"/>
          <w:caps w:val="0"/>
          <w:noProof/>
          <w:sz w:val="22"/>
          <w:szCs w:val="22"/>
          <w:lang w:eastAsia="en-GB"/>
        </w:rPr>
      </w:pPr>
      <w:hyperlink w:anchor="_Toc483992795"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The Suppliers declaration of conformity in international trade</w:t>
        </w:r>
        <w:r>
          <w:rPr>
            <w:noProof/>
          </w:rPr>
          <w:tab/>
        </w:r>
        <w:r>
          <w:rPr>
            <w:noProof/>
          </w:rPr>
          <w:fldChar w:fldCharType="begin"/>
        </w:r>
        <w:r>
          <w:rPr>
            <w:noProof/>
          </w:rPr>
          <w:instrText xml:space="preserve"> PAGEREF _Toc483992795 \h </w:instrText>
        </w:r>
        <w:r>
          <w:rPr>
            <w:noProof/>
          </w:rPr>
        </w:r>
        <w:r>
          <w:rPr>
            <w:noProof/>
          </w:rPr>
          <w:fldChar w:fldCharType="separate"/>
        </w:r>
        <w:r>
          <w:rPr>
            <w:noProof/>
          </w:rPr>
          <w:t>156</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96"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The use of the suppliers' Dec</w:t>
        </w:r>
        <w:r>
          <w:rPr>
            <w:rStyle w:val="Hyperlink"/>
            <w:noProof/>
          </w:rPr>
          <w:t>laration of Conformity in global trade</w:t>
        </w:r>
        <w:r>
          <w:rPr>
            <w:noProof/>
          </w:rPr>
          <w:tab/>
        </w:r>
        <w:r>
          <w:rPr>
            <w:noProof/>
          </w:rPr>
          <w:fldChar w:fldCharType="begin"/>
        </w:r>
        <w:r>
          <w:rPr>
            <w:noProof/>
          </w:rPr>
          <w:instrText xml:space="preserve"> PAGEREF _Toc483992796 \h </w:instrText>
        </w:r>
        <w:r>
          <w:rPr>
            <w:noProof/>
          </w:rPr>
        </w:r>
        <w:r>
          <w:rPr>
            <w:noProof/>
          </w:rPr>
          <w:fldChar w:fldCharType="separate"/>
        </w:r>
        <w:r>
          <w:rPr>
            <w:noProof/>
          </w:rPr>
          <w:t>156</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97"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International standard EN ISO/IEC 17050-1</w:t>
        </w:r>
        <w:r>
          <w:rPr>
            <w:noProof/>
          </w:rPr>
          <w:tab/>
        </w:r>
        <w:r>
          <w:rPr>
            <w:noProof/>
          </w:rPr>
          <w:fldChar w:fldCharType="begin"/>
        </w:r>
        <w:r>
          <w:rPr>
            <w:noProof/>
          </w:rPr>
          <w:instrText xml:space="preserve"> PAGEREF _Toc483992797 \h </w:instrText>
        </w:r>
        <w:r>
          <w:rPr>
            <w:noProof/>
          </w:rPr>
        </w:r>
        <w:r>
          <w:rPr>
            <w:noProof/>
          </w:rPr>
          <w:fldChar w:fldCharType="separate"/>
        </w:r>
        <w:r>
          <w:rPr>
            <w:noProof/>
          </w:rPr>
          <w:t>159</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98"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U.S. International Trade Commission</w:t>
        </w:r>
        <w:r>
          <w:rPr>
            <w:noProof/>
          </w:rPr>
          <w:tab/>
        </w:r>
        <w:r>
          <w:rPr>
            <w:noProof/>
          </w:rPr>
          <w:fldChar w:fldCharType="begin"/>
        </w:r>
        <w:r>
          <w:rPr>
            <w:noProof/>
          </w:rPr>
          <w:instrText xml:space="preserve"> PAGEREF _Toc483992798 \h </w:instrText>
        </w:r>
        <w:r>
          <w:rPr>
            <w:noProof/>
          </w:rPr>
        </w:r>
        <w:r>
          <w:rPr>
            <w:noProof/>
          </w:rPr>
          <w:fldChar w:fldCharType="separate"/>
        </w:r>
        <w:r>
          <w:rPr>
            <w:noProof/>
          </w:rPr>
          <w:t>161</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799"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The Use of Supplier’s Declaration of Conformity in the U.S.</w:t>
        </w:r>
        <w:r>
          <w:rPr>
            <w:noProof/>
          </w:rPr>
          <w:tab/>
        </w:r>
        <w:r>
          <w:rPr>
            <w:noProof/>
          </w:rPr>
          <w:fldChar w:fldCharType="begin"/>
        </w:r>
        <w:r>
          <w:rPr>
            <w:noProof/>
          </w:rPr>
          <w:instrText xml:space="preserve"> PAGEREF _Toc483992799 \h </w:instrText>
        </w:r>
        <w:r>
          <w:rPr>
            <w:noProof/>
          </w:rPr>
        </w:r>
        <w:r>
          <w:rPr>
            <w:noProof/>
          </w:rPr>
          <w:fldChar w:fldCharType="separate"/>
        </w:r>
        <w:r>
          <w:rPr>
            <w:noProof/>
          </w:rPr>
          <w:t>161</w:t>
        </w:r>
        <w:r>
          <w:rPr>
            <w:noProof/>
          </w:rPr>
          <w:fldChar w:fldCharType="end"/>
        </w:r>
      </w:hyperlink>
    </w:p>
    <w:p w:rsidR="0037666B" w:rsidRDefault="00C627B8">
      <w:pPr>
        <w:pStyle w:val="TOC2"/>
        <w:tabs>
          <w:tab w:val="left" w:pos="1077"/>
        </w:tabs>
        <w:ind w:left="993" w:right="-29" w:hanging="993"/>
        <w:rPr>
          <w:rFonts w:asciiTheme="minorHAnsi" w:eastAsiaTheme="minorEastAsia" w:hAnsiTheme="minorHAnsi" w:cstheme="minorBidi"/>
          <w:noProof/>
          <w:sz w:val="22"/>
          <w:szCs w:val="22"/>
          <w:lang w:eastAsia="en-GB"/>
        </w:rPr>
      </w:pPr>
      <w:hyperlink w:anchor="_Toc483992800"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Case study: Australia</w:t>
        </w:r>
        <w:r>
          <w:rPr>
            <w:noProof/>
          </w:rPr>
          <w:tab/>
        </w:r>
        <w:r>
          <w:rPr>
            <w:noProof/>
          </w:rPr>
          <w:fldChar w:fldCharType="begin"/>
        </w:r>
        <w:r>
          <w:rPr>
            <w:noProof/>
          </w:rPr>
          <w:instrText xml:space="preserve"> PAGEREF _Toc483992</w:instrText>
        </w:r>
        <w:r>
          <w:rPr>
            <w:noProof/>
          </w:rPr>
          <w:instrText xml:space="preserve">800 \h </w:instrText>
        </w:r>
        <w:r>
          <w:rPr>
            <w:noProof/>
          </w:rPr>
        </w:r>
        <w:r>
          <w:rPr>
            <w:noProof/>
          </w:rPr>
          <w:fldChar w:fldCharType="separate"/>
        </w:r>
        <w:r>
          <w:rPr>
            <w:noProof/>
          </w:rPr>
          <w:t>162</w:t>
        </w:r>
        <w:r>
          <w:rPr>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801" w:history="1">
        <w:r>
          <w:rPr>
            <w:rStyle w:val="Hyperlink"/>
            <w:i/>
            <w:noProof/>
          </w:rPr>
          <w:t>5.5.1.</w:t>
        </w:r>
        <w:r>
          <w:rPr>
            <w:rFonts w:asciiTheme="minorHAnsi" w:eastAsiaTheme="minorEastAsia" w:hAnsiTheme="minorHAnsi" w:cstheme="minorBidi"/>
            <w:i/>
            <w:noProof/>
            <w:sz w:val="22"/>
            <w:szCs w:val="22"/>
            <w:lang w:eastAsia="en-GB"/>
          </w:rPr>
          <w:tab/>
        </w:r>
        <w:r>
          <w:rPr>
            <w:rStyle w:val="Hyperlink"/>
            <w:i/>
            <w:noProof/>
          </w:rPr>
          <w:t>Introduction</w:t>
        </w:r>
        <w:r>
          <w:rPr>
            <w:i/>
            <w:noProof/>
          </w:rPr>
          <w:tab/>
        </w:r>
        <w:r>
          <w:rPr>
            <w:i/>
            <w:noProof/>
          </w:rPr>
          <w:fldChar w:fldCharType="begin"/>
        </w:r>
        <w:r>
          <w:rPr>
            <w:i/>
            <w:noProof/>
          </w:rPr>
          <w:instrText xml:space="preserve"> PAGEREF _Toc483992801 \h </w:instrText>
        </w:r>
        <w:r>
          <w:rPr>
            <w:i/>
            <w:noProof/>
          </w:rPr>
        </w:r>
        <w:r>
          <w:rPr>
            <w:i/>
            <w:noProof/>
          </w:rPr>
          <w:fldChar w:fldCharType="separate"/>
        </w:r>
        <w:r>
          <w:rPr>
            <w:i/>
            <w:noProof/>
          </w:rPr>
          <w:t>162</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802" w:history="1">
        <w:r>
          <w:rPr>
            <w:rStyle w:val="Hyperlink"/>
            <w:i/>
            <w:noProof/>
          </w:rPr>
          <w:t>5.5.2.</w:t>
        </w:r>
        <w:r>
          <w:rPr>
            <w:rFonts w:asciiTheme="minorHAnsi" w:eastAsiaTheme="minorEastAsia" w:hAnsiTheme="minorHAnsi" w:cstheme="minorBidi"/>
            <w:i/>
            <w:noProof/>
            <w:sz w:val="22"/>
            <w:szCs w:val="22"/>
            <w:lang w:eastAsia="en-GB"/>
          </w:rPr>
          <w:tab/>
        </w:r>
        <w:r>
          <w:rPr>
            <w:rStyle w:val="Hyperlink"/>
            <w:i/>
            <w:noProof/>
          </w:rPr>
          <w:t>Supplier’s Declaration: an Assessment</w:t>
        </w:r>
        <w:r>
          <w:rPr>
            <w:i/>
            <w:noProof/>
          </w:rPr>
          <w:tab/>
        </w:r>
        <w:r>
          <w:rPr>
            <w:i/>
            <w:noProof/>
          </w:rPr>
          <w:fldChar w:fldCharType="begin"/>
        </w:r>
        <w:r>
          <w:rPr>
            <w:i/>
            <w:noProof/>
          </w:rPr>
          <w:instrText xml:space="preserve"> PAGEREF _Toc483992802 \h </w:instrText>
        </w:r>
        <w:r>
          <w:rPr>
            <w:i/>
            <w:noProof/>
          </w:rPr>
        </w:r>
        <w:r>
          <w:rPr>
            <w:i/>
            <w:noProof/>
          </w:rPr>
          <w:fldChar w:fldCharType="separate"/>
        </w:r>
        <w:r>
          <w:rPr>
            <w:i/>
            <w:noProof/>
          </w:rPr>
          <w:t>162</w:t>
        </w:r>
        <w:r>
          <w:rPr>
            <w:i/>
            <w:noProof/>
          </w:rPr>
          <w:fldChar w:fldCharType="end"/>
        </w:r>
      </w:hyperlink>
    </w:p>
    <w:p w:rsidR="0037666B" w:rsidRDefault="00C627B8">
      <w:pPr>
        <w:pStyle w:val="TOC3"/>
        <w:tabs>
          <w:tab w:val="left" w:pos="1916"/>
        </w:tabs>
        <w:ind w:left="993" w:right="-29" w:hanging="993"/>
        <w:rPr>
          <w:rFonts w:asciiTheme="minorHAnsi" w:eastAsiaTheme="minorEastAsia" w:hAnsiTheme="minorHAnsi" w:cstheme="minorBidi"/>
          <w:i/>
          <w:noProof/>
          <w:sz w:val="22"/>
          <w:szCs w:val="22"/>
          <w:lang w:eastAsia="en-GB"/>
        </w:rPr>
      </w:pPr>
      <w:hyperlink w:anchor="_Toc483992803" w:history="1">
        <w:r>
          <w:rPr>
            <w:rStyle w:val="Hyperlink"/>
            <w:i/>
            <w:noProof/>
          </w:rPr>
          <w:t>5.5.3.</w:t>
        </w:r>
        <w:r>
          <w:rPr>
            <w:rFonts w:asciiTheme="minorHAnsi" w:eastAsiaTheme="minorEastAsia" w:hAnsiTheme="minorHAnsi" w:cstheme="minorBidi"/>
            <w:i/>
            <w:noProof/>
            <w:sz w:val="22"/>
            <w:szCs w:val="22"/>
            <w:lang w:eastAsia="en-GB"/>
          </w:rPr>
          <w:tab/>
        </w:r>
        <w:r>
          <w:rPr>
            <w:rStyle w:val="Hyperlink"/>
            <w:i/>
            <w:noProof/>
          </w:rPr>
          <w:t>Impact of SDoC on Stakeholders</w:t>
        </w:r>
        <w:r>
          <w:rPr>
            <w:i/>
            <w:noProof/>
          </w:rPr>
          <w:tab/>
        </w:r>
        <w:r>
          <w:rPr>
            <w:i/>
            <w:noProof/>
          </w:rPr>
          <w:fldChar w:fldCharType="begin"/>
        </w:r>
        <w:r>
          <w:rPr>
            <w:i/>
            <w:noProof/>
          </w:rPr>
          <w:instrText xml:space="preserve"> PAGEREF _Toc483992803 \h </w:instrText>
        </w:r>
        <w:r>
          <w:rPr>
            <w:i/>
            <w:noProof/>
          </w:rPr>
        </w:r>
        <w:r>
          <w:rPr>
            <w:i/>
            <w:noProof/>
          </w:rPr>
          <w:fldChar w:fldCharType="separate"/>
        </w:r>
        <w:r>
          <w:rPr>
            <w:i/>
            <w:noProof/>
          </w:rPr>
          <w:t>163</w:t>
        </w:r>
        <w:r>
          <w:rPr>
            <w:i/>
            <w:noProof/>
          </w:rPr>
          <w:fldChar w:fldCharType="end"/>
        </w:r>
      </w:hyperlink>
    </w:p>
    <w:p w:rsidR="0037666B" w:rsidRDefault="00C627B8">
      <w:pPr>
        <w:pStyle w:val="TOC4"/>
        <w:tabs>
          <w:tab w:val="left" w:pos="-15026"/>
        </w:tabs>
        <w:ind w:left="993" w:right="-29" w:hanging="993"/>
        <w:rPr>
          <w:rFonts w:asciiTheme="minorHAnsi" w:eastAsiaTheme="minorEastAsia" w:hAnsiTheme="minorHAnsi" w:cstheme="minorBidi"/>
          <w:noProof/>
          <w:sz w:val="22"/>
          <w:szCs w:val="22"/>
          <w:lang w:eastAsia="en-GB"/>
        </w:rPr>
      </w:pPr>
      <w:hyperlink w:anchor="_Toc483992804" w:history="1">
        <w:r>
          <w:rPr>
            <w:rStyle w:val="Hyperlink"/>
            <w:noProof/>
          </w:rPr>
          <w:t>5.5.3.1.</w:t>
        </w:r>
        <w:r>
          <w:rPr>
            <w:rFonts w:asciiTheme="minorHAnsi" w:eastAsiaTheme="minorEastAsia" w:hAnsiTheme="minorHAnsi" w:cstheme="minorBidi"/>
            <w:noProof/>
            <w:sz w:val="22"/>
            <w:szCs w:val="22"/>
            <w:lang w:eastAsia="en-GB"/>
          </w:rPr>
          <w:tab/>
        </w:r>
        <w:r>
          <w:rPr>
            <w:rStyle w:val="Hyperlink"/>
            <w:noProof/>
          </w:rPr>
          <w:t>Regulator</w:t>
        </w:r>
        <w:r>
          <w:rPr>
            <w:noProof/>
          </w:rPr>
          <w:tab/>
        </w:r>
        <w:r>
          <w:rPr>
            <w:noProof/>
          </w:rPr>
          <w:fldChar w:fldCharType="begin"/>
        </w:r>
        <w:r>
          <w:rPr>
            <w:noProof/>
          </w:rPr>
          <w:instrText xml:space="preserve"> PAGEREF _Toc483992804 \h </w:instrText>
        </w:r>
        <w:r>
          <w:rPr>
            <w:noProof/>
          </w:rPr>
        </w:r>
        <w:r>
          <w:rPr>
            <w:noProof/>
          </w:rPr>
          <w:fldChar w:fldCharType="separate"/>
        </w:r>
        <w:r>
          <w:rPr>
            <w:noProof/>
          </w:rPr>
          <w:t>163</w:t>
        </w:r>
        <w:r>
          <w:rPr>
            <w:noProof/>
          </w:rPr>
          <w:fldChar w:fldCharType="end"/>
        </w:r>
      </w:hyperlink>
    </w:p>
    <w:p w:rsidR="0037666B" w:rsidRDefault="00C627B8">
      <w:pPr>
        <w:pStyle w:val="TOC4"/>
        <w:tabs>
          <w:tab w:val="left" w:pos="-15026"/>
        </w:tabs>
        <w:ind w:left="993" w:right="-29" w:hanging="993"/>
        <w:rPr>
          <w:rFonts w:asciiTheme="minorHAnsi" w:eastAsiaTheme="minorEastAsia" w:hAnsiTheme="minorHAnsi" w:cstheme="minorBidi"/>
          <w:noProof/>
          <w:sz w:val="22"/>
          <w:szCs w:val="22"/>
          <w:lang w:eastAsia="en-GB"/>
        </w:rPr>
      </w:pPr>
      <w:hyperlink w:anchor="_Toc483992805" w:history="1">
        <w:r>
          <w:rPr>
            <w:rStyle w:val="Hyperlink"/>
            <w:noProof/>
          </w:rPr>
          <w:t>5.5.3.2.</w:t>
        </w:r>
        <w:r>
          <w:rPr>
            <w:rFonts w:asciiTheme="minorHAnsi" w:eastAsiaTheme="minorEastAsia" w:hAnsiTheme="minorHAnsi" w:cstheme="minorBidi"/>
            <w:noProof/>
            <w:sz w:val="22"/>
            <w:szCs w:val="22"/>
            <w:lang w:eastAsia="en-GB"/>
          </w:rPr>
          <w:tab/>
        </w:r>
        <w:r>
          <w:rPr>
            <w:rStyle w:val="Hyperlink"/>
            <w:noProof/>
          </w:rPr>
          <w:t>Suppliers</w:t>
        </w:r>
        <w:r>
          <w:rPr>
            <w:noProof/>
          </w:rPr>
          <w:tab/>
        </w:r>
        <w:r>
          <w:rPr>
            <w:noProof/>
          </w:rPr>
          <w:fldChar w:fldCharType="begin"/>
        </w:r>
        <w:r>
          <w:rPr>
            <w:noProof/>
          </w:rPr>
          <w:instrText xml:space="preserve"> PAGEREF _Toc483992805 \h </w:instrText>
        </w:r>
        <w:r>
          <w:rPr>
            <w:noProof/>
          </w:rPr>
        </w:r>
        <w:r>
          <w:rPr>
            <w:noProof/>
          </w:rPr>
          <w:fldChar w:fldCharType="separate"/>
        </w:r>
        <w:r>
          <w:rPr>
            <w:noProof/>
          </w:rPr>
          <w:t>164</w:t>
        </w:r>
        <w:r>
          <w:rPr>
            <w:noProof/>
          </w:rPr>
          <w:fldChar w:fldCharType="end"/>
        </w:r>
      </w:hyperlink>
    </w:p>
    <w:p w:rsidR="0037666B" w:rsidRDefault="00C627B8">
      <w:pPr>
        <w:pStyle w:val="TOC4"/>
        <w:tabs>
          <w:tab w:val="left" w:pos="-15026"/>
        </w:tabs>
        <w:ind w:left="993" w:right="-29" w:hanging="993"/>
        <w:rPr>
          <w:rFonts w:asciiTheme="minorHAnsi" w:eastAsiaTheme="minorEastAsia" w:hAnsiTheme="minorHAnsi" w:cstheme="minorBidi"/>
          <w:noProof/>
          <w:sz w:val="22"/>
          <w:szCs w:val="22"/>
          <w:lang w:eastAsia="en-GB"/>
        </w:rPr>
      </w:pPr>
      <w:hyperlink w:anchor="_Toc483992806" w:history="1">
        <w:r>
          <w:rPr>
            <w:rStyle w:val="Hyperlink"/>
            <w:noProof/>
          </w:rPr>
          <w:t>5.5.3.3.</w:t>
        </w:r>
        <w:r>
          <w:rPr>
            <w:rFonts w:asciiTheme="minorHAnsi" w:eastAsiaTheme="minorEastAsia" w:hAnsiTheme="minorHAnsi" w:cstheme="minorBidi"/>
            <w:noProof/>
            <w:sz w:val="22"/>
            <w:szCs w:val="22"/>
            <w:lang w:eastAsia="en-GB"/>
          </w:rPr>
          <w:tab/>
        </w:r>
        <w:r>
          <w:rPr>
            <w:rStyle w:val="Hyperlink"/>
            <w:noProof/>
          </w:rPr>
          <w:t>End User</w:t>
        </w:r>
        <w:r>
          <w:rPr>
            <w:noProof/>
          </w:rPr>
          <w:tab/>
        </w:r>
        <w:r>
          <w:rPr>
            <w:noProof/>
          </w:rPr>
          <w:fldChar w:fldCharType="begin"/>
        </w:r>
        <w:r>
          <w:rPr>
            <w:noProof/>
          </w:rPr>
          <w:instrText xml:space="preserve"> PAGEREF _Toc483992806 \h </w:instrText>
        </w:r>
        <w:r>
          <w:rPr>
            <w:noProof/>
          </w:rPr>
        </w:r>
        <w:r>
          <w:rPr>
            <w:noProof/>
          </w:rPr>
          <w:fldChar w:fldCharType="separate"/>
        </w:r>
        <w:r>
          <w:rPr>
            <w:noProof/>
          </w:rPr>
          <w:t>164</w:t>
        </w:r>
        <w:r>
          <w:rPr>
            <w:noProof/>
          </w:rPr>
          <w:fldChar w:fldCharType="end"/>
        </w:r>
      </w:hyperlink>
    </w:p>
    <w:p w:rsidR="0037666B" w:rsidRDefault="00C627B8">
      <w:pPr>
        <w:pStyle w:val="TOC1"/>
        <w:tabs>
          <w:tab w:val="left" w:pos="-15026"/>
        </w:tabs>
        <w:ind w:left="993" w:right="-29" w:hanging="993"/>
        <w:rPr>
          <w:rFonts w:asciiTheme="minorHAnsi" w:eastAsiaTheme="minorEastAsia" w:hAnsiTheme="minorHAnsi" w:cstheme="minorBidi"/>
          <w:caps w:val="0"/>
          <w:noProof/>
          <w:sz w:val="22"/>
          <w:szCs w:val="22"/>
          <w:lang w:eastAsia="en-GB"/>
        </w:rPr>
      </w:pPr>
      <w:hyperlink w:anchor="_Toc483992807"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Evaluating the trade effects of suppliers' declaration of conformity</w:t>
        </w:r>
        <w:r>
          <w:rPr>
            <w:noProof/>
          </w:rPr>
          <w:tab/>
        </w:r>
        <w:r>
          <w:rPr>
            <w:noProof/>
          </w:rPr>
          <w:fldChar w:fldCharType="begin"/>
        </w:r>
        <w:r>
          <w:rPr>
            <w:noProof/>
          </w:rPr>
          <w:instrText xml:space="preserve"> PAGEREF _Toc483992807 \h </w:instrText>
        </w:r>
        <w:r>
          <w:rPr>
            <w:noProof/>
          </w:rPr>
        </w:r>
        <w:r>
          <w:rPr>
            <w:noProof/>
          </w:rPr>
          <w:fldChar w:fldCharType="separate"/>
        </w:r>
        <w:r>
          <w:rPr>
            <w:noProof/>
          </w:rPr>
          <w:t>168</w:t>
        </w:r>
        <w:r>
          <w:rPr>
            <w:noProof/>
          </w:rPr>
          <w:fldChar w:fldCharType="end"/>
        </w:r>
      </w:hyperlink>
    </w:p>
    <w:p w:rsidR="0037666B" w:rsidRDefault="00C627B8">
      <w:pPr>
        <w:pStyle w:val="TOC1"/>
        <w:tabs>
          <w:tab w:val="left" w:pos="-15026"/>
        </w:tabs>
        <w:ind w:left="993" w:right="-29" w:hanging="993"/>
        <w:rPr>
          <w:rFonts w:asciiTheme="minorHAnsi" w:eastAsiaTheme="minorEastAsia" w:hAnsiTheme="minorHAnsi" w:cstheme="minorBidi"/>
          <w:caps w:val="0"/>
          <w:noProof/>
          <w:sz w:val="22"/>
          <w:szCs w:val="22"/>
          <w:lang w:eastAsia="en-GB"/>
        </w:rPr>
      </w:pPr>
      <w:hyperlink w:anchor="_Toc483992808" w:history="1">
        <w:r>
          <w:rPr>
            <w:rStyle w:val="Hyperlink"/>
            <w:noProof/>
          </w:rPr>
          <w:t>Annex 9 The SME Test – Summary of results</w:t>
        </w:r>
        <w:r>
          <w:rPr>
            <w:noProof/>
          </w:rPr>
          <w:tab/>
        </w:r>
        <w:r>
          <w:rPr>
            <w:noProof/>
          </w:rPr>
          <w:fldChar w:fldCharType="begin"/>
        </w:r>
        <w:r>
          <w:rPr>
            <w:noProof/>
          </w:rPr>
          <w:instrText xml:space="preserve"> PAGEREF _Toc4</w:instrText>
        </w:r>
        <w:r>
          <w:rPr>
            <w:noProof/>
          </w:rPr>
          <w:instrText xml:space="preserve">83992808 \h </w:instrText>
        </w:r>
        <w:r>
          <w:rPr>
            <w:noProof/>
          </w:rPr>
        </w:r>
        <w:r>
          <w:rPr>
            <w:noProof/>
          </w:rPr>
          <w:fldChar w:fldCharType="separate"/>
        </w:r>
        <w:r>
          <w:rPr>
            <w:noProof/>
          </w:rPr>
          <w:t>173</w:t>
        </w:r>
        <w:r>
          <w:rPr>
            <w:noProof/>
          </w:rPr>
          <w:fldChar w:fldCharType="end"/>
        </w:r>
      </w:hyperlink>
    </w:p>
    <w:p w:rsidR="0037666B" w:rsidRDefault="00C627B8">
      <w:pPr>
        <w:pStyle w:val="TOC1"/>
        <w:tabs>
          <w:tab w:val="left" w:pos="-15026"/>
        </w:tabs>
        <w:ind w:left="993" w:right="-29" w:hanging="993"/>
        <w:rPr>
          <w:rFonts w:asciiTheme="minorHAnsi" w:eastAsiaTheme="minorEastAsia" w:hAnsiTheme="minorHAnsi" w:cstheme="minorBidi"/>
          <w:caps w:val="0"/>
          <w:noProof/>
          <w:sz w:val="22"/>
          <w:szCs w:val="22"/>
          <w:lang w:eastAsia="en-GB"/>
        </w:rPr>
      </w:pPr>
      <w:hyperlink w:anchor="_Toc483992809" w:history="1">
        <w:r>
          <w:rPr>
            <w:rStyle w:val="Hyperlink"/>
            <w:noProof/>
          </w:rPr>
          <w:t>Annex 10 Glossary</w:t>
        </w:r>
        <w:r>
          <w:rPr>
            <w:rStyle w:val="Hyperlink"/>
            <w:i/>
            <w:iCs/>
            <w:noProof/>
          </w:rPr>
          <w:t xml:space="preserve"> </w:t>
        </w:r>
        <w:r>
          <w:rPr>
            <w:rStyle w:val="Hyperlink"/>
            <w:noProof/>
          </w:rPr>
          <w:t>of</w:t>
        </w:r>
        <w:r>
          <w:rPr>
            <w:rStyle w:val="Hyperlink"/>
            <w:i/>
            <w:iCs/>
            <w:noProof/>
          </w:rPr>
          <w:t xml:space="preserve"> </w:t>
        </w:r>
        <w:r>
          <w:rPr>
            <w:rStyle w:val="Hyperlink"/>
            <w:noProof/>
          </w:rPr>
          <w:t>Technical</w:t>
        </w:r>
        <w:r>
          <w:rPr>
            <w:rStyle w:val="Hyperlink"/>
            <w:i/>
            <w:iCs/>
            <w:noProof/>
          </w:rPr>
          <w:t xml:space="preserve"> </w:t>
        </w:r>
        <w:r>
          <w:rPr>
            <w:rStyle w:val="Hyperlink"/>
            <w:noProof/>
          </w:rPr>
          <w:t>Terms</w:t>
        </w:r>
        <w:r>
          <w:rPr>
            <w:rStyle w:val="Hyperlink"/>
            <w:i/>
            <w:iCs/>
            <w:noProof/>
          </w:rPr>
          <w:t xml:space="preserve"> </w:t>
        </w:r>
        <w:r>
          <w:rPr>
            <w:rStyle w:val="Hyperlink"/>
            <w:noProof/>
          </w:rPr>
          <w:t>and</w:t>
        </w:r>
        <w:r>
          <w:rPr>
            <w:rStyle w:val="Hyperlink"/>
            <w:i/>
            <w:iCs/>
            <w:noProof/>
          </w:rPr>
          <w:t xml:space="preserve"> </w:t>
        </w:r>
        <w:r>
          <w:rPr>
            <w:rStyle w:val="Hyperlink"/>
            <w:noProof/>
          </w:rPr>
          <w:t>Abbreviations</w:t>
        </w:r>
        <w:r>
          <w:rPr>
            <w:noProof/>
          </w:rPr>
          <w:tab/>
        </w:r>
        <w:r>
          <w:rPr>
            <w:noProof/>
          </w:rPr>
          <w:fldChar w:fldCharType="begin"/>
        </w:r>
        <w:r>
          <w:rPr>
            <w:noProof/>
          </w:rPr>
          <w:instrText xml:space="preserve"> PAGEREF _Toc483992809 \h </w:instrText>
        </w:r>
        <w:r>
          <w:rPr>
            <w:noProof/>
          </w:rPr>
        </w:r>
        <w:r>
          <w:rPr>
            <w:noProof/>
          </w:rPr>
          <w:fldChar w:fldCharType="separate"/>
        </w:r>
        <w:r>
          <w:rPr>
            <w:noProof/>
          </w:rPr>
          <w:t>175</w:t>
        </w:r>
        <w:r>
          <w:rPr>
            <w:noProof/>
          </w:rPr>
          <w:fldChar w:fldCharType="end"/>
        </w:r>
      </w:hyperlink>
    </w:p>
    <w:p w:rsidR="0037666B" w:rsidRDefault="00C627B8">
      <w:pPr>
        <w:ind w:left="993" w:right="-29" w:hanging="993"/>
        <w:jc w:val="left"/>
        <w:rPr>
          <w:noProof/>
          <w:szCs w:val="24"/>
        </w:rPr>
      </w:pPr>
      <w:r>
        <w:rPr>
          <w:noProof/>
          <w:szCs w:val="24"/>
        </w:rPr>
        <w:fldChar w:fldCharType="end"/>
      </w:r>
    </w:p>
    <w:p w:rsidR="0037666B" w:rsidRDefault="00C627B8">
      <w:pPr>
        <w:pStyle w:val="Heading1"/>
        <w:keepNext w:val="0"/>
        <w:numPr>
          <w:ilvl w:val="0"/>
          <w:numId w:val="0"/>
        </w:numPr>
        <w:spacing w:before="0"/>
        <w:ind w:left="480" w:hanging="480"/>
        <w:rPr>
          <w:noProof/>
          <w:szCs w:val="24"/>
        </w:rPr>
      </w:pPr>
      <w:r>
        <w:rPr>
          <w:noProof/>
          <w:szCs w:val="24"/>
        </w:rPr>
        <w:br w:type="page"/>
      </w:r>
      <w:bookmarkStart w:id="1" w:name="_Toc483992714"/>
      <w:r>
        <w:rPr>
          <w:noProof/>
          <w:szCs w:val="24"/>
        </w:rPr>
        <w:lastRenderedPageBreak/>
        <w:t>Introduction</w:t>
      </w:r>
      <w:bookmarkEnd w:id="1"/>
    </w:p>
    <w:p w:rsidR="0037666B" w:rsidRDefault="00C627B8">
      <w:pPr>
        <w:pStyle w:val="Text1"/>
        <w:ind w:left="0"/>
        <w:rPr>
          <w:noProof/>
          <w:szCs w:val="24"/>
        </w:rPr>
      </w:pPr>
      <w:r>
        <w:rPr>
          <w:noProof/>
          <w:szCs w:val="24"/>
        </w:rPr>
        <w:t>Achieving a deeper and fairer single market, that builds on its strengths and fully exploits its potential in all its dimensions, represents one of the key political priorities of the European Commission.</w:t>
      </w:r>
      <w:r>
        <w:rPr>
          <w:rStyle w:val="FootnoteReference"/>
          <w:noProof/>
          <w:szCs w:val="24"/>
        </w:rPr>
        <w:footnoteReference w:id="2"/>
      </w:r>
      <w:r>
        <w:rPr>
          <w:noProof/>
          <w:szCs w:val="24"/>
        </w:rPr>
        <w:t xml:space="preserve"> The follow-up and the implementation </w:t>
      </w:r>
      <w:r>
        <w:rPr>
          <w:noProof/>
          <w:szCs w:val="24"/>
        </w:rPr>
        <w:t xml:space="preserve">of the Single Market Strategy, </w:t>
      </w:r>
      <w:r>
        <w:rPr>
          <w:i/>
          <w:noProof/>
          <w:szCs w:val="24"/>
        </w:rPr>
        <w:t>Upgrading the Single Market: more opportunities for people and business,</w:t>
      </w:r>
      <w:r>
        <w:rPr>
          <w:noProof/>
          <w:szCs w:val="24"/>
        </w:rPr>
        <w:t xml:space="preserve"> adopted on 28 October 2015</w:t>
      </w:r>
      <w:r>
        <w:rPr>
          <w:rStyle w:val="FootnoteReference"/>
          <w:noProof/>
          <w:szCs w:val="24"/>
        </w:rPr>
        <w:footnoteReference w:id="3"/>
      </w:r>
      <w:r>
        <w:rPr>
          <w:noProof/>
          <w:szCs w:val="24"/>
          <w:vertAlign w:val="superscript"/>
        </w:rPr>
        <w:t xml:space="preserve"> </w:t>
      </w:r>
      <w:r>
        <w:rPr>
          <w:noProof/>
          <w:szCs w:val="24"/>
        </w:rPr>
        <w:t>constitute one of the main objectives of the 2017 Commission Work Programme.</w:t>
      </w:r>
      <w:r>
        <w:rPr>
          <w:rStyle w:val="FootnoteReference"/>
          <w:noProof/>
          <w:szCs w:val="24"/>
        </w:rPr>
        <w:footnoteReference w:id="4"/>
      </w:r>
    </w:p>
    <w:p w:rsidR="0037666B" w:rsidRDefault="00C627B8">
      <w:pPr>
        <w:rPr>
          <w:noProof/>
          <w:szCs w:val="24"/>
        </w:rPr>
      </w:pPr>
      <w:r>
        <w:rPr>
          <w:noProof/>
          <w:szCs w:val="24"/>
        </w:rPr>
        <w:t>Within the Single Market, free movement of goo</w:t>
      </w:r>
      <w:r>
        <w:rPr>
          <w:noProof/>
          <w:szCs w:val="24"/>
        </w:rPr>
        <w:t>ds is the most developed of all four fundamental freedoms and generates around 25 % of EU GDP, 75 % of intra-EU trade. The EU accounts for around one sixth of the world’s trade in goods. Trade in goods between EU Member States (intra-EU trade) was valued a</w:t>
      </w:r>
      <w:r>
        <w:rPr>
          <w:noProof/>
          <w:szCs w:val="24"/>
        </w:rPr>
        <w:t xml:space="preserve">t </w:t>
      </w:r>
      <w:r>
        <w:rPr>
          <w:noProof/>
          <w:szCs w:val="24"/>
          <w:lang w:val="en"/>
        </w:rPr>
        <w:t>EUR 3 063 billion in 2015</w:t>
      </w:r>
      <w:r>
        <w:rPr>
          <w:rStyle w:val="FootnoteReference"/>
          <w:noProof/>
          <w:szCs w:val="24"/>
        </w:rPr>
        <w:footnoteReference w:id="5"/>
      </w:r>
      <w:r>
        <w:rPr>
          <w:noProof/>
          <w:szCs w:val="24"/>
        </w:rPr>
        <w:t>. However, there is still work to do to ensure a deep and fair European Single Market. The enforcement of common safety and environmental rules is still not functioning optimally and, where there are no common rules, the princip</w:t>
      </w:r>
      <w:r>
        <w:rPr>
          <w:noProof/>
          <w:szCs w:val="24"/>
        </w:rPr>
        <w:t>le of mutual recognition is not being applied. The 'Goods Package' announced in the 2017 Commission Work Programme, intends to address both these fundamental problems, with proposals on compliance and enforcement of EU harmonisation legislation and on mutu</w:t>
      </w:r>
      <w:r>
        <w:rPr>
          <w:noProof/>
          <w:szCs w:val="24"/>
        </w:rPr>
        <w:t>al recognition.</w:t>
      </w:r>
    </w:p>
    <w:p w:rsidR="0037666B" w:rsidRDefault="00C627B8">
      <w:pPr>
        <w:pStyle w:val="Text1"/>
        <w:ind w:left="0"/>
        <w:rPr>
          <w:noProof/>
          <w:szCs w:val="24"/>
        </w:rPr>
      </w:pPr>
      <w:r>
        <w:rPr>
          <w:noProof/>
          <w:szCs w:val="24"/>
        </w:rPr>
        <w:t>In the Single Market for goods, regulatory obstacles are prevented and removed through relevant EU legislation on specific products (i.e. through EU harmonisation legislation). This is for example in the case of toys, cosmetic products or pyrotechnical art</w:t>
      </w:r>
      <w:r>
        <w:rPr>
          <w:noProof/>
          <w:szCs w:val="24"/>
        </w:rPr>
        <w:t>icles. Where no EU rules exist (non-harmonised areas), the Directive (EU) 2015/1535 on the notificaiton of national technical rules (the former Directive 98/34/EC) aims to prevent regulatory obstacles within the EU, at an earlier stage, and the principle o</w:t>
      </w:r>
      <w:r>
        <w:rPr>
          <w:noProof/>
          <w:szCs w:val="24"/>
        </w:rPr>
        <w:t xml:space="preserve">f mutual recognition would be used to overcome them, at a later stage. </w:t>
      </w:r>
    </w:p>
    <w:p w:rsidR="0037666B" w:rsidRDefault="00C627B8">
      <w:pPr>
        <w:rPr>
          <w:noProof/>
          <w:szCs w:val="24"/>
        </w:rPr>
      </w:pPr>
      <w:r>
        <w:rPr>
          <w:noProof/>
          <w:szCs w:val="24"/>
        </w:rPr>
        <w:t>Mutual recognition is seminal for a proper functioning of the single market for goods, through the elimination of technical obstacles to genuine free movement. In areas where no specif</w:t>
      </w:r>
      <w:r>
        <w:rPr>
          <w:noProof/>
          <w:szCs w:val="24"/>
        </w:rPr>
        <w:t>ic EU legislation is in place, national rules that lay down requirements to be met by such products co-exist. In principle, national regulations may still create barriers to intra-EU trade if rules in different Member States diverge. The principle of mutua</w:t>
      </w:r>
      <w:r>
        <w:rPr>
          <w:noProof/>
          <w:szCs w:val="24"/>
        </w:rPr>
        <w:t>l recognition requires however that a good that is lawfully marketed in one Member State should not be prohibited in another Member State, unless the latter has sound reasons for banning its sale. Mutual recognition applies to products that are not subject</w:t>
      </w:r>
      <w:r>
        <w:rPr>
          <w:noProof/>
          <w:szCs w:val="24"/>
        </w:rPr>
        <w:t xml:space="preserve"> to EU harmonisation legislation or only partly covered by it; this is the case, for example, of a wide range of consumer products such as textile, footwear, childcare articles, jewellery, tableware or furniture, for example.</w:t>
      </w:r>
    </w:p>
    <w:p w:rsidR="0037666B" w:rsidRDefault="00C627B8">
      <w:pPr>
        <w:pStyle w:val="Text1"/>
        <w:ind w:left="0"/>
        <w:rPr>
          <w:noProof/>
          <w:szCs w:val="24"/>
        </w:rPr>
      </w:pPr>
      <w:r>
        <w:rPr>
          <w:noProof/>
          <w:szCs w:val="24"/>
        </w:rPr>
        <w:lastRenderedPageBreak/>
        <w:t>The adoption of Regulation (EC</w:t>
      </w:r>
      <w:r>
        <w:rPr>
          <w:noProof/>
          <w:szCs w:val="24"/>
        </w:rPr>
        <w:t>) No 764/2008 (‘the Regulation’)</w:t>
      </w:r>
      <w:r>
        <w:rPr>
          <w:rStyle w:val="FootnoteReference"/>
          <w:noProof/>
          <w:szCs w:val="24"/>
        </w:rPr>
        <w:footnoteReference w:id="6"/>
      </w:r>
      <w:r>
        <w:rPr>
          <w:noProof/>
          <w:szCs w:val="24"/>
        </w:rPr>
        <w:t xml:space="preserve"> was a partial</w:t>
      </w:r>
      <w:r>
        <w:rPr>
          <w:rStyle w:val="FootnoteReference"/>
          <w:noProof/>
          <w:szCs w:val="24"/>
        </w:rPr>
        <w:footnoteReference w:id="7"/>
      </w:r>
      <w:r>
        <w:rPr>
          <w:noProof/>
          <w:szCs w:val="24"/>
        </w:rPr>
        <w:t xml:space="preserve"> response to the weak application of the principle of mutual recognition in the field of goods, triggered by the lack of awareness about the mutual recognition principle, legal uncertainty when applying the p</w:t>
      </w:r>
      <w:r>
        <w:rPr>
          <w:noProof/>
          <w:szCs w:val="24"/>
        </w:rPr>
        <w:t xml:space="preserve">rinciple and the lack of administrative cooperation among national authorities. The Regulation was aimed mainly at establishing a procedural framework to minimise the possibility of national technical rules creating unlawful obstacles to the free movement </w:t>
      </w:r>
      <w:r>
        <w:rPr>
          <w:noProof/>
          <w:szCs w:val="24"/>
        </w:rPr>
        <w:t>of goods between Member States</w:t>
      </w:r>
      <w:r>
        <w:rPr>
          <w:rStyle w:val="FootnoteReference"/>
          <w:noProof/>
          <w:szCs w:val="24"/>
        </w:rPr>
        <w:footnoteReference w:id="8"/>
      </w:r>
      <w:r>
        <w:rPr>
          <w:noProof/>
          <w:szCs w:val="24"/>
        </w:rPr>
        <w:t xml:space="preserve">. </w:t>
      </w:r>
    </w:p>
    <w:p w:rsidR="0037666B" w:rsidRDefault="00C627B8">
      <w:pPr>
        <w:pStyle w:val="Text1"/>
        <w:ind w:left="0"/>
        <w:rPr>
          <w:noProof/>
          <w:szCs w:val="24"/>
        </w:rPr>
      </w:pPr>
      <w:r>
        <w:rPr>
          <w:noProof/>
          <w:szCs w:val="24"/>
        </w:rPr>
        <w:t>In December 2013, the Conclusions on Single Market Policy, adopted by the Competitiveness Council, noted that to improve framework conditions for businesses and consumers in the Single Market, all relevant instruments shou</w:t>
      </w:r>
      <w:r>
        <w:rPr>
          <w:noProof/>
          <w:szCs w:val="24"/>
        </w:rPr>
        <w:t>ld be appropriately employed, including harmonisation and mutual recognition.</w:t>
      </w:r>
      <w:r>
        <w:rPr>
          <w:rStyle w:val="FootnoteReference"/>
          <w:noProof/>
          <w:szCs w:val="24"/>
        </w:rPr>
        <w:footnoteReference w:id="9"/>
      </w:r>
      <w:r>
        <w:rPr>
          <w:noProof/>
          <w:szCs w:val="24"/>
        </w:rPr>
        <w:t xml:space="preserve"> The Commission was therefore requested to report to the Council on the sectors and markets where the application of the principle of mutual recognition is economically most adva</w:t>
      </w:r>
      <w:r>
        <w:rPr>
          <w:noProof/>
          <w:szCs w:val="24"/>
        </w:rPr>
        <w:t>ntageous, but where its functioning remains insufficient or problematic. In its Conclusions on Single Market Policy of February 2015, the Competitiveness Council urged the Commission to ensure that the principle of mutual recognition would function effecti</w:t>
      </w:r>
      <w:r>
        <w:rPr>
          <w:noProof/>
          <w:szCs w:val="24"/>
        </w:rPr>
        <w:t>vely and to bring forward proposals to that effect, as appropriate</w:t>
      </w:r>
      <w:r>
        <w:rPr>
          <w:rStyle w:val="FootnoteReference"/>
          <w:noProof/>
          <w:szCs w:val="24"/>
        </w:rPr>
        <w:footnoteReference w:id="10"/>
      </w:r>
      <w:r>
        <w:rPr>
          <w:noProof/>
          <w:szCs w:val="24"/>
        </w:rPr>
        <w:t>.</w:t>
      </w:r>
    </w:p>
    <w:p w:rsidR="0037666B" w:rsidRDefault="00C627B8">
      <w:pPr>
        <w:pStyle w:val="Text1"/>
        <w:ind w:left="0"/>
        <w:rPr>
          <w:noProof/>
          <w:szCs w:val="24"/>
        </w:rPr>
      </w:pPr>
      <w:r>
        <w:rPr>
          <w:noProof/>
          <w:szCs w:val="24"/>
        </w:rPr>
        <w:t>In response to the indications that the functioning of the principle might not be optimal, and taking into account the request of the Council, the application of the principle of mutual r</w:t>
      </w:r>
      <w:r>
        <w:rPr>
          <w:noProof/>
          <w:szCs w:val="24"/>
        </w:rPr>
        <w:t>ecognition was subject to an evaluation.</w:t>
      </w:r>
      <w:r>
        <w:rPr>
          <w:rStyle w:val="FootnoteReference"/>
          <w:noProof/>
          <w:szCs w:val="24"/>
        </w:rPr>
        <w:footnoteReference w:id="11"/>
      </w:r>
      <w:r>
        <w:rPr>
          <w:noProof/>
          <w:szCs w:val="24"/>
        </w:rPr>
        <w:t xml:space="preserve"> Building on the external evaluation, the Commission's Evaluation on the functioning of mutual recognition included an assessment of the functioning of the Regulation as well, in order to have a full picture of the </w:t>
      </w:r>
      <w:r>
        <w:rPr>
          <w:noProof/>
          <w:szCs w:val="24"/>
        </w:rPr>
        <w:t>obstacles impeding the optimal functioning of mutual recognition (hereafter, the Evaluation)</w:t>
      </w:r>
      <w:r>
        <w:rPr>
          <w:rStyle w:val="FootnoteReference"/>
          <w:noProof/>
          <w:szCs w:val="24"/>
        </w:rPr>
        <w:footnoteReference w:id="12"/>
      </w:r>
      <w:r>
        <w:rPr>
          <w:noProof/>
          <w:szCs w:val="24"/>
        </w:rPr>
        <w:t xml:space="preserve">.  </w:t>
      </w:r>
    </w:p>
    <w:p w:rsidR="0037666B" w:rsidRDefault="00C627B8">
      <w:pPr>
        <w:rPr>
          <w:noProof/>
          <w:szCs w:val="24"/>
        </w:rPr>
      </w:pPr>
      <w:r>
        <w:rPr>
          <w:noProof/>
          <w:szCs w:val="24"/>
        </w:rPr>
        <w:t>This Evaluation has concluded that mutual recognition is not functioning well and that the principle and the Regulation had limited effects in meeting the fore</w:t>
      </w:r>
      <w:r>
        <w:rPr>
          <w:noProof/>
          <w:szCs w:val="24"/>
        </w:rPr>
        <w:t>seen objectives. With regards to supportive information and data, this impact assessment is also supported by the information contained in the Evaluation. The initiative has been linked to the REFIT programme due to the impacts the malfunctioning of mutual</w:t>
      </w:r>
      <w:r>
        <w:rPr>
          <w:noProof/>
          <w:szCs w:val="24"/>
        </w:rPr>
        <w:t xml:space="preserve"> recognition have on the functioning of the internal market. </w:t>
      </w:r>
    </w:p>
    <w:p w:rsidR="0037666B" w:rsidRDefault="00C627B8">
      <w:pPr>
        <w:pStyle w:val="Bulletpoint1"/>
        <w:spacing w:before="240" w:after="240"/>
        <w:rPr>
          <w:rFonts w:ascii="Times New Roman" w:hAnsi="Times New Roman"/>
          <w:noProof/>
          <w:sz w:val="24"/>
          <w:szCs w:val="24"/>
        </w:rPr>
      </w:pPr>
      <w:r>
        <w:rPr>
          <w:rFonts w:ascii="Times New Roman" w:hAnsi="Times New Roman"/>
          <w:noProof/>
          <w:sz w:val="24"/>
          <w:szCs w:val="24"/>
        </w:rPr>
        <w:t xml:space="preserve">This initiative should be looked at along with other initiatives currently under preparation and in particular the initiative on enforcement and compliance with the EU harmonisation legislation </w:t>
      </w:r>
      <w:r>
        <w:rPr>
          <w:rFonts w:ascii="Times New Roman" w:hAnsi="Times New Roman"/>
          <w:noProof/>
          <w:sz w:val="24"/>
          <w:szCs w:val="24"/>
        </w:rPr>
        <w:t xml:space="preserve">on products, the Action Plan on SOLVIT and the proposal for a Single Digital Gateway to complement each other and contribute to reducing barriers to </w:t>
      </w:r>
      <w:r>
        <w:rPr>
          <w:rFonts w:ascii="Times New Roman" w:hAnsi="Times New Roman"/>
          <w:noProof/>
          <w:sz w:val="24"/>
          <w:szCs w:val="24"/>
        </w:rPr>
        <w:lastRenderedPageBreak/>
        <w:t>trade in the Single Market. Further and better compliance and enforcement will reduce unfair competition an</w:t>
      </w:r>
      <w:r>
        <w:rPr>
          <w:rFonts w:ascii="Times New Roman" w:hAnsi="Times New Roman"/>
          <w:noProof/>
          <w:sz w:val="24"/>
          <w:szCs w:val="24"/>
        </w:rPr>
        <w:t>d ensure a more level playing field for businesses. An enhanced SOLVIT will facilitate informal problem resolution and the Single Digital Gateway will not only ensure visibility for the Product Contact Points established under the Regulation (PCPs) but als</w:t>
      </w:r>
      <w:r>
        <w:rPr>
          <w:rFonts w:ascii="Times New Roman" w:hAnsi="Times New Roman"/>
          <w:noProof/>
          <w:sz w:val="24"/>
          <w:szCs w:val="24"/>
        </w:rPr>
        <w:t xml:space="preserve">o improve their functioning by subjecting them to the quality criteria in terms of online availability and quality of information and services provided to economic operators. </w:t>
      </w:r>
    </w:p>
    <w:p w:rsidR="0037666B" w:rsidRDefault="00C627B8">
      <w:pPr>
        <w:pStyle w:val="Heading1"/>
        <w:keepNext w:val="0"/>
        <w:spacing w:before="0"/>
        <w:rPr>
          <w:noProof/>
          <w:szCs w:val="24"/>
        </w:rPr>
      </w:pPr>
      <w:bookmarkStart w:id="2" w:name="_Toc483992715"/>
      <w:r>
        <w:rPr>
          <w:noProof/>
          <w:szCs w:val="24"/>
        </w:rPr>
        <w:t>Regulatory Context</w:t>
      </w:r>
      <w:bookmarkEnd w:id="2"/>
    </w:p>
    <w:p w:rsidR="0037666B" w:rsidRDefault="00C627B8">
      <w:pPr>
        <w:rPr>
          <w:noProof/>
          <w:szCs w:val="24"/>
          <w:u w:val="single"/>
        </w:rPr>
      </w:pPr>
      <w:r>
        <w:rPr>
          <w:noProof/>
          <w:szCs w:val="24"/>
          <w:u w:val="single"/>
        </w:rPr>
        <w:t>Free movement of goods in the internal market and the princip</w:t>
      </w:r>
      <w:r>
        <w:rPr>
          <w:noProof/>
          <w:szCs w:val="24"/>
          <w:u w:val="single"/>
        </w:rPr>
        <w:t>le of mutual recognition</w:t>
      </w:r>
    </w:p>
    <w:p w:rsidR="0037666B" w:rsidRDefault="00C627B8">
      <w:pPr>
        <w:rPr>
          <w:noProof/>
          <w:szCs w:val="24"/>
        </w:rPr>
      </w:pPr>
      <w:r>
        <w:rPr>
          <w:noProof/>
          <w:szCs w:val="24"/>
        </w:rPr>
        <w:t>As one of the four main fundamental freedoms, free movement of goods is a cornerstone of European integration and essential for European competitiveness. Free movement of goods in the internal market is ensured through EU common ru</w:t>
      </w:r>
      <w:r>
        <w:rPr>
          <w:noProof/>
          <w:szCs w:val="24"/>
        </w:rPr>
        <w:t xml:space="preserve">les on products (EU harmonisation legislation) and the principle of mutual recognition. </w:t>
      </w:r>
    </w:p>
    <w:p w:rsidR="0037666B" w:rsidRDefault="00C627B8">
      <w:pPr>
        <w:rPr>
          <w:noProof/>
          <w:szCs w:val="24"/>
        </w:rPr>
      </w:pPr>
      <w:r>
        <w:rPr>
          <w:noProof/>
          <w:szCs w:val="24"/>
        </w:rPr>
        <w:t>EU harmonisation legislation sets out common requirements on how a product has to be manufactured, which includes rules on i.e. characteristics of the product, size, c</w:t>
      </w:r>
      <w:r>
        <w:rPr>
          <w:noProof/>
          <w:szCs w:val="24"/>
        </w:rPr>
        <w:t>omposition, etc. Its aim is not only the elimination of barriers and the free movement of goods in the single market, but also ensuring that only safe and otherwise compliant products find their way into the EU market, in such a way that honest economic op</w:t>
      </w:r>
      <w:r>
        <w:rPr>
          <w:noProof/>
          <w:szCs w:val="24"/>
        </w:rPr>
        <w:t>erators can benefit from a level playing field, thus promoting at the same time an effective protection of EU consumers and professional users and a competitive single market. The adoption of EU common rules prevents Member State from regulating those tech</w:t>
      </w:r>
      <w:r>
        <w:rPr>
          <w:noProof/>
          <w:szCs w:val="24"/>
        </w:rPr>
        <w:t>nical aspects of products and products complying with such rules are guaranteed free movement across the single market.</w:t>
      </w:r>
    </w:p>
    <w:p w:rsidR="0037666B" w:rsidRDefault="00C627B8">
      <w:pPr>
        <w:rPr>
          <w:noProof/>
          <w:szCs w:val="24"/>
        </w:rPr>
      </w:pPr>
      <w:r>
        <w:rPr>
          <w:noProof/>
          <w:szCs w:val="24"/>
        </w:rPr>
        <w:t>However, EU harmonisation legislation covering every product and aspect of a product is neither a feasible nor a desirable objective</w:t>
      </w:r>
      <w:r>
        <w:rPr>
          <w:rStyle w:val="FootnoteReference"/>
          <w:noProof/>
          <w:szCs w:val="24"/>
        </w:rPr>
        <w:t xml:space="preserve"> </w:t>
      </w:r>
      <w:r>
        <w:rPr>
          <w:rStyle w:val="FootnoteReference"/>
          <w:noProof/>
          <w:szCs w:val="24"/>
        </w:rPr>
        <w:footnoteReference w:id="13"/>
      </w:r>
      <w:r>
        <w:rPr>
          <w:noProof/>
          <w:szCs w:val="24"/>
        </w:rPr>
        <w:t xml:space="preserve">. </w:t>
      </w:r>
      <w:r>
        <w:rPr>
          <w:noProof/>
          <w:szCs w:val="24"/>
        </w:rPr>
        <w:t>Adopting EU common rules is a costly and time consuming process, where a balance needs to be struck between different approaches and should be reserved for those products and aspects of products where there are significant barriers to the free movement acr</w:t>
      </w:r>
      <w:r>
        <w:rPr>
          <w:noProof/>
          <w:szCs w:val="24"/>
        </w:rPr>
        <w:t xml:space="preserve">oss the Single Market which cannot be addressed otherwise.  </w:t>
      </w:r>
    </w:p>
    <w:p w:rsidR="0037666B" w:rsidRDefault="00C627B8">
      <w:pPr>
        <w:rPr>
          <w:noProof/>
          <w:szCs w:val="24"/>
        </w:rPr>
      </w:pPr>
      <w:r>
        <w:rPr>
          <w:noProof/>
          <w:szCs w:val="24"/>
        </w:rPr>
        <w:t xml:space="preserve">Where there are no EU common rules, or when only some aspects of the products are covered by EU common rules, Member States remain free to adopt national technical rules laying down requirements </w:t>
      </w:r>
      <w:r>
        <w:rPr>
          <w:noProof/>
          <w:szCs w:val="24"/>
        </w:rPr>
        <w:t xml:space="preserve">to be met by those products, such as rules relating to designation, form, size, weight, composition, presentation, labelling or packaging. These national technical regulations are however subject to the provisions of Articles 34 to 36 of the Treaty on the </w:t>
      </w:r>
      <w:r>
        <w:rPr>
          <w:noProof/>
          <w:szCs w:val="24"/>
        </w:rPr>
        <w:t xml:space="preserve">Functioning of the European Union (TFEU), which prohibit quantitative restrictions or measures having equivalent effect, and to the principle of mutual recognition. In addition, they also need to be notified under the Directive (EU) </w:t>
      </w:r>
      <w:r>
        <w:rPr>
          <w:noProof/>
          <w:szCs w:val="24"/>
        </w:rPr>
        <w:lastRenderedPageBreak/>
        <w:t>2015/1535</w:t>
      </w:r>
      <w:r>
        <w:rPr>
          <w:rStyle w:val="FootnoteReference"/>
          <w:noProof/>
          <w:szCs w:val="24"/>
        </w:rPr>
        <w:footnoteReference w:id="14"/>
      </w:r>
      <w:r>
        <w:rPr>
          <w:noProof/>
          <w:szCs w:val="24"/>
        </w:rPr>
        <w:t xml:space="preserve"> in order to </w:t>
      </w:r>
      <w:r>
        <w:rPr>
          <w:noProof/>
          <w:szCs w:val="24"/>
        </w:rPr>
        <w:t xml:space="preserve">ensure that no unjustified barriers to the Single Market are allowed. </w:t>
      </w:r>
    </w:p>
    <w:p w:rsidR="0037666B" w:rsidRDefault="00C627B8">
      <w:pPr>
        <w:rPr>
          <w:noProof/>
          <w:szCs w:val="24"/>
        </w:rPr>
      </w:pPr>
      <w:r>
        <w:rPr>
          <w:noProof/>
          <w:szCs w:val="24"/>
        </w:rPr>
        <w:t>The principle of mutual recognition is embedded in Articles 34 and 36 of the TFEU and has been further elaborated on case law, especially the "Cassis de Dijon" case</w:t>
      </w:r>
      <w:r>
        <w:rPr>
          <w:rStyle w:val="FootnoteReference"/>
          <w:noProof/>
          <w:szCs w:val="24"/>
        </w:rPr>
        <w:footnoteReference w:id="15"/>
      </w:r>
      <w:r>
        <w:rPr>
          <w:noProof/>
          <w:szCs w:val="24"/>
        </w:rPr>
        <w:t>.</w:t>
      </w:r>
    </w:p>
    <w:p w:rsidR="0037666B" w:rsidRDefault="00C627B8">
      <w:pPr>
        <w:rPr>
          <w:noProof/>
          <w:szCs w:val="24"/>
        </w:rPr>
      </w:pPr>
      <w:r>
        <w:rPr>
          <w:noProof/>
          <w:szCs w:val="24"/>
        </w:rPr>
        <w:t xml:space="preserve">It means that in </w:t>
      </w:r>
      <w:r>
        <w:rPr>
          <w:noProof/>
          <w:szCs w:val="24"/>
        </w:rPr>
        <w:t>the absence of EU harmonised rules, if a business is lawfully selling a product in one Member State, in compliance with the applicable national technical rules of that Member State, it should be able to sell it in other Member States without having to adap</w:t>
      </w:r>
      <w:r>
        <w:rPr>
          <w:noProof/>
          <w:szCs w:val="24"/>
        </w:rPr>
        <w:t>t it to the national rules of that Member State where such products already meet equivalent levels of protection to those imposed by the importing Member State</w:t>
      </w:r>
      <w:r>
        <w:rPr>
          <w:rStyle w:val="FootnoteReference"/>
          <w:noProof/>
          <w:szCs w:val="24"/>
        </w:rPr>
        <w:footnoteReference w:id="16"/>
      </w:r>
      <w:r>
        <w:rPr>
          <w:noProof/>
          <w:szCs w:val="24"/>
        </w:rPr>
        <w:t>. Barriers to free movement which result from differences in national legislation may only be ac</w:t>
      </w:r>
      <w:r>
        <w:rPr>
          <w:noProof/>
          <w:szCs w:val="24"/>
        </w:rPr>
        <w:t>cepted if the national measures:</w:t>
      </w:r>
    </w:p>
    <w:p w:rsidR="0037666B" w:rsidRDefault="00C627B8">
      <w:pPr>
        <w:pStyle w:val="ListParagraph"/>
        <w:numPr>
          <w:ilvl w:val="0"/>
          <w:numId w:val="31"/>
        </w:numPr>
        <w:ind w:left="567" w:hanging="567"/>
        <w:rPr>
          <w:noProof/>
          <w:szCs w:val="24"/>
        </w:rPr>
      </w:pPr>
      <w:r>
        <w:rPr>
          <w:noProof/>
          <w:szCs w:val="24"/>
        </w:rPr>
        <w:t>are necessary to satisfy mandatory requirements (those being public interests such as health, safety, consumer protection and environmental protection) which justified overriding the principle of free movement of goods, and</w:t>
      </w:r>
    </w:p>
    <w:p w:rsidR="0037666B" w:rsidRDefault="00C627B8">
      <w:pPr>
        <w:pStyle w:val="ListParagraph"/>
        <w:numPr>
          <w:ilvl w:val="0"/>
          <w:numId w:val="31"/>
        </w:numPr>
        <w:ind w:left="567" w:hanging="567"/>
        <w:rPr>
          <w:noProof/>
          <w:szCs w:val="24"/>
        </w:rPr>
      </w:pPr>
      <w:r>
        <w:rPr>
          <w:noProof/>
          <w:szCs w:val="24"/>
        </w:rPr>
        <w:t>can be justified with regard to the legitimate purpose and are proportionate with the aims.</w:t>
      </w:r>
    </w:p>
    <w:p w:rsidR="0037666B" w:rsidRDefault="00C627B8">
      <w:pPr>
        <w:rPr>
          <w:noProof/>
          <w:szCs w:val="24"/>
        </w:rPr>
      </w:pPr>
      <w:r>
        <w:rPr>
          <w:noProof/>
          <w:szCs w:val="24"/>
        </w:rPr>
        <w:t>Exceptions to the mutual recognition rule should be interpreted narrowly. Considering the exceptions, mutual recognition should not be viewed as entailing lower he</w:t>
      </w:r>
      <w:r>
        <w:rPr>
          <w:noProof/>
          <w:szCs w:val="24"/>
        </w:rPr>
        <w:t xml:space="preserve">alth and safety standards, or as limiting the market surveillance capabilities of national authorities; but rather as striking a careful balance between free movement and objectives of public interest. </w:t>
      </w:r>
    </w:p>
    <w:p w:rsidR="0037666B" w:rsidRDefault="00C627B8">
      <w:pPr>
        <w:rPr>
          <w:noProof/>
          <w:szCs w:val="24"/>
        </w:rPr>
      </w:pPr>
      <w:r>
        <w:rPr>
          <w:b/>
          <w:noProof/>
          <w:szCs w:val="24"/>
        </w:rPr>
        <w:t>Figure 1-1</w:t>
      </w:r>
      <w:r>
        <w:rPr>
          <w:rStyle w:val="FootnoteReference"/>
          <w:noProof/>
          <w:szCs w:val="24"/>
        </w:rPr>
        <w:footnoteReference w:id="17"/>
      </w:r>
    </w:p>
    <w:p w:rsidR="0037666B" w:rsidRDefault="00C627B8">
      <w:pPr>
        <w:rPr>
          <w:noProof/>
          <w:szCs w:val="24"/>
        </w:rPr>
      </w:pPr>
      <w:r>
        <w:rPr>
          <w:noProof/>
          <w:szCs w:val="24"/>
          <w:lang w:eastAsia="en-GB"/>
        </w:rPr>
        <w:lastRenderedPageBreak/>
        <w:drawing>
          <wp:inline distT="0" distB="0" distL="0" distR="0">
            <wp:extent cx="5472430" cy="3192145"/>
            <wp:effectExtent l="0" t="0" r="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7666B" w:rsidRDefault="00C627B8">
      <w:pPr>
        <w:rPr>
          <w:noProof/>
          <w:szCs w:val="24"/>
        </w:rPr>
      </w:pPr>
      <w:r>
        <w:rPr>
          <w:noProof/>
          <w:szCs w:val="24"/>
        </w:rPr>
        <w:t>EU harmonisation legislation and mutual recognition are both necessary to achieve a fairer and deeper internal market. Mutual recognition is essential to guarantee the free movement of goods in the European Single Market where diverse and sometimes conflic</w:t>
      </w:r>
      <w:r>
        <w:rPr>
          <w:noProof/>
          <w:szCs w:val="24"/>
        </w:rPr>
        <w:t xml:space="preserve">ting national technical rules can continue to coexist. When properly applied, mutual recognition guarantees the protection of the public interest whilst not creating excessive red tape. </w:t>
      </w:r>
    </w:p>
    <w:p w:rsidR="0037666B" w:rsidRDefault="00C627B8">
      <w:pPr>
        <w:rPr>
          <w:noProof/>
          <w:szCs w:val="24"/>
          <w:u w:val="single"/>
        </w:rPr>
      </w:pPr>
      <w:r>
        <w:rPr>
          <w:noProof/>
          <w:szCs w:val="24"/>
          <w:u w:val="single"/>
        </w:rPr>
        <w:t>The practical application of the principle of mutual recognition</w:t>
      </w:r>
    </w:p>
    <w:p w:rsidR="0037666B" w:rsidRDefault="00C627B8">
      <w:pPr>
        <w:rPr>
          <w:noProof/>
          <w:szCs w:val="24"/>
        </w:rPr>
      </w:pPr>
      <w:r>
        <w:rPr>
          <w:noProof/>
          <w:szCs w:val="24"/>
        </w:rPr>
        <w:t xml:space="preserve">The </w:t>
      </w:r>
      <w:r>
        <w:rPr>
          <w:noProof/>
          <w:szCs w:val="24"/>
        </w:rPr>
        <w:t>application of this general principle is, in practice, extremely complex. It requires, inter alia, an assessment of whether a product has been lawfully marketed in another Member State and an assessment of the equivalence of the rules in the Member State o</w:t>
      </w:r>
      <w:r>
        <w:rPr>
          <w:noProof/>
          <w:szCs w:val="24"/>
        </w:rPr>
        <w:t>f origin to allow the non-application of the technical rules in the importing Member State. The latter should not be understood as a comparison of the theoretical intrinsic equivalence of the two Member States rules, but of the practical results produced b</w:t>
      </w:r>
      <w:r>
        <w:rPr>
          <w:noProof/>
          <w:szCs w:val="24"/>
        </w:rPr>
        <w:t xml:space="preserve">y applying them in terms of how a particular product adequately protects the public interests at stake. </w:t>
      </w:r>
    </w:p>
    <w:p w:rsidR="0037666B" w:rsidRDefault="00C627B8">
      <w:pPr>
        <w:ind w:left="567" w:hanging="567"/>
        <w:rPr>
          <w:noProof/>
          <w:szCs w:val="24"/>
        </w:rPr>
      </w:pPr>
      <w:r>
        <w:rPr>
          <w:noProof/>
          <w:szCs w:val="24"/>
        </w:rPr>
        <w:t xml:space="preserve">1. </w:t>
      </w:r>
      <w:r>
        <w:rPr>
          <w:noProof/>
          <w:szCs w:val="24"/>
        </w:rPr>
        <w:tab/>
        <w:t xml:space="preserve">Some practical modalities on how mutual recognition should work in practice are defined by </w:t>
      </w:r>
      <w:r>
        <w:rPr>
          <w:b/>
          <w:noProof/>
          <w:szCs w:val="24"/>
        </w:rPr>
        <w:t>the Regulation</w:t>
      </w:r>
      <w:r>
        <w:rPr>
          <w:noProof/>
          <w:szCs w:val="24"/>
        </w:rPr>
        <w:t xml:space="preserve">. </w:t>
      </w:r>
    </w:p>
    <w:p w:rsidR="0037666B" w:rsidRDefault="00C627B8">
      <w:pPr>
        <w:ind w:firstLine="567"/>
        <w:rPr>
          <w:noProof/>
          <w:szCs w:val="24"/>
        </w:rPr>
      </w:pPr>
      <w:r>
        <w:rPr>
          <w:noProof/>
          <w:szCs w:val="24"/>
        </w:rPr>
        <w:t>In particular, the Regulation introduce</w:t>
      </w:r>
      <w:r>
        <w:rPr>
          <w:noProof/>
          <w:szCs w:val="24"/>
        </w:rPr>
        <w:t>d:</w:t>
      </w:r>
    </w:p>
    <w:p w:rsidR="0037666B" w:rsidRDefault="00C627B8">
      <w:pPr>
        <w:pStyle w:val="ListParagraph"/>
        <w:numPr>
          <w:ilvl w:val="0"/>
          <w:numId w:val="20"/>
        </w:numPr>
        <w:ind w:left="1134" w:hanging="567"/>
        <w:contextualSpacing w:val="0"/>
        <w:rPr>
          <w:noProof/>
          <w:szCs w:val="24"/>
        </w:rPr>
      </w:pPr>
      <w:r>
        <w:rPr>
          <w:noProof/>
          <w:szCs w:val="24"/>
          <w:u w:val="single"/>
        </w:rPr>
        <w:t>Product Contact Points</w:t>
      </w:r>
      <w:r>
        <w:rPr>
          <w:noProof/>
          <w:szCs w:val="24"/>
        </w:rPr>
        <w:t>: to provide, upon request, information on the technical rules applicable to a specific product, the contact details of the competent authorities in charge of supervising the implementation of the technical rule in question and the</w:t>
      </w:r>
      <w:r>
        <w:rPr>
          <w:noProof/>
          <w:szCs w:val="24"/>
        </w:rPr>
        <w:t xml:space="preserve"> remedies available in case of dispute between the economic operator and the competent authority. </w:t>
      </w:r>
    </w:p>
    <w:p w:rsidR="0037666B" w:rsidRDefault="00C627B8">
      <w:pPr>
        <w:pStyle w:val="ListParagraph"/>
        <w:numPr>
          <w:ilvl w:val="0"/>
          <w:numId w:val="20"/>
        </w:numPr>
        <w:ind w:left="1134" w:hanging="567"/>
        <w:rPr>
          <w:noProof/>
          <w:szCs w:val="24"/>
        </w:rPr>
      </w:pPr>
      <w:r>
        <w:rPr>
          <w:noProof/>
          <w:szCs w:val="24"/>
          <w:u w:val="single"/>
        </w:rPr>
        <w:lastRenderedPageBreak/>
        <w:t>Non-exhaustive list of products</w:t>
      </w:r>
      <w:r>
        <w:rPr>
          <w:noProof/>
          <w:szCs w:val="24"/>
        </w:rPr>
        <w:t>: Mutual recognition does not apply to products fully or to those aspects partially covered by EU harmonisation legislation. T</w:t>
      </w:r>
      <w:r>
        <w:rPr>
          <w:noProof/>
          <w:szCs w:val="24"/>
        </w:rPr>
        <w:t>o facilitate the identification of products to which the mutual recognition principle may apply, the Regulation introduced an obligation for the Commission to put in place a non-exhaustive list of products which are not subject to EU harmonisation legislat</w:t>
      </w:r>
      <w:r>
        <w:rPr>
          <w:noProof/>
          <w:szCs w:val="24"/>
        </w:rPr>
        <w:t xml:space="preserve">ion. </w:t>
      </w:r>
    </w:p>
    <w:p w:rsidR="0037666B" w:rsidRDefault="00C627B8">
      <w:pPr>
        <w:pStyle w:val="ListParagraph"/>
        <w:ind w:left="1134"/>
        <w:contextualSpacing w:val="0"/>
        <w:rPr>
          <w:noProof/>
          <w:szCs w:val="24"/>
        </w:rPr>
      </w:pPr>
      <w:r>
        <w:rPr>
          <w:noProof/>
          <w:szCs w:val="24"/>
        </w:rPr>
        <w:t>.</w:t>
      </w:r>
    </w:p>
    <w:p w:rsidR="0037666B" w:rsidRDefault="00C627B8">
      <w:pPr>
        <w:pStyle w:val="ListParagraph"/>
        <w:numPr>
          <w:ilvl w:val="0"/>
          <w:numId w:val="20"/>
        </w:numPr>
        <w:ind w:left="1134" w:hanging="567"/>
        <w:rPr>
          <w:noProof/>
          <w:szCs w:val="24"/>
        </w:rPr>
      </w:pPr>
      <w:r>
        <w:rPr>
          <w:noProof/>
          <w:szCs w:val="24"/>
          <w:u w:val="single"/>
        </w:rPr>
        <w:t>Procedure for decisions denying market access</w:t>
      </w:r>
      <w:r>
        <w:rPr>
          <w:noProof/>
          <w:szCs w:val="24"/>
        </w:rPr>
        <w:t>: The Regulation lays down in particular the rules and procedures to be followed by the national authorities of a Member State when taking or intending to take a decision, in accordance with the national</w:t>
      </w:r>
      <w:r>
        <w:rPr>
          <w:noProof/>
          <w:szCs w:val="24"/>
        </w:rPr>
        <w:t xml:space="preserve"> technical rules, which would hinder the free movement of a product lawfully marketed in another Member State and subject to Article 34 TFEU. In particular, the Regulation places the burden of proof on the national authorities intending to deny market acce</w:t>
      </w:r>
      <w:r>
        <w:rPr>
          <w:noProof/>
          <w:szCs w:val="24"/>
        </w:rPr>
        <w:t>ss. A written notice has to be sent to the economic operator, informing him about their intention to deny market access, and specifying the technical rule on which the decision is based, and the supporting technical or scientific evidence which makes the d</w:t>
      </w:r>
      <w:r>
        <w:rPr>
          <w:noProof/>
          <w:szCs w:val="24"/>
        </w:rPr>
        <w:t>ecision justified and proportionate. The economic operator has the right to submit comments. Any decision denying market access taken after receiving comments from the economic operator shall be notified to him, and shall state the grounds on which it is b</w:t>
      </w:r>
      <w:r>
        <w:rPr>
          <w:noProof/>
          <w:szCs w:val="24"/>
        </w:rPr>
        <w:t>ased, the technical or scientific evidence supporting the decision and, when applicable, the reasons for rejecting the economic operator's arguments. The decision shall also indicate the remedies available under national law in order to challenge the decis</w:t>
      </w:r>
      <w:r>
        <w:rPr>
          <w:noProof/>
          <w:szCs w:val="24"/>
        </w:rPr>
        <w:t xml:space="preserve">ion. </w:t>
      </w:r>
    </w:p>
    <w:p w:rsidR="0037666B" w:rsidRDefault="00C627B8">
      <w:pPr>
        <w:pStyle w:val="ListParagraph"/>
        <w:numPr>
          <w:ilvl w:val="0"/>
          <w:numId w:val="21"/>
        </w:numPr>
        <w:ind w:left="1134" w:hanging="567"/>
        <w:rPr>
          <w:noProof/>
          <w:szCs w:val="24"/>
        </w:rPr>
      </w:pPr>
      <w:r>
        <w:rPr>
          <w:noProof/>
          <w:szCs w:val="24"/>
          <w:u w:val="single"/>
        </w:rPr>
        <w:t>Reporting obligations</w:t>
      </w:r>
      <w:r>
        <w:rPr>
          <w:noProof/>
          <w:szCs w:val="24"/>
        </w:rPr>
        <w:t xml:space="preserve">: Member States have to submit yearly reports on the application of the Regulation. Furthermore, every decision denying market access, as well as the grounds on which it is based, has to be individually notified by Member States </w:t>
      </w:r>
      <w:r>
        <w:rPr>
          <w:noProof/>
          <w:szCs w:val="24"/>
        </w:rPr>
        <w:t xml:space="preserve">to the Commission, in addition to the notification of the economic operator. </w:t>
      </w:r>
    </w:p>
    <w:p w:rsidR="0037666B" w:rsidRDefault="00C627B8">
      <w:pPr>
        <w:ind w:left="567" w:hanging="567"/>
        <w:rPr>
          <w:rFonts w:eastAsiaTheme="minorHAnsi"/>
          <w:noProof/>
          <w:szCs w:val="24"/>
        </w:rPr>
      </w:pPr>
      <w:r>
        <w:rPr>
          <w:noProof/>
          <w:szCs w:val="24"/>
        </w:rPr>
        <w:t xml:space="preserve">2. </w:t>
      </w:r>
      <w:r>
        <w:rPr>
          <w:noProof/>
          <w:szCs w:val="24"/>
        </w:rPr>
        <w:tab/>
        <w:t xml:space="preserve">The application of the principle of mutual recognition is also made possible by the inclusion of a </w:t>
      </w:r>
      <w:r>
        <w:rPr>
          <w:b/>
          <w:noProof/>
          <w:szCs w:val="24"/>
        </w:rPr>
        <w:t>mutual recognition clause</w:t>
      </w:r>
      <w:r>
        <w:rPr>
          <w:rStyle w:val="FootnoteReference"/>
          <w:noProof/>
          <w:szCs w:val="24"/>
        </w:rPr>
        <w:footnoteReference w:id="18"/>
      </w:r>
      <w:r>
        <w:rPr>
          <w:noProof/>
          <w:szCs w:val="24"/>
        </w:rPr>
        <w:t xml:space="preserve"> in national technical regulations. It provides l</w:t>
      </w:r>
      <w:r>
        <w:rPr>
          <w:noProof/>
          <w:szCs w:val="24"/>
        </w:rPr>
        <w:t xml:space="preserve">egal certainty for economic operators, as they are informed about their rights, thereby actually putting the aforementioned principle into practice. </w:t>
      </w:r>
    </w:p>
    <w:p w:rsidR="0037666B" w:rsidRDefault="00C627B8">
      <w:pPr>
        <w:ind w:left="567" w:hanging="567"/>
        <w:rPr>
          <w:noProof/>
          <w:szCs w:val="24"/>
        </w:rPr>
      </w:pPr>
      <w:r>
        <w:rPr>
          <w:noProof/>
          <w:szCs w:val="24"/>
        </w:rPr>
        <w:t xml:space="preserve">3. </w:t>
      </w:r>
      <w:r>
        <w:rPr>
          <w:noProof/>
          <w:szCs w:val="24"/>
        </w:rPr>
        <w:tab/>
        <w:t xml:space="preserve">The Commission monitors whether Member States comply with the EU law and whether their national rules </w:t>
      </w:r>
      <w:r>
        <w:rPr>
          <w:noProof/>
          <w:szCs w:val="24"/>
        </w:rPr>
        <w:t>undermine the free movement of goods. To ensure that internal market rules are respected and applied correctly in the area of non-harmonised goods, the Commission follows up</w:t>
      </w:r>
      <w:r>
        <w:rPr>
          <w:b/>
          <w:noProof/>
          <w:szCs w:val="24"/>
        </w:rPr>
        <w:t xml:space="preserve"> complaints</w:t>
      </w:r>
      <w:r>
        <w:rPr>
          <w:noProof/>
          <w:szCs w:val="24"/>
        </w:rPr>
        <w:t xml:space="preserve"> based on alleged breaches of Article 34 TFEU and takes action, where ne</w:t>
      </w:r>
      <w:r>
        <w:rPr>
          <w:noProof/>
          <w:szCs w:val="24"/>
        </w:rPr>
        <w:t xml:space="preserve">cessary, to ensure that those restrictions which cannot be justified are eliminated. </w:t>
      </w:r>
    </w:p>
    <w:p w:rsidR="0037666B" w:rsidRDefault="00C627B8">
      <w:pPr>
        <w:pStyle w:val="Heading1"/>
        <w:keepNext w:val="0"/>
        <w:spacing w:before="0"/>
        <w:rPr>
          <w:noProof/>
          <w:szCs w:val="24"/>
        </w:rPr>
      </w:pPr>
      <w:bookmarkStart w:id="3" w:name="_Toc483992716"/>
      <w:r>
        <w:rPr>
          <w:noProof/>
          <w:szCs w:val="24"/>
        </w:rPr>
        <w:t>Economic Context: non-harmonised products in the EU</w:t>
      </w:r>
      <w:bookmarkEnd w:id="3"/>
    </w:p>
    <w:p w:rsidR="0037666B" w:rsidRDefault="00C627B8">
      <w:pPr>
        <w:pStyle w:val="Text1"/>
        <w:ind w:left="0"/>
        <w:rPr>
          <w:noProof/>
          <w:szCs w:val="24"/>
        </w:rPr>
      </w:pPr>
      <w:r>
        <w:rPr>
          <w:noProof/>
          <w:szCs w:val="24"/>
        </w:rPr>
        <w:lastRenderedPageBreak/>
        <w:t>Mutual recognition applies to non-harmonised products and to partially harmonised products, i.e. products which are in part covered by EU harmonisation legislation but which still have other aspects which are subject to national rules. It is difficult to h</w:t>
      </w:r>
      <w:r>
        <w:rPr>
          <w:noProof/>
          <w:szCs w:val="24"/>
        </w:rPr>
        <w:t>ave a strict separation between these two categories of products: while there are products which are subject to detailed EU rules (and considered as harmonised) such as toys, pyrotechnical articles or cosmetics, many products are however subject to EU harm</w:t>
      </w:r>
      <w:r>
        <w:rPr>
          <w:noProof/>
          <w:szCs w:val="24"/>
        </w:rPr>
        <w:t>onisation for at least specific aspects while the rest is left for national legislation and therefore subject to mutual recognition. Mutual recognition therefore applies to many consumer products where EU harmonisation measure is almost absent such as chil</w:t>
      </w:r>
      <w:r>
        <w:rPr>
          <w:noProof/>
          <w:szCs w:val="24"/>
        </w:rPr>
        <w:t xml:space="preserve">dcare articles, clothing, textile and footwear, furniture, jewellery, sports accessories. It also applies to products more heavily regulated by EU harmonisation measures regarding those elements not covered by these measures, for example, to food and food </w:t>
      </w:r>
      <w:r>
        <w:rPr>
          <w:noProof/>
          <w:szCs w:val="24"/>
        </w:rPr>
        <w:t xml:space="preserve">supplements, fertilising or construction products. </w:t>
      </w:r>
    </w:p>
    <w:p w:rsidR="0037666B" w:rsidRDefault="00C627B8">
      <w:pPr>
        <w:pStyle w:val="Text1"/>
        <w:ind w:left="0"/>
        <w:rPr>
          <w:noProof/>
          <w:szCs w:val="24"/>
        </w:rPr>
      </w:pPr>
      <w:r>
        <w:rPr>
          <w:noProof/>
          <w:szCs w:val="24"/>
        </w:rPr>
        <w:t>Whatever the scope for national rules (the totality of the product or many aspects of it), mutual recognition should apply to address any differences in technical requirements in the Member States. Theref</w:t>
      </w:r>
      <w:r>
        <w:rPr>
          <w:noProof/>
          <w:szCs w:val="24"/>
        </w:rPr>
        <w:t xml:space="preserve">ore, for the purposes of this impact assessment, non-harmonised products should be understood as also including those products which are partially harmonised as they are still subject to national rules and thus, mutual recognition. More information on the </w:t>
      </w:r>
      <w:r>
        <w:rPr>
          <w:noProof/>
          <w:szCs w:val="24"/>
        </w:rPr>
        <w:t>economic relevance of products subject to mutual recognition can be found in Annexes 4 and 5.</w:t>
      </w:r>
    </w:p>
    <w:p w:rsidR="0037666B" w:rsidRDefault="00C627B8">
      <w:pPr>
        <w:pStyle w:val="Text1"/>
        <w:ind w:left="0"/>
        <w:rPr>
          <w:noProof/>
          <w:szCs w:val="24"/>
        </w:rPr>
      </w:pPr>
      <w:r>
        <w:rPr>
          <w:noProof/>
          <w:szCs w:val="24"/>
        </w:rPr>
        <w:t xml:space="preserve">Over the period from 2008 and 2014, around </w:t>
      </w:r>
      <w:r>
        <w:rPr>
          <w:b/>
          <w:noProof/>
          <w:szCs w:val="24"/>
        </w:rPr>
        <w:t>0.89 million enterprises</w:t>
      </w:r>
      <w:r>
        <w:rPr>
          <w:noProof/>
          <w:szCs w:val="24"/>
        </w:rPr>
        <w:t xml:space="preserve"> were operating within non-harmonised sectors, representing more than </w:t>
      </w:r>
      <w:r>
        <w:rPr>
          <w:b/>
          <w:noProof/>
          <w:szCs w:val="24"/>
        </w:rPr>
        <w:t>50% of the total number o</w:t>
      </w:r>
      <w:r>
        <w:rPr>
          <w:b/>
          <w:noProof/>
          <w:szCs w:val="24"/>
        </w:rPr>
        <w:t>f active enterprises in the manufacturing economy</w:t>
      </w:r>
      <w:r>
        <w:rPr>
          <w:rStyle w:val="FootnoteReference"/>
          <w:noProof/>
          <w:szCs w:val="24"/>
        </w:rPr>
        <w:footnoteReference w:id="19"/>
      </w:r>
      <w:r>
        <w:rPr>
          <w:noProof/>
          <w:szCs w:val="24"/>
        </w:rPr>
        <w:t xml:space="preserve">.  </w:t>
      </w:r>
    </w:p>
    <w:p w:rsidR="0037666B" w:rsidRDefault="00C627B8">
      <w:pPr>
        <w:pStyle w:val="Text1"/>
        <w:ind w:left="0"/>
        <w:rPr>
          <w:b/>
          <w:noProof/>
          <w:szCs w:val="24"/>
        </w:rPr>
      </w:pPr>
      <w:r>
        <w:rPr>
          <w:b/>
          <w:noProof/>
          <w:szCs w:val="24"/>
        </w:rPr>
        <w:t>Figure 2-1: Number of active enterprises: non-harmonised sectors vs overall manufacturing sectors (EU28, 2012-2014) NACE Digit-3 level</w:t>
      </w:r>
    </w:p>
    <w:p w:rsidR="0037666B" w:rsidRDefault="00C627B8">
      <w:pPr>
        <w:pStyle w:val="Text1"/>
        <w:ind w:left="0"/>
        <w:jc w:val="center"/>
        <w:rPr>
          <w:noProof/>
          <w:szCs w:val="24"/>
        </w:rPr>
      </w:pPr>
      <w:r>
        <w:rPr>
          <w:noProof/>
          <w:szCs w:val="24"/>
          <w:lang w:eastAsia="en-GB"/>
        </w:rPr>
        <w:drawing>
          <wp:inline distT="0" distB="0" distL="0" distR="0">
            <wp:extent cx="4578350" cy="274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7666B" w:rsidRDefault="00C627B8">
      <w:pPr>
        <w:pStyle w:val="source"/>
        <w:spacing w:after="240"/>
        <w:jc w:val="left"/>
        <w:rPr>
          <w:rFonts w:ascii="Times New Roman" w:hAnsi="Times New Roman"/>
          <w:noProof/>
          <w:sz w:val="18"/>
          <w:szCs w:val="18"/>
        </w:rPr>
      </w:pPr>
      <w:r>
        <w:rPr>
          <w:rFonts w:ascii="Times New Roman" w:hAnsi="Times New Roman"/>
          <w:noProof/>
          <w:sz w:val="18"/>
          <w:szCs w:val="18"/>
        </w:rPr>
        <w:t>Source: Structural Business Statistics, Annual enterprise statist</w:t>
      </w:r>
      <w:r>
        <w:rPr>
          <w:rFonts w:ascii="Times New Roman" w:hAnsi="Times New Roman"/>
          <w:noProof/>
          <w:sz w:val="18"/>
          <w:szCs w:val="18"/>
        </w:rPr>
        <w:t>ics by size class for special aggregates of activities (NACE Rev. 2) (sbs_sc_sca_r2), EUROSTAT (2016)</w:t>
      </w:r>
    </w:p>
    <w:p w:rsidR="0037666B" w:rsidRDefault="00C627B8">
      <w:pPr>
        <w:pStyle w:val="BodyText"/>
        <w:spacing w:after="240"/>
        <w:rPr>
          <w:i w:val="0"/>
          <w:noProof/>
          <w:szCs w:val="24"/>
        </w:rPr>
      </w:pPr>
      <w:r>
        <w:rPr>
          <w:i w:val="0"/>
          <w:noProof/>
          <w:szCs w:val="24"/>
        </w:rPr>
        <w:t xml:space="preserve">Around </w:t>
      </w:r>
      <w:r>
        <w:rPr>
          <w:b/>
          <w:i w:val="0"/>
          <w:noProof/>
          <w:szCs w:val="24"/>
        </w:rPr>
        <w:t>87%</w:t>
      </w:r>
      <w:r>
        <w:rPr>
          <w:i w:val="0"/>
          <w:noProof/>
          <w:szCs w:val="24"/>
        </w:rPr>
        <w:t xml:space="preserve"> of the enterprises operating within the non-harmonised sectors </w:t>
      </w:r>
      <w:r>
        <w:rPr>
          <w:b/>
          <w:i w:val="0"/>
          <w:noProof/>
          <w:szCs w:val="24"/>
        </w:rPr>
        <w:t>are micro enterprises</w:t>
      </w:r>
      <w:r>
        <w:rPr>
          <w:i w:val="0"/>
          <w:noProof/>
          <w:szCs w:val="24"/>
        </w:rPr>
        <w:t xml:space="preserve"> (i.e. with less than 9 employees) and around </w:t>
      </w:r>
      <w:r>
        <w:rPr>
          <w:b/>
          <w:i w:val="0"/>
          <w:noProof/>
          <w:szCs w:val="24"/>
        </w:rPr>
        <w:t>11% are small</w:t>
      </w:r>
      <w:r>
        <w:rPr>
          <w:b/>
          <w:i w:val="0"/>
          <w:noProof/>
          <w:szCs w:val="24"/>
        </w:rPr>
        <w:t xml:space="preserve"> and medium enterprises</w:t>
      </w:r>
      <w:r>
        <w:rPr>
          <w:i w:val="0"/>
          <w:noProof/>
          <w:szCs w:val="24"/>
        </w:rPr>
        <w:t xml:space="preserve"> (i.e. with a number of employees between 50 and 250)</w:t>
      </w:r>
      <w:r>
        <w:rPr>
          <w:rStyle w:val="FootnoteReference"/>
          <w:i w:val="0"/>
          <w:noProof/>
          <w:szCs w:val="24"/>
        </w:rPr>
        <w:footnoteReference w:id="20"/>
      </w:r>
      <w:r>
        <w:rPr>
          <w:i w:val="0"/>
          <w:noProof/>
          <w:szCs w:val="24"/>
        </w:rPr>
        <w:t>.</w:t>
      </w:r>
    </w:p>
    <w:p w:rsidR="0037666B" w:rsidRDefault="00C627B8">
      <w:pPr>
        <w:pStyle w:val="BodyText"/>
        <w:spacing w:after="240"/>
        <w:rPr>
          <w:i w:val="0"/>
          <w:noProof/>
          <w:szCs w:val="24"/>
        </w:rPr>
      </w:pPr>
      <w:r>
        <w:rPr>
          <w:i w:val="0"/>
          <w:noProof/>
          <w:szCs w:val="24"/>
        </w:rPr>
        <w:t xml:space="preserve">In terms of </w:t>
      </w:r>
      <w:r>
        <w:rPr>
          <w:b/>
          <w:i w:val="0"/>
          <w:noProof/>
          <w:szCs w:val="24"/>
        </w:rPr>
        <w:t>turnover</w:t>
      </w:r>
      <w:r>
        <w:rPr>
          <w:i w:val="0"/>
          <w:noProof/>
          <w:szCs w:val="24"/>
        </w:rPr>
        <w:t>, non-harmonised sectors represent a significant contribution to the economy. As shown in the figure below, enterprises operating within non-harmonised secto</w:t>
      </w:r>
      <w:r>
        <w:rPr>
          <w:i w:val="0"/>
          <w:noProof/>
          <w:szCs w:val="24"/>
        </w:rPr>
        <w:t xml:space="preserve">rs contribute to around </w:t>
      </w:r>
      <w:r>
        <w:rPr>
          <w:b/>
          <w:i w:val="0"/>
          <w:noProof/>
          <w:szCs w:val="24"/>
        </w:rPr>
        <w:t>20% of the total value of market sales of manufacturing sectors (€1,158 billion out of €5,690 billion,</w:t>
      </w:r>
      <w:r>
        <w:rPr>
          <w:i w:val="0"/>
          <w:noProof/>
          <w:szCs w:val="24"/>
        </w:rPr>
        <w:t xml:space="preserve"> corresponding to the overall turnover produced within the manufacturing sectors).</w:t>
      </w:r>
    </w:p>
    <w:p w:rsidR="0037666B" w:rsidRDefault="00C627B8">
      <w:pPr>
        <w:pStyle w:val="BodyText"/>
        <w:spacing w:after="240"/>
        <w:rPr>
          <w:i w:val="0"/>
          <w:noProof/>
          <w:szCs w:val="24"/>
        </w:rPr>
      </w:pPr>
      <w:r>
        <w:rPr>
          <w:i w:val="0"/>
          <w:noProof/>
          <w:szCs w:val="24"/>
        </w:rPr>
        <w:t>In addition, considering the period 2008 – 2015</w:t>
      </w:r>
      <w:r>
        <w:rPr>
          <w:i w:val="0"/>
          <w:noProof/>
          <w:szCs w:val="24"/>
        </w:rPr>
        <w:t xml:space="preserve">, the following was observed: </w:t>
      </w:r>
    </w:p>
    <w:p w:rsidR="0037666B" w:rsidRDefault="00C627B8">
      <w:pPr>
        <w:pStyle w:val="BodyText"/>
        <w:numPr>
          <w:ilvl w:val="0"/>
          <w:numId w:val="21"/>
        </w:numPr>
        <w:spacing w:after="240"/>
        <w:ind w:left="567" w:hanging="567"/>
        <w:rPr>
          <w:i w:val="0"/>
          <w:noProof/>
          <w:szCs w:val="24"/>
        </w:rPr>
      </w:pPr>
      <w:r>
        <w:rPr>
          <w:i w:val="0"/>
          <w:noProof/>
          <w:szCs w:val="24"/>
        </w:rPr>
        <w:t xml:space="preserve">The (average) annual value of intra EU exports of non (or partially) harmonised products has been equal to </w:t>
      </w:r>
      <w:r>
        <w:rPr>
          <w:b/>
          <w:i w:val="0"/>
          <w:noProof/>
          <w:szCs w:val="24"/>
        </w:rPr>
        <w:t>€335 billion</w:t>
      </w:r>
      <w:r>
        <w:rPr>
          <w:i w:val="0"/>
          <w:noProof/>
          <w:szCs w:val="24"/>
        </w:rPr>
        <w:t xml:space="preserve"> ;</w:t>
      </w:r>
    </w:p>
    <w:p w:rsidR="0037666B" w:rsidRDefault="00C627B8">
      <w:pPr>
        <w:pStyle w:val="BodyText"/>
        <w:numPr>
          <w:ilvl w:val="0"/>
          <w:numId w:val="21"/>
        </w:numPr>
        <w:spacing w:after="240"/>
        <w:ind w:left="567" w:hanging="567"/>
        <w:rPr>
          <w:i w:val="0"/>
          <w:noProof/>
          <w:szCs w:val="24"/>
        </w:rPr>
      </w:pPr>
      <w:r>
        <w:rPr>
          <w:i w:val="0"/>
          <w:noProof/>
          <w:szCs w:val="24"/>
        </w:rPr>
        <w:t xml:space="preserve">The value on intra EU exports of non-harmonised products represented the </w:t>
      </w:r>
      <w:r>
        <w:rPr>
          <w:b/>
          <w:i w:val="0"/>
          <w:noProof/>
          <w:szCs w:val="24"/>
        </w:rPr>
        <w:t>18%</w:t>
      </w:r>
      <w:r>
        <w:rPr>
          <w:i w:val="0"/>
          <w:noProof/>
          <w:szCs w:val="24"/>
        </w:rPr>
        <w:t xml:space="preserve"> of the value of intra EU e</w:t>
      </w:r>
      <w:r>
        <w:rPr>
          <w:i w:val="0"/>
          <w:noProof/>
          <w:szCs w:val="24"/>
        </w:rPr>
        <w:t>xports.</w:t>
      </w:r>
    </w:p>
    <w:p w:rsidR="0037666B" w:rsidRDefault="0037666B">
      <w:pPr>
        <w:pStyle w:val="BodyText"/>
        <w:spacing w:after="240"/>
        <w:ind w:left="567"/>
        <w:rPr>
          <w:i w:val="0"/>
          <w:noProof/>
          <w:szCs w:val="24"/>
        </w:rPr>
      </w:pPr>
    </w:p>
    <w:p w:rsidR="0037666B" w:rsidRDefault="00C627B8">
      <w:pPr>
        <w:pStyle w:val="BodyText"/>
        <w:spacing w:after="240"/>
        <w:rPr>
          <w:b/>
          <w:i w:val="0"/>
          <w:noProof/>
          <w:szCs w:val="24"/>
        </w:rPr>
      </w:pPr>
      <w:r>
        <w:rPr>
          <w:b/>
          <w:i w:val="0"/>
          <w:noProof/>
          <w:szCs w:val="24"/>
        </w:rPr>
        <w:t>Figure 2-2:</w:t>
      </w:r>
      <w:r>
        <w:rPr>
          <w:b/>
          <w:noProof/>
          <w:szCs w:val="24"/>
        </w:rPr>
        <w:t xml:space="preserve"> </w:t>
      </w:r>
      <w:r>
        <w:rPr>
          <w:b/>
          <w:i w:val="0"/>
          <w:noProof/>
          <w:szCs w:val="24"/>
        </w:rPr>
        <w:t>Value on non (or partially) harmonised products. Intra EU Exports, € billions, 2008 -2015</w:t>
      </w:r>
    </w:p>
    <w:p w:rsidR="0037666B" w:rsidRDefault="00C627B8">
      <w:pPr>
        <w:pStyle w:val="BodyText"/>
        <w:spacing w:after="240"/>
        <w:rPr>
          <w:noProof/>
          <w:szCs w:val="24"/>
        </w:rPr>
      </w:pPr>
      <w:r>
        <w:rPr>
          <w:noProof/>
          <w:szCs w:val="24"/>
          <w:lang w:eastAsia="en-GB"/>
        </w:rPr>
        <w:drawing>
          <wp:inline distT="0" distB="0" distL="0" distR="0">
            <wp:extent cx="5472430" cy="285110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430" cy="2851103"/>
                    </a:xfrm>
                    <a:prstGeom prst="rect">
                      <a:avLst/>
                    </a:prstGeom>
                    <a:noFill/>
                  </pic:spPr>
                </pic:pic>
              </a:graphicData>
            </a:graphic>
          </wp:inline>
        </w:drawing>
      </w:r>
    </w:p>
    <w:p w:rsidR="0037666B" w:rsidRDefault="00C627B8">
      <w:pPr>
        <w:pStyle w:val="Heading1"/>
        <w:keepNext w:val="0"/>
        <w:spacing w:before="0"/>
        <w:rPr>
          <w:noProof/>
          <w:szCs w:val="24"/>
        </w:rPr>
      </w:pPr>
      <w:bookmarkStart w:id="4" w:name="_Toc483992717"/>
      <w:r>
        <w:rPr>
          <w:noProof/>
          <w:szCs w:val="24"/>
        </w:rPr>
        <w:t>Problem Definition</w:t>
      </w:r>
      <w:bookmarkEnd w:id="4"/>
      <w:r>
        <w:rPr>
          <w:noProof/>
          <w:szCs w:val="24"/>
        </w:rPr>
        <w:t xml:space="preserve"> </w:t>
      </w:r>
    </w:p>
    <w:p w:rsidR="0037666B" w:rsidRDefault="00C627B8">
      <w:pPr>
        <w:pStyle w:val="Text1"/>
        <w:ind w:left="0"/>
        <w:rPr>
          <w:noProof/>
          <w:szCs w:val="24"/>
        </w:rPr>
      </w:pPr>
      <w:r>
        <w:rPr>
          <w:noProof/>
          <w:szCs w:val="24"/>
        </w:rPr>
        <w:t>Mutual recognition is instrumental to removing barriers to intra-EU trade when harmonisation is either not desired or techn</w:t>
      </w:r>
      <w:r>
        <w:rPr>
          <w:noProof/>
          <w:szCs w:val="24"/>
        </w:rPr>
        <w:t xml:space="preserve">ically impossible. However, </w:t>
      </w:r>
      <w:r>
        <w:rPr>
          <w:b/>
          <w:noProof/>
          <w:szCs w:val="24"/>
        </w:rPr>
        <w:t>mutual recognition is not functioning well</w:t>
      </w:r>
      <w:r>
        <w:rPr>
          <w:rStyle w:val="FootnoteReference"/>
          <w:b/>
          <w:noProof/>
          <w:szCs w:val="24"/>
        </w:rPr>
        <w:footnoteReference w:id="21"/>
      </w:r>
      <w:r>
        <w:rPr>
          <w:b/>
          <w:noProof/>
          <w:szCs w:val="24"/>
        </w:rPr>
        <w:t>. The weak use of the principle of mutual recognition and the limited impacts the Regulation had in achieving the foreseen objectives of ensuring free movement of goods in the Single Ma</w:t>
      </w:r>
      <w:r>
        <w:rPr>
          <w:b/>
          <w:noProof/>
          <w:szCs w:val="24"/>
        </w:rPr>
        <w:t xml:space="preserve">rket </w:t>
      </w:r>
      <w:r>
        <w:rPr>
          <w:noProof/>
          <w:szCs w:val="24"/>
        </w:rPr>
        <w:t xml:space="preserve">points that there is a lot of potential to be unleashed. </w:t>
      </w:r>
    </w:p>
    <w:p w:rsidR="0037666B" w:rsidRDefault="00C627B8">
      <w:pPr>
        <w:pStyle w:val="Text1"/>
        <w:ind w:left="0"/>
        <w:rPr>
          <w:noProof/>
          <w:szCs w:val="24"/>
        </w:rPr>
      </w:pPr>
      <w:r>
        <w:rPr>
          <w:noProof/>
          <w:szCs w:val="24"/>
        </w:rPr>
        <w:t xml:space="preserve">Businesses rarely rely on mutual recognition to sell their products in another Member State. Companies check the applicable rules in the Member State where they want to sell their products and </w:t>
      </w:r>
      <w:r>
        <w:rPr>
          <w:noProof/>
          <w:szCs w:val="24"/>
        </w:rPr>
        <w:t xml:space="preserve">if national rules prevent them from selling them, most of them adapt their product to those rules (87% adapt their products to national rules straight away or have tried to rely on mutual recognition but received a negative decision and after they adapted </w:t>
      </w:r>
      <w:r>
        <w:rPr>
          <w:noProof/>
          <w:szCs w:val="24"/>
        </w:rPr>
        <w:t>their product)</w:t>
      </w:r>
      <w:r>
        <w:rPr>
          <w:rStyle w:val="FootnoteReference"/>
          <w:noProof/>
          <w:szCs w:val="24"/>
        </w:rPr>
        <w:footnoteReference w:id="22"/>
      </w:r>
      <w:r>
        <w:rPr>
          <w:noProof/>
          <w:szCs w:val="24"/>
        </w:rPr>
        <w:t>. For other companies, particularly SMEs, national technical rules act as barriers to enter those national markets, and they refrain from selling their products in those countries</w:t>
      </w:r>
      <w:r>
        <w:rPr>
          <w:rStyle w:val="FootnoteReference"/>
          <w:noProof/>
          <w:szCs w:val="24"/>
        </w:rPr>
        <w:footnoteReference w:id="23"/>
      </w:r>
      <w:r>
        <w:rPr>
          <w:noProof/>
          <w:szCs w:val="24"/>
        </w:rPr>
        <w:t>. Where companies try to rely on the principle of mutual reco</w:t>
      </w:r>
      <w:r>
        <w:rPr>
          <w:noProof/>
          <w:szCs w:val="24"/>
        </w:rPr>
        <w:t>gnition, national authorities find it difficult to accept, on the basis of mutual recognition, products on their markets that do not conform to their national rules, to which technical, historical and cultural background they are well acquainted.  Therefor</w:t>
      </w:r>
      <w:r>
        <w:rPr>
          <w:noProof/>
          <w:szCs w:val="24"/>
        </w:rPr>
        <w:t>e, they deny market access to those products. 68% of companies which replied to the 2016 public consultation have tried to rely on mutual recognition, and for half of them, market access was denied. When market access is denied, it appears that companies f</w:t>
      </w:r>
      <w:r>
        <w:rPr>
          <w:noProof/>
          <w:szCs w:val="24"/>
        </w:rPr>
        <w:t>ind it extremely difficult to challenge these national decisions</w:t>
      </w:r>
      <w:r>
        <w:rPr>
          <w:rStyle w:val="FootnoteReference"/>
          <w:noProof/>
          <w:szCs w:val="24"/>
        </w:rPr>
        <w:footnoteReference w:id="24"/>
      </w:r>
      <w:r>
        <w:rPr>
          <w:noProof/>
          <w:szCs w:val="24"/>
        </w:rPr>
        <w:t>.</w:t>
      </w:r>
    </w:p>
    <w:p w:rsidR="0037666B" w:rsidRDefault="00C627B8">
      <w:pPr>
        <w:pStyle w:val="Text1"/>
        <w:ind w:left="0"/>
        <w:rPr>
          <w:noProof/>
          <w:szCs w:val="24"/>
        </w:rPr>
      </w:pPr>
      <w:r>
        <w:rPr>
          <w:noProof/>
          <w:szCs w:val="24"/>
        </w:rPr>
        <w:t>Stakeholders reported recurrent problems with the application of the principle of mutual recognition in certain specific sectors such as construction products, food and food supplements, fo</w:t>
      </w:r>
      <w:r>
        <w:rPr>
          <w:noProof/>
          <w:szCs w:val="24"/>
        </w:rPr>
        <w:t>od contact materials, fertilisers or childcare products; some of these sectors are of particular economic relevance</w:t>
      </w:r>
      <w:r>
        <w:rPr>
          <w:rStyle w:val="FootnoteReference"/>
          <w:noProof/>
          <w:szCs w:val="24"/>
        </w:rPr>
        <w:footnoteReference w:id="25"/>
      </w:r>
      <w:r>
        <w:rPr>
          <w:noProof/>
          <w:szCs w:val="24"/>
        </w:rPr>
        <w:t>.</w:t>
      </w:r>
    </w:p>
    <w:p w:rsidR="0037666B" w:rsidRDefault="00C627B8">
      <w:pPr>
        <w:pStyle w:val="Text1"/>
        <w:ind w:left="0"/>
        <w:rPr>
          <w:noProof/>
          <w:szCs w:val="24"/>
        </w:rPr>
      </w:pPr>
      <w:r>
        <w:rPr>
          <w:noProof/>
          <w:szCs w:val="24"/>
        </w:rPr>
        <w:t>Whilst the Regulation was adopted to facilitate the application of the principle of mutual recognition, it has not achieved its objectives</w:t>
      </w:r>
      <w:r>
        <w:rPr>
          <w:noProof/>
          <w:szCs w:val="24"/>
        </w:rPr>
        <w:t>. Generally, the 2016 public consultation shows that only half of the economic operators responding consider that it is easier to sell products in other Member States since the Regulation entered into force.</w:t>
      </w:r>
      <w:r>
        <w:rPr>
          <w:rStyle w:val="FootnoteReference"/>
          <w:noProof/>
          <w:szCs w:val="24"/>
        </w:rPr>
        <w:footnoteReference w:id="26"/>
      </w:r>
    </w:p>
    <w:p w:rsidR="0037666B" w:rsidRDefault="00C627B8">
      <w:pPr>
        <w:pStyle w:val="Heading2"/>
        <w:rPr>
          <w:noProof/>
        </w:rPr>
      </w:pPr>
      <w:bookmarkStart w:id="5" w:name="_Toc483992718"/>
      <w:r>
        <w:rPr>
          <w:noProof/>
        </w:rPr>
        <w:t>Magnitude of the problem</w:t>
      </w:r>
      <w:bookmarkEnd w:id="5"/>
    </w:p>
    <w:p w:rsidR="0037666B" w:rsidRDefault="00C627B8">
      <w:pPr>
        <w:pStyle w:val="Text1"/>
        <w:ind w:left="0"/>
        <w:rPr>
          <w:noProof/>
          <w:szCs w:val="24"/>
        </w:rPr>
      </w:pPr>
      <w:r>
        <w:rPr>
          <w:noProof/>
          <w:szCs w:val="24"/>
        </w:rPr>
        <w:t xml:space="preserve">Due to the complex nature of mutual recognition and the wide variety of products to which it applies, accurately estimating the magnitude of the problem triggered by its suboptimal functioning is not straightforward. Therefore, several elements were taken </w:t>
      </w:r>
      <w:r>
        <w:rPr>
          <w:noProof/>
          <w:szCs w:val="24"/>
        </w:rPr>
        <w:t xml:space="preserve">into account in the analysis, in order to illustrate the significance of the effects that a suboptimal mutual recognition may have. </w:t>
      </w:r>
    </w:p>
    <w:p w:rsidR="0037666B" w:rsidRDefault="00C627B8">
      <w:pPr>
        <w:pStyle w:val="Text1"/>
        <w:ind w:left="0"/>
        <w:rPr>
          <w:iCs/>
          <w:noProof/>
          <w:szCs w:val="24"/>
        </w:rPr>
      </w:pPr>
      <w:r>
        <w:rPr>
          <w:noProof/>
          <w:szCs w:val="24"/>
        </w:rPr>
        <w:t>First, the model</w:t>
      </w:r>
      <w:r>
        <w:rPr>
          <w:rStyle w:val="FootnoteReference"/>
          <w:noProof/>
          <w:szCs w:val="24"/>
        </w:rPr>
        <w:footnoteReference w:id="27"/>
      </w:r>
      <w:r>
        <w:rPr>
          <w:noProof/>
          <w:szCs w:val="24"/>
        </w:rPr>
        <w:t xml:space="preserve"> presented in figure 3-1 has been used to determine the costs that a company might incur when entering the</w:t>
      </w:r>
      <w:r>
        <w:rPr>
          <w:noProof/>
          <w:szCs w:val="24"/>
        </w:rPr>
        <w:t xml:space="preserve"> market without fully benefiting from mutual recognition. The objective of the model is to distinguish the socio-economic costs of the malfunctioning of mutual recognition; the model contains seven components, and uses data about the value of intra-EU trad</w:t>
      </w:r>
      <w:r>
        <w:rPr>
          <w:noProof/>
          <w:szCs w:val="24"/>
        </w:rPr>
        <w:t>e to calculate key costs. The model is underpinned by an enterprise decisions tree that considers routes to successful market entry and decisions not to export. By estimating the number of enterprises entering new markets with non-harmonised products, it i</w:t>
      </w:r>
      <w:r>
        <w:rPr>
          <w:noProof/>
          <w:szCs w:val="24"/>
        </w:rPr>
        <w:t xml:space="preserve">s possible to </w:t>
      </w:r>
      <w:r>
        <w:rPr>
          <w:iCs/>
          <w:noProof/>
          <w:szCs w:val="24"/>
        </w:rPr>
        <w:t>apply an estimate of the</w:t>
      </w:r>
      <w:r>
        <w:rPr>
          <w:i/>
          <w:iCs/>
          <w:noProof/>
          <w:szCs w:val="24"/>
        </w:rPr>
        <w:t xml:space="preserve"> </w:t>
      </w:r>
      <w:r>
        <w:rPr>
          <w:iCs/>
          <w:noProof/>
          <w:szCs w:val="24"/>
        </w:rPr>
        <w:t>number of days work required by enterprises to overcome sub-optimal functioning. This element of the model provides details of transactions costs. The second component of the model (cost of delayed market entry) estim</w:t>
      </w:r>
      <w:r>
        <w:rPr>
          <w:iCs/>
          <w:noProof/>
          <w:szCs w:val="24"/>
        </w:rPr>
        <w:t>ates the cost per week of enterprises note being able to trade. These costs can then be treated separately, or combined to give a total estimate of costs associated with sub-optimal functioning of the Mutual Recognition principle.</w:t>
      </w: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C627B8">
      <w:pPr>
        <w:pStyle w:val="Text1"/>
        <w:ind w:left="0"/>
        <w:rPr>
          <w:b/>
          <w:noProof/>
          <w:szCs w:val="24"/>
        </w:rPr>
      </w:pPr>
      <w:r>
        <w:rPr>
          <w:b/>
          <w:noProof/>
          <w:szCs w:val="24"/>
        </w:rPr>
        <w:t xml:space="preserve">Figure 3-1: Decision </w:t>
      </w:r>
      <w:r>
        <w:rPr>
          <w:b/>
          <w:noProof/>
          <w:szCs w:val="24"/>
        </w:rPr>
        <w:t>tree diagram for export decisions associated with products not covered by the Mutual Recognition principle</w:t>
      </w:r>
      <w:r>
        <w:rPr>
          <w:rStyle w:val="FootnoteReference"/>
          <w:b/>
          <w:noProof/>
          <w:szCs w:val="24"/>
        </w:rPr>
        <w:footnoteReference w:id="28"/>
      </w:r>
    </w:p>
    <w:p w:rsidR="0037666B" w:rsidRDefault="00C627B8">
      <w:pPr>
        <w:pStyle w:val="Text1"/>
        <w:ind w:left="0"/>
        <w:jc w:val="center"/>
        <w:rPr>
          <w:noProof/>
          <w:szCs w:val="24"/>
        </w:rPr>
      </w:pPr>
      <w:r>
        <w:rPr>
          <w:noProof/>
          <w:lang w:eastAsia="en-GB"/>
        </w:rPr>
        <w:drawing>
          <wp:inline distT="0" distB="0" distL="0" distR="0">
            <wp:extent cx="5367130" cy="3944652"/>
            <wp:effectExtent l="19050" t="19050" r="24130" b="1778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8357" cy="3945554"/>
                    </a:xfrm>
                    <a:prstGeom prst="rect">
                      <a:avLst/>
                    </a:prstGeom>
                    <a:noFill/>
                    <a:ln>
                      <a:solidFill>
                        <a:schemeClr val="tx1">
                          <a:lumMod val="50000"/>
                          <a:lumOff val="50000"/>
                        </a:schemeClr>
                      </a:solidFill>
                    </a:ln>
                  </pic:spPr>
                </pic:pic>
              </a:graphicData>
            </a:graphic>
          </wp:inline>
        </w:drawing>
      </w:r>
    </w:p>
    <w:p w:rsidR="0037666B" w:rsidRDefault="00C627B8">
      <w:pPr>
        <w:pStyle w:val="Text1"/>
        <w:ind w:left="0"/>
        <w:rPr>
          <w:noProof/>
          <w:szCs w:val="24"/>
        </w:rPr>
      </w:pPr>
      <w:r>
        <w:rPr>
          <w:noProof/>
          <w:szCs w:val="24"/>
        </w:rPr>
        <w:t>This diagram represents the route that enterprises can follow when deciding not to export or when entering another EU Member State market. The mod</w:t>
      </w:r>
      <w:r>
        <w:rPr>
          <w:noProof/>
          <w:szCs w:val="24"/>
        </w:rPr>
        <w:t>el provides a representation for an enterprise considering intra-EU exporting one product in one EU Member State. This model has been designed as a simplified framework to illustrate a complex process, and is a simplified representation of the reality of t</w:t>
      </w:r>
      <w:r>
        <w:rPr>
          <w:noProof/>
          <w:szCs w:val="24"/>
        </w:rPr>
        <w:t>he market. A model where the values can be changed, based on the type of products, company and feedback received was preferred, as it allows an evolving estimation, reflecting the reality of the market.  The values used for calculating the size of the prob</w:t>
      </w:r>
      <w:r>
        <w:rPr>
          <w:noProof/>
          <w:szCs w:val="24"/>
        </w:rPr>
        <w:t>lem based on this model are assumptions based on feedback from a very limited number of stakeholders and thus need to be treated with caution as they are not necessarily representative</w:t>
      </w:r>
      <w:r>
        <w:rPr>
          <w:rStyle w:val="FootnoteReference"/>
          <w:noProof/>
          <w:szCs w:val="24"/>
        </w:rPr>
        <w:t xml:space="preserve"> </w:t>
      </w:r>
      <w:r>
        <w:rPr>
          <w:rStyle w:val="FootnoteReference"/>
          <w:noProof/>
          <w:szCs w:val="24"/>
        </w:rPr>
        <w:footnoteReference w:id="29"/>
      </w:r>
      <w:r>
        <w:rPr>
          <w:rStyle w:val="FootnoteReference"/>
          <w:noProof/>
          <w:szCs w:val="24"/>
        </w:rPr>
        <w:t xml:space="preserve">.  </w:t>
      </w:r>
      <w:r>
        <w:rPr>
          <w:noProof/>
          <w:szCs w:val="24"/>
        </w:rPr>
        <w:t xml:space="preserve">They vary substantially upon the number of products intended to be </w:t>
      </w:r>
      <w:r>
        <w:rPr>
          <w:noProof/>
          <w:szCs w:val="24"/>
        </w:rPr>
        <w:t xml:space="preserve">marketed and the number of markets targeted. Details can be found in Annex 4.  </w:t>
      </w:r>
    </w:p>
    <w:p w:rsidR="0037666B" w:rsidRDefault="00C627B8">
      <w:pPr>
        <w:pStyle w:val="Text1"/>
        <w:ind w:left="0"/>
        <w:rPr>
          <w:noProof/>
          <w:szCs w:val="24"/>
        </w:rPr>
      </w:pPr>
      <w:r>
        <w:rPr>
          <w:noProof/>
          <w:szCs w:val="24"/>
        </w:rPr>
        <w:t>Second, the comparison of the value of the intra EU exports with domestic consumption</w:t>
      </w:r>
      <w:r>
        <w:rPr>
          <w:rStyle w:val="FootnoteReference"/>
          <w:noProof/>
          <w:szCs w:val="24"/>
        </w:rPr>
        <w:footnoteReference w:id="30"/>
      </w:r>
      <w:r>
        <w:rPr>
          <w:noProof/>
          <w:szCs w:val="24"/>
        </w:rPr>
        <w:t xml:space="preserve"> shows that for harmonised products the value of intra EU exports is </w:t>
      </w:r>
      <w:r>
        <w:rPr>
          <w:b/>
          <w:noProof/>
          <w:szCs w:val="24"/>
        </w:rPr>
        <w:t>55%</w:t>
      </w:r>
      <w:r>
        <w:rPr>
          <w:noProof/>
          <w:szCs w:val="24"/>
        </w:rPr>
        <w:t xml:space="preserve"> of domestic consu</w:t>
      </w:r>
      <w:r>
        <w:rPr>
          <w:noProof/>
          <w:szCs w:val="24"/>
        </w:rPr>
        <w:t xml:space="preserve">mption, while for the non-harmonised and partially harmonised goods it represents only </w:t>
      </w:r>
      <w:r>
        <w:rPr>
          <w:b/>
          <w:noProof/>
          <w:szCs w:val="24"/>
        </w:rPr>
        <w:t>35%.</w:t>
      </w:r>
      <w:r>
        <w:rPr>
          <w:noProof/>
          <w:szCs w:val="24"/>
        </w:rPr>
        <w:t xml:space="preserve"> This might be also a sign of the effects that suboptimal functioning of mutual recognition has on trade, based on the assumption that in the harmonised area, due to</w:t>
      </w:r>
      <w:r>
        <w:rPr>
          <w:noProof/>
          <w:szCs w:val="24"/>
        </w:rPr>
        <w:t xml:space="preserve"> uniform and standardised rules applicable in all EU Member State, there are no (or few) barriers to trade. </w:t>
      </w:r>
    </w:p>
    <w:p w:rsidR="0037666B" w:rsidRDefault="00C627B8">
      <w:pPr>
        <w:pStyle w:val="Text1"/>
        <w:ind w:left="0"/>
        <w:rPr>
          <w:b/>
          <w:noProof/>
          <w:szCs w:val="24"/>
        </w:rPr>
      </w:pPr>
      <w:r>
        <w:rPr>
          <w:b/>
          <w:noProof/>
          <w:szCs w:val="24"/>
        </w:rPr>
        <w:t>Figure 3-2: Intra EU exports as % of the domestic consumption: harmonised vs non- harmonised or partially harmonised products, 2008-2015</w:t>
      </w:r>
      <w:r>
        <w:rPr>
          <w:rStyle w:val="FootnoteReference"/>
          <w:b/>
          <w:noProof/>
          <w:szCs w:val="24"/>
        </w:rPr>
        <w:footnoteReference w:id="31"/>
      </w:r>
    </w:p>
    <w:p w:rsidR="0037666B" w:rsidRDefault="00C627B8">
      <w:pPr>
        <w:pStyle w:val="Text1"/>
        <w:ind w:left="0"/>
        <w:rPr>
          <w:noProof/>
          <w:szCs w:val="24"/>
        </w:rPr>
      </w:pPr>
      <w:r>
        <w:rPr>
          <w:noProof/>
          <w:lang w:eastAsia="en-GB"/>
        </w:rPr>
        <w:drawing>
          <wp:inline distT="0" distB="0" distL="0" distR="0">
            <wp:extent cx="5472430" cy="3392786"/>
            <wp:effectExtent l="0" t="0" r="13970"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666B" w:rsidRDefault="00C627B8">
      <w:pPr>
        <w:pStyle w:val="Text1"/>
        <w:ind w:left="0"/>
        <w:rPr>
          <w:noProof/>
          <w:szCs w:val="24"/>
        </w:rPr>
      </w:pPr>
      <w:r>
        <w:rPr>
          <w:noProof/>
          <w:szCs w:val="24"/>
        </w:rPr>
        <w:t>Lastly,</w:t>
      </w:r>
      <w:r>
        <w:rPr>
          <w:noProof/>
          <w:szCs w:val="24"/>
        </w:rPr>
        <w:t xml:space="preserve"> a global estimation of trade barriers in general can be used to compliment the previous findings. The fact that most companies feel compelled to adapt their products to national requirements constitutes a barrier to trade on the internal market. The magni</w:t>
      </w:r>
      <w:r>
        <w:rPr>
          <w:noProof/>
          <w:szCs w:val="24"/>
        </w:rPr>
        <w:t>tude of these barriers is also likely to be significant. A study done for the European Parliament</w:t>
      </w:r>
      <w:r>
        <w:rPr>
          <w:rStyle w:val="FootnoteReference"/>
          <w:noProof/>
          <w:szCs w:val="24"/>
        </w:rPr>
        <w:footnoteReference w:id="32"/>
      </w:r>
      <w:r>
        <w:rPr>
          <w:noProof/>
          <w:szCs w:val="24"/>
        </w:rPr>
        <w:t xml:space="preserve"> tried to estimate the magnitude of the impact that non-tariff barriers to trade have on the internal market. It concluded that a reduction of such barriers c</w:t>
      </w:r>
      <w:r>
        <w:rPr>
          <w:noProof/>
          <w:szCs w:val="24"/>
        </w:rPr>
        <w:t xml:space="preserve">ould lead to an increase in intra-EU trade of more than </w:t>
      </w:r>
      <w:r>
        <w:rPr>
          <w:b/>
          <w:noProof/>
          <w:szCs w:val="24"/>
        </w:rPr>
        <w:t>100 billion EUR</w:t>
      </w:r>
      <w:r>
        <w:rPr>
          <w:noProof/>
          <w:szCs w:val="24"/>
        </w:rPr>
        <w:t xml:space="preserve"> per year. While the concept of non-tariff barriers in the paper is broader (including not only lack of mutual recognition or harmonisation but also discriminatory procedures and less f</w:t>
      </w:r>
      <w:r>
        <w:rPr>
          <w:noProof/>
          <w:szCs w:val="24"/>
        </w:rPr>
        <w:t xml:space="preserve">avourable tax or subsidy treatment), it provides an indication that the problem of mutual recognition not working well in practice is economically significant.  </w:t>
      </w:r>
    </w:p>
    <w:p w:rsidR="0037666B" w:rsidRDefault="00C627B8">
      <w:pPr>
        <w:pStyle w:val="Heading2"/>
        <w:rPr>
          <w:noProof/>
        </w:rPr>
      </w:pPr>
      <w:bookmarkStart w:id="6" w:name="_Toc483992719"/>
      <w:r>
        <w:rPr>
          <w:noProof/>
        </w:rPr>
        <w:t>The drivers of the problem</w:t>
      </w:r>
      <w:bookmarkEnd w:id="6"/>
    </w:p>
    <w:p w:rsidR="0037666B" w:rsidRDefault="00C627B8">
      <w:pPr>
        <w:pStyle w:val="Text1"/>
        <w:ind w:left="0"/>
        <w:rPr>
          <w:noProof/>
          <w:szCs w:val="24"/>
        </w:rPr>
      </w:pPr>
      <w:r>
        <w:rPr>
          <w:noProof/>
          <w:szCs w:val="24"/>
        </w:rPr>
        <w:t>A number of factors explain the fact that mutual recognition is cur</w:t>
      </w:r>
      <w:r>
        <w:rPr>
          <w:noProof/>
          <w:szCs w:val="24"/>
        </w:rPr>
        <w:t xml:space="preserve">rently not functioning well, in particular, the lack of awareness about mutual recognition, the legal uncertainty with regards to its scope and the practical obstacles related to its application. According to the 2016 public consultations, businesses find </w:t>
      </w:r>
      <w:r>
        <w:rPr>
          <w:noProof/>
          <w:szCs w:val="24"/>
        </w:rPr>
        <w:t>that the difficulty to challenge a national decision denying market access is the main obstacle to the functioning of mutual recognition</w:t>
      </w:r>
      <w:r>
        <w:rPr>
          <w:rStyle w:val="FootnoteReference"/>
          <w:noProof/>
          <w:szCs w:val="24"/>
        </w:rPr>
        <w:footnoteReference w:id="33"/>
      </w:r>
      <w:r>
        <w:rPr>
          <w:noProof/>
          <w:szCs w:val="24"/>
        </w:rPr>
        <w:t>, followed by the insufficient communication between national authorities of different Member States, the lack of aware</w:t>
      </w:r>
      <w:r>
        <w:rPr>
          <w:noProof/>
          <w:szCs w:val="24"/>
        </w:rPr>
        <w:t xml:space="preserve">ness and the legal uncertainty with regards to its scope. </w:t>
      </w:r>
    </w:p>
    <w:p w:rsidR="0037666B" w:rsidRDefault="00C627B8">
      <w:pPr>
        <w:rPr>
          <w:noProof/>
          <w:szCs w:val="24"/>
          <w:lang w:val="en" w:eastAsia="en-GB"/>
        </w:rPr>
      </w:pPr>
      <w:r>
        <w:rPr>
          <w:noProof/>
          <w:szCs w:val="24"/>
        </w:rPr>
        <w:t>There is still a significant lack of awareness and an important lack of legal certainty which hampers the effective functioning of mutual recognition. When businesses are aware of mutual recognitio</w:t>
      </w:r>
      <w:r>
        <w:rPr>
          <w:noProof/>
          <w:szCs w:val="24"/>
        </w:rPr>
        <w:t>n, the uncertainty with regards to its scope and application makes them reluctant to use the principle for entering new markets. First of all, it is difficult to know if mutual recognition applies to a particular product or not</w:t>
      </w:r>
      <w:r>
        <w:rPr>
          <w:rStyle w:val="FootnoteReference"/>
          <w:noProof/>
          <w:szCs w:val="24"/>
        </w:rPr>
        <w:footnoteReference w:id="34"/>
      </w:r>
      <w:r>
        <w:rPr>
          <w:noProof/>
          <w:szCs w:val="24"/>
        </w:rPr>
        <w:t xml:space="preserve">. Secondly, when businesses </w:t>
      </w:r>
      <w:r>
        <w:rPr>
          <w:noProof/>
          <w:szCs w:val="24"/>
        </w:rPr>
        <w:t>rely on mutual recognition, the outcome is uncertain. In particular, the evidence that will be required to demonstrate that the product has been lawfully marketed in another Member State or the tests that will have to be completed vary among Member States.</w:t>
      </w:r>
      <w:r>
        <w:rPr>
          <w:noProof/>
          <w:szCs w:val="24"/>
        </w:rPr>
        <w:t xml:space="preserve"> Furthermore, Member States are entitled to argue that mutual recognition does not apply where overriding public interests such as health, safety, consumer protection and environmental protection justify specific national requirements. Finally, if market a</w:t>
      </w:r>
      <w:r>
        <w:rPr>
          <w:noProof/>
          <w:szCs w:val="24"/>
        </w:rPr>
        <w:t xml:space="preserve">ccess is denied, businesses can only challenge these decisions in the national courts which is a long and costly process. </w:t>
      </w:r>
    </w:p>
    <w:p w:rsidR="0037666B" w:rsidRDefault="00C627B8">
      <w:pPr>
        <w:pStyle w:val="Heading3"/>
        <w:rPr>
          <w:noProof/>
        </w:rPr>
      </w:pPr>
      <w:bookmarkStart w:id="7" w:name="_Toc483992720"/>
      <w:r>
        <w:rPr>
          <w:noProof/>
        </w:rPr>
        <w:t>Lack of awareness about the mutual recognition principle and Regulation</w:t>
      </w:r>
      <w:bookmarkEnd w:id="7"/>
    </w:p>
    <w:p w:rsidR="0037666B" w:rsidRDefault="00C627B8">
      <w:pPr>
        <w:rPr>
          <w:noProof/>
          <w:szCs w:val="24"/>
        </w:rPr>
      </w:pPr>
      <w:r>
        <w:rPr>
          <w:noProof/>
          <w:szCs w:val="24"/>
        </w:rPr>
        <w:t xml:space="preserve">The first condition for businesses and national authorities </w:t>
      </w:r>
      <w:r>
        <w:rPr>
          <w:noProof/>
          <w:szCs w:val="24"/>
        </w:rPr>
        <w:t xml:space="preserve">to use and apply mutual recognition is to be aware of it and what it means in practice for companies. However, there are still a significant number of businesses and national authorities unaware of mutual recognition. One of the specific objectives of the </w:t>
      </w:r>
      <w:r>
        <w:rPr>
          <w:noProof/>
          <w:szCs w:val="24"/>
        </w:rPr>
        <w:t>Regulation was to increase awareness of the mutual recognition principle. The stakeholders' consultation and the desk research performed by the Commission services show that there are businesses and national authorities still unaware about the mutual recog</w:t>
      </w:r>
      <w:r>
        <w:rPr>
          <w:noProof/>
          <w:szCs w:val="24"/>
        </w:rPr>
        <w:t xml:space="preserve">nition principle and Regulation. Lack of awareness about the principle triggers lack of awareness about how this principle should be applied or the conditions under which mutual recognition could be denied. In many cases businesses simply assume that they </w:t>
      </w:r>
      <w:r>
        <w:rPr>
          <w:noProof/>
          <w:szCs w:val="24"/>
        </w:rPr>
        <w:t>need to adapt their products to the national rules if they want to sell them in another Member State. In other cases, this is required by the national authorities, to the detriment of mutual recognition</w:t>
      </w:r>
      <w:r>
        <w:rPr>
          <w:rStyle w:val="FootnoteReference"/>
          <w:noProof/>
          <w:szCs w:val="24"/>
        </w:rPr>
        <w:footnoteReference w:id="35"/>
      </w:r>
      <w:r>
        <w:rPr>
          <w:noProof/>
          <w:szCs w:val="24"/>
        </w:rPr>
        <w:t xml:space="preserve">.  </w:t>
      </w:r>
    </w:p>
    <w:p w:rsidR="0037666B" w:rsidRDefault="00C627B8">
      <w:pPr>
        <w:rPr>
          <w:noProof/>
          <w:szCs w:val="24"/>
          <w:highlight w:val="yellow"/>
        </w:rPr>
      </w:pPr>
      <w:r>
        <w:rPr>
          <w:noProof/>
          <w:szCs w:val="24"/>
        </w:rPr>
        <w:t>Surveys carried out in 2004</w:t>
      </w:r>
      <w:r>
        <w:rPr>
          <w:noProof/>
          <w:szCs w:val="24"/>
          <w:vertAlign w:val="superscript"/>
        </w:rPr>
        <w:footnoteReference w:id="36"/>
      </w:r>
      <w:r>
        <w:rPr>
          <w:noProof/>
          <w:szCs w:val="24"/>
        </w:rPr>
        <w:t xml:space="preserve"> and 2014</w:t>
      </w:r>
      <w:r>
        <w:rPr>
          <w:noProof/>
          <w:szCs w:val="24"/>
          <w:vertAlign w:val="superscript"/>
        </w:rPr>
        <w:footnoteReference w:id="37"/>
      </w:r>
      <w:r>
        <w:rPr>
          <w:noProof/>
          <w:szCs w:val="24"/>
        </w:rPr>
        <w:t xml:space="preserve">show a low </w:t>
      </w:r>
      <w:r>
        <w:rPr>
          <w:noProof/>
          <w:szCs w:val="24"/>
        </w:rPr>
        <w:t>level of awareness about mutual recognition among businesses. In 2004, 46% of the respondents declared being aware of mutual recognition; 54 % of the companies interviewed in 2014 declared not knowing about it or having heard of it but not being familiar w</w:t>
      </w:r>
      <w:r>
        <w:rPr>
          <w:noProof/>
          <w:szCs w:val="24"/>
        </w:rPr>
        <w:t>ith the details. The public consultation carried out in 2016</w:t>
      </w:r>
      <w:r>
        <w:rPr>
          <w:noProof/>
          <w:szCs w:val="24"/>
          <w:vertAlign w:val="superscript"/>
        </w:rPr>
        <w:footnoteReference w:id="38"/>
      </w:r>
      <w:r>
        <w:rPr>
          <w:noProof/>
          <w:szCs w:val="24"/>
        </w:rPr>
        <w:t xml:space="preserve"> shows however a significantly higher level of awareness; 7% of the respondents declared being aware of mutual recognition. The differences in the declared level of awareness can be explained by </w:t>
      </w:r>
      <w:r>
        <w:rPr>
          <w:noProof/>
          <w:szCs w:val="24"/>
        </w:rPr>
        <w:t xml:space="preserve">the fact that the consultation process was different (targeted surveys versus open consultation).  </w:t>
      </w:r>
    </w:p>
    <w:p w:rsidR="0037666B" w:rsidRDefault="00C627B8">
      <w:pPr>
        <w:rPr>
          <w:noProof/>
          <w:szCs w:val="24"/>
        </w:rPr>
      </w:pPr>
      <w:r>
        <w:rPr>
          <w:noProof/>
          <w:szCs w:val="24"/>
        </w:rPr>
        <w:t>The level of awareness about mutual recognition among national authorities is mixed. The results of the public consultation carried out in 2016 shows that w</w:t>
      </w:r>
      <w:r>
        <w:rPr>
          <w:noProof/>
          <w:szCs w:val="24"/>
        </w:rPr>
        <w:t>hen national authorities check if products available on their market coming from another Member State comply with the national rules they are enforcing, 53% verify if they are already lawfully marketed in the Member State of origin while 46% don’t.</w:t>
      </w:r>
    </w:p>
    <w:p w:rsidR="0037666B" w:rsidRDefault="00C627B8">
      <w:pPr>
        <w:rPr>
          <w:noProof/>
          <w:szCs w:val="24"/>
        </w:rPr>
      </w:pPr>
      <w:r>
        <w:rPr>
          <w:noProof/>
          <w:szCs w:val="24"/>
        </w:rPr>
        <w:t>Further</w:t>
      </w:r>
      <w:r>
        <w:rPr>
          <w:noProof/>
          <w:szCs w:val="24"/>
        </w:rPr>
        <w:t>more, confusion arises with regards to prior authorisation procedures; when such procedures are in place, economic operators cannot rely on the principle of mutual recognition to place their products on the national market. In fact, the Regulation does not</w:t>
      </w:r>
      <w:r>
        <w:rPr>
          <w:noProof/>
          <w:szCs w:val="24"/>
        </w:rPr>
        <w:t xml:space="preserve"> apply to prior authorisation procedures, as the requirement that the placing of a product on the market is subject to prior authorisation is not a technical rule within the scope of the Regulation. However, the decision to deny prior authorisation merely </w:t>
      </w:r>
      <w:r>
        <w:rPr>
          <w:noProof/>
          <w:szCs w:val="24"/>
        </w:rPr>
        <w:t>because the product does not comply with the national rules in the Member States having the prior authorisation procedure is a decision within the scope of the Regulation</w:t>
      </w:r>
      <w:r>
        <w:rPr>
          <w:rStyle w:val="FootnoteReference"/>
          <w:noProof/>
          <w:szCs w:val="24"/>
        </w:rPr>
        <w:footnoteReference w:id="39"/>
      </w:r>
      <w:r>
        <w:rPr>
          <w:noProof/>
          <w:szCs w:val="24"/>
        </w:rPr>
        <w:t xml:space="preserve">. </w:t>
      </w:r>
    </w:p>
    <w:p w:rsidR="0037666B" w:rsidRDefault="00C627B8">
      <w:pPr>
        <w:rPr>
          <w:noProof/>
          <w:szCs w:val="24"/>
        </w:rPr>
      </w:pPr>
      <w:r>
        <w:rPr>
          <w:noProof/>
          <w:szCs w:val="24"/>
        </w:rPr>
        <w:t xml:space="preserve">Despite the fact that businesses indicated in the 2016 public consultation a high </w:t>
      </w:r>
      <w:r>
        <w:rPr>
          <w:noProof/>
          <w:szCs w:val="24"/>
        </w:rPr>
        <w:t>level of awareness, they still very much support the need for additional awareness raising campaigns</w:t>
      </w:r>
      <w:r>
        <w:rPr>
          <w:b/>
          <w:noProof/>
          <w:szCs w:val="24"/>
        </w:rPr>
        <w:t>: 95%</w:t>
      </w:r>
      <w:r>
        <w:rPr>
          <w:noProof/>
          <w:szCs w:val="24"/>
        </w:rPr>
        <w:t xml:space="preserve"> of them replied</w:t>
      </w:r>
      <w:r>
        <w:rPr>
          <w:noProof/>
          <w:szCs w:val="24"/>
          <w:vertAlign w:val="superscript"/>
        </w:rPr>
        <w:footnoteReference w:id="40"/>
      </w:r>
      <w:r>
        <w:rPr>
          <w:noProof/>
          <w:szCs w:val="24"/>
        </w:rPr>
        <w:t xml:space="preserve">  that awareness raising is still necessary, and ranked the lack of awareness as being the third main obstacle to a smooth functioning</w:t>
      </w:r>
      <w:r>
        <w:rPr>
          <w:noProof/>
          <w:szCs w:val="24"/>
        </w:rPr>
        <w:t xml:space="preserve"> of mutual recognition.</w:t>
      </w:r>
      <w:r>
        <w:rPr>
          <w:rFonts w:eastAsiaTheme="minorHAnsi"/>
          <w:noProof/>
          <w:szCs w:val="24"/>
        </w:rPr>
        <w:t xml:space="preserve"> Also, Member States addressed the need for additional awareness campaigns. During the 2016 public consultation</w:t>
      </w:r>
      <w:r>
        <w:rPr>
          <w:rFonts w:eastAsiaTheme="minorHAnsi"/>
          <w:noProof/>
          <w:szCs w:val="24"/>
          <w:vertAlign w:val="superscript"/>
        </w:rPr>
        <w:footnoteReference w:id="41"/>
      </w:r>
      <w:r>
        <w:rPr>
          <w:rFonts w:eastAsiaTheme="minorHAnsi"/>
          <w:noProof/>
          <w:szCs w:val="24"/>
        </w:rPr>
        <w:t>, 84% of national authorities consider that awareness-raising is still necessary. When asked to rank priorities for impro</w:t>
      </w:r>
      <w:r>
        <w:rPr>
          <w:rFonts w:eastAsiaTheme="minorHAnsi"/>
          <w:noProof/>
          <w:szCs w:val="24"/>
        </w:rPr>
        <w:t xml:space="preserve">ving mutual recognition by order of importance, </w:t>
      </w:r>
      <w:r>
        <w:rPr>
          <w:rFonts w:eastAsiaTheme="minorHAnsi"/>
          <w:b/>
          <w:noProof/>
          <w:szCs w:val="24"/>
        </w:rPr>
        <w:t>awareness-raising was ranked as the first priority</w:t>
      </w:r>
      <w:r>
        <w:rPr>
          <w:rFonts w:eastAsiaTheme="minorHAnsi"/>
          <w:noProof/>
          <w:szCs w:val="24"/>
        </w:rPr>
        <w:t xml:space="preserve">, </w:t>
      </w:r>
      <w:r>
        <w:rPr>
          <w:rFonts w:eastAsiaTheme="minorHAnsi"/>
          <w:b/>
          <w:noProof/>
          <w:szCs w:val="24"/>
        </w:rPr>
        <w:t xml:space="preserve">with 52% of responding national authorities supporting it. </w:t>
      </w:r>
      <w:r>
        <w:rPr>
          <w:rFonts w:eastAsiaTheme="minorHAnsi"/>
          <w:noProof/>
          <w:szCs w:val="24"/>
        </w:rPr>
        <w:t>National authorities replying to this consultation are representing PCPs (31%) but also other aut</w:t>
      </w:r>
      <w:r>
        <w:rPr>
          <w:rFonts w:eastAsiaTheme="minorHAnsi"/>
          <w:noProof/>
          <w:szCs w:val="24"/>
        </w:rPr>
        <w:t xml:space="preserve">horities than PCPs (69%). The need for additional awareness raising campaigns is also highlighted by numerous Member States in their annual reports on the application of the Regulation. </w:t>
      </w:r>
      <w:r>
        <w:rPr>
          <w:noProof/>
          <w:szCs w:val="24"/>
        </w:rPr>
        <w:t>The outcome of the stakeholders' event held in June 2016 "Single marke</w:t>
      </w:r>
      <w:r>
        <w:rPr>
          <w:noProof/>
          <w:szCs w:val="24"/>
        </w:rPr>
        <w:t xml:space="preserve">t for products: fresh ideas to unleash full potential" </w:t>
      </w:r>
      <w:r>
        <w:rPr>
          <w:noProof/>
          <w:szCs w:val="24"/>
          <w:vertAlign w:val="superscript"/>
        </w:rPr>
        <w:footnoteReference w:id="42"/>
      </w:r>
      <w:r>
        <w:rPr>
          <w:noProof/>
          <w:szCs w:val="24"/>
        </w:rPr>
        <w:t xml:space="preserve"> points into the same direction; national authorities participating stressed that awareness raising, for both economic operators and national authorities is essential for improving the functioning of </w:t>
      </w:r>
      <w:r>
        <w:rPr>
          <w:noProof/>
          <w:szCs w:val="24"/>
        </w:rPr>
        <w:t>mutual recognition.</w:t>
      </w:r>
    </w:p>
    <w:p w:rsidR="0037666B" w:rsidRDefault="00C627B8">
      <w:pPr>
        <w:rPr>
          <w:noProof/>
          <w:szCs w:val="24"/>
        </w:rPr>
      </w:pPr>
      <w:r>
        <w:rPr>
          <w:noProof/>
          <w:szCs w:val="24"/>
        </w:rPr>
        <w:t>The Regulation had a limited effect in increasing awareness of the mutual recognition principle, mainly due to the suboptimal functioning of the PCPs. This makes it difficult for businesses to know when mutual recognition can be used fo</w:t>
      </w:r>
      <w:r>
        <w:rPr>
          <w:noProof/>
          <w:szCs w:val="24"/>
        </w:rPr>
        <w:t>r entering a market and what their rights are. Most stakeholders agreed however that PCPs are a very useful tool, with a lot of potential. They need however to be strengthened in terms of administrative cooperation and network, in order to be efficient wit</w:t>
      </w:r>
      <w:r>
        <w:rPr>
          <w:noProof/>
          <w:szCs w:val="24"/>
        </w:rPr>
        <w:t>h regards to their objectives.</w:t>
      </w:r>
    </w:p>
    <w:p w:rsidR="0037666B" w:rsidRDefault="00C627B8">
      <w:pPr>
        <w:pStyle w:val="Heading3"/>
        <w:rPr>
          <w:noProof/>
        </w:rPr>
      </w:pPr>
      <w:bookmarkStart w:id="8" w:name="_Toc483992721"/>
      <w:r>
        <w:rPr>
          <w:noProof/>
        </w:rPr>
        <w:t>Legal uncertainty as regards the scope of mutual recognition</w:t>
      </w:r>
      <w:bookmarkEnd w:id="8"/>
      <w:r>
        <w:rPr>
          <w:noProof/>
        </w:rPr>
        <w:t xml:space="preserve"> </w:t>
      </w:r>
    </w:p>
    <w:p w:rsidR="0037666B" w:rsidRDefault="00C627B8">
      <w:pPr>
        <w:pStyle w:val="Text1"/>
        <w:ind w:left="0"/>
        <w:rPr>
          <w:noProof/>
          <w:szCs w:val="24"/>
        </w:rPr>
      </w:pPr>
      <w:r>
        <w:rPr>
          <w:noProof/>
          <w:szCs w:val="24"/>
        </w:rPr>
        <w:t>Determining if a product might benefit from the mutual recognition principle is not straightforward, as mutual recognition applies to a very wide range of products</w:t>
      </w:r>
      <w:r>
        <w:rPr>
          <w:noProof/>
          <w:szCs w:val="24"/>
        </w:rPr>
        <w:t>, i.e. products or aspects of products which are not covered, fully or partially, by EU harmonisation legislation. Therefore, clarifying whether mutual recognition should apply to a given product requires detailed knowledge of rules on products</w:t>
      </w:r>
      <w:r>
        <w:rPr>
          <w:rStyle w:val="FootnoteReference"/>
          <w:noProof/>
          <w:szCs w:val="24"/>
        </w:rPr>
        <w:footnoteReference w:id="43"/>
      </w:r>
      <w:r>
        <w:rPr>
          <w:noProof/>
          <w:szCs w:val="24"/>
        </w:rPr>
        <w:t xml:space="preserve">. </w:t>
      </w:r>
    </w:p>
    <w:p w:rsidR="0037666B" w:rsidRDefault="00C627B8">
      <w:pPr>
        <w:pStyle w:val="Text1"/>
        <w:ind w:left="0"/>
        <w:rPr>
          <w:noProof/>
          <w:szCs w:val="24"/>
        </w:rPr>
      </w:pPr>
      <w:r>
        <w:rPr>
          <w:noProof/>
          <w:szCs w:val="24"/>
        </w:rPr>
        <w:t>The main</w:t>
      </w:r>
      <w:r>
        <w:rPr>
          <w:noProof/>
          <w:szCs w:val="24"/>
        </w:rPr>
        <w:t xml:space="preserve"> tools to guide economic operators to knowing if mutual recognition can be invoked for a product are:</w:t>
      </w:r>
    </w:p>
    <w:p w:rsidR="0037666B" w:rsidRDefault="00C627B8">
      <w:pPr>
        <w:pStyle w:val="Text1"/>
        <w:numPr>
          <w:ilvl w:val="0"/>
          <w:numId w:val="27"/>
        </w:numPr>
        <w:tabs>
          <w:tab w:val="left" w:pos="567"/>
        </w:tabs>
        <w:ind w:left="567" w:hanging="567"/>
        <w:rPr>
          <w:noProof/>
          <w:szCs w:val="24"/>
        </w:rPr>
      </w:pPr>
      <w:r>
        <w:rPr>
          <w:noProof/>
          <w:szCs w:val="24"/>
        </w:rPr>
        <w:t>The Product Contact Points (PCPs) established by the Regulation. However, there are problems with the functioning of PCPs. In the period between the entry</w:t>
      </w:r>
      <w:r>
        <w:rPr>
          <w:noProof/>
          <w:szCs w:val="24"/>
        </w:rPr>
        <w:t xml:space="preserve"> into force of the Regulation on 13 May 2009 and today </w:t>
      </w:r>
      <w:r>
        <w:rPr>
          <w:noProof/>
          <w:szCs w:val="24"/>
          <w:vertAlign w:val="superscript"/>
        </w:rPr>
        <w:footnoteReference w:id="44"/>
      </w:r>
      <w:r>
        <w:rPr>
          <w:noProof/>
          <w:szCs w:val="24"/>
          <w:vertAlign w:val="superscript"/>
        </w:rPr>
        <w:t>,</w:t>
      </w:r>
      <w:r>
        <w:rPr>
          <w:noProof/>
          <w:szCs w:val="24"/>
        </w:rPr>
        <w:t xml:space="preserve"> the Product Contact Points received 8024 questions from economic operators. </w:t>
      </w:r>
    </w:p>
    <w:tbl>
      <w:tblPr>
        <w:tblStyle w:val="DocumentTable2"/>
        <w:tblW w:w="0" w:type="auto"/>
        <w:tblInd w:w="675" w:type="dxa"/>
        <w:tblLook w:val="04A0" w:firstRow="1" w:lastRow="0" w:firstColumn="1" w:lastColumn="0" w:noHBand="0" w:noVBand="1"/>
      </w:tblPr>
      <w:tblGrid>
        <w:gridCol w:w="1631"/>
        <w:gridCol w:w="1632"/>
        <w:gridCol w:w="1632"/>
        <w:gridCol w:w="1632"/>
        <w:gridCol w:w="1632"/>
      </w:tblGrid>
      <w:tr w:rsidR="0037666B" w:rsidTr="0037666B">
        <w:trPr>
          <w:cnfStyle w:val="100000000000" w:firstRow="1" w:lastRow="0" w:firstColumn="0" w:lastColumn="0" w:oddVBand="0" w:evenVBand="0" w:oddHBand="0" w:evenHBand="0" w:firstRowFirstColumn="0" w:firstRowLastColumn="0" w:lastRowFirstColumn="0" w:lastRowLastColumn="0"/>
        </w:trPr>
        <w:tc>
          <w:tcPr>
            <w:tcW w:w="1631"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2010-2011</w:t>
            </w:r>
            <w:r>
              <w:rPr>
                <w:rFonts w:ascii="Times New Roman" w:eastAsiaTheme="minorHAnsi" w:hAnsi="Times New Roman" w:cstheme="minorBidi"/>
                <w:noProof/>
                <w:sz w:val="20"/>
                <w:szCs w:val="22"/>
                <w:vertAlign w:val="superscript"/>
              </w:rPr>
              <w:footnoteReference w:id="45"/>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2012</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2013</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2014</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2015</w:t>
            </w:r>
          </w:p>
        </w:tc>
      </w:tr>
      <w:tr w:rsidR="0037666B" w:rsidTr="0037666B">
        <w:tc>
          <w:tcPr>
            <w:tcW w:w="1631"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1402</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1439</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1826</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1793</w:t>
            </w:r>
          </w:p>
        </w:tc>
        <w:tc>
          <w:tcPr>
            <w:tcW w:w="1632" w:type="dxa"/>
            <w:vAlign w:val="center"/>
          </w:tcPr>
          <w:p w:rsidR="0037666B" w:rsidRDefault="00C627B8">
            <w:pPr>
              <w:tabs>
                <w:tab w:val="num" w:pos="720"/>
              </w:tabs>
              <w:spacing w:line="276" w:lineRule="auto"/>
              <w:jc w:val="center"/>
              <w:rPr>
                <w:rFonts w:ascii="Times New Roman" w:eastAsiaTheme="minorHAnsi" w:hAnsi="Times New Roman" w:cstheme="minorBidi"/>
                <w:noProof/>
                <w:sz w:val="20"/>
                <w:szCs w:val="22"/>
              </w:rPr>
            </w:pPr>
            <w:r>
              <w:rPr>
                <w:rFonts w:ascii="Times New Roman" w:eastAsiaTheme="minorHAnsi" w:hAnsi="Times New Roman" w:cstheme="minorBidi"/>
                <w:noProof/>
                <w:sz w:val="20"/>
                <w:szCs w:val="22"/>
              </w:rPr>
              <w:t>1564</w:t>
            </w:r>
          </w:p>
        </w:tc>
      </w:tr>
    </w:tbl>
    <w:p w:rsidR="0037666B" w:rsidRDefault="00C627B8">
      <w:pPr>
        <w:spacing w:before="240"/>
        <w:ind w:left="567"/>
        <w:rPr>
          <w:noProof/>
          <w:szCs w:val="24"/>
        </w:rPr>
      </w:pPr>
      <w:r>
        <w:rPr>
          <w:rFonts w:eastAsiaTheme="minorHAnsi"/>
          <w:noProof/>
          <w:szCs w:val="24"/>
        </w:rPr>
        <w:t xml:space="preserve">The PCPs that were most contacted are France and the Czech </w:t>
      </w:r>
      <w:r>
        <w:rPr>
          <w:rFonts w:eastAsiaTheme="minorHAnsi"/>
          <w:noProof/>
          <w:szCs w:val="24"/>
        </w:rPr>
        <w:t>Republic, followed by Slovakia. The low number of inquiries received shows that PCPs and the assistance they can offer are sub-optimally used</w:t>
      </w:r>
      <w:r>
        <w:rPr>
          <w:rFonts w:eastAsiaTheme="minorHAnsi"/>
          <w:noProof/>
        </w:rPr>
        <w:footnoteReference w:id="46"/>
      </w:r>
      <w:r>
        <w:rPr>
          <w:rFonts w:eastAsiaTheme="minorHAnsi"/>
          <w:noProof/>
          <w:szCs w:val="24"/>
        </w:rPr>
        <w:t>, the main issues underlined by economic operators in relation to PCPs are the long delays for receiving an answer</w:t>
      </w:r>
      <w:r>
        <w:rPr>
          <w:rFonts w:eastAsiaTheme="minorHAnsi"/>
          <w:noProof/>
          <w:szCs w:val="24"/>
        </w:rPr>
        <w:t>, the quality of the answer or even the absence of it. The activity of PCPs is also undermined by the lack of administrative cooperation. They are also affected by the complexity of the questions they receive, the variety of products covered by mutual reco</w:t>
      </w:r>
      <w:r>
        <w:rPr>
          <w:rFonts w:eastAsiaTheme="minorHAnsi"/>
          <w:noProof/>
          <w:szCs w:val="24"/>
        </w:rPr>
        <w:t>gnition and language limitations.</w:t>
      </w:r>
    </w:p>
    <w:p w:rsidR="0037666B" w:rsidRDefault="00C627B8">
      <w:pPr>
        <w:pStyle w:val="Text1"/>
        <w:numPr>
          <w:ilvl w:val="0"/>
          <w:numId w:val="27"/>
        </w:numPr>
        <w:tabs>
          <w:tab w:val="left" w:pos="567"/>
        </w:tabs>
        <w:ind w:left="567" w:hanging="567"/>
        <w:rPr>
          <w:noProof/>
          <w:szCs w:val="24"/>
        </w:rPr>
      </w:pPr>
      <w:r>
        <w:rPr>
          <w:noProof/>
          <w:szCs w:val="24"/>
        </w:rPr>
        <w:t xml:space="preserve">The list of products to which mutual recognition might apply put in place by the Regulation. This was done as a database, which is available online on the Commission's website on mutual recognition. The list of products </w:t>
      </w:r>
      <w:r>
        <w:rPr>
          <w:noProof/>
          <w:szCs w:val="24"/>
          <w:lang w:val="en"/>
        </w:rPr>
        <w:t>co</w:t>
      </w:r>
      <w:r>
        <w:rPr>
          <w:noProof/>
          <w:szCs w:val="24"/>
          <w:lang w:val="en"/>
        </w:rPr>
        <w:t>ntains goods classified according to the Combined Nomenclature</w:t>
      </w:r>
      <w:r>
        <w:rPr>
          <w:noProof/>
          <w:szCs w:val="24"/>
          <w:vertAlign w:val="superscript"/>
        </w:rPr>
        <w:footnoteReference w:id="47"/>
      </w:r>
      <w:r>
        <w:rPr>
          <w:noProof/>
          <w:szCs w:val="24"/>
          <w:lang w:val="en"/>
        </w:rPr>
        <w:t xml:space="preserve"> but it</w:t>
      </w:r>
      <w:r>
        <w:rPr>
          <w:noProof/>
          <w:szCs w:val="24"/>
        </w:rPr>
        <w:t xml:space="preserve"> has not provided sufficient or reliable information to users. This is because the list lacks user-friendliness, it is extremely difficult to take into account products partially harmoni</w:t>
      </w:r>
      <w:r>
        <w:rPr>
          <w:noProof/>
          <w:szCs w:val="24"/>
        </w:rPr>
        <w:t>sed appropriately and it does not reflect harmonisation legislation newly adopted or repealed.</w:t>
      </w:r>
    </w:p>
    <w:p w:rsidR="0037666B" w:rsidRDefault="00C627B8">
      <w:pPr>
        <w:pStyle w:val="Text1"/>
        <w:numPr>
          <w:ilvl w:val="0"/>
          <w:numId w:val="27"/>
        </w:numPr>
        <w:tabs>
          <w:tab w:val="left" w:pos="567"/>
        </w:tabs>
        <w:ind w:left="567" w:hanging="567"/>
        <w:rPr>
          <w:noProof/>
          <w:szCs w:val="24"/>
        </w:rPr>
      </w:pPr>
      <w:r>
        <w:rPr>
          <w:noProof/>
          <w:szCs w:val="24"/>
        </w:rPr>
        <w:t>The mutual recognition clause</w:t>
      </w:r>
      <w:r>
        <w:rPr>
          <w:noProof/>
          <w:szCs w:val="24"/>
        </w:rPr>
        <w:footnoteReference w:id="48"/>
      </w:r>
      <w:r>
        <w:rPr>
          <w:noProof/>
          <w:szCs w:val="24"/>
        </w:rPr>
        <w:t xml:space="preserve">, when inserted in national regulations, raises awareness (for businesses and relevant national authorities) about the application </w:t>
      </w:r>
      <w:r>
        <w:rPr>
          <w:noProof/>
          <w:szCs w:val="24"/>
        </w:rPr>
        <w:t>of the mutual recognition principle and the Mutual Recognition Regulation to products coming from other Member States and which are not in line with that particular technical rule. However, the use of the clause is still poor and it has not shed sufficient</w:t>
      </w:r>
      <w:r>
        <w:rPr>
          <w:noProof/>
          <w:szCs w:val="24"/>
        </w:rPr>
        <w:t xml:space="preserve"> light on when mutual recognition is applicable. During the PCPs survey carried out in 2014, only 28% of the respondents indicated that a mutual recognition clause is included systematically in all relevant national rules</w:t>
      </w:r>
      <w:r>
        <w:rPr>
          <w:noProof/>
          <w:szCs w:val="24"/>
        </w:rPr>
        <w:footnoteReference w:id="49"/>
      </w:r>
      <w:r>
        <w:rPr>
          <w:noProof/>
          <w:szCs w:val="24"/>
        </w:rPr>
        <w:t>. The overview</w:t>
      </w:r>
      <w:r>
        <w:rPr>
          <w:noProof/>
          <w:vertAlign w:val="superscript"/>
        </w:rPr>
        <w:footnoteReference w:id="50"/>
      </w:r>
      <w:r>
        <w:rPr>
          <w:noProof/>
          <w:szCs w:val="24"/>
        </w:rPr>
        <w:t xml:space="preserve"> of the draft natio</w:t>
      </w:r>
      <w:r>
        <w:rPr>
          <w:noProof/>
          <w:szCs w:val="24"/>
        </w:rPr>
        <w:t>nal technical regulations notified between 2012 and 2014 shows poor use of the mutual recognition clause:</w:t>
      </w:r>
    </w:p>
    <w:tbl>
      <w:tblPr>
        <w:tblStyle w:val="LightList"/>
        <w:tblW w:w="8647" w:type="dxa"/>
        <w:tblInd w:w="108" w:type="dxa"/>
        <w:tblLook w:val="04A0" w:firstRow="1" w:lastRow="0" w:firstColumn="1" w:lastColumn="0" w:noHBand="0" w:noVBand="1"/>
      </w:tblPr>
      <w:tblGrid>
        <w:gridCol w:w="1441"/>
        <w:gridCol w:w="1441"/>
        <w:gridCol w:w="1441"/>
        <w:gridCol w:w="1441"/>
        <w:gridCol w:w="1441"/>
        <w:gridCol w:w="1442"/>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gridSpan w:val="2"/>
            <w:shd w:val="clear" w:color="auto" w:fill="548DD4" w:themeFill="text2" w:themeFillTint="99"/>
            <w:vAlign w:val="center"/>
          </w:tcPr>
          <w:p w:rsidR="0037666B" w:rsidRDefault="00C627B8">
            <w:pPr>
              <w:spacing w:before="120" w:after="120"/>
              <w:jc w:val="center"/>
              <w:rPr>
                <w:rFonts w:ascii="Times New Roman" w:hAnsi="Times New Roman" w:cs="Times New Roman"/>
                <w:bCs w:val="0"/>
                <w:noProof/>
                <w:color w:val="auto"/>
                <w:sz w:val="20"/>
                <w:szCs w:val="20"/>
              </w:rPr>
            </w:pPr>
            <w:r>
              <w:rPr>
                <w:rFonts w:ascii="Times New Roman" w:hAnsi="Times New Roman" w:cs="Times New Roman"/>
                <w:bCs w:val="0"/>
                <w:noProof/>
                <w:color w:val="auto"/>
                <w:sz w:val="20"/>
                <w:szCs w:val="20"/>
              </w:rPr>
              <w:t>2012</w:t>
            </w:r>
          </w:p>
        </w:tc>
        <w:tc>
          <w:tcPr>
            <w:tcW w:w="2882" w:type="dxa"/>
            <w:gridSpan w:val="2"/>
            <w:shd w:val="clear" w:color="auto" w:fill="548DD4" w:themeFill="text2" w:themeFillTint="99"/>
            <w:vAlign w:val="center"/>
          </w:tcPr>
          <w:p w:rsidR="0037666B" w:rsidRDefault="00C627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color w:val="auto"/>
                <w:sz w:val="20"/>
                <w:szCs w:val="20"/>
              </w:rPr>
            </w:pPr>
            <w:r>
              <w:rPr>
                <w:rFonts w:ascii="Times New Roman" w:hAnsi="Times New Roman" w:cs="Times New Roman"/>
                <w:bCs w:val="0"/>
                <w:noProof/>
                <w:color w:val="auto"/>
                <w:sz w:val="20"/>
                <w:szCs w:val="20"/>
              </w:rPr>
              <w:t>2013</w:t>
            </w:r>
          </w:p>
        </w:tc>
        <w:tc>
          <w:tcPr>
            <w:tcW w:w="2883" w:type="dxa"/>
            <w:gridSpan w:val="2"/>
            <w:shd w:val="clear" w:color="auto" w:fill="548DD4" w:themeFill="text2" w:themeFillTint="99"/>
            <w:vAlign w:val="center"/>
          </w:tcPr>
          <w:p w:rsidR="0037666B" w:rsidRDefault="00C627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color w:val="auto"/>
                <w:sz w:val="20"/>
                <w:szCs w:val="20"/>
              </w:rPr>
            </w:pPr>
            <w:r>
              <w:rPr>
                <w:rFonts w:ascii="Times New Roman" w:hAnsi="Times New Roman" w:cs="Times New Roman"/>
                <w:bCs w:val="0"/>
                <w:noProof/>
                <w:color w:val="auto"/>
                <w:sz w:val="20"/>
                <w:szCs w:val="20"/>
              </w:rPr>
              <w:t>2014</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vAlign w:val="center"/>
          </w:tcPr>
          <w:p w:rsidR="0037666B" w:rsidRDefault="00C627B8">
            <w:pPr>
              <w:spacing w:before="120" w:after="120"/>
              <w:jc w:val="center"/>
              <w:rPr>
                <w:rFonts w:ascii="Times New Roman" w:hAnsi="Times New Roman" w:cs="Times New Roman"/>
                <w:bCs w:val="0"/>
                <w:noProof/>
                <w:sz w:val="20"/>
                <w:szCs w:val="20"/>
              </w:rPr>
            </w:pPr>
            <w:r>
              <w:rPr>
                <w:rFonts w:ascii="Times New Roman" w:hAnsi="Times New Roman" w:cs="Times New Roman"/>
                <w:bCs w:val="0"/>
                <w:noProof/>
                <w:sz w:val="20"/>
                <w:szCs w:val="20"/>
              </w:rPr>
              <w:t>Total</w:t>
            </w:r>
          </w:p>
        </w:tc>
        <w:tc>
          <w:tcPr>
            <w:tcW w:w="1441" w:type="dxa"/>
            <w:vAlign w:val="center"/>
          </w:tcPr>
          <w:p w:rsidR="0037666B" w:rsidRDefault="00C627B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MRC</w:t>
            </w:r>
            <w:r>
              <w:rPr>
                <w:rFonts w:ascii="Times New Roman" w:hAnsi="Times New Roman" w:cs="Times New Roman"/>
                <w:b/>
                <w:noProof/>
                <w:sz w:val="20"/>
                <w:szCs w:val="20"/>
                <w:vertAlign w:val="superscript"/>
              </w:rPr>
              <w:footnoteReference w:id="51"/>
            </w:r>
            <w:r>
              <w:rPr>
                <w:rFonts w:ascii="Times New Roman" w:hAnsi="Times New Roman" w:cs="Times New Roman"/>
                <w:b/>
                <w:noProof/>
                <w:sz w:val="20"/>
                <w:szCs w:val="20"/>
              </w:rPr>
              <w:t xml:space="preserve"> inserted</w:t>
            </w:r>
          </w:p>
        </w:tc>
        <w:tc>
          <w:tcPr>
            <w:tcW w:w="1441" w:type="dxa"/>
            <w:vAlign w:val="center"/>
          </w:tcPr>
          <w:p w:rsidR="0037666B" w:rsidRDefault="00C627B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Total</w:t>
            </w:r>
          </w:p>
        </w:tc>
        <w:tc>
          <w:tcPr>
            <w:tcW w:w="1441" w:type="dxa"/>
            <w:vAlign w:val="center"/>
          </w:tcPr>
          <w:p w:rsidR="0037666B" w:rsidRDefault="00C627B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MRC inserted</w:t>
            </w:r>
          </w:p>
        </w:tc>
        <w:tc>
          <w:tcPr>
            <w:tcW w:w="1441" w:type="dxa"/>
            <w:vAlign w:val="center"/>
          </w:tcPr>
          <w:p w:rsidR="0037666B" w:rsidRDefault="00C627B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Total</w:t>
            </w:r>
          </w:p>
        </w:tc>
        <w:tc>
          <w:tcPr>
            <w:tcW w:w="1442" w:type="dxa"/>
            <w:vAlign w:val="center"/>
          </w:tcPr>
          <w:p w:rsidR="0037666B" w:rsidRDefault="00C627B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MRC inserted</w:t>
            </w:r>
          </w:p>
        </w:tc>
      </w:tr>
      <w:tr w:rsidR="0037666B" w:rsidTr="0037666B">
        <w:tc>
          <w:tcPr>
            <w:cnfStyle w:val="001000000000" w:firstRow="0" w:lastRow="0" w:firstColumn="1" w:lastColumn="0" w:oddVBand="0" w:evenVBand="0" w:oddHBand="0" w:evenHBand="0" w:firstRowFirstColumn="0" w:firstRowLastColumn="0" w:lastRowFirstColumn="0" w:lastRowLastColumn="0"/>
            <w:tcW w:w="1441" w:type="dxa"/>
            <w:vAlign w:val="center"/>
          </w:tcPr>
          <w:p w:rsidR="0037666B" w:rsidRDefault="00C627B8">
            <w:pPr>
              <w:spacing w:before="120" w:after="120"/>
              <w:jc w:val="center"/>
              <w:rPr>
                <w:rFonts w:ascii="Times New Roman" w:hAnsi="Times New Roman" w:cs="Times New Roman"/>
                <w:b w:val="0"/>
                <w:bCs w:val="0"/>
                <w:noProof/>
                <w:sz w:val="20"/>
                <w:szCs w:val="20"/>
              </w:rPr>
            </w:pPr>
            <w:r>
              <w:rPr>
                <w:rFonts w:ascii="Times New Roman" w:hAnsi="Times New Roman" w:cs="Times New Roman"/>
                <w:b w:val="0"/>
                <w:bCs w:val="0"/>
                <w:noProof/>
                <w:sz w:val="20"/>
                <w:szCs w:val="20"/>
              </w:rPr>
              <w:t>755</w:t>
            </w:r>
          </w:p>
        </w:tc>
        <w:tc>
          <w:tcPr>
            <w:tcW w:w="1441" w:type="dxa"/>
            <w:vAlign w:val="center"/>
          </w:tcPr>
          <w:p w:rsidR="0037666B" w:rsidRDefault="00C627B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69</w:t>
            </w:r>
          </w:p>
        </w:tc>
        <w:tc>
          <w:tcPr>
            <w:tcW w:w="1441" w:type="dxa"/>
            <w:vAlign w:val="center"/>
          </w:tcPr>
          <w:p w:rsidR="0037666B" w:rsidRDefault="00C627B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728</w:t>
            </w:r>
          </w:p>
        </w:tc>
        <w:tc>
          <w:tcPr>
            <w:tcW w:w="1441" w:type="dxa"/>
            <w:vAlign w:val="center"/>
          </w:tcPr>
          <w:p w:rsidR="0037666B" w:rsidRDefault="00C627B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79</w:t>
            </w:r>
          </w:p>
        </w:tc>
        <w:tc>
          <w:tcPr>
            <w:tcW w:w="1441" w:type="dxa"/>
            <w:vAlign w:val="center"/>
          </w:tcPr>
          <w:p w:rsidR="0037666B" w:rsidRDefault="00C627B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685</w:t>
            </w:r>
          </w:p>
        </w:tc>
        <w:tc>
          <w:tcPr>
            <w:tcW w:w="1442" w:type="dxa"/>
            <w:vAlign w:val="center"/>
          </w:tcPr>
          <w:p w:rsidR="0037666B" w:rsidRDefault="00C627B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57</w:t>
            </w:r>
          </w:p>
        </w:tc>
      </w:tr>
    </w:tbl>
    <w:p w:rsidR="0037666B" w:rsidRDefault="00C627B8">
      <w:pPr>
        <w:pStyle w:val="Heading3"/>
        <w:spacing w:before="240"/>
        <w:rPr>
          <w:noProof/>
        </w:rPr>
      </w:pPr>
      <w:bookmarkStart w:id="9" w:name="_Toc483992722"/>
      <w:r>
        <w:rPr>
          <w:noProof/>
        </w:rPr>
        <w:t xml:space="preserve">Legal uncertainty as regards the application of </w:t>
      </w:r>
      <w:r>
        <w:rPr>
          <w:noProof/>
        </w:rPr>
        <w:t>mutual recognition and unreliability of the outcome</w:t>
      </w:r>
      <w:bookmarkEnd w:id="9"/>
    </w:p>
    <w:p w:rsidR="0037666B" w:rsidRDefault="00C627B8">
      <w:pPr>
        <w:pStyle w:val="Text1"/>
        <w:ind w:left="0"/>
        <w:rPr>
          <w:noProof/>
          <w:szCs w:val="24"/>
        </w:rPr>
      </w:pPr>
      <w:r>
        <w:rPr>
          <w:noProof/>
          <w:szCs w:val="24"/>
        </w:rPr>
        <w:t xml:space="preserve">The application of the principle of mutual recognition is also hindered by practical obstacles. Technical barriers may be intentionally adopted to protect national or regional markets or be the result of </w:t>
      </w:r>
      <w:r>
        <w:rPr>
          <w:noProof/>
          <w:szCs w:val="24"/>
        </w:rPr>
        <w:t>lack of trust that other national regulations offer an adequate protection of public interest. In addition, national authorities are entrusted with enforcing their national technical rules and it is difficult for them to accept a product which does not con</w:t>
      </w:r>
      <w:r>
        <w:rPr>
          <w:noProof/>
          <w:szCs w:val="24"/>
        </w:rPr>
        <w:t>form to such rules. This is for example the case for compulsory, nationally conducted tests; extra labelling requirements; stringent rules on the use of languages</w:t>
      </w:r>
      <w:r>
        <w:rPr>
          <w:rStyle w:val="FootnoteReference"/>
          <w:noProof/>
          <w:szCs w:val="24"/>
        </w:rPr>
        <w:footnoteReference w:id="52"/>
      </w:r>
      <w:r>
        <w:rPr>
          <w:noProof/>
          <w:szCs w:val="24"/>
        </w:rPr>
        <w:t xml:space="preserve"> or reference to mandatory national conformity marks. In other instances, , the application o</w:t>
      </w:r>
      <w:r>
        <w:rPr>
          <w:noProof/>
          <w:szCs w:val="24"/>
        </w:rPr>
        <w:t xml:space="preserve">f the mutual recognition principle is sometimes knowingly disregarded because potential users find that the outcome when trying to invoke the principle is uncertain and unreliable. </w:t>
      </w:r>
    </w:p>
    <w:p w:rsidR="0037666B" w:rsidRDefault="00C627B8">
      <w:pPr>
        <w:pStyle w:val="Text1"/>
        <w:ind w:left="0"/>
        <w:rPr>
          <w:noProof/>
          <w:szCs w:val="24"/>
        </w:rPr>
      </w:pPr>
      <w:r>
        <w:rPr>
          <w:noProof/>
          <w:szCs w:val="24"/>
        </w:rPr>
        <w:t>In particular, the following elements that hinder in practice the applicat</w:t>
      </w:r>
      <w:r>
        <w:rPr>
          <w:noProof/>
          <w:szCs w:val="24"/>
        </w:rPr>
        <w:t>ion of mutual recognition were identified:</w:t>
      </w:r>
    </w:p>
    <w:p w:rsidR="0037666B" w:rsidRDefault="00C627B8">
      <w:pPr>
        <w:pStyle w:val="Text1"/>
        <w:numPr>
          <w:ilvl w:val="0"/>
          <w:numId w:val="28"/>
        </w:numPr>
        <w:ind w:left="567" w:hanging="567"/>
        <w:rPr>
          <w:noProof/>
          <w:szCs w:val="24"/>
        </w:rPr>
      </w:pPr>
      <w:r>
        <w:rPr>
          <w:noProof/>
          <w:szCs w:val="24"/>
        </w:rPr>
        <w:t>Evidence required by national authorities</w:t>
      </w:r>
    </w:p>
    <w:p w:rsidR="0037666B" w:rsidRDefault="00C627B8">
      <w:pPr>
        <w:pStyle w:val="Text1"/>
        <w:ind w:left="567"/>
        <w:rPr>
          <w:noProof/>
          <w:szCs w:val="24"/>
        </w:rPr>
      </w:pPr>
      <w:r>
        <w:rPr>
          <w:noProof/>
          <w:szCs w:val="24"/>
        </w:rPr>
        <w:t xml:space="preserve">One of the main reasons is the lack of clarity in the </w:t>
      </w:r>
      <w:r>
        <w:rPr>
          <w:b/>
          <w:noProof/>
          <w:szCs w:val="24"/>
        </w:rPr>
        <w:t>concept of "lawfully marketed",</w:t>
      </w:r>
      <w:r>
        <w:rPr>
          <w:noProof/>
          <w:szCs w:val="24"/>
        </w:rPr>
        <w:t xml:space="preserve"> as Member States have different requirements as regards the evidence to be submitted </w:t>
      </w:r>
      <w:r>
        <w:rPr>
          <w:noProof/>
          <w:szCs w:val="24"/>
        </w:rPr>
        <w:t xml:space="preserve">and are often very cautious towards products lawfully marketed in another Member State. The objective of the Regulation was to reduce the risk of seeing market access denied, by allowing communication between the businesses and the national authorities in </w:t>
      </w:r>
      <w:r>
        <w:rPr>
          <w:noProof/>
          <w:szCs w:val="24"/>
        </w:rPr>
        <w:t>order to prevent problems of free movement of goods. In practice, however, the outcome is not very positive. Placing the burden of proof on Member States did not have any added value as regards the lack of clarity in the concept of "lawfully marketed", whi</w:t>
      </w:r>
      <w:r>
        <w:rPr>
          <w:noProof/>
          <w:szCs w:val="24"/>
        </w:rPr>
        <w:t>ch triggers the possibility for economic operators to invoke the mutual recognition principle to sell their products in other Member States. This is because the Regulation only indicates who has the burden of proof, without defining the concept of "lawfull</w:t>
      </w:r>
      <w:r>
        <w:rPr>
          <w:noProof/>
          <w:szCs w:val="24"/>
        </w:rPr>
        <w:t xml:space="preserve">y marketed", nor the kind of evidence needed to demonstrate that a product was lawfully marketed. Furthermore, there is no jurisprudence from the Court of Justice on this concept. Thus, businesses report that Member States have different requirements with </w:t>
      </w:r>
      <w:r>
        <w:rPr>
          <w:noProof/>
          <w:szCs w:val="24"/>
        </w:rPr>
        <w:t xml:space="preserve">regards to the evidence to be submitted in order to demonstrate that a product is "lawfully marketed".   </w:t>
      </w:r>
    </w:p>
    <w:p w:rsidR="0037666B" w:rsidRDefault="00C627B8">
      <w:pPr>
        <w:pStyle w:val="Text1"/>
        <w:ind w:left="567"/>
        <w:rPr>
          <w:noProof/>
          <w:szCs w:val="24"/>
        </w:rPr>
      </w:pPr>
      <w:r>
        <w:rPr>
          <w:noProof/>
          <w:szCs w:val="24"/>
        </w:rPr>
        <w:t>In the 2016 public consultation, businesses ranked the need to increase legal certainty when using mutual recognition as the second priority for the C</w:t>
      </w:r>
      <w:r>
        <w:rPr>
          <w:noProof/>
          <w:szCs w:val="24"/>
        </w:rPr>
        <w:t xml:space="preserve">ommission. </w:t>
      </w:r>
    </w:p>
    <w:p w:rsidR="0037666B" w:rsidRDefault="00C627B8">
      <w:pPr>
        <w:pStyle w:val="Text1"/>
        <w:ind w:left="567"/>
        <w:rPr>
          <w:noProof/>
          <w:szCs w:val="24"/>
        </w:rPr>
      </w:pPr>
      <w:r>
        <w:rPr>
          <w:noProof/>
          <w:szCs w:val="24"/>
        </w:rPr>
        <w:t>Furthermore, the principle of mutual recognition excludes the unnecessary duplication of controls already carried out by another Member State and presumes recognition of tests carried out in another Member State especially where the results are</w:t>
      </w:r>
      <w:r>
        <w:rPr>
          <w:noProof/>
          <w:szCs w:val="24"/>
        </w:rPr>
        <w:t xml:space="preserve"> available and may, at request, be given. In this respect, the Regulation sets out an obligation on Member States authorities to accept any test performed by conformity assessment bodies covered by an accreditation certificate in line with Regulation (EC) </w:t>
      </w:r>
      <w:r>
        <w:rPr>
          <w:noProof/>
          <w:szCs w:val="24"/>
        </w:rPr>
        <w:t>No 765/2008.</w:t>
      </w:r>
    </w:p>
    <w:p w:rsidR="0037666B" w:rsidRDefault="00C627B8">
      <w:pPr>
        <w:pStyle w:val="Text1"/>
        <w:ind w:left="567"/>
        <w:rPr>
          <w:noProof/>
          <w:szCs w:val="24"/>
        </w:rPr>
      </w:pPr>
      <w:r>
        <w:rPr>
          <w:noProof/>
          <w:szCs w:val="24"/>
        </w:rPr>
        <w:t>Still, in practice, tests already conducted in another Member State, also by accredited bodies, are often not recognized in other Member States</w:t>
      </w:r>
      <w:r>
        <w:rPr>
          <w:rStyle w:val="FootnoteReference"/>
          <w:noProof/>
          <w:szCs w:val="24"/>
        </w:rPr>
        <w:footnoteReference w:id="53"/>
      </w:r>
      <w:r>
        <w:rPr>
          <w:noProof/>
          <w:szCs w:val="24"/>
        </w:rPr>
        <w:t>. This places a burden on the economic operator to duplicate tests in the Member State of destinati</w:t>
      </w:r>
      <w:r>
        <w:rPr>
          <w:noProof/>
          <w:szCs w:val="24"/>
        </w:rPr>
        <w:t>on. Duplication of testing comes at an economic cost – not only of the test but also for the delay of accessing a market.</w:t>
      </w:r>
      <w:bookmarkStart w:id="10" w:name="DQCNUMB_34"/>
      <w:bookmarkStart w:id="11" w:name="DQCNUMB_36"/>
      <w:bookmarkEnd w:id="10"/>
      <w:bookmarkEnd w:id="11"/>
      <w:r>
        <w:rPr>
          <w:noProof/>
          <w:szCs w:val="24"/>
        </w:rPr>
        <w:t xml:space="preserve"> </w:t>
      </w:r>
    </w:p>
    <w:p w:rsidR="0037666B" w:rsidRDefault="00C627B8">
      <w:pPr>
        <w:pStyle w:val="Text1"/>
        <w:numPr>
          <w:ilvl w:val="0"/>
          <w:numId w:val="28"/>
        </w:numPr>
        <w:ind w:left="567" w:hanging="567"/>
        <w:rPr>
          <w:noProof/>
          <w:szCs w:val="24"/>
        </w:rPr>
      </w:pPr>
      <w:r>
        <w:rPr>
          <w:noProof/>
          <w:szCs w:val="24"/>
        </w:rPr>
        <w:t>Assessment of the need to apply national requirements to products lawfully marketed in another Member State</w:t>
      </w:r>
    </w:p>
    <w:p w:rsidR="0037666B" w:rsidRDefault="00C627B8">
      <w:pPr>
        <w:pStyle w:val="Text1"/>
        <w:ind w:left="567"/>
        <w:rPr>
          <w:noProof/>
          <w:szCs w:val="24"/>
        </w:rPr>
      </w:pPr>
      <w:r>
        <w:rPr>
          <w:noProof/>
          <w:szCs w:val="24"/>
        </w:rPr>
        <w:t xml:space="preserve">Member States can deny </w:t>
      </w:r>
      <w:r>
        <w:rPr>
          <w:noProof/>
          <w:szCs w:val="24"/>
        </w:rPr>
        <w:t>market access where the Member State of origin does not provide an adequate level of protection of the public interests in question; this requires national authorities to look at the practical effects that the application of their national rule would produ</w:t>
      </w:r>
      <w:r>
        <w:rPr>
          <w:noProof/>
          <w:szCs w:val="24"/>
        </w:rPr>
        <w:t>ce and the level of protection that would be achieved. The burden of proof that the restriction on the free movement of goods is justified</w:t>
      </w:r>
      <w:r>
        <w:rPr>
          <w:noProof/>
          <w:szCs w:val="24"/>
          <w:vertAlign w:val="superscript"/>
        </w:rPr>
        <w:footnoteReference w:id="54"/>
      </w:r>
      <w:r>
        <w:rPr>
          <w:noProof/>
          <w:szCs w:val="24"/>
        </w:rPr>
        <w:t xml:space="preserve"> and necessary</w:t>
      </w:r>
      <w:r>
        <w:rPr>
          <w:noProof/>
          <w:szCs w:val="24"/>
          <w:vertAlign w:val="superscript"/>
        </w:rPr>
        <w:footnoteReference w:id="55"/>
      </w:r>
      <w:r>
        <w:rPr>
          <w:noProof/>
          <w:szCs w:val="24"/>
        </w:rPr>
        <w:t xml:space="preserve"> to effectively protect the public interests invoked falls on the Member States and not on the economi</w:t>
      </w:r>
      <w:r>
        <w:rPr>
          <w:noProof/>
          <w:szCs w:val="24"/>
        </w:rPr>
        <w:t>c operator. Such analysis is not straightforward and national authorities tend to automatically apply the national rules at the cost of mutual recognition. The Regulation requires these decisions to be notified to the Commission, however in many instances,</w:t>
      </w:r>
      <w:r>
        <w:rPr>
          <w:noProof/>
          <w:szCs w:val="24"/>
        </w:rPr>
        <w:t xml:space="preserve"> no notification is sent.</w:t>
      </w:r>
    </w:p>
    <w:p w:rsidR="0037666B" w:rsidRDefault="00C627B8">
      <w:pPr>
        <w:pStyle w:val="Text1"/>
        <w:ind w:left="567"/>
        <w:rPr>
          <w:noProof/>
          <w:szCs w:val="24"/>
        </w:rPr>
      </w:pPr>
      <w:r>
        <w:rPr>
          <w:b/>
          <w:noProof/>
          <w:szCs w:val="24"/>
        </w:rPr>
        <w:t>The obligation to notify every administrative decision denying market access</w:t>
      </w:r>
      <w:r>
        <w:rPr>
          <w:noProof/>
          <w:szCs w:val="24"/>
        </w:rPr>
        <w:t xml:space="preserve"> was also intended to bring more legal certainty for economic operators when invoking their right to mutual recognition. In the period between the entry i</w:t>
      </w:r>
      <w:r>
        <w:rPr>
          <w:noProof/>
          <w:szCs w:val="24"/>
        </w:rPr>
        <w:t xml:space="preserve">nto force of the Regulation on 13 May 2009 and today, the Commission has received </w:t>
      </w:r>
      <w:r>
        <w:rPr>
          <w:b/>
          <w:noProof/>
          <w:szCs w:val="24"/>
        </w:rPr>
        <w:t>3918</w:t>
      </w:r>
      <w:r>
        <w:rPr>
          <w:b/>
          <w:i/>
          <w:noProof/>
          <w:szCs w:val="24"/>
        </w:rPr>
        <w:t xml:space="preserve"> </w:t>
      </w:r>
      <w:r>
        <w:rPr>
          <w:b/>
          <w:noProof/>
          <w:szCs w:val="24"/>
        </w:rPr>
        <w:t>notifications</w:t>
      </w:r>
      <w:r>
        <w:rPr>
          <w:noProof/>
          <w:szCs w:val="24"/>
        </w:rPr>
        <w:t xml:space="preserve">. All notifications received come from </w:t>
      </w:r>
      <w:r>
        <w:rPr>
          <w:b/>
          <w:noProof/>
          <w:szCs w:val="24"/>
        </w:rPr>
        <w:t>6 Member States</w:t>
      </w:r>
      <w:r>
        <w:rPr>
          <w:noProof/>
          <w:szCs w:val="24"/>
        </w:rPr>
        <w:t xml:space="preserve">, and one Member State, namely Portugal, accounts for around </w:t>
      </w:r>
      <w:r>
        <w:rPr>
          <w:b/>
          <w:noProof/>
          <w:szCs w:val="24"/>
        </w:rPr>
        <w:t xml:space="preserve">80% </w:t>
      </w:r>
      <w:r>
        <w:rPr>
          <w:noProof/>
          <w:szCs w:val="24"/>
        </w:rPr>
        <w:t>of the notifications received. Most o</w:t>
      </w:r>
      <w:r>
        <w:rPr>
          <w:noProof/>
          <w:szCs w:val="24"/>
        </w:rPr>
        <w:t xml:space="preserve">f notifications refer to precious metals, and some relate to foodstuff, fertilisers, food additives and electrical equipment. There are discrepancies between the number of notifications received by the Commission and the number of administrative decisions </w:t>
      </w:r>
      <w:r>
        <w:rPr>
          <w:noProof/>
          <w:szCs w:val="24"/>
        </w:rPr>
        <w:t>indicated by Member States in the annual reports. For example, some Member States are indicating in their annual reports that a certain number of administrative decisions have been taken, while these have never been notified to the Commission. Other Member</w:t>
      </w:r>
      <w:r>
        <w:rPr>
          <w:noProof/>
          <w:szCs w:val="24"/>
        </w:rPr>
        <w:t xml:space="preserve"> States are reporting that no administrative decisions have been taken, while complaints received show the contrary. This points to the fact that Member States are not always notifying administrative decisions denying or restricting market access to the Co</w:t>
      </w:r>
      <w:r>
        <w:rPr>
          <w:noProof/>
          <w:szCs w:val="24"/>
        </w:rPr>
        <w:t>mmission.</w:t>
      </w:r>
    </w:p>
    <w:p w:rsidR="0037666B" w:rsidRDefault="00C627B8">
      <w:pPr>
        <w:pStyle w:val="Text1"/>
        <w:numPr>
          <w:ilvl w:val="0"/>
          <w:numId w:val="28"/>
        </w:numPr>
        <w:ind w:left="567" w:hanging="567"/>
        <w:rPr>
          <w:noProof/>
          <w:szCs w:val="24"/>
        </w:rPr>
      </w:pPr>
      <w:r>
        <w:rPr>
          <w:noProof/>
          <w:szCs w:val="24"/>
        </w:rPr>
        <w:t xml:space="preserve">Difficulty challenging administrative decisions that deny or restrict market access. </w:t>
      </w:r>
    </w:p>
    <w:p w:rsidR="0037666B" w:rsidRDefault="00C627B8">
      <w:pPr>
        <w:pStyle w:val="Text1"/>
        <w:ind w:left="567"/>
        <w:rPr>
          <w:noProof/>
          <w:szCs w:val="24"/>
          <w:lang w:val="en"/>
        </w:rPr>
      </w:pPr>
      <w:r>
        <w:rPr>
          <w:noProof/>
          <w:szCs w:val="24"/>
        </w:rPr>
        <w:t>The Regulation does not put in place any specific procedure to challenge administrative decisions denying market access; it only mentions the obligation on Memb</w:t>
      </w:r>
      <w:r>
        <w:rPr>
          <w:noProof/>
          <w:szCs w:val="24"/>
        </w:rPr>
        <w:t>er States to specify, in the administrative decision denying market access, the legal remedies available under the law in force in that Member State and the time limits applying to these remedies. The only option for challenging such decisions lies therefo</w:t>
      </w:r>
      <w:r>
        <w:rPr>
          <w:noProof/>
          <w:szCs w:val="24"/>
        </w:rPr>
        <w:t>re in the legal means offered by national law (national courts, tribunals or other instances of appeal). Such proceedings are very long and costly for businesses, estimated between 5000 and 100 000 Euro per product and per market</w:t>
      </w:r>
      <w:r>
        <w:rPr>
          <w:rStyle w:val="FootnoteReference"/>
          <w:noProof/>
          <w:szCs w:val="24"/>
        </w:rPr>
        <w:footnoteReference w:id="56"/>
      </w:r>
      <w:r>
        <w:rPr>
          <w:noProof/>
          <w:szCs w:val="24"/>
        </w:rPr>
        <w:t>. Other alternative non-ju</w:t>
      </w:r>
      <w:r>
        <w:rPr>
          <w:noProof/>
          <w:szCs w:val="24"/>
        </w:rPr>
        <w:t>dicial problem-solving mechanisms, such as SOLVIT, have not proved to be an effective solution for businesses up to now. Only a fraction of the cases submitted in SOLVIT are coming from businesses (107 out of 2414 in 2016). Within these 106 cases only 27 c</w:t>
      </w:r>
      <w:r>
        <w:rPr>
          <w:noProof/>
          <w:szCs w:val="24"/>
        </w:rPr>
        <w:t xml:space="preserve">oncerned goods and 5 mutual recognition related issues. Furthermore, the resolution rate of businesses cases is lower, especially for goods related cases. </w:t>
      </w:r>
      <w:r>
        <w:rPr>
          <w:noProof/>
          <w:szCs w:val="24"/>
          <w:lang w:val="en"/>
        </w:rPr>
        <w:t xml:space="preserve">Most goods cases are about the justification of a </w:t>
      </w:r>
      <w:r>
        <w:rPr>
          <w:bCs/>
          <w:noProof/>
          <w:szCs w:val="24"/>
          <w:lang w:val="en"/>
        </w:rPr>
        <w:t>national measure restricting the marketing</w:t>
      </w:r>
      <w:r>
        <w:rPr>
          <w:noProof/>
          <w:szCs w:val="24"/>
          <w:lang w:val="en"/>
        </w:rPr>
        <w:t xml:space="preserve"> of a good or the provision of a service. It is often very hard to analyze, prove and successfully argue before a national authority in an informal way that a given measure is </w:t>
      </w:r>
      <w:r>
        <w:rPr>
          <w:bCs/>
          <w:noProof/>
          <w:szCs w:val="24"/>
          <w:lang w:val="en"/>
        </w:rPr>
        <w:t>disproportionate,</w:t>
      </w:r>
      <w:r>
        <w:rPr>
          <w:noProof/>
          <w:szCs w:val="24"/>
          <w:lang w:val="en"/>
        </w:rPr>
        <w:t xml:space="preserve"> especially where large sums are involved. Demonstrating that a</w:t>
      </w:r>
      <w:r>
        <w:rPr>
          <w:noProof/>
          <w:szCs w:val="24"/>
          <w:lang w:val="en"/>
        </w:rPr>
        <w:t xml:space="preserve"> particular national restrictive measure is unjustified would require technical expertise and formal powers that SOLVIT centers do not enjoy nowadays (for example in the area of mutual recognition and non-harmonised goods)</w:t>
      </w:r>
      <w:r>
        <w:rPr>
          <w:noProof/>
          <w:szCs w:val="24"/>
          <w:vertAlign w:val="superscript"/>
          <w:lang w:val="en"/>
        </w:rPr>
        <w:footnoteReference w:id="57"/>
      </w:r>
      <w:r>
        <w:rPr>
          <w:noProof/>
          <w:szCs w:val="24"/>
          <w:lang w:val="en"/>
        </w:rPr>
        <w:t xml:space="preserve">. </w:t>
      </w:r>
    </w:p>
    <w:p w:rsidR="0037666B" w:rsidRDefault="00C627B8">
      <w:pPr>
        <w:pStyle w:val="Text1"/>
        <w:ind w:left="567"/>
        <w:rPr>
          <w:noProof/>
          <w:szCs w:val="24"/>
        </w:rPr>
      </w:pPr>
      <w:r>
        <w:rPr>
          <w:noProof/>
          <w:szCs w:val="24"/>
        </w:rPr>
        <w:t>When asked to rank obstacles t</w:t>
      </w:r>
      <w:r>
        <w:rPr>
          <w:noProof/>
          <w:szCs w:val="24"/>
        </w:rPr>
        <w:t>o mutual recognition by order of importance</w:t>
      </w:r>
      <w:r>
        <w:rPr>
          <w:rStyle w:val="FootnoteReference"/>
          <w:noProof/>
          <w:szCs w:val="24"/>
        </w:rPr>
        <w:footnoteReference w:id="58"/>
      </w:r>
      <w:r>
        <w:rPr>
          <w:noProof/>
          <w:szCs w:val="24"/>
        </w:rPr>
        <w:t xml:space="preserve">, the difficulty in challenging administrative decisions denying or restricting market access was considered as the main obstacle by businesses (62% of businesses responding to the 2016 public consultation), and </w:t>
      </w:r>
      <w:r>
        <w:rPr>
          <w:noProof/>
          <w:szCs w:val="24"/>
        </w:rPr>
        <w:t xml:space="preserve">72% considered that ensuring effective remedies for taking action against such decisions should constitute the Commission's main priority.  </w:t>
      </w:r>
    </w:p>
    <w:p w:rsidR="0037666B" w:rsidRDefault="00C627B8">
      <w:pPr>
        <w:pStyle w:val="Heading3"/>
        <w:rPr>
          <w:noProof/>
        </w:rPr>
      </w:pPr>
      <w:bookmarkStart w:id="12" w:name="_Toc483992723"/>
      <w:r>
        <w:rPr>
          <w:noProof/>
        </w:rPr>
        <w:t>Lack of trust and cooperation among authorities</w:t>
      </w:r>
      <w:bookmarkEnd w:id="12"/>
    </w:p>
    <w:p w:rsidR="0037666B" w:rsidRDefault="00C627B8">
      <w:pPr>
        <w:tabs>
          <w:tab w:val="num" w:pos="720"/>
        </w:tabs>
        <w:rPr>
          <w:noProof/>
          <w:szCs w:val="24"/>
        </w:rPr>
      </w:pPr>
      <w:r>
        <w:rPr>
          <w:noProof/>
          <w:szCs w:val="24"/>
        </w:rPr>
        <w:t>The lack of trust among authorities and the lack of efficient admin</w:t>
      </w:r>
      <w:r>
        <w:rPr>
          <w:noProof/>
          <w:szCs w:val="24"/>
        </w:rPr>
        <w:t>istrative cooperation, further contribute to these drivers. Before the adoption of the Regulation, dialogue between the national authorities of different Member States was very difficult, mostly due to the lack of a common address book /network.  The Regul</w:t>
      </w:r>
      <w:r>
        <w:rPr>
          <w:noProof/>
          <w:szCs w:val="24"/>
        </w:rPr>
        <w:t>ation tried to remedy to this problem by introducing the Product Contact Points and the telematic network</w:t>
      </w:r>
      <w:r>
        <w:rPr>
          <w:noProof/>
          <w:szCs w:val="24"/>
          <w:vertAlign w:val="superscript"/>
        </w:rPr>
        <w:footnoteReference w:id="59"/>
      </w:r>
      <w:r>
        <w:rPr>
          <w:noProof/>
          <w:szCs w:val="24"/>
        </w:rPr>
        <w:t>. Despite this, administrative cooperation remains suboptimal, for various reasons. Many Member States highlighted, in their annual report, the diffic</w:t>
      </w:r>
      <w:r>
        <w:rPr>
          <w:noProof/>
          <w:szCs w:val="24"/>
        </w:rPr>
        <w:t>ulties PCPs have in identifying and contacting the responsible authorities in their own administration in order to reply to requests received from economic operators. Some Member States managed over the years to put in place a network of experts, but the v</w:t>
      </w:r>
      <w:r>
        <w:rPr>
          <w:noProof/>
          <w:szCs w:val="24"/>
        </w:rPr>
        <w:t>ariety of products covered by mutual recognition and national legislation involved, as well as the different internal organisation in certain Member States make this task very difficult. Also, there is a lack of administrative cooperation between PCPs. The</w:t>
      </w:r>
      <w:r>
        <w:rPr>
          <w:noProof/>
          <w:szCs w:val="24"/>
        </w:rPr>
        <w:t xml:space="preserve"> absence of a network, allowing rapid communication and exchange of information delays the work of the PCP when replying to a request from economic operators. Many are complaining about the absence of reply from their colleagues from other Member States, o</w:t>
      </w:r>
      <w:r>
        <w:rPr>
          <w:noProof/>
          <w:szCs w:val="24"/>
        </w:rPr>
        <w:t>r about long delays to receiving an answer. Often, the answers received are of low quality as regards the information transmitted</w:t>
      </w:r>
      <w:r>
        <w:rPr>
          <w:rStyle w:val="FootnoteReference"/>
          <w:noProof/>
          <w:szCs w:val="24"/>
        </w:rPr>
        <w:footnoteReference w:id="60"/>
      </w:r>
      <w:r>
        <w:rPr>
          <w:noProof/>
          <w:szCs w:val="24"/>
        </w:rPr>
        <w:t>.</w:t>
      </w:r>
    </w:p>
    <w:p w:rsidR="0037666B" w:rsidRDefault="00C627B8">
      <w:pPr>
        <w:tabs>
          <w:tab w:val="num" w:pos="720"/>
        </w:tabs>
        <w:rPr>
          <w:noProof/>
          <w:szCs w:val="24"/>
        </w:rPr>
      </w:pPr>
      <w:r>
        <w:rPr>
          <w:noProof/>
          <w:szCs w:val="24"/>
        </w:rPr>
        <w:t>During the survey carried out in 2014, the interviewed PCPs indicated the main problems with regard to administrative cooper</w:t>
      </w:r>
      <w:r>
        <w:rPr>
          <w:noProof/>
          <w:szCs w:val="24"/>
        </w:rPr>
        <w:t>ation:</w:t>
      </w:r>
    </w:p>
    <w:p w:rsidR="0037666B" w:rsidRDefault="00C627B8">
      <w:pPr>
        <w:tabs>
          <w:tab w:val="num" w:pos="720"/>
        </w:tabs>
        <w:rPr>
          <w:noProof/>
          <w:szCs w:val="24"/>
        </w:rPr>
      </w:pPr>
      <w:r>
        <w:rPr>
          <w:b/>
          <w:noProof/>
          <w:szCs w:val="24"/>
        </w:rPr>
        <w:t>Figure 3-3: 2016 public consultation</w:t>
      </w:r>
      <w:r>
        <w:rPr>
          <w:noProof/>
          <w:szCs w:val="24"/>
        </w:rPr>
        <w:t xml:space="preserve"> </w:t>
      </w:r>
    </w:p>
    <w:p w:rsidR="0037666B" w:rsidRDefault="00C627B8">
      <w:pPr>
        <w:tabs>
          <w:tab w:val="num" w:pos="720"/>
        </w:tabs>
        <w:rPr>
          <w:noProof/>
          <w:szCs w:val="24"/>
        </w:rPr>
      </w:pPr>
      <w:r>
        <w:rPr>
          <w:noProof/>
          <w:szCs w:val="24"/>
          <w:lang w:eastAsia="en-GB"/>
        </w:rPr>
        <w:drawing>
          <wp:inline distT="0" distB="0" distL="0" distR="0">
            <wp:extent cx="5499279" cy="1275008"/>
            <wp:effectExtent l="0" t="0" r="2540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666B" w:rsidRDefault="00C627B8">
      <w:pPr>
        <w:tabs>
          <w:tab w:val="num" w:pos="720"/>
        </w:tabs>
        <w:rPr>
          <w:noProof/>
          <w:szCs w:val="24"/>
        </w:rPr>
      </w:pPr>
      <w:r>
        <w:rPr>
          <w:noProof/>
          <w:szCs w:val="24"/>
        </w:rPr>
        <w:t xml:space="preserve">One PCP indicated that sometimes the delay for receiving a reply is </w:t>
      </w:r>
      <w:r>
        <w:rPr>
          <w:b/>
          <w:noProof/>
          <w:szCs w:val="24"/>
        </w:rPr>
        <w:t>40-50</w:t>
      </w:r>
      <w:r>
        <w:rPr>
          <w:noProof/>
          <w:szCs w:val="24"/>
        </w:rPr>
        <w:t xml:space="preserve"> working days. Another indicated that the intervention of the Commission was necessary in order to obtain a reply.</w:t>
      </w:r>
    </w:p>
    <w:p w:rsidR="0037666B" w:rsidRDefault="00C627B8">
      <w:pPr>
        <w:tabs>
          <w:tab w:val="num" w:pos="720"/>
        </w:tabs>
        <w:rPr>
          <w:noProof/>
          <w:szCs w:val="24"/>
        </w:rPr>
      </w:pPr>
      <w:r>
        <w:rPr>
          <w:noProof/>
          <w:szCs w:val="24"/>
        </w:rPr>
        <w:t>Additionally, the adm</w:t>
      </w:r>
      <w:r>
        <w:rPr>
          <w:noProof/>
          <w:szCs w:val="24"/>
        </w:rPr>
        <w:t>inistrative cooperation between PCPs is also undermined by the difficulty to communicate in a common language, especially when technical terms are involved.  This issue is almost unanimous among PCPs, and was raised during the surveys, interviews, in the a</w:t>
      </w:r>
      <w:r>
        <w:rPr>
          <w:noProof/>
          <w:szCs w:val="24"/>
        </w:rPr>
        <w:t xml:space="preserve">nnual reports as well as during the meetings of the Consultative Committee on mutual recognition. </w:t>
      </w:r>
    </w:p>
    <w:p w:rsidR="0037666B" w:rsidRDefault="00C627B8">
      <w:pPr>
        <w:pStyle w:val="Heading2"/>
        <w:rPr>
          <w:noProof/>
        </w:rPr>
      </w:pPr>
      <w:bookmarkStart w:id="13" w:name="_Toc483992724"/>
      <w:r>
        <w:rPr>
          <w:noProof/>
        </w:rPr>
        <w:t>The consequences of the problem/ Who is affected and how</w:t>
      </w:r>
      <w:bookmarkEnd w:id="13"/>
      <w:r>
        <w:rPr>
          <w:noProof/>
        </w:rPr>
        <w:t xml:space="preserve"> </w:t>
      </w:r>
    </w:p>
    <w:p w:rsidR="0037666B" w:rsidRDefault="00C627B8">
      <w:pPr>
        <w:pStyle w:val="Text1"/>
        <w:ind w:left="0"/>
        <w:rPr>
          <w:noProof/>
          <w:szCs w:val="24"/>
        </w:rPr>
      </w:pPr>
      <w:r>
        <w:rPr>
          <w:noProof/>
          <w:szCs w:val="24"/>
        </w:rPr>
        <w:t xml:space="preserve">Due to the suboptimal use of mutual recognition, barriers to free movement of non-harmonised goods </w:t>
      </w:r>
      <w:r>
        <w:rPr>
          <w:noProof/>
          <w:szCs w:val="24"/>
        </w:rPr>
        <w:t>remain; thus, a single market for goods is far from being achieved. Those most affected by the problem are economic operators, who are not benefitting fully from the internal market and their existing rights. They face additional costs to enter a new marke</w:t>
      </w:r>
      <w:r>
        <w:rPr>
          <w:noProof/>
          <w:szCs w:val="24"/>
        </w:rPr>
        <w:t xml:space="preserve">t or even lose market opportunities. National authorities rely on their own national rules and this undermines the free movement of goods. Consumers and final users cannot fully benefit from more choices on the market and thus lower prices that the single </w:t>
      </w:r>
      <w:r>
        <w:rPr>
          <w:noProof/>
          <w:szCs w:val="24"/>
        </w:rPr>
        <w:t>market for goods should provide, while maintaining the level of protection of public interest they are entitled to.</w:t>
      </w:r>
    </w:p>
    <w:p w:rsidR="0037666B" w:rsidRDefault="00C627B8">
      <w:pPr>
        <w:pStyle w:val="Text1"/>
        <w:ind w:left="0"/>
        <w:rPr>
          <w:noProof/>
          <w:szCs w:val="24"/>
        </w:rPr>
      </w:pPr>
      <w:r>
        <w:rPr>
          <w:noProof/>
          <w:szCs w:val="24"/>
        </w:rPr>
        <w:t xml:space="preserve">The following consequences can be identified for economic operators, consumers and national authorities, resulting from the non-functioning </w:t>
      </w:r>
      <w:r>
        <w:rPr>
          <w:noProof/>
          <w:szCs w:val="24"/>
        </w:rPr>
        <w:t>of mutual recognition:</w:t>
      </w:r>
    </w:p>
    <w:p w:rsidR="0037666B" w:rsidRDefault="0037666B">
      <w:pPr>
        <w:pStyle w:val="Text1"/>
        <w:ind w:left="0"/>
        <w:rPr>
          <w:noProof/>
          <w:szCs w:val="24"/>
        </w:rPr>
      </w:pPr>
    </w:p>
    <w:tbl>
      <w:tblPr>
        <w:tblStyle w:val="TableGrid"/>
        <w:tblW w:w="0" w:type="auto"/>
        <w:tblInd w:w="108" w:type="dxa"/>
        <w:tblLook w:val="04A0" w:firstRow="1" w:lastRow="0" w:firstColumn="1" w:lastColumn="0" w:noHBand="0" w:noVBand="1"/>
      </w:tblPr>
      <w:tblGrid>
        <w:gridCol w:w="3173"/>
        <w:gridCol w:w="2745"/>
        <w:gridCol w:w="2808"/>
      </w:tblGrid>
      <w:tr w:rsidR="0037666B">
        <w:tc>
          <w:tcPr>
            <w:tcW w:w="3173" w:type="dxa"/>
            <w:shd w:val="clear" w:color="auto" w:fill="4F81BD" w:themeFill="accent1"/>
          </w:tcPr>
          <w:p w:rsidR="0037666B" w:rsidRDefault="00C627B8">
            <w:pPr>
              <w:pStyle w:val="Text1"/>
              <w:spacing w:before="120" w:after="120"/>
              <w:ind w:left="0"/>
              <w:jc w:val="center"/>
              <w:rPr>
                <w:b/>
                <w:noProof/>
                <w:sz w:val="20"/>
              </w:rPr>
            </w:pPr>
            <w:r>
              <w:rPr>
                <w:b/>
                <w:noProof/>
                <w:sz w:val="20"/>
              </w:rPr>
              <w:t>Economic Operators</w:t>
            </w:r>
          </w:p>
        </w:tc>
        <w:tc>
          <w:tcPr>
            <w:tcW w:w="2745" w:type="dxa"/>
            <w:shd w:val="clear" w:color="auto" w:fill="4F81BD" w:themeFill="accent1"/>
          </w:tcPr>
          <w:p w:rsidR="0037666B" w:rsidRDefault="00C627B8">
            <w:pPr>
              <w:pStyle w:val="Text1"/>
              <w:spacing w:before="120" w:after="120"/>
              <w:ind w:left="0"/>
              <w:jc w:val="center"/>
              <w:rPr>
                <w:b/>
                <w:noProof/>
                <w:sz w:val="20"/>
              </w:rPr>
            </w:pPr>
            <w:r>
              <w:rPr>
                <w:b/>
                <w:noProof/>
                <w:sz w:val="20"/>
              </w:rPr>
              <w:t>Consumers</w:t>
            </w:r>
          </w:p>
        </w:tc>
        <w:tc>
          <w:tcPr>
            <w:tcW w:w="2808" w:type="dxa"/>
            <w:shd w:val="clear" w:color="auto" w:fill="4F81BD" w:themeFill="accent1"/>
          </w:tcPr>
          <w:p w:rsidR="0037666B" w:rsidRDefault="00C627B8">
            <w:pPr>
              <w:pStyle w:val="Text1"/>
              <w:spacing w:before="120" w:after="120"/>
              <w:ind w:left="0"/>
              <w:jc w:val="center"/>
              <w:rPr>
                <w:b/>
                <w:noProof/>
                <w:sz w:val="20"/>
              </w:rPr>
            </w:pPr>
            <w:r>
              <w:rPr>
                <w:b/>
                <w:noProof/>
                <w:sz w:val="20"/>
              </w:rPr>
              <w:t>National Authorities</w:t>
            </w:r>
          </w:p>
        </w:tc>
      </w:tr>
      <w:tr w:rsidR="0037666B">
        <w:tc>
          <w:tcPr>
            <w:tcW w:w="3173" w:type="dxa"/>
          </w:tcPr>
          <w:p w:rsidR="0037666B" w:rsidRDefault="00C627B8">
            <w:pPr>
              <w:pStyle w:val="Text1"/>
              <w:numPr>
                <w:ilvl w:val="0"/>
                <w:numId w:val="24"/>
              </w:numPr>
              <w:spacing w:before="120" w:after="120"/>
              <w:ind w:left="371" w:hanging="284"/>
              <w:jc w:val="left"/>
              <w:rPr>
                <w:noProof/>
                <w:sz w:val="20"/>
              </w:rPr>
            </w:pPr>
            <w:r>
              <w:rPr>
                <w:noProof/>
                <w:sz w:val="20"/>
              </w:rPr>
              <w:t>Lost opportunities</w:t>
            </w:r>
          </w:p>
          <w:p w:rsidR="0037666B" w:rsidRDefault="00C627B8">
            <w:pPr>
              <w:pStyle w:val="Text1"/>
              <w:numPr>
                <w:ilvl w:val="0"/>
                <w:numId w:val="24"/>
              </w:numPr>
              <w:spacing w:before="120" w:after="120"/>
              <w:ind w:left="371" w:hanging="284"/>
              <w:jc w:val="left"/>
              <w:rPr>
                <w:noProof/>
                <w:sz w:val="20"/>
              </w:rPr>
            </w:pPr>
            <w:r>
              <w:rPr>
                <w:noProof/>
                <w:sz w:val="20"/>
              </w:rPr>
              <w:t xml:space="preserve">Transaction costs: tests and adaptations </w:t>
            </w:r>
          </w:p>
          <w:p w:rsidR="0037666B" w:rsidRDefault="00C627B8">
            <w:pPr>
              <w:pStyle w:val="Text1"/>
              <w:numPr>
                <w:ilvl w:val="0"/>
                <w:numId w:val="24"/>
              </w:numPr>
              <w:spacing w:before="120" w:after="120"/>
              <w:ind w:left="371" w:hanging="284"/>
              <w:jc w:val="left"/>
              <w:rPr>
                <w:noProof/>
                <w:sz w:val="20"/>
              </w:rPr>
            </w:pPr>
            <w:r>
              <w:rPr>
                <w:noProof/>
                <w:sz w:val="20"/>
              </w:rPr>
              <w:t>Delays in accessing the national market</w:t>
            </w:r>
          </w:p>
          <w:p w:rsidR="0037666B" w:rsidRDefault="00C627B8">
            <w:pPr>
              <w:pStyle w:val="Text1"/>
              <w:numPr>
                <w:ilvl w:val="0"/>
                <w:numId w:val="24"/>
              </w:numPr>
              <w:spacing w:before="120" w:after="120"/>
              <w:ind w:left="371" w:hanging="284"/>
              <w:jc w:val="left"/>
              <w:rPr>
                <w:noProof/>
                <w:sz w:val="20"/>
              </w:rPr>
            </w:pPr>
            <w:r>
              <w:rPr>
                <w:noProof/>
                <w:sz w:val="20"/>
              </w:rPr>
              <w:t>Information costs due to the lack of effective functioning of PCPs</w:t>
            </w:r>
          </w:p>
          <w:p w:rsidR="0037666B" w:rsidRDefault="00C627B8">
            <w:pPr>
              <w:pStyle w:val="Text1"/>
              <w:numPr>
                <w:ilvl w:val="0"/>
                <w:numId w:val="24"/>
              </w:numPr>
              <w:spacing w:before="120" w:after="120"/>
              <w:ind w:left="371" w:hanging="284"/>
              <w:jc w:val="left"/>
              <w:rPr>
                <w:noProof/>
                <w:sz w:val="20"/>
              </w:rPr>
            </w:pPr>
            <w:r>
              <w:rPr>
                <w:noProof/>
                <w:sz w:val="20"/>
              </w:rPr>
              <w:t xml:space="preserve">Costs of </w:t>
            </w:r>
            <w:r>
              <w:rPr>
                <w:noProof/>
                <w:sz w:val="20"/>
              </w:rPr>
              <w:t>challenging national decisions</w:t>
            </w:r>
          </w:p>
        </w:tc>
        <w:tc>
          <w:tcPr>
            <w:tcW w:w="2745" w:type="dxa"/>
          </w:tcPr>
          <w:p w:rsidR="0037666B" w:rsidRDefault="00C627B8">
            <w:pPr>
              <w:pStyle w:val="Text1"/>
              <w:numPr>
                <w:ilvl w:val="0"/>
                <w:numId w:val="25"/>
              </w:numPr>
              <w:spacing w:before="120" w:after="120"/>
              <w:ind w:left="328" w:hanging="257"/>
              <w:jc w:val="left"/>
              <w:rPr>
                <w:noProof/>
                <w:sz w:val="20"/>
              </w:rPr>
            </w:pPr>
            <w:r>
              <w:rPr>
                <w:noProof/>
                <w:sz w:val="20"/>
              </w:rPr>
              <w:t>Less choice in terms of available products</w:t>
            </w:r>
          </w:p>
          <w:p w:rsidR="0037666B" w:rsidRDefault="00C627B8">
            <w:pPr>
              <w:pStyle w:val="Text1"/>
              <w:numPr>
                <w:ilvl w:val="0"/>
                <w:numId w:val="25"/>
              </w:numPr>
              <w:spacing w:before="120" w:after="120"/>
              <w:ind w:left="328" w:hanging="257"/>
              <w:jc w:val="left"/>
              <w:rPr>
                <w:noProof/>
                <w:sz w:val="20"/>
              </w:rPr>
            </w:pPr>
            <w:r>
              <w:rPr>
                <w:noProof/>
                <w:sz w:val="20"/>
              </w:rPr>
              <w:t xml:space="preserve">Higher prices </w:t>
            </w:r>
          </w:p>
        </w:tc>
        <w:tc>
          <w:tcPr>
            <w:tcW w:w="2808" w:type="dxa"/>
          </w:tcPr>
          <w:p w:rsidR="0037666B" w:rsidRDefault="00C627B8">
            <w:pPr>
              <w:pStyle w:val="Text1"/>
              <w:numPr>
                <w:ilvl w:val="0"/>
                <w:numId w:val="26"/>
              </w:numPr>
              <w:spacing w:before="120" w:after="120"/>
              <w:ind w:left="428" w:hanging="349"/>
              <w:jc w:val="left"/>
              <w:rPr>
                <w:noProof/>
                <w:sz w:val="20"/>
              </w:rPr>
            </w:pPr>
            <w:r>
              <w:rPr>
                <w:noProof/>
                <w:sz w:val="20"/>
              </w:rPr>
              <w:t>Information and assessment related costs to find out whether a product  should benefit from mutual recognition, due to the lack of efficient administrative cooperation</w:t>
            </w:r>
            <w:r>
              <w:rPr>
                <w:noProof/>
                <w:sz w:val="20"/>
              </w:rPr>
              <w:t xml:space="preserve"> </w:t>
            </w:r>
          </w:p>
          <w:p w:rsidR="0037666B" w:rsidRDefault="0037666B">
            <w:pPr>
              <w:pStyle w:val="Text1"/>
              <w:spacing w:before="120" w:after="120"/>
              <w:ind w:left="360"/>
              <w:jc w:val="left"/>
              <w:rPr>
                <w:noProof/>
                <w:sz w:val="20"/>
              </w:rPr>
            </w:pPr>
          </w:p>
        </w:tc>
      </w:tr>
    </w:tbl>
    <w:p w:rsidR="0037666B" w:rsidRDefault="00C627B8">
      <w:pPr>
        <w:pStyle w:val="Text1"/>
        <w:spacing w:before="240"/>
        <w:ind w:left="0"/>
        <w:rPr>
          <w:noProof/>
          <w:szCs w:val="24"/>
        </w:rPr>
      </w:pPr>
      <w:r>
        <w:rPr>
          <w:noProof/>
          <w:szCs w:val="24"/>
        </w:rPr>
        <w:t xml:space="preserve">The financial costs caused by lack of mutual recognition are high for the </w:t>
      </w:r>
      <w:r>
        <w:rPr>
          <w:b/>
          <w:noProof/>
          <w:szCs w:val="24"/>
        </w:rPr>
        <w:t>business operators</w:t>
      </w:r>
      <w:r>
        <w:rPr>
          <w:noProof/>
          <w:szCs w:val="24"/>
        </w:rPr>
        <w:t xml:space="preserve">. </w:t>
      </w:r>
    </w:p>
    <w:p w:rsidR="0037666B" w:rsidRDefault="00C627B8">
      <w:pPr>
        <w:rPr>
          <w:noProof/>
          <w:szCs w:val="24"/>
        </w:rPr>
      </w:pPr>
      <w:r>
        <w:rPr>
          <w:noProof/>
          <w:szCs w:val="24"/>
        </w:rPr>
        <w:t xml:space="preserve">First of all, business need to </w:t>
      </w:r>
      <w:r>
        <w:rPr>
          <w:b/>
          <w:noProof/>
          <w:szCs w:val="24"/>
        </w:rPr>
        <w:t>find out what the applicable national rules, requirements and administrative procedures are</w:t>
      </w:r>
      <w:r>
        <w:rPr>
          <w:noProof/>
          <w:szCs w:val="24"/>
        </w:rPr>
        <w:t xml:space="preserve"> in the Member State of destination and assess if mutual recognition can be used to sell products in another Member State without being able to rely effectively on PCPs in order to obtain this information. This is particularly challenging for SMEs; accordi</w:t>
      </w:r>
      <w:r>
        <w:rPr>
          <w:noProof/>
          <w:szCs w:val="24"/>
        </w:rPr>
        <w:t>ng to the public consultation on the start-up and scale-up initiative, resources required to navigate the regulatory complexity are the third-biggest problem for SMEs.</w:t>
      </w:r>
      <w:r>
        <w:rPr>
          <w:noProof/>
          <w:szCs w:val="24"/>
          <w:vertAlign w:val="superscript"/>
        </w:rPr>
        <w:footnoteReference w:id="61"/>
      </w:r>
      <w:r>
        <w:rPr>
          <w:iCs/>
          <w:noProof/>
          <w:szCs w:val="24"/>
        </w:rPr>
        <w:t xml:space="preserve"> </w:t>
      </w:r>
      <w:r>
        <w:rPr>
          <w:noProof/>
          <w:szCs w:val="24"/>
        </w:rPr>
        <w:t>Costs also related to assessing if mutual recognition can be used to sell products in a</w:t>
      </w:r>
      <w:r>
        <w:rPr>
          <w:noProof/>
          <w:szCs w:val="24"/>
        </w:rPr>
        <w:t>nother Member State. Very few economic operators (2%) are outsourcing this assessment, while 26% are doing it internally. 46%  are doing both, depending on the product. The lack of additional information does not allow for an estimate of the actual costs i</w:t>
      </w:r>
      <w:r>
        <w:rPr>
          <w:noProof/>
          <w:szCs w:val="24"/>
        </w:rPr>
        <w:t>ncurred when the assessment of whether or not mutual recognition can be used is outsourced. When done internally, economic operators spend on average 54 hours on doing the assessment; however, the number of hours indicated varies from one company to anothe</w:t>
      </w:r>
      <w:r>
        <w:rPr>
          <w:noProof/>
          <w:szCs w:val="24"/>
        </w:rPr>
        <w:t xml:space="preserve">r. Most indicated only a few hours (less than 10) while two indicated spending more than 500 hours on this. The average cost per hour is 78 Euro. When trying to demonstrate that a product is already lawfully marketed in a Member State, businesses indicate </w:t>
      </w:r>
      <w:r>
        <w:rPr>
          <w:noProof/>
          <w:szCs w:val="24"/>
        </w:rPr>
        <w:t>that the average number of hours spent is 16, and the average cost per hour is 76 Euro.</w:t>
      </w:r>
    </w:p>
    <w:p w:rsidR="0037666B" w:rsidRDefault="00C627B8">
      <w:pPr>
        <w:rPr>
          <w:noProof/>
          <w:szCs w:val="24"/>
        </w:rPr>
      </w:pPr>
      <w:r>
        <w:rPr>
          <w:noProof/>
          <w:szCs w:val="24"/>
        </w:rPr>
        <w:t xml:space="preserve">High costs are also triggered by the </w:t>
      </w:r>
      <w:r>
        <w:rPr>
          <w:b/>
          <w:noProof/>
          <w:szCs w:val="24"/>
        </w:rPr>
        <w:t>need to adapt the products</w:t>
      </w:r>
      <w:r>
        <w:rPr>
          <w:noProof/>
          <w:szCs w:val="24"/>
        </w:rPr>
        <w:t xml:space="preserve"> to the applicable national rules, when mutual recognition is either denied or not used for penetrating t</w:t>
      </w:r>
      <w:r>
        <w:rPr>
          <w:noProof/>
          <w:szCs w:val="24"/>
        </w:rPr>
        <w:t xml:space="preserve">he market. These adaptation costs are estimated to be </w:t>
      </w:r>
      <w:r>
        <w:rPr>
          <w:noProof/>
          <w:szCs w:val="24"/>
          <w:vertAlign w:val="superscript"/>
        </w:rPr>
        <w:footnoteReference w:id="62"/>
      </w:r>
      <w:r>
        <w:rPr>
          <w:noProof/>
          <w:szCs w:val="24"/>
          <w:vertAlign w:val="superscript"/>
        </w:rPr>
        <w:t xml:space="preserve"> </w:t>
      </w:r>
      <w:r>
        <w:rPr>
          <w:noProof/>
          <w:szCs w:val="24"/>
        </w:rPr>
        <w:t xml:space="preserve">between 1000 and 150 000 Euro per product and per market. </w:t>
      </w:r>
    </w:p>
    <w:p w:rsidR="0037666B" w:rsidRDefault="00C627B8">
      <w:pPr>
        <w:pStyle w:val="Text1"/>
        <w:ind w:left="0"/>
        <w:rPr>
          <w:noProof/>
          <w:szCs w:val="24"/>
        </w:rPr>
      </w:pPr>
      <w:r>
        <w:rPr>
          <w:b/>
          <w:noProof/>
          <w:szCs w:val="24"/>
        </w:rPr>
        <w:t>Other indirect costs</w:t>
      </w:r>
      <w:r>
        <w:rPr>
          <w:noProof/>
          <w:szCs w:val="24"/>
        </w:rPr>
        <w:t xml:space="preserve"> may be generated by the lack of well-functioning mutual recognition. There is a distortion of competition and of the lev</w:t>
      </w:r>
      <w:r>
        <w:rPr>
          <w:noProof/>
          <w:szCs w:val="24"/>
        </w:rPr>
        <w:t xml:space="preserve">el-playing field as cross-border operators face higher costs than local operators. Also, companies may be able to pass on these costs to the consumers, leading to higher prices. If the market is not big enough, or if the costs are too high, businesses may </w:t>
      </w:r>
      <w:r>
        <w:rPr>
          <w:noProof/>
          <w:szCs w:val="24"/>
        </w:rPr>
        <w:t>be discouraged and give up on entering that market. This is particularly relevant for SMEs. For example, more than half of SMEs say that administrative procedures related to exporting to other Member States are too difficult to comply with and therefore de</w:t>
      </w:r>
      <w:r>
        <w:rPr>
          <w:noProof/>
          <w:szCs w:val="24"/>
        </w:rPr>
        <w:t>ter many firms from exporting.</w:t>
      </w:r>
      <w:r>
        <w:rPr>
          <w:noProof/>
          <w:szCs w:val="24"/>
          <w:vertAlign w:val="superscript"/>
        </w:rPr>
        <w:footnoteReference w:id="63"/>
      </w:r>
      <w:r>
        <w:rPr>
          <w:noProof/>
          <w:szCs w:val="24"/>
        </w:rPr>
        <w:t xml:space="preserve"> According to the Commission’s 2014 Competitiveness report, only 14% of SMEs are trading across borders in the EU compared to 85.4 % of large manufacturing firms</w:t>
      </w:r>
      <w:r>
        <w:rPr>
          <w:rStyle w:val="FootnoteReference"/>
          <w:noProof/>
          <w:szCs w:val="24"/>
        </w:rPr>
        <w:footnoteReference w:id="64"/>
      </w:r>
      <w:r>
        <w:rPr>
          <w:noProof/>
          <w:szCs w:val="24"/>
        </w:rPr>
        <w:t xml:space="preserve">.  This translates into </w:t>
      </w:r>
      <w:r>
        <w:rPr>
          <w:b/>
          <w:noProof/>
          <w:szCs w:val="24"/>
        </w:rPr>
        <w:t>lost opportunities</w:t>
      </w:r>
      <w:r>
        <w:rPr>
          <w:noProof/>
          <w:szCs w:val="24"/>
        </w:rPr>
        <w:t xml:space="preserve"> for businesses as we</w:t>
      </w:r>
      <w:r>
        <w:rPr>
          <w:noProof/>
          <w:szCs w:val="24"/>
        </w:rPr>
        <w:t xml:space="preserve">ll as costs resulting from </w:t>
      </w:r>
      <w:r>
        <w:rPr>
          <w:b/>
          <w:noProof/>
          <w:szCs w:val="24"/>
        </w:rPr>
        <w:t>delays for entering a market</w:t>
      </w:r>
      <w:r>
        <w:rPr>
          <w:noProof/>
          <w:szCs w:val="24"/>
        </w:rPr>
        <w:t xml:space="preserve">. In addition, it also generates a loss of competitiveness and innovation. High costs are also relating to </w:t>
      </w:r>
      <w:r>
        <w:rPr>
          <w:b/>
          <w:noProof/>
          <w:szCs w:val="24"/>
        </w:rPr>
        <w:t>delays for entering a market</w:t>
      </w:r>
      <w:r>
        <w:rPr>
          <w:noProof/>
          <w:szCs w:val="24"/>
        </w:rPr>
        <w:t>, estimated</w:t>
      </w:r>
      <w:r>
        <w:rPr>
          <w:noProof/>
          <w:szCs w:val="24"/>
          <w:vertAlign w:val="superscript"/>
        </w:rPr>
        <w:footnoteReference w:id="65"/>
      </w:r>
      <w:r>
        <w:rPr>
          <w:noProof/>
          <w:szCs w:val="24"/>
          <w:vertAlign w:val="superscript"/>
        </w:rPr>
        <w:t xml:space="preserve"> </w:t>
      </w:r>
      <w:r>
        <w:rPr>
          <w:noProof/>
          <w:szCs w:val="24"/>
        </w:rPr>
        <w:t>between 3000 and 500 000 Euro per product and per mar</w:t>
      </w:r>
      <w:r>
        <w:rPr>
          <w:noProof/>
          <w:szCs w:val="24"/>
        </w:rPr>
        <w:t xml:space="preserve">ket, and to </w:t>
      </w:r>
      <w:r>
        <w:rPr>
          <w:b/>
          <w:noProof/>
          <w:szCs w:val="24"/>
        </w:rPr>
        <w:t>lost opportunities</w:t>
      </w:r>
      <w:r>
        <w:rPr>
          <w:noProof/>
          <w:szCs w:val="24"/>
        </w:rPr>
        <w:t>, when businesses renounce entering a market because of different national rules requiring adaptation of the products. On average, the latest are estimated to be</w:t>
      </w:r>
      <w:r>
        <w:rPr>
          <w:noProof/>
          <w:szCs w:val="24"/>
          <w:vertAlign w:val="superscript"/>
        </w:rPr>
        <w:footnoteReference w:id="66"/>
      </w:r>
      <w:r>
        <w:rPr>
          <w:noProof/>
          <w:szCs w:val="24"/>
        </w:rPr>
        <w:t xml:space="preserve"> between 10 000 and 500 000 Euro per product and per market. The</w:t>
      </w:r>
      <w:r>
        <w:rPr>
          <w:noProof/>
          <w:szCs w:val="24"/>
        </w:rPr>
        <w:t xml:space="preserve"> estimate of the adaptation costs appears to be lower than the estimation of costs linked to lost opportunities and delayed entry on the market. This may be due to the specific profile of the respondents to the public consultation who were able to provide </w:t>
      </w:r>
      <w:r>
        <w:rPr>
          <w:noProof/>
          <w:szCs w:val="24"/>
        </w:rPr>
        <w:t xml:space="preserve">estimates, as testing costs can vary significantly from one product to another. The variety of products and how this translates in terms of costs is also highlighted later on (see table 7-8).   </w:t>
      </w:r>
    </w:p>
    <w:p w:rsidR="0037666B" w:rsidRDefault="00C627B8">
      <w:pPr>
        <w:pStyle w:val="Text1"/>
        <w:ind w:left="0"/>
        <w:rPr>
          <w:noProof/>
          <w:szCs w:val="24"/>
        </w:rPr>
      </w:pPr>
      <w:r>
        <w:rPr>
          <w:noProof/>
          <w:szCs w:val="24"/>
        </w:rPr>
        <w:t>Economies of scale are crucially important for innovative fir</w:t>
      </w:r>
      <w:r>
        <w:rPr>
          <w:noProof/>
          <w:szCs w:val="24"/>
        </w:rPr>
        <w:t>ms that spend a large fixed cost in research and development (R&amp;D) and need a large internal market to cover these costs</w:t>
      </w:r>
      <w:r>
        <w:rPr>
          <w:rStyle w:val="FootnoteReference"/>
          <w:noProof/>
          <w:szCs w:val="24"/>
          <w:lang w:eastAsia="en-GB"/>
        </w:rPr>
        <w:footnoteReference w:id="67"/>
      </w:r>
      <w:r>
        <w:rPr>
          <w:noProof/>
          <w:szCs w:val="24"/>
        </w:rPr>
        <w:t>.</w:t>
      </w:r>
    </w:p>
    <w:p w:rsidR="0037666B" w:rsidRDefault="00C627B8">
      <w:pPr>
        <w:rPr>
          <w:noProof/>
          <w:szCs w:val="24"/>
        </w:rPr>
      </w:pPr>
      <w:r>
        <w:rPr>
          <w:noProof/>
          <w:szCs w:val="24"/>
        </w:rPr>
        <w:t>Economic operators also face costs related to challenging administrative decisions denying market access; but they considered them as</w:t>
      </w:r>
      <w:r>
        <w:rPr>
          <w:noProof/>
          <w:szCs w:val="24"/>
        </w:rPr>
        <w:t xml:space="preserve"> less important, mainly because few economic operators choose to do so. The estimates</w:t>
      </w:r>
      <w:r>
        <w:rPr>
          <w:noProof/>
          <w:szCs w:val="24"/>
          <w:vertAlign w:val="superscript"/>
        </w:rPr>
        <w:footnoteReference w:id="68"/>
      </w:r>
      <w:r>
        <w:rPr>
          <w:noProof/>
          <w:szCs w:val="24"/>
        </w:rPr>
        <w:t xml:space="preserve"> are between 10 000 and 100 000 Euro per product and per market. </w:t>
      </w:r>
    </w:p>
    <w:p w:rsidR="0037666B" w:rsidRDefault="0037666B">
      <w:pPr>
        <w:rPr>
          <w:noProof/>
          <w:szCs w:val="24"/>
        </w:rPr>
      </w:pPr>
    </w:p>
    <w:p w:rsidR="0037666B" w:rsidRDefault="0037666B">
      <w:pPr>
        <w:rPr>
          <w:noProof/>
          <w:szCs w:val="24"/>
        </w:rPr>
      </w:pPr>
    </w:p>
    <w:p w:rsidR="0037666B" w:rsidRDefault="0037666B">
      <w:pPr>
        <w:rPr>
          <w:noProof/>
          <w:szCs w:val="24"/>
        </w:rPr>
      </w:pPr>
    </w:p>
    <w:p w:rsidR="0037666B" w:rsidRDefault="0037666B">
      <w:pPr>
        <w:rPr>
          <w:noProof/>
          <w:szCs w:val="24"/>
        </w:rPr>
      </w:pPr>
    </w:p>
    <w:p w:rsidR="0037666B" w:rsidRDefault="0037666B">
      <w:pPr>
        <w:rPr>
          <w:noProof/>
          <w:szCs w:val="24"/>
        </w:rPr>
      </w:pPr>
    </w:p>
    <w:p w:rsidR="0037666B" w:rsidRDefault="00C627B8">
      <w:pPr>
        <w:rPr>
          <w:b/>
          <w:noProof/>
          <w:szCs w:val="24"/>
        </w:rPr>
      </w:pPr>
      <w:r>
        <w:rPr>
          <w:b/>
          <w:noProof/>
          <w:szCs w:val="24"/>
        </w:rPr>
        <w:t>Figure 3-4: Public consultation 2016</w:t>
      </w:r>
    </w:p>
    <w:p w:rsidR="0037666B" w:rsidRDefault="00C627B8">
      <w:pPr>
        <w:rPr>
          <w:noProof/>
          <w:szCs w:val="24"/>
        </w:rPr>
      </w:pPr>
      <w:r>
        <w:rPr>
          <w:noProof/>
          <w:szCs w:val="24"/>
          <w:lang w:eastAsia="en-GB"/>
        </w:rPr>
        <w:drawing>
          <wp:inline distT="0" distB="0" distL="0" distR="0">
            <wp:extent cx="5409127" cy="2160000"/>
            <wp:effectExtent l="0" t="0" r="2032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666B" w:rsidRDefault="00C627B8">
      <w:pPr>
        <w:rPr>
          <w:noProof/>
          <w:szCs w:val="24"/>
        </w:rPr>
      </w:pPr>
      <w:r>
        <w:rPr>
          <w:noProof/>
          <w:szCs w:val="24"/>
        </w:rPr>
        <w:t xml:space="preserve">These results confirm the findings of the external study </w:t>
      </w:r>
      <w:r>
        <w:rPr>
          <w:noProof/>
          <w:szCs w:val="24"/>
        </w:rPr>
        <w:t>carried out in 2015</w:t>
      </w:r>
      <w:r>
        <w:rPr>
          <w:noProof/>
          <w:szCs w:val="24"/>
          <w:vertAlign w:val="superscript"/>
        </w:rPr>
        <w:footnoteReference w:id="69"/>
      </w:r>
      <w:r>
        <w:rPr>
          <w:noProof/>
          <w:szCs w:val="24"/>
          <w:vertAlign w:val="superscript"/>
        </w:rPr>
        <w:t>,</w:t>
      </w:r>
      <w:r>
        <w:rPr>
          <w:noProof/>
          <w:szCs w:val="24"/>
        </w:rPr>
        <w:t xml:space="preserve"> where businesses underlined transaction and adaptation costs as being very significant. They perceived testing as being costly – more than 40% of them have rated testing as being a very significant cost. The testing costs vary conside</w:t>
      </w:r>
      <w:r>
        <w:rPr>
          <w:noProof/>
          <w:szCs w:val="24"/>
        </w:rPr>
        <w:t>rably, depending on the sector and the product, but some examples from different sectors are provided in Figure 7-18. Internal company staff time and administrative costs are perceived to be very significant by 32% and 30% of the companies, respectively. I</w:t>
      </w:r>
      <w:r>
        <w:rPr>
          <w:noProof/>
          <w:szCs w:val="24"/>
        </w:rPr>
        <w:t>n the interviews carried out by the contractor, many companies mentioned that these types of costs naturally follow the testing costs and are therefore closely related to the issue of Member States demanding additional tests. Lastly, around 26% of business</w:t>
      </w:r>
      <w:r>
        <w:rPr>
          <w:noProof/>
          <w:szCs w:val="24"/>
        </w:rPr>
        <w:t xml:space="preserve">es perceive the adaptation of products to local technical requirements to be a very significant cost. Furthermore, it is interesting that for all four categories, over half of the companies perceive the costs as either very significant or significant. </w:t>
      </w:r>
    </w:p>
    <w:p w:rsidR="0037666B" w:rsidRDefault="00C627B8">
      <w:pPr>
        <w:pStyle w:val="Caption"/>
        <w:spacing w:before="0" w:after="240"/>
        <w:rPr>
          <w:noProof/>
          <w:szCs w:val="24"/>
        </w:rPr>
      </w:pPr>
      <w:r>
        <w:rPr>
          <w:noProof/>
          <w:szCs w:val="24"/>
        </w:rPr>
        <w:t>Fig</w:t>
      </w:r>
      <w:r>
        <w:rPr>
          <w:noProof/>
          <w:szCs w:val="24"/>
        </w:rPr>
        <w:t>ure 3-5: Company survey: What are the typical cost items involved and how significant are they?</w:t>
      </w:r>
      <w:r>
        <w:rPr>
          <w:rStyle w:val="FootnoteReference"/>
          <w:noProof/>
          <w:szCs w:val="24"/>
        </w:rPr>
        <w:footnoteReference w:id="70"/>
      </w:r>
    </w:p>
    <w:p w:rsidR="0037666B" w:rsidRDefault="00C627B8">
      <w:pPr>
        <w:rPr>
          <w:noProof/>
          <w:szCs w:val="24"/>
          <w:lang w:eastAsia="da-DK"/>
        </w:rPr>
      </w:pPr>
      <w:r>
        <w:rPr>
          <w:noProof/>
          <w:szCs w:val="24"/>
          <w:lang w:eastAsia="en-GB"/>
        </w:rPr>
        <w:drawing>
          <wp:inline distT="0" distB="0" distL="0" distR="0">
            <wp:extent cx="5486400" cy="2434107"/>
            <wp:effectExtent l="0" t="0" r="0" b="4445"/>
            <wp:docPr id="68" name="Billed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9396" cy="2435436"/>
                    </a:xfrm>
                    <a:prstGeom prst="rect">
                      <a:avLst/>
                    </a:prstGeom>
                    <a:noFill/>
                  </pic:spPr>
                </pic:pic>
              </a:graphicData>
            </a:graphic>
          </wp:inline>
        </w:drawing>
      </w:r>
    </w:p>
    <w:p w:rsidR="0037666B" w:rsidRDefault="00C627B8">
      <w:pPr>
        <w:rPr>
          <w:noProof/>
          <w:sz w:val="18"/>
          <w:szCs w:val="18"/>
        </w:rPr>
      </w:pPr>
      <w:r>
        <w:rPr>
          <w:noProof/>
          <w:sz w:val="18"/>
          <w:szCs w:val="18"/>
        </w:rPr>
        <w:t>Note: N=28-31 (not all companies answered all questions)</w:t>
      </w:r>
    </w:p>
    <w:p w:rsidR="0037666B" w:rsidRDefault="00C627B8">
      <w:pPr>
        <w:spacing w:after="160"/>
        <w:rPr>
          <w:noProof/>
          <w:szCs w:val="24"/>
        </w:rPr>
      </w:pPr>
      <w:r>
        <w:rPr>
          <w:noProof/>
          <w:szCs w:val="24"/>
        </w:rPr>
        <w:t>As regards the costs, the survey and the subsequent interviews carried out by the contractor revealed the same wide range of costs as those from the 2016 public consultation, depending on the different sectors. Similarly, few economic operators were able t</w:t>
      </w:r>
      <w:r>
        <w:rPr>
          <w:noProof/>
          <w:szCs w:val="24"/>
        </w:rPr>
        <w:t>o put a figure on the costs faced due to the incorrect application of the mutual recognition principle. Of those that provided estimates, the costs ranged from 0.5% of the annual turnover, to 20% of the turnover. This is mainly due to the variety of produc</w:t>
      </w:r>
      <w:r>
        <w:rPr>
          <w:noProof/>
          <w:szCs w:val="24"/>
        </w:rPr>
        <w:t xml:space="preserve">ts covered by mutual recognition.  </w:t>
      </w:r>
    </w:p>
    <w:p w:rsidR="0037666B" w:rsidRDefault="00C627B8">
      <w:pPr>
        <w:pStyle w:val="Text1"/>
        <w:ind w:left="2"/>
        <w:rPr>
          <w:noProof/>
          <w:szCs w:val="24"/>
        </w:rPr>
      </w:pPr>
      <w:r>
        <w:rPr>
          <w:noProof/>
          <w:szCs w:val="24"/>
        </w:rPr>
        <w:t xml:space="preserve">The problem also affects </w:t>
      </w:r>
      <w:r>
        <w:rPr>
          <w:b/>
          <w:noProof/>
          <w:szCs w:val="24"/>
        </w:rPr>
        <w:t>national authorities</w:t>
      </w:r>
      <w:r>
        <w:rPr>
          <w:noProof/>
          <w:szCs w:val="24"/>
        </w:rPr>
        <w:t>, who are faced with lack of legal certainty regarding whether national rules should be applied to a product or not. Administrative costs are also incurred resulting mainly fr</w:t>
      </w:r>
      <w:r>
        <w:rPr>
          <w:noProof/>
          <w:szCs w:val="24"/>
        </w:rPr>
        <w:t xml:space="preserve">om the complexity of the legislations in place, which make it difficult to identify all rules applicable to a product and the scope for applying mutual recognition, and the difficulty of demonstrating that a product has been 'lawfully marketed' in another </w:t>
      </w:r>
      <w:r>
        <w:rPr>
          <w:noProof/>
          <w:szCs w:val="24"/>
        </w:rPr>
        <w:t>Member States (the latter being estimated for example EUR 420 000 in one sector such as fertilisers).</w:t>
      </w:r>
    </w:p>
    <w:p w:rsidR="0037666B" w:rsidRDefault="00C627B8">
      <w:pPr>
        <w:pStyle w:val="Text1"/>
        <w:ind w:left="2"/>
        <w:rPr>
          <w:noProof/>
          <w:szCs w:val="24"/>
        </w:rPr>
      </w:pPr>
      <w:r>
        <w:rPr>
          <w:noProof/>
          <w:szCs w:val="24"/>
        </w:rPr>
        <w:t>The lack of effective communication and cooperation further contributes to these indirect costs. The fact that PCPs don't efficiently exchange information</w:t>
      </w:r>
      <w:r>
        <w:rPr>
          <w:noProof/>
          <w:szCs w:val="24"/>
        </w:rPr>
        <w:t>, within their own administration and with PCPs from other Member States, delays the replies that they provide to businesses and impacts their quality. Furthermore, the assessment by national authorities of whether a product can be placed on their market b</w:t>
      </w:r>
      <w:r>
        <w:rPr>
          <w:noProof/>
          <w:szCs w:val="24"/>
        </w:rPr>
        <w:t xml:space="preserve">ased on mutual recognition is delayed and undermined by the fact that they don't properly cooperate and communicate with their colleagues in the Member State where the product under assessment has been lawfully marketed.  </w:t>
      </w:r>
    </w:p>
    <w:p w:rsidR="0037666B" w:rsidRDefault="00C627B8">
      <w:pPr>
        <w:pStyle w:val="Text1"/>
        <w:ind w:left="0"/>
        <w:rPr>
          <w:b/>
          <w:noProof/>
          <w:szCs w:val="24"/>
        </w:rPr>
      </w:pPr>
      <w:r>
        <w:rPr>
          <w:b/>
          <w:noProof/>
          <w:szCs w:val="24"/>
        </w:rPr>
        <w:t>Figure 3-6: Problem tree</w:t>
      </w:r>
    </w:p>
    <w:p w:rsidR="0037666B" w:rsidRDefault="00C627B8">
      <w:pPr>
        <w:pStyle w:val="Text1"/>
        <w:ind w:left="0"/>
        <w:jc w:val="left"/>
        <w:rPr>
          <w:noProof/>
          <w:szCs w:val="24"/>
        </w:rPr>
      </w:pPr>
      <w:r>
        <w:rPr>
          <w:noProof/>
          <w:szCs w:val="24"/>
          <w:lang w:eastAsia="en-GB"/>
        </w:rPr>
        <w:drawing>
          <wp:inline distT="0" distB="0" distL="0" distR="0">
            <wp:extent cx="5451542" cy="3087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tafl\AppData\Local\Microsoft\Windows\Temporary Internet Files\Content.Outlook\3KUXRNHL\2017 02 21 MR_IA_problem_tree_horizontal (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51542" cy="3087913"/>
                    </a:xfrm>
                    <a:prstGeom prst="rect">
                      <a:avLst/>
                    </a:prstGeom>
                    <a:noFill/>
                    <a:ln>
                      <a:noFill/>
                    </a:ln>
                  </pic:spPr>
                </pic:pic>
              </a:graphicData>
            </a:graphic>
          </wp:inline>
        </w:drawing>
      </w:r>
    </w:p>
    <w:p w:rsidR="0037666B" w:rsidRDefault="00C627B8">
      <w:pPr>
        <w:pStyle w:val="Heading2"/>
        <w:rPr>
          <w:noProof/>
        </w:rPr>
      </w:pPr>
      <w:bookmarkStart w:id="14" w:name="_Toc483992725"/>
      <w:r>
        <w:rPr>
          <w:noProof/>
        </w:rPr>
        <w:t>Forese</w:t>
      </w:r>
      <w:r>
        <w:rPr>
          <w:noProof/>
        </w:rPr>
        <w:t>en evolution of the problem</w:t>
      </w:r>
      <w:bookmarkEnd w:id="14"/>
    </w:p>
    <w:p w:rsidR="0037666B" w:rsidRDefault="00C627B8">
      <w:pPr>
        <w:pStyle w:val="Text1"/>
        <w:ind w:left="0"/>
        <w:rPr>
          <w:noProof/>
          <w:szCs w:val="24"/>
        </w:rPr>
      </w:pPr>
      <w:r>
        <w:rPr>
          <w:noProof/>
          <w:szCs w:val="24"/>
        </w:rPr>
        <w:t xml:space="preserve">Absent any action at EU level, it is foreseen that in the medium term, the problem of the lack of functioning of mutual recognition, and the underlying reasons, will remain. </w:t>
      </w:r>
    </w:p>
    <w:p w:rsidR="0037666B" w:rsidRDefault="00C627B8">
      <w:pPr>
        <w:pStyle w:val="Text1"/>
        <w:ind w:left="0"/>
        <w:rPr>
          <w:noProof/>
          <w:szCs w:val="24"/>
        </w:rPr>
      </w:pPr>
      <w:r>
        <w:rPr>
          <w:noProof/>
          <w:szCs w:val="24"/>
        </w:rPr>
        <w:t>The current procedures to support the use of mutual r</w:t>
      </w:r>
      <w:r>
        <w:rPr>
          <w:noProof/>
          <w:szCs w:val="24"/>
        </w:rPr>
        <w:t xml:space="preserve">ecognition would remain in place. </w:t>
      </w:r>
    </w:p>
    <w:p w:rsidR="0037666B" w:rsidRDefault="00C627B8">
      <w:pPr>
        <w:pStyle w:val="Text1"/>
        <w:ind w:left="0"/>
        <w:rPr>
          <w:noProof/>
          <w:szCs w:val="24"/>
        </w:rPr>
      </w:pPr>
      <w:r>
        <w:rPr>
          <w:noProof/>
          <w:szCs w:val="24"/>
        </w:rPr>
        <w:t>As such, obstacles to free movement of goods stemming from national rules will continue being addressed via existing tools:  ex ante by the Directive (EU) 2015/1535, at the time of their adoption, and ex-post by the Regul</w:t>
      </w:r>
      <w:r>
        <w:rPr>
          <w:noProof/>
          <w:szCs w:val="24"/>
        </w:rPr>
        <w:t>ation, at the time of their application to individual cases (national decisions denying market access). The clarification of legal uncertainties will be left to the case law of the Court of Justice of the European Union. Businesses and national authorities</w:t>
      </w:r>
      <w:r>
        <w:rPr>
          <w:noProof/>
          <w:szCs w:val="24"/>
        </w:rPr>
        <w:t xml:space="preserve"> will continue to use the tools available (list of products to which mutual recognition may apply, guidelines, mutual recognition clause, Product Contact Points) to try to understand when mutual recognition applies in relation to a specific product. </w:t>
      </w:r>
    </w:p>
    <w:p w:rsidR="0037666B" w:rsidRDefault="00C627B8">
      <w:pPr>
        <w:pStyle w:val="Text1"/>
        <w:ind w:left="0"/>
        <w:rPr>
          <w:noProof/>
          <w:szCs w:val="24"/>
        </w:rPr>
      </w:pPr>
      <w:r>
        <w:rPr>
          <w:noProof/>
          <w:szCs w:val="24"/>
        </w:rPr>
        <w:t>The P</w:t>
      </w:r>
      <w:r>
        <w:rPr>
          <w:noProof/>
          <w:szCs w:val="24"/>
        </w:rPr>
        <w:t>roduct Contact Points network will continue functioning as up until now, and possibly benefit from being integrated into a wider network, which would act as a single entry point for all available business-related services. Under this wider network, the pro</w:t>
      </w:r>
      <w:r>
        <w:rPr>
          <w:noProof/>
          <w:szCs w:val="24"/>
        </w:rPr>
        <w:t>vision of online information on products for economic operators would be facilitated through the 'Single Digital Gateway' (proposal forthcoming). The proposal for an EU Single Digital Gateway is expected to introduce a new obligation to provide information</w:t>
      </w:r>
      <w:r>
        <w:rPr>
          <w:noProof/>
          <w:szCs w:val="24"/>
        </w:rPr>
        <w:t xml:space="preserve"> on national product rules online on a website, instead of upon request as now. Member States will need to provide a summary of the applicable rules for product categories, but may also refer to the assistance services for more detailed information tailore</w:t>
      </w:r>
      <w:r>
        <w:rPr>
          <w:noProof/>
          <w:szCs w:val="24"/>
        </w:rPr>
        <w:t>d to specific products. This follows good practices already adopted by many Member States.</w:t>
      </w:r>
      <w:r>
        <w:rPr>
          <w:noProof/>
          <w:szCs w:val="24"/>
          <w:vertAlign w:val="superscript"/>
        </w:rPr>
        <w:footnoteReference w:id="71"/>
      </w:r>
      <w:r>
        <w:rPr>
          <w:noProof/>
          <w:szCs w:val="24"/>
        </w:rPr>
        <w:t xml:space="preserve"> It is expected that having access to the information online will facilitate the accessibility and awareness of the role of PCPs and of national product rules by bus</w:t>
      </w:r>
      <w:r>
        <w:rPr>
          <w:noProof/>
          <w:szCs w:val="24"/>
        </w:rPr>
        <w:t>inesses. In addition, this initiative is expected to improve the functioning of PCPs by setting out quality criteria and the obligation to provide information online. However, the lack of awareness of the principle of mutual recognition, as well as the sho</w:t>
      </w:r>
      <w:r>
        <w:rPr>
          <w:noProof/>
          <w:szCs w:val="24"/>
        </w:rPr>
        <w:t xml:space="preserve">rtcomings in the functioning of PCPs, which have been constant despite the adoption of the Regulation, are expected to remain given that there are no current factors which could promote a higher awareness of the principle and its functioning. </w:t>
      </w:r>
    </w:p>
    <w:p w:rsidR="0037666B" w:rsidRDefault="00C627B8">
      <w:pPr>
        <w:pStyle w:val="Text1"/>
        <w:ind w:left="0"/>
        <w:rPr>
          <w:noProof/>
          <w:szCs w:val="24"/>
        </w:rPr>
      </w:pPr>
      <w:r>
        <w:rPr>
          <w:noProof/>
          <w:szCs w:val="24"/>
        </w:rPr>
        <w:t>Under the cu</w:t>
      </w:r>
      <w:r>
        <w:rPr>
          <w:noProof/>
          <w:szCs w:val="24"/>
        </w:rPr>
        <w:t xml:space="preserve">rrent provisions of the Regulation the Commission could undertake further work to update the list of products which may be subject to mutual recognition and make it more helpful and user friendly. The Commission will continue to ask for the inclusion of a </w:t>
      </w:r>
      <w:r>
        <w:rPr>
          <w:noProof/>
          <w:szCs w:val="24"/>
        </w:rPr>
        <w:t xml:space="preserve">mutual recognition clause for draft national technical rules notified under Directive (EU) 2015/1535, but its use is not expected to increase in the future given that the Commission has been encouraging the use of the clause in the past without it leading </w:t>
      </w:r>
      <w:r>
        <w:rPr>
          <w:noProof/>
          <w:szCs w:val="24"/>
        </w:rPr>
        <w:t>to significant results in terms of use or clarity.</w:t>
      </w:r>
    </w:p>
    <w:p w:rsidR="0037666B" w:rsidRDefault="00C627B8">
      <w:pPr>
        <w:pStyle w:val="Text1"/>
        <w:ind w:left="0"/>
        <w:rPr>
          <w:noProof/>
          <w:szCs w:val="24"/>
        </w:rPr>
      </w:pPr>
      <w:r>
        <w:rPr>
          <w:noProof/>
          <w:szCs w:val="24"/>
        </w:rPr>
        <w:t>Complexity and uncertainty around the application of the principle of mutual recognition will also remain. Businesses and national authorities will continue relying on guidance from the Commission in order</w:t>
      </w:r>
      <w:r>
        <w:rPr>
          <w:noProof/>
          <w:szCs w:val="24"/>
        </w:rPr>
        <w:t xml:space="preserve"> to demonstrate that a product has been lawfully marketed; which however has not significantly solved the practical problems encountered while trying to rely on the application of mutual recognition. The outcome to be expected by businesses when trying to </w:t>
      </w:r>
      <w:r>
        <w:rPr>
          <w:noProof/>
          <w:szCs w:val="24"/>
        </w:rPr>
        <w:t>rely on the principle will remain uncertain. The burden of proof that a product should not be allowed market access remains on the national authorities. National authorities would remain obliged to notify both the economic operator and the Commission of al</w:t>
      </w:r>
      <w:r>
        <w:rPr>
          <w:noProof/>
          <w:szCs w:val="24"/>
        </w:rPr>
        <w:t>l administrative decisions denying market access. Since its entry into force, the Commission services published several guidelines on the application of the principle of mutual recognition in various sectors and on what 'lawfully marketed' stands for. Thes</w:t>
      </w:r>
      <w:r>
        <w:rPr>
          <w:noProof/>
          <w:szCs w:val="24"/>
        </w:rPr>
        <w:t>e elements do not appear as sufficient to address the problems described. These have not resulted in the expected improvement, in particular as regards the proof of lawful marketing of a product in a Member State. The Commission can use an existing IT syst</w:t>
      </w:r>
      <w:r>
        <w:rPr>
          <w:noProof/>
          <w:szCs w:val="24"/>
        </w:rPr>
        <w:t xml:space="preserve">em to support the notification process, however, the number of notifications of national decisions denying market access is also not expected to increase in the future. </w:t>
      </w:r>
    </w:p>
    <w:p w:rsidR="0037666B" w:rsidRDefault="00C627B8">
      <w:pPr>
        <w:pStyle w:val="Text1"/>
        <w:ind w:left="0"/>
        <w:rPr>
          <w:noProof/>
          <w:szCs w:val="24"/>
        </w:rPr>
      </w:pPr>
      <w:r>
        <w:rPr>
          <w:noProof/>
          <w:szCs w:val="24"/>
        </w:rPr>
        <w:t>The use of SOLVIT would remain an alternative for economic operators who wish to chall</w:t>
      </w:r>
      <w:r>
        <w:rPr>
          <w:noProof/>
          <w:szCs w:val="24"/>
        </w:rPr>
        <w:t>enge administrative decisions denying market access. The foreseen Commission's action plan for improving SOLVIT aims to improve the awareness of its services to businesses, inter alia to increase the number of cases submitted against a national decision de</w:t>
      </w:r>
      <w:r>
        <w:rPr>
          <w:noProof/>
          <w:szCs w:val="24"/>
        </w:rPr>
        <w:t>nying market on mutual recognition grounds and the legal expertise of the SOLVIT centres in areas of interest to businesses such as the mutual recognition on goods. But it does not alter the informal character of SOLVIT and thus would still have limitation</w:t>
      </w:r>
      <w:r>
        <w:rPr>
          <w:noProof/>
          <w:szCs w:val="24"/>
        </w:rPr>
        <w:t>s in offering efficient remedies for challenging unjustified decisions denying market access. Furthermore, without providing for the Commission technical assistance and further involvement for the goods cases, it is not expected that SOLVIT will produce be</w:t>
      </w:r>
      <w:r>
        <w:rPr>
          <w:noProof/>
          <w:szCs w:val="24"/>
        </w:rPr>
        <w:t>tter results for these cases as compared to the current situation.</w:t>
      </w:r>
    </w:p>
    <w:p w:rsidR="0037666B" w:rsidRDefault="00C627B8">
      <w:pPr>
        <w:pStyle w:val="Text1"/>
        <w:ind w:left="0"/>
        <w:rPr>
          <w:noProof/>
          <w:szCs w:val="24"/>
        </w:rPr>
      </w:pPr>
      <w:r>
        <w:rPr>
          <w:noProof/>
          <w:szCs w:val="24"/>
        </w:rPr>
        <w:t>It is not expected that Member States undertake any specific initiative to facilitate the functioning of mutual recognition. Furthermore, in problematic sectors where mutual recognition can</w:t>
      </w:r>
      <w:r>
        <w:rPr>
          <w:noProof/>
          <w:szCs w:val="24"/>
        </w:rPr>
        <w:t>not facilitate free movement of goods, harmonisation of essential requirements can be used in order to ensure market assess for businesses. This is the case for example for fertilising products, for which a Commission proposal for an EU regulation was adop</w:t>
      </w:r>
      <w:r>
        <w:rPr>
          <w:noProof/>
          <w:szCs w:val="24"/>
        </w:rPr>
        <w:t>ted on 17 March 2016</w:t>
      </w:r>
      <w:r>
        <w:rPr>
          <w:rStyle w:val="FootnoteReference"/>
          <w:noProof/>
          <w:szCs w:val="24"/>
        </w:rPr>
        <w:footnoteReference w:id="72"/>
      </w:r>
      <w:r>
        <w:rPr>
          <w:noProof/>
          <w:szCs w:val="24"/>
        </w:rPr>
        <w:t xml:space="preserve">. This proposal will replace the current </w:t>
      </w:r>
      <w:r>
        <w:rPr>
          <w:noProof/>
          <w:szCs w:val="24"/>
          <w:lang w:val="en"/>
        </w:rPr>
        <w:t>Regulation (EC) No 2003/2003 by, inter alia, extending it to currently non-</w:t>
      </w:r>
      <w:r>
        <w:rPr>
          <w:noProof/>
          <w:szCs w:val="24"/>
        </w:rPr>
        <w:t>harmonised</w:t>
      </w:r>
      <w:r>
        <w:rPr>
          <w:noProof/>
          <w:szCs w:val="24"/>
          <w:lang w:val="en"/>
        </w:rPr>
        <w:t xml:space="preserve"> products.</w:t>
      </w:r>
      <w:r>
        <w:rPr>
          <w:noProof/>
          <w:szCs w:val="24"/>
        </w:rPr>
        <w:t xml:space="preserve"> </w:t>
      </w:r>
    </w:p>
    <w:p w:rsidR="0037666B" w:rsidRDefault="00C627B8">
      <w:pPr>
        <w:pStyle w:val="Text1"/>
        <w:ind w:left="0"/>
        <w:rPr>
          <w:noProof/>
          <w:szCs w:val="24"/>
        </w:rPr>
      </w:pPr>
      <w:r>
        <w:rPr>
          <w:noProof/>
          <w:szCs w:val="24"/>
        </w:rPr>
        <w:t>However, whilst harmonisation may take place where this is justified, necessary and proportionate</w:t>
      </w:r>
      <w:r>
        <w:rPr>
          <w:noProof/>
          <w:szCs w:val="24"/>
        </w:rPr>
        <w:t>, such measures cannot cover the totality of products and aspects of those products in the internal market, without there being any scope anymore for national rules. Whenever there are national technical rules, there will be a need to ensure the mutual rec</w:t>
      </w:r>
      <w:r>
        <w:rPr>
          <w:noProof/>
          <w:szCs w:val="24"/>
        </w:rPr>
        <w:t xml:space="preserve">ognition of those in order to guarantee the free movement of goods. </w:t>
      </w:r>
    </w:p>
    <w:p w:rsidR="0037666B" w:rsidRDefault="00C627B8">
      <w:pPr>
        <w:pStyle w:val="Heading1"/>
        <w:keepNext w:val="0"/>
        <w:spacing w:before="0"/>
        <w:rPr>
          <w:noProof/>
          <w:szCs w:val="24"/>
        </w:rPr>
      </w:pPr>
      <w:bookmarkStart w:id="15" w:name="_Toc483992726"/>
      <w:r>
        <w:rPr>
          <w:noProof/>
          <w:szCs w:val="24"/>
        </w:rPr>
        <w:t>Analysis of Subsidiarity</w:t>
      </w:r>
      <w:bookmarkEnd w:id="15"/>
    </w:p>
    <w:p w:rsidR="0037666B" w:rsidRDefault="00C627B8">
      <w:pPr>
        <w:pStyle w:val="Heading2"/>
        <w:rPr>
          <w:noProof/>
        </w:rPr>
      </w:pPr>
      <w:bookmarkStart w:id="16" w:name="_Toc483992727"/>
      <w:r>
        <w:rPr>
          <w:noProof/>
        </w:rPr>
        <w:t>Legal Basis</w:t>
      </w:r>
      <w:bookmarkEnd w:id="16"/>
    </w:p>
    <w:p w:rsidR="0037666B" w:rsidRDefault="00C627B8">
      <w:pPr>
        <w:pStyle w:val="Text2"/>
        <w:ind w:left="0"/>
        <w:rPr>
          <w:noProof/>
          <w:szCs w:val="24"/>
        </w:rPr>
      </w:pPr>
      <w:r>
        <w:rPr>
          <w:noProof/>
          <w:szCs w:val="24"/>
        </w:rPr>
        <w:t xml:space="preserve">The right to act is established on the basis of Article 114(1) TFEU dealing with the establishment and functioning of the internal market and </w:t>
      </w:r>
      <w:r>
        <w:rPr>
          <w:noProof/>
          <w:szCs w:val="24"/>
        </w:rPr>
        <w:t>specifying that measures can be adopted for the approximation of the provisions laid down by law, regulation or administrative action in Member States which have as their object the establishment and functioning of the internal market.</w:t>
      </w:r>
    </w:p>
    <w:p w:rsidR="0037666B" w:rsidRDefault="0037666B">
      <w:pPr>
        <w:pStyle w:val="Text2"/>
        <w:ind w:left="0"/>
        <w:rPr>
          <w:noProof/>
          <w:szCs w:val="24"/>
        </w:rPr>
      </w:pPr>
    </w:p>
    <w:p w:rsidR="0037666B" w:rsidRDefault="0037666B">
      <w:pPr>
        <w:pStyle w:val="Text2"/>
        <w:ind w:left="0"/>
        <w:rPr>
          <w:noProof/>
          <w:szCs w:val="24"/>
        </w:rPr>
      </w:pPr>
    </w:p>
    <w:p w:rsidR="0037666B" w:rsidRDefault="00C627B8">
      <w:pPr>
        <w:pStyle w:val="Heading2"/>
        <w:rPr>
          <w:noProof/>
        </w:rPr>
      </w:pPr>
      <w:bookmarkStart w:id="17" w:name="_Toc483992728"/>
      <w:r>
        <w:rPr>
          <w:noProof/>
        </w:rPr>
        <w:t>Subsidiarity and P</w:t>
      </w:r>
      <w:r>
        <w:rPr>
          <w:noProof/>
        </w:rPr>
        <w:t>roportionality</w:t>
      </w:r>
      <w:bookmarkEnd w:id="17"/>
    </w:p>
    <w:p w:rsidR="0037666B" w:rsidRDefault="00C627B8">
      <w:pPr>
        <w:pStyle w:val="Text2"/>
        <w:ind w:left="0"/>
        <w:rPr>
          <w:noProof/>
          <w:szCs w:val="24"/>
        </w:rPr>
      </w:pPr>
      <w:r>
        <w:rPr>
          <w:noProof/>
          <w:szCs w:val="24"/>
        </w:rPr>
        <w:t xml:space="preserve">Mutual recognition only applies in cross border situations where an economic operator would like to trade in a Member States a product already lawfully marketed in another Member State. </w:t>
      </w:r>
    </w:p>
    <w:p w:rsidR="0037666B" w:rsidRDefault="00C627B8">
      <w:pPr>
        <w:pStyle w:val="Text2"/>
        <w:ind w:left="0"/>
        <w:rPr>
          <w:noProof/>
          <w:szCs w:val="24"/>
        </w:rPr>
      </w:pPr>
      <w:r>
        <w:rPr>
          <w:noProof/>
          <w:szCs w:val="24"/>
        </w:rPr>
        <w:t>Action by Member States alone cannot solve problems as</w:t>
      </w:r>
      <w:r>
        <w:rPr>
          <w:noProof/>
          <w:szCs w:val="24"/>
        </w:rPr>
        <w:t>sociated with the application of the principle of mutual recognition across the single market. To be effective, the application of the principle needs to be based on common solutions to be applied equally by all national authorities. Only such common proce</w:t>
      </w:r>
      <w:r>
        <w:rPr>
          <w:noProof/>
          <w:szCs w:val="24"/>
        </w:rPr>
        <w:t>dures can guarantee that national authorities will apply the principle in the same manner, thus allowing companies to benefit from an equal treatment regardless of the country where they try to market their product. Leaving the procedural aspects of the ap</w:t>
      </w:r>
      <w:r>
        <w:rPr>
          <w:noProof/>
          <w:szCs w:val="24"/>
        </w:rPr>
        <w:t xml:space="preserve">plication of the mutual recognition principle to each Member State would weaken the principle by dismantling the modus operandi into 28 different and possibly contradictory procedures. </w:t>
      </w:r>
    </w:p>
    <w:p w:rsidR="0037666B" w:rsidRDefault="00C627B8">
      <w:pPr>
        <w:pStyle w:val="Text2"/>
        <w:ind w:left="0"/>
        <w:rPr>
          <w:noProof/>
          <w:szCs w:val="24"/>
        </w:rPr>
      </w:pPr>
      <w:r>
        <w:rPr>
          <w:noProof/>
          <w:szCs w:val="24"/>
        </w:rPr>
        <w:t>Therefore, EU action is both appropriate and justified to ensure the e</w:t>
      </w:r>
      <w:r>
        <w:rPr>
          <w:noProof/>
          <w:szCs w:val="24"/>
        </w:rPr>
        <w:t xml:space="preserve">ffective application of the principle. </w:t>
      </w:r>
    </w:p>
    <w:p w:rsidR="0037666B" w:rsidRDefault="00C627B8">
      <w:pPr>
        <w:pStyle w:val="Text2"/>
        <w:ind w:left="0"/>
        <w:rPr>
          <w:noProof/>
          <w:szCs w:val="24"/>
        </w:rPr>
      </w:pPr>
      <w:r>
        <w:rPr>
          <w:noProof/>
          <w:szCs w:val="24"/>
        </w:rPr>
        <w:t>The European added value of the mutual recognition rules was strongly underlined by the respondents to the 2016 public consultation. Most of them agreed that having a common set of rules guarantees equal treatment, a</w:t>
      </w:r>
      <w:r>
        <w:rPr>
          <w:noProof/>
          <w:szCs w:val="24"/>
        </w:rPr>
        <w:t>nd that relying on national rules only would undermine the internal market.</w:t>
      </w:r>
    </w:p>
    <w:p w:rsidR="0037666B" w:rsidRDefault="00C627B8">
      <w:pPr>
        <w:pStyle w:val="Text2"/>
        <w:ind w:left="0"/>
        <w:rPr>
          <w:noProof/>
          <w:szCs w:val="24"/>
        </w:rPr>
      </w:pPr>
      <w:r>
        <w:rPr>
          <w:noProof/>
          <w:szCs w:val="24"/>
        </w:rPr>
        <w:t>The EU has the right to act to ensure the functioning of the single market for goods. Pursuant to Article 26(2) of the Treaty on the Functioning of the European Union (TFEU), the internal market shall comprise an area without internal frontiers in which th</w:t>
      </w:r>
      <w:r>
        <w:rPr>
          <w:noProof/>
          <w:szCs w:val="24"/>
        </w:rPr>
        <w:t>e free movement of goods, persons, services and capital is ensured in accordance with the provisions of the Treaties. The prohibition, as between Member States, of measures having equivalent effect to quantitative restrictions on imports of goods is one of</w:t>
      </w:r>
      <w:r>
        <w:rPr>
          <w:noProof/>
          <w:szCs w:val="24"/>
        </w:rPr>
        <w:t xml:space="preserve"> the main principles of the Treaty (Articles 34 to 36). </w:t>
      </w:r>
    </w:p>
    <w:p w:rsidR="0037666B" w:rsidRDefault="00C627B8">
      <w:pPr>
        <w:pStyle w:val="Heading1"/>
        <w:keepNext w:val="0"/>
        <w:spacing w:before="0"/>
        <w:rPr>
          <w:noProof/>
          <w:szCs w:val="24"/>
        </w:rPr>
      </w:pPr>
      <w:bookmarkStart w:id="18" w:name="_Toc483992729"/>
      <w:r>
        <w:rPr>
          <w:noProof/>
          <w:szCs w:val="24"/>
        </w:rPr>
        <w:t>Objectives</w:t>
      </w:r>
      <w:bookmarkEnd w:id="18"/>
      <w:r>
        <w:rPr>
          <w:noProof/>
          <w:szCs w:val="24"/>
        </w:rPr>
        <w:t xml:space="preserve"> </w:t>
      </w:r>
    </w:p>
    <w:p w:rsidR="0037666B" w:rsidRDefault="00C627B8">
      <w:pPr>
        <w:pStyle w:val="Text1"/>
        <w:ind w:left="0"/>
        <w:rPr>
          <w:noProof/>
          <w:szCs w:val="24"/>
        </w:rPr>
      </w:pPr>
      <w:r>
        <w:rPr>
          <w:noProof/>
          <w:szCs w:val="24"/>
        </w:rPr>
        <w:t xml:space="preserve">Based on the problems described in section 4, the following objectives have been identified. </w:t>
      </w:r>
    </w:p>
    <w:p w:rsidR="0037666B" w:rsidRDefault="00C627B8">
      <w:pPr>
        <w:pStyle w:val="Heading2"/>
        <w:rPr>
          <w:noProof/>
        </w:rPr>
      </w:pPr>
      <w:bookmarkStart w:id="19" w:name="_Toc483992730"/>
      <w:r>
        <w:rPr>
          <w:noProof/>
        </w:rPr>
        <w:t>General Policy Objectives</w:t>
      </w:r>
      <w:bookmarkEnd w:id="19"/>
    </w:p>
    <w:p w:rsidR="0037666B" w:rsidRDefault="00C627B8">
      <w:pPr>
        <w:pStyle w:val="Text1"/>
        <w:ind w:left="0"/>
        <w:rPr>
          <w:noProof/>
          <w:szCs w:val="24"/>
        </w:rPr>
      </w:pPr>
      <w:r>
        <w:rPr>
          <w:noProof/>
          <w:szCs w:val="24"/>
        </w:rPr>
        <w:t xml:space="preserve">The overall objective of the initiative is to achieve a fairer and </w:t>
      </w:r>
      <w:r>
        <w:rPr>
          <w:noProof/>
          <w:szCs w:val="24"/>
        </w:rPr>
        <w:t xml:space="preserve">deeper single market for goods through a higher level of and better mutual recognition. </w:t>
      </w:r>
    </w:p>
    <w:p w:rsidR="0037666B" w:rsidRDefault="00C627B8">
      <w:pPr>
        <w:pStyle w:val="Heading2"/>
        <w:rPr>
          <w:noProof/>
        </w:rPr>
      </w:pPr>
      <w:bookmarkStart w:id="20" w:name="_Toc483992731"/>
      <w:r>
        <w:rPr>
          <w:noProof/>
        </w:rPr>
        <w:t>Specific Policy Objectives</w:t>
      </w:r>
      <w:bookmarkEnd w:id="20"/>
    </w:p>
    <w:p w:rsidR="0037666B" w:rsidRDefault="00C627B8">
      <w:pPr>
        <w:pStyle w:val="Text1"/>
        <w:ind w:left="0"/>
        <w:rPr>
          <w:noProof/>
          <w:szCs w:val="24"/>
        </w:rPr>
      </w:pPr>
      <w:r>
        <w:rPr>
          <w:noProof/>
          <w:szCs w:val="24"/>
        </w:rPr>
        <w:t>The specific objective will be to improve the functioning of mutual recognition by:</w:t>
      </w:r>
    </w:p>
    <w:p w:rsidR="0037666B" w:rsidRDefault="00C627B8">
      <w:pPr>
        <w:pStyle w:val="ListBullet1"/>
        <w:tabs>
          <w:tab w:val="clear" w:pos="765"/>
          <w:tab w:val="num" w:pos="567"/>
        </w:tabs>
        <w:ind w:left="567" w:hanging="567"/>
        <w:rPr>
          <w:noProof/>
          <w:szCs w:val="24"/>
        </w:rPr>
      </w:pPr>
      <w:r>
        <w:rPr>
          <w:noProof/>
          <w:szCs w:val="24"/>
        </w:rPr>
        <w:t>Increasing awareness of mutual recognition.</w:t>
      </w:r>
    </w:p>
    <w:p w:rsidR="0037666B" w:rsidRDefault="00C627B8">
      <w:pPr>
        <w:pStyle w:val="ListBullet1"/>
        <w:tabs>
          <w:tab w:val="num" w:pos="567"/>
        </w:tabs>
        <w:ind w:left="567" w:hanging="567"/>
        <w:rPr>
          <w:noProof/>
          <w:szCs w:val="24"/>
        </w:rPr>
      </w:pPr>
      <w:r>
        <w:rPr>
          <w:noProof/>
          <w:szCs w:val="24"/>
        </w:rPr>
        <w:t>Increasing l</w:t>
      </w:r>
      <w:r>
        <w:rPr>
          <w:noProof/>
          <w:szCs w:val="24"/>
        </w:rPr>
        <w:t>egal certainty for businesses and national authorities on when the mutual recognition principle can be used.</w:t>
      </w:r>
    </w:p>
    <w:p w:rsidR="0037666B" w:rsidRDefault="00C627B8">
      <w:pPr>
        <w:pStyle w:val="ListBullet1"/>
        <w:tabs>
          <w:tab w:val="num" w:pos="567"/>
        </w:tabs>
        <w:ind w:left="567" w:hanging="567"/>
        <w:rPr>
          <w:noProof/>
          <w:szCs w:val="24"/>
        </w:rPr>
      </w:pPr>
      <w:r>
        <w:rPr>
          <w:noProof/>
          <w:szCs w:val="24"/>
        </w:rPr>
        <w:t>Increasing legal certainty about the application of mutual recognition; both business and national authorities should know what they can reasonably</w:t>
      </w:r>
      <w:r>
        <w:rPr>
          <w:noProof/>
          <w:szCs w:val="24"/>
        </w:rPr>
        <w:t xml:space="preserve"> expect when mutual recognition is, or ought to be, applied. This will reduce the risk for businesses that their products will not get access to, or will have to be unjustifiably withdrawn from the market. </w:t>
      </w:r>
    </w:p>
    <w:p w:rsidR="0037666B" w:rsidRDefault="00C627B8">
      <w:pPr>
        <w:pStyle w:val="ListBullet1"/>
        <w:tabs>
          <w:tab w:val="num" w:pos="567"/>
        </w:tabs>
        <w:ind w:left="567" w:hanging="567"/>
        <w:rPr>
          <w:noProof/>
          <w:szCs w:val="24"/>
        </w:rPr>
      </w:pPr>
      <w:r>
        <w:rPr>
          <w:noProof/>
          <w:szCs w:val="24"/>
        </w:rPr>
        <w:t>Enhancing communication, cooperation and trust am</w:t>
      </w:r>
      <w:r>
        <w:rPr>
          <w:noProof/>
          <w:szCs w:val="24"/>
        </w:rPr>
        <w:t xml:space="preserve">ong national authorities, so that they can act as a facilitating tool to ensure the functioning of mutual recognition. </w:t>
      </w:r>
    </w:p>
    <w:p w:rsidR="0037666B" w:rsidRDefault="00C627B8">
      <w:pPr>
        <w:pStyle w:val="Heading1"/>
        <w:keepNext w:val="0"/>
        <w:spacing w:before="0"/>
        <w:rPr>
          <w:noProof/>
          <w:szCs w:val="24"/>
        </w:rPr>
      </w:pPr>
      <w:bookmarkStart w:id="21" w:name="_Toc483992732"/>
      <w:r>
        <w:rPr>
          <w:noProof/>
          <w:szCs w:val="24"/>
        </w:rPr>
        <w:t>Policy Options</w:t>
      </w:r>
      <w:bookmarkEnd w:id="21"/>
    </w:p>
    <w:p w:rsidR="0037666B" w:rsidRDefault="00C627B8">
      <w:pPr>
        <w:pStyle w:val="Text1"/>
        <w:ind w:left="0"/>
        <w:rPr>
          <w:noProof/>
          <w:szCs w:val="24"/>
        </w:rPr>
      </w:pPr>
      <w:r>
        <w:rPr>
          <w:noProof/>
          <w:szCs w:val="24"/>
        </w:rPr>
        <w:t xml:space="preserve">In order to address the problem identified in section 3 and its underlying drivers, a number of policy options have been </w:t>
      </w:r>
      <w:r>
        <w:rPr>
          <w:noProof/>
          <w:szCs w:val="24"/>
        </w:rPr>
        <w:t>identified. These options include a baseline scenario, soft law and legislative measures. The measures are presented from the softest to more far-reaching means to tackle the drivers and render mutual recognition fully effective. The soft law option 2 coul</w:t>
      </w:r>
      <w:r>
        <w:rPr>
          <w:noProof/>
          <w:szCs w:val="24"/>
        </w:rPr>
        <w:t>d be combined with any of the other legislative options (options 3, 4 or 5). Options 3, 4 and 5 would be mutually exclusive. Option 3a (free movement for products complying with European Standards) and 3b (transparency for administrative decisions) would b</w:t>
      </w:r>
      <w:r>
        <w:rPr>
          <w:noProof/>
          <w:szCs w:val="24"/>
        </w:rPr>
        <w:t>e superseded by option 4. Option 4 provides for a voluntary declaration of compliance which would contain information on the compliance of the product with the applicable requirements. When European standards have been applied, the reference to such standa</w:t>
      </w:r>
      <w:r>
        <w:rPr>
          <w:noProof/>
          <w:szCs w:val="24"/>
        </w:rPr>
        <w:t>rds would be mentioned in the declaration and national authorities would now that compliance with those standards is ensured. In addition, option 4 provides for a fast-track appeal procedure where administrative decisions denying market access can be chall</w:t>
      </w:r>
      <w:r>
        <w:rPr>
          <w:noProof/>
          <w:szCs w:val="24"/>
        </w:rPr>
        <w:t>enged, at last resort, by a binding opinion from of the Commission. This is in principle a more powerful incentive for Member States to apply correctly the principle of mutual recognition than the transparency of administrative decisions mentioned in optio</w:t>
      </w:r>
      <w:r>
        <w:rPr>
          <w:noProof/>
          <w:szCs w:val="24"/>
        </w:rPr>
        <w:t>n 3b.</w:t>
      </w:r>
    </w:p>
    <w:p w:rsidR="0037666B" w:rsidRDefault="00C627B8">
      <w:pPr>
        <w:pStyle w:val="Text1"/>
        <w:ind w:left="0"/>
        <w:rPr>
          <w:noProof/>
          <w:szCs w:val="24"/>
        </w:rPr>
      </w:pPr>
      <w:r>
        <w:rPr>
          <w:noProof/>
          <w:szCs w:val="24"/>
        </w:rPr>
        <w:t>Option 5 is construed as a self-standing option in that, providing for a pre-marketing authorisation procedure, intends to provide a different approach to offer a definitive answer on market access for the product and would not necessitate addressing</w:t>
      </w:r>
      <w:r>
        <w:rPr>
          <w:noProof/>
          <w:szCs w:val="24"/>
        </w:rPr>
        <w:t xml:space="preserve"> the different drivers individually by additional means. </w:t>
      </w:r>
    </w:p>
    <w:p w:rsidR="0037666B" w:rsidRDefault="00C627B8">
      <w:pPr>
        <w:pStyle w:val="Heading2"/>
        <w:rPr>
          <w:noProof/>
        </w:rPr>
      </w:pPr>
      <w:bookmarkStart w:id="22" w:name="_Toc483992733"/>
      <w:r>
        <w:rPr>
          <w:noProof/>
        </w:rPr>
        <w:t>Discarded options</w:t>
      </w:r>
      <w:bookmarkEnd w:id="22"/>
    </w:p>
    <w:p w:rsidR="0037666B" w:rsidRDefault="00C627B8">
      <w:pPr>
        <w:rPr>
          <w:noProof/>
          <w:szCs w:val="24"/>
        </w:rPr>
      </w:pPr>
      <w:r>
        <w:rPr>
          <w:noProof/>
          <w:szCs w:val="24"/>
        </w:rPr>
        <w:t>The option relating to repealing the Mutual Recognition Regulation has been discarded at an early stage. The Evaluation has concluded that, despite its current shortcomings, the Re</w:t>
      </w:r>
      <w:r>
        <w:rPr>
          <w:noProof/>
          <w:szCs w:val="24"/>
        </w:rPr>
        <w:t>gulation remains relevant and that common procedures for the application of mutual recognition are still necessary. The lack of effectiveness was not triggered by the way the measures where designed but rather by their lack of ambition. The measures had th</w:t>
      </w:r>
      <w:r>
        <w:rPr>
          <w:noProof/>
          <w:szCs w:val="24"/>
        </w:rPr>
        <w:t>e potential to achieve its objectives but were not strong enough to deliver the expected results. In particular, during the 2016 public consultation, there was overwhelming support from stakeholders in this respect</w:t>
      </w:r>
      <w:r>
        <w:rPr>
          <w:rStyle w:val="FootnoteReference"/>
          <w:noProof/>
          <w:szCs w:val="24"/>
        </w:rPr>
        <w:t xml:space="preserve"> </w:t>
      </w:r>
      <w:r>
        <w:rPr>
          <w:noProof/>
          <w:szCs w:val="24"/>
        </w:rPr>
        <w:t>even if their opinion on whether the obje</w:t>
      </w:r>
      <w:r>
        <w:rPr>
          <w:noProof/>
          <w:szCs w:val="24"/>
        </w:rPr>
        <w:t>ctives of the Regulation had been achieved was more mixed</w:t>
      </w:r>
      <w:r>
        <w:rPr>
          <w:rStyle w:val="FootnoteReference"/>
          <w:noProof/>
          <w:szCs w:val="24"/>
        </w:rPr>
        <w:footnoteReference w:id="73"/>
      </w:r>
      <w:r>
        <w:rPr>
          <w:noProof/>
          <w:szCs w:val="24"/>
        </w:rPr>
        <w:t>. This is why repealing the Mutual Recognition Regulation altogether is discarded and other options have been envisaged building on the measures currently set out in the Regulation and enhancing the</w:t>
      </w:r>
      <w:r>
        <w:rPr>
          <w:noProof/>
          <w:szCs w:val="24"/>
        </w:rPr>
        <w:t>m. However, if one of the options leading to a review of the Regulation is retained, this revision may also lead to removing certain provisions of the current Regulation which have not proved effective such as the obligation for Member States to report ann</w:t>
      </w:r>
      <w:r>
        <w:rPr>
          <w:noProof/>
          <w:szCs w:val="24"/>
        </w:rPr>
        <w:t xml:space="preserve">ually on the functioning of the Regulation. The information provided by Member States in this context was limited in terms of content and usefulness. </w:t>
      </w:r>
    </w:p>
    <w:p w:rsidR="0037666B" w:rsidRDefault="00C627B8">
      <w:pPr>
        <w:rPr>
          <w:noProof/>
          <w:szCs w:val="24"/>
        </w:rPr>
      </w:pPr>
      <w:r>
        <w:rPr>
          <w:noProof/>
          <w:szCs w:val="24"/>
        </w:rPr>
        <w:t>Also, the option of proposing further harmonisation measures on specific basic requirements which would c</w:t>
      </w:r>
      <w:r>
        <w:rPr>
          <w:noProof/>
          <w:szCs w:val="24"/>
        </w:rPr>
        <w:t>over certain aspects of all products (such as traceability requirements, for example, since labelling requirements are often subject to national rules and have proved to be problematic for the application of mutual recognition) has been discarded. Adopting</w:t>
      </w:r>
      <w:r>
        <w:rPr>
          <w:noProof/>
          <w:szCs w:val="24"/>
        </w:rPr>
        <w:t xml:space="preserve"> EU harmonisation legislation on specific products which appear particularly problematic, where this is justified, necessary and proportionate is always possible. Conversely, adopting horizontal harmonisation measures covering certain common aspects for al</w:t>
      </w:r>
      <w:r>
        <w:rPr>
          <w:noProof/>
          <w:szCs w:val="24"/>
        </w:rPr>
        <w:t>l products is not likely to address the current problem drivers and the current situation is expected to be maintained, i.e. obstacles for companies in getting access to new markets, implying costs related to re-testing, lost markets and opportunities, etc</w:t>
      </w:r>
      <w:r>
        <w:rPr>
          <w:noProof/>
          <w:szCs w:val="24"/>
        </w:rPr>
        <w:t>. This is because these products will remain partly harmonised products, and for the elements not subject to the EU harmonisation legislation, they will still be subject to mutual recognition and to potentially conflicting national rules. This option would</w:t>
      </w:r>
      <w:r>
        <w:rPr>
          <w:noProof/>
          <w:szCs w:val="24"/>
        </w:rPr>
        <w:t xml:space="preserve"> therefore not improve the functioning of mutual recognition.</w:t>
      </w:r>
    </w:p>
    <w:p w:rsidR="0037666B" w:rsidRDefault="00C627B8">
      <w:pPr>
        <w:pStyle w:val="Text3"/>
        <w:ind w:left="0"/>
        <w:rPr>
          <w:noProof/>
          <w:szCs w:val="24"/>
        </w:rPr>
      </w:pPr>
      <w:r>
        <w:rPr>
          <w:noProof/>
          <w:szCs w:val="24"/>
        </w:rPr>
        <w:t>The option of introducing a third party declaration of compliance has also been discarded at an early stage. This option looked into the possibility of introducing a declaration of compliance to</w:t>
      </w:r>
      <w:r>
        <w:rPr>
          <w:noProof/>
          <w:szCs w:val="24"/>
        </w:rPr>
        <w:t xml:space="preserve"> be issued by a third party. Such a third party would be a body designated by the Member State in which the product is legally marketed, e.g. by the national Product Contact Point established in accordance with the Regulation. By issuing the declaration, t</w:t>
      </w:r>
      <w:r>
        <w:rPr>
          <w:noProof/>
          <w:szCs w:val="24"/>
        </w:rPr>
        <w:t>his third party would take responsibility as regards the content of the declaration which would give more reassurance as to the</w:t>
      </w:r>
      <w:r>
        <w:rPr>
          <w:i/>
          <w:noProof/>
          <w:szCs w:val="24"/>
        </w:rPr>
        <w:t xml:space="preserve"> </w:t>
      </w:r>
      <w:r>
        <w:rPr>
          <w:noProof/>
          <w:szCs w:val="24"/>
        </w:rPr>
        <w:t>compliance of the product; however, the responsibility as regards the compliance of the product would always remain with the eco</w:t>
      </w:r>
      <w:r>
        <w:rPr>
          <w:noProof/>
          <w:szCs w:val="24"/>
        </w:rPr>
        <w:t>nomic operator</w:t>
      </w:r>
      <w:r>
        <w:rPr>
          <w:i/>
          <w:noProof/>
          <w:szCs w:val="24"/>
        </w:rPr>
        <w:t xml:space="preserve">. </w:t>
      </w:r>
      <w:r>
        <w:rPr>
          <w:noProof/>
          <w:szCs w:val="24"/>
        </w:rPr>
        <w:t>Such third party declaration of compliance could have been voluntary or mandatory. In both cases, such declaration would imply heavy costs for businesses as it would require the intervention of a third party in the drafting of the declarati</w:t>
      </w:r>
      <w:r>
        <w:rPr>
          <w:noProof/>
          <w:szCs w:val="24"/>
        </w:rPr>
        <w:t xml:space="preserve">on. </w:t>
      </w:r>
    </w:p>
    <w:p w:rsidR="0037666B" w:rsidRDefault="00C627B8">
      <w:pPr>
        <w:pStyle w:val="Text3"/>
        <w:ind w:left="0"/>
        <w:rPr>
          <w:noProof/>
          <w:szCs w:val="24"/>
        </w:rPr>
      </w:pPr>
      <w:r>
        <w:rPr>
          <w:noProof/>
          <w:szCs w:val="24"/>
        </w:rPr>
        <w:t>Also, it would appear disproportionate, as it would apply to all types of products, contrary to the current situation for harmonised products. In the harmonised sectors, the type of conformity assessment procedure (requiring or not the intervention of</w:t>
      </w:r>
      <w:r>
        <w:rPr>
          <w:noProof/>
          <w:szCs w:val="24"/>
        </w:rPr>
        <w:t xml:space="preserve"> a third party) is chosen by the legislator depending on the level of complexity and risk posed by a product. For example, electrical products (such an electrical kitchen appliance or a lamp)</w:t>
      </w:r>
      <w:r>
        <w:rPr>
          <w:rStyle w:val="FootnoteReference"/>
          <w:noProof/>
          <w:szCs w:val="24"/>
        </w:rPr>
        <w:footnoteReference w:id="74"/>
      </w:r>
      <w:r>
        <w:rPr>
          <w:noProof/>
          <w:szCs w:val="24"/>
        </w:rPr>
        <w:t xml:space="preserve"> do not require the intervention of a third party conformity ass</w:t>
      </w:r>
      <w:r>
        <w:rPr>
          <w:noProof/>
          <w:szCs w:val="24"/>
        </w:rPr>
        <w:t>essment body, while other more complex products such as lifts</w:t>
      </w:r>
      <w:r>
        <w:rPr>
          <w:rStyle w:val="FootnoteReference"/>
          <w:noProof/>
          <w:szCs w:val="24"/>
        </w:rPr>
        <w:footnoteReference w:id="75"/>
      </w:r>
      <w:r>
        <w:rPr>
          <w:noProof/>
          <w:szCs w:val="24"/>
        </w:rPr>
        <w:t xml:space="preserve"> or fuel dispensers</w:t>
      </w:r>
      <w:r>
        <w:rPr>
          <w:rStyle w:val="FootnoteReference"/>
          <w:noProof/>
          <w:szCs w:val="24"/>
        </w:rPr>
        <w:footnoteReference w:id="76"/>
      </w:r>
      <w:r>
        <w:rPr>
          <w:noProof/>
          <w:szCs w:val="24"/>
        </w:rPr>
        <w:t xml:space="preserve"> do. </w:t>
      </w:r>
    </w:p>
    <w:p w:rsidR="0037666B" w:rsidRDefault="00C627B8">
      <w:pPr>
        <w:rPr>
          <w:noProof/>
          <w:szCs w:val="24"/>
        </w:rPr>
      </w:pPr>
      <w:r>
        <w:rPr>
          <w:noProof/>
          <w:szCs w:val="24"/>
        </w:rPr>
        <w:t>The intervention of third party certification also represents an important cost for business</w:t>
      </w:r>
      <w:bookmarkStart w:id="23" w:name="_Ref476736177"/>
      <w:r>
        <w:rPr>
          <w:rStyle w:val="FootnoteReference"/>
          <w:noProof/>
          <w:szCs w:val="24"/>
        </w:rPr>
        <w:footnoteReference w:id="77"/>
      </w:r>
      <w:bookmarkEnd w:id="23"/>
      <w:r>
        <w:rPr>
          <w:noProof/>
          <w:szCs w:val="24"/>
        </w:rPr>
        <w:t xml:space="preserve">. </w:t>
      </w:r>
    </w:p>
    <w:p w:rsidR="0037666B" w:rsidRDefault="00C627B8">
      <w:pPr>
        <w:numPr>
          <w:ilvl w:val="1"/>
          <w:numId w:val="3"/>
        </w:numPr>
        <w:tabs>
          <w:tab w:val="clear" w:pos="1200"/>
          <w:tab w:val="num" w:pos="567"/>
        </w:tabs>
        <w:ind w:left="567" w:hanging="567"/>
        <w:outlineLvl w:val="1"/>
        <w:rPr>
          <w:b/>
          <w:noProof/>
          <w:szCs w:val="24"/>
        </w:rPr>
      </w:pPr>
      <w:r>
        <w:rPr>
          <w:b/>
          <w:noProof/>
          <w:szCs w:val="24"/>
        </w:rPr>
        <w:t xml:space="preserve">Option 1: Baseline </w:t>
      </w:r>
    </w:p>
    <w:p w:rsidR="0037666B" w:rsidRDefault="00C627B8">
      <w:pPr>
        <w:tabs>
          <w:tab w:val="left" w:pos="2302"/>
        </w:tabs>
        <w:rPr>
          <w:noProof/>
          <w:szCs w:val="24"/>
        </w:rPr>
      </w:pPr>
      <w:r>
        <w:rPr>
          <w:noProof/>
          <w:szCs w:val="24"/>
        </w:rPr>
        <w:t xml:space="preserve">The baseline scenario is the "no policy change" </w:t>
      </w:r>
      <w:r>
        <w:rPr>
          <w:noProof/>
          <w:szCs w:val="24"/>
        </w:rPr>
        <w:t>option. This implies that the Mutual Recognition Regulation in its current version remains the applicable legal framework. See more details in section 3.3.</w:t>
      </w:r>
    </w:p>
    <w:p w:rsidR="0037666B" w:rsidRDefault="00C627B8">
      <w:pPr>
        <w:numPr>
          <w:ilvl w:val="1"/>
          <w:numId w:val="3"/>
        </w:numPr>
        <w:tabs>
          <w:tab w:val="clear" w:pos="1200"/>
          <w:tab w:val="num" w:pos="567"/>
        </w:tabs>
        <w:ind w:left="567" w:hanging="567"/>
        <w:outlineLvl w:val="1"/>
        <w:rPr>
          <w:b/>
          <w:noProof/>
          <w:szCs w:val="24"/>
        </w:rPr>
      </w:pPr>
      <w:r>
        <w:rPr>
          <w:b/>
          <w:noProof/>
          <w:szCs w:val="24"/>
        </w:rPr>
        <w:t>Option 2: Soft law instruments to improve the functioning of mutual recognition</w:t>
      </w:r>
    </w:p>
    <w:p w:rsidR="0037666B" w:rsidRDefault="00C627B8">
      <w:pPr>
        <w:tabs>
          <w:tab w:val="left" w:pos="2302"/>
        </w:tabs>
        <w:rPr>
          <w:noProof/>
          <w:szCs w:val="24"/>
        </w:rPr>
      </w:pPr>
      <w:r>
        <w:rPr>
          <w:noProof/>
          <w:szCs w:val="24"/>
        </w:rPr>
        <w:t xml:space="preserve">This option refers </w:t>
      </w:r>
      <w:r>
        <w:rPr>
          <w:noProof/>
          <w:szCs w:val="24"/>
        </w:rPr>
        <w:t>to the adoption of an action plan containing non-legislative measures to further boost the application of the mutual recognition principle. This option would not include a revision of the Regulation, and therefore the PCP network and the procedure to be fo</w:t>
      </w:r>
      <w:r>
        <w:rPr>
          <w:noProof/>
          <w:szCs w:val="24"/>
        </w:rPr>
        <w:t>llowed by national authorities for denying market access would remain as they are today.</w:t>
      </w:r>
    </w:p>
    <w:p w:rsidR="0037666B" w:rsidRDefault="00C627B8">
      <w:pPr>
        <w:tabs>
          <w:tab w:val="left" w:pos="2302"/>
        </w:tabs>
        <w:rPr>
          <w:noProof/>
          <w:szCs w:val="24"/>
        </w:rPr>
      </w:pPr>
      <w:r>
        <w:rPr>
          <w:noProof/>
          <w:szCs w:val="24"/>
        </w:rPr>
        <w:t>The action plan would contain, in particular, the following measures:</w:t>
      </w:r>
    </w:p>
    <w:tbl>
      <w:tblPr>
        <w:tblStyle w:val="TableGrid1"/>
        <w:tblW w:w="0" w:type="auto"/>
        <w:tblInd w:w="108" w:type="dxa"/>
        <w:tblLook w:val="04A0" w:firstRow="1" w:lastRow="0" w:firstColumn="1" w:lastColumn="0" w:noHBand="0" w:noVBand="1"/>
      </w:tblPr>
      <w:tblGrid>
        <w:gridCol w:w="8726"/>
      </w:tblGrid>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a) Awareness raising and training</w:t>
            </w:r>
          </w:p>
          <w:p w:rsidR="0037666B" w:rsidRDefault="00C627B8">
            <w:pPr>
              <w:tabs>
                <w:tab w:val="left" w:pos="2302"/>
              </w:tabs>
              <w:rPr>
                <w:rFonts w:ascii="Times New Roman" w:hAnsi="Times New Roman" w:cs="Times New Roman"/>
                <w:i/>
                <w:noProof/>
                <w:szCs w:val="24"/>
              </w:rPr>
            </w:pPr>
            <w:r>
              <w:rPr>
                <w:rFonts w:ascii="Times New Roman" w:hAnsi="Times New Roman" w:cs="Times New Roman"/>
                <w:i/>
                <w:noProof/>
                <w:szCs w:val="24"/>
              </w:rPr>
              <w:t>Increasing the general awareness of the mutual recognition prin</w:t>
            </w:r>
            <w:r>
              <w:rPr>
                <w:rFonts w:ascii="Times New Roman" w:hAnsi="Times New Roman" w:cs="Times New Roman"/>
                <w:i/>
                <w:noProof/>
                <w:szCs w:val="24"/>
              </w:rPr>
              <w:t xml:space="preserve">ciple was considered in the 2016 public consultation as the first priority for Member States (51%) and citizens (64%), and as the last priority for businesses, even if supported by 52% of economic operators responding to the consultation. Furthermore, 84% </w:t>
            </w:r>
            <w:r>
              <w:rPr>
                <w:rFonts w:ascii="Times New Roman" w:hAnsi="Times New Roman" w:cs="Times New Roman"/>
                <w:i/>
                <w:noProof/>
                <w:szCs w:val="24"/>
              </w:rPr>
              <w:t xml:space="preserve">of Member States, 95% of businesses and 88% of citizens considered in this consultation that awareness-raising is still necessary. </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Awareness among economic operators and national authorities on mutual recognition and how it works in practice would have t</w:t>
            </w:r>
            <w:r>
              <w:rPr>
                <w:rFonts w:ascii="Times New Roman" w:hAnsi="Times New Roman" w:cs="Times New Roman"/>
                <w:noProof/>
                <w:szCs w:val="24"/>
              </w:rPr>
              <w:t>o be raised. Effective awareness-raising campaigns and specific sectorial training on the implementation of the mutual recognition principle would be provided at EU level.</w:t>
            </w:r>
          </w:p>
          <w:p w:rsidR="0037666B" w:rsidRDefault="00C627B8">
            <w:pPr>
              <w:rPr>
                <w:rFonts w:ascii="Times New Roman" w:hAnsi="Times New Roman" w:cs="Times New Roman"/>
                <w:noProof/>
                <w:szCs w:val="24"/>
                <w:lang w:val="en"/>
              </w:rPr>
            </w:pPr>
            <w:r>
              <w:rPr>
                <w:rFonts w:ascii="Times New Roman" w:hAnsi="Times New Roman" w:cs="Times New Roman"/>
                <w:noProof/>
                <w:szCs w:val="24"/>
                <w:lang w:val="en"/>
              </w:rPr>
              <w:t>The following tools could be included in the Action Plan:</w:t>
            </w:r>
          </w:p>
          <w:p w:rsidR="0037666B" w:rsidRDefault="00C627B8">
            <w:pPr>
              <w:numPr>
                <w:ilvl w:val="0"/>
                <w:numId w:val="29"/>
              </w:numPr>
              <w:ind w:left="459" w:hanging="425"/>
              <w:rPr>
                <w:rFonts w:ascii="Times New Roman" w:hAnsi="Times New Roman" w:cs="Times New Roman"/>
                <w:noProof/>
                <w:szCs w:val="24"/>
                <w:lang w:val="en"/>
              </w:rPr>
            </w:pPr>
            <w:r>
              <w:rPr>
                <w:rFonts w:ascii="Times New Roman" w:hAnsi="Times New Roman" w:cs="Times New Roman"/>
                <w:b/>
                <w:noProof/>
                <w:szCs w:val="24"/>
                <w:lang w:val="en"/>
              </w:rPr>
              <w:t>Training</w:t>
            </w:r>
            <w:r>
              <w:rPr>
                <w:rFonts w:ascii="Times New Roman" w:hAnsi="Times New Roman" w:cs="Times New Roman"/>
                <w:noProof/>
                <w:szCs w:val="24"/>
                <w:lang w:val="en"/>
              </w:rPr>
              <w:t xml:space="preserve"> at general and se</w:t>
            </w:r>
            <w:r>
              <w:rPr>
                <w:rFonts w:ascii="Times New Roman" w:hAnsi="Times New Roman" w:cs="Times New Roman"/>
                <w:noProof/>
                <w:szCs w:val="24"/>
                <w:lang w:val="en"/>
              </w:rPr>
              <w:t xml:space="preserve">ctoral level. A training package to be adapted to targeted groups could be developed in all EU languages. The concept would be </w:t>
            </w:r>
            <w:r>
              <w:rPr>
                <w:rFonts w:ascii="Times New Roman" w:hAnsi="Times New Roman" w:cs="Times New Roman"/>
                <w:b/>
                <w:noProof/>
                <w:szCs w:val="24"/>
                <w:lang w:val="en"/>
              </w:rPr>
              <w:t>"train the trainer"</w:t>
            </w:r>
            <w:r>
              <w:rPr>
                <w:rFonts w:ascii="Times New Roman" w:hAnsi="Times New Roman" w:cs="Times New Roman"/>
                <w:noProof/>
                <w:szCs w:val="24"/>
                <w:lang w:val="en"/>
              </w:rPr>
              <w:t xml:space="preserve"> whereby the Commission would develop the training package and would train the trainer. The targeted groups co</w:t>
            </w:r>
            <w:r>
              <w:rPr>
                <w:rFonts w:ascii="Times New Roman" w:hAnsi="Times New Roman" w:cs="Times New Roman"/>
                <w:noProof/>
                <w:szCs w:val="24"/>
                <w:lang w:val="en"/>
              </w:rPr>
              <w:t xml:space="preserve">uld include </w:t>
            </w:r>
            <w:r>
              <w:rPr>
                <w:rFonts w:ascii="Times New Roman" w:hAnsi="Times New Roman" w:cs="Times New Roman"/>
                <w:b/>
                <w:noProof/>
                <w:szCs w:val="24"/>
                <w:lang w:val="en"/>
              </w:rPr>
              <w:t>national administrations</w:t>
            </w:r>
            <w:r>
              <w:rPr>
                <w:rFonts w:ascii="Times New Roman" w:hAnsi="Times New Roman" w:cs="Times New Roman"/>
                <w:noProof/>
                <w:szCs w:val="24"/>
                <w:lang w:val="en"/>
              </w:rPr>
              <w:t xml:space="preserve">: PCP, national authorities responsible for product-related legislation in problematic areas, national courts/ judges, market surveillance authorities or SOLVIT staff. The same concept would be duplicated for </w:t>
            </w:r>
            <w:r>
              <w:rPr>
                <w:rFonts w:ascii="Times New Roman" w:hAnsi="Times New Roman" w:cs="Times New Roman"/>
                <w:b/>
                <w:noProof/>
                <w:szCs w:val="24"/>
                <w:lang w:val="en"/>
              </w:rPr>
              <w:t>businesses</w:t>
            </w:r>
            <w:r>
              <w:rPr>
                <w:rFonts w:ascii="Times New Roman" w:hAnsi="Times New Roman" w:cs="Times New Roman"/>
                <w:noProof/>
                <w:szCs w:val="24"/>
                <w:lang w:val="en"/>
              </w:rPr>
              <w:t>,</w:t>
            </w:r>
            <w:r>
              <w:rPr>
                <w:rFonts w:ascii="Times New Roman" w:hAnsi="Times New Roman" w:cs="Times New Roman"/>
                <w:noProof/>
                <w:szCs w:val="24"/>
                <w:lang w:val="en"/>
              </w:rPr>
              <w:t xml:space="preserve"> where the trainer could be drawn from European Enterprise Network (EEN) staff.</w:t>
            </w:r>
          </w:p>
          <w:p w:rsidR="0037666B" w:rsidRDefault="00C627B8">
            <w:pPr>
              <w:numPr>
                <w:ilvl w:val="0"/>
                <w:numId w:val="29"/>
              </w:numPr>
              <w:ind w:left="459" w:hanging="425"/>
              <w:rPr>
                <w:rFonts w:ascii="Times New Roman" w:hAnsi="Times New Roman" w:cs="Times New Roman"/>
                <w:noProof/>
                <w:szCs w:val="24"/>
              </w:rPr>
            </w:pPr>
            <w:r>
              <w:rPr>
                <w:rFonts w:ascii="Times New Roman" w:hAnsi="Times New Roman" w:cs="Times New Roman"/>
                <w:noProof/>
                <w:szCs w:val="24"/>
                <w:lang w:val="en"/>
              </w:rPr>
              <w:t xml:space="preserve">As an outcome of the training courses, a comprehensive guidance document could be developed i.e. </w:t>
            </w:r>
            <w:r>
              <w:rPr>
                <w:rFonts w:ascii="Times New Roman" w:hAnsi="Times New Roman" w:cs="Times New Roman"/>
                <w:b/>
                <w:noProof/>
                <w:szCs w:val="24"/>
              </w:rPr>
              <w:t>a Mutual Recognition rule book</w:t>
            </w:r>
            <w:r>
              <w:rPr>
                <w:rFonts w:ascii="Times New Roman" w:hAnsi="Times New Roman" w:cs="Times New Roman"/>
                <w:noProof/>
                <w:szCs w:val="24"/>
              </w:rPr>
              <w:t>. This would include, for example, detailed guida</w:t>
            </w:r>
            <w:r>
              <w:rPr>
                <w:rFonts w:ascii="Times New Roman" w:hAnsi="Times New Roman" w:cs="Times New Roman"/>
                <w:noProof/>
                <w:szCs w:val="24"/>
              </w:rPr>
              <w:t>nce on the application of the principle, building on and updating the Commission interpretative Communication on facilitating access of products to the markets of other Member States: the practical application of mutual recognition adopted in 2003</w:t>
            </w:r>
            <w:r>
              <w:rPr>
                <w:rFonts w:ascii="Times New Roman" w:hAnsi="Times New Roman" w:cs="Times New Roman"/>
                <w:noProof/>
                <w:szCs w:val="24"/>
                <w:vertAlign w:val="superscript"/>
              </w:rPr>
              <w:footnoteReference w:id="78"/>
            </w:r>
            <w:r>
              <w:rPr>
                <w:rFonts w:ascii="Times New Roman" w:hAnsi="Times New Roman" w:cs="Times New Roman"/>
                <w:noProof/>
                <w:szCs w:val="24"/>
              </w:rPr>
              <w:t xml:space="preserve">, as </w:t>
            </w:r>
            <w:r>
              <w:rPr>
                <w:rFonts w:ascii="Times New Roman" w:hAnsi="Times New Roman" w:cs="Times New Roman"/>
                <w:noProof/>
                <w:szCs w:val="24"/>
              </w:rPr>
              <w:t>well as identifying best practices.</w:t>
            </w:r>
          </w:p>
          <w:p w:rsidR="0037666B" w:rsidRDefault="00C627B8">
            <w:pPr>
              <w:numPr>
                <w:ilvl w:val="0"/>
                <w:numId w:val="29"/>
              </w:numPr>
              <w:ind w:left="459" w:hanging="425"/>
              <w:rPr>
                <w:rFonts w:ascii="Times New Roman" w:hAnsi="Times New Roman" w:cs="Times New Roman"/>
                <w:noProof/>
                <w:szCs w:val="24"/>
              </w:rPr>
            </w:pPr>
            <w:r>
              <w:rPr>
                <w:rFonts w:ascii="Times New Roman" w:hAnsi="Times New Roman" w:cs="Times New Roman"/>
                <w:noProof/>
                <w:szCs w:val="24"/>
              </w:rPr>
              <w:t>The list of products to which mutual recognition would be reassessed to determine how it can be rendered more user friendly so that it can provide more meaningful information to stakeholders.</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 xml:space="preserve">b) A clearer mutual </w:t>
            </w:r>
            <w:r>
              <w:rPr>
                <w:rFonts w:ascii="Times New Roman" w:hAnsi="Times New Roman" w:cs="Times New Roman"/>
                <w:b/>
                <w:noProof/>
                <w:szCs w:val="24"/>
              </w:rPr>
              <w:t>recognition clause</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The Commission would design a clearer mutual recognition clause as part of a guidance document to be included in national technical rules adopted by Member States. </w:t>
            </w:r>
          </w:p>
          <w:p w:rsidR="0037666B" w:rsidRDefault="00C627B8">
            <w:pPr>
              <w:rPr>
                <w:rFonts w:ascii="Times New Roman" w:hAnsi="Times New Roman" w:cs="Times New Roman"/>
                <w:noProof/>
                <w:szCs w:val="24"/>
              </w:rPr>
            </w:pPr>
            <w:r>
              <w:rPr>
                <w:rFonts w:ascii="Times New Roman" w:hAnsi="Times New Roman" w:cs="Times New Roman"/>
                <w:noProof/>
                <w:szCs w:val="24"/>
              </w:rPr>
              <w:t>The new mutual recognition clause would be further supported by guidanc</w:t>
            </w:r>
            <w:r>
              <w:rPr>
                <w:rFonts w:ascii="Times New Roman" w:hAnsi="Times New Roman" w:cs="Times New Roman"/>
                <w:noProof/>
                <w:szCs w:val="24"/>
              </w:rPr>
              <w:t>e to Member States on how and when the clause should be included in the national legislation, and on the consequences of its inclusion.</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 xml:space="preserve">c) Exchange of officials in the area of mutual recognition </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Exchanges of officials from Member States working in the r</w:t>
            </w:r>
            <w:r>
              <w:rPr>
                <w:rFonts w:ascii="Times New Roman" w:hAnsi="Times New Roman" w:cs="Times New Roman"/>
                <w:noProof/>
                <w:szCs w:val="24"/>
              </w:rPr>
              <w:t xml:space="preserve">elevant national administrations would concern Product Contact Points but also national authorities working in problematic areas, such as construction products, food area, etc. The exchange would take place over a short period of time, for example 1 week. </w:t>
            </w:r>
          </w:p>
        </w:tc>
      </w:tr>
    </w:tbl>
    <w:p w:rsidR="0037666B" w:rsidRDefault="00C627B8">
      <w:pPr>
        <w:numPr>
          <w:ilvl w:val="1"/>
          <w:numId w:val="3"/>
        </w:numPr>
        <w:tabs>
          <w:tab w:val="clear" w:pos="1200"/>
          <w:tab w:val="num" w:pos="567"/>
        </w:tabs>
        <w:spacing w:before="240"/>
        <w:ind w:left="567" w:hanging="567"/>
        <w:outlineLvl w:val="1"/>
        <w:rPr>
          <w:b/>
          <w:noProof/>
          <w:szCs w:val="24"/>
        </w:rPr>
      </w:pPr>
      <w:r>
        <w:rPr>
          <w:b/>
          <w:noProof/>
          <w:szCs w:val="24"/>
        </w:rPr>
        <w:t>Option 3: Minimum legislative changes to Regulation (EC) No 764/2008 to improve the functioning of mutual recognition</w:t>
      </w:r>
    </w:p>
    <w:p w:rsidR="0037666B" w:rsidRDefault="00C627B8">
      <w:pPr>
        <w:tabs>
          <w:tab w:val="left" w:pos="2302"/>
        </w:tabs>
        <w:rPr>
          <w:noProof/>
          <w:szCs w:val="24"/>
        </w:rPr>
      </w:pPr>
      <w:r>
        <w:rPr>
          <w:noProof/>
          <w:szCs w:val="24"/>
        </w:rPr>
        <w:t>Under this option, containing several complementary sub-options, the Regulation would be revised; the changes to be introduced would add</w:t>
      </w:r>
      <w:r>
        <w:rPr>
          <w:noProof/>
          <w:szCs w:val="24"/>
        </w:rPr>
        <w:t xml:space="preserve">ress the drivers identified while allowing for more flexibility in the use of the mutual recognition principle. </w:t>
      </w:r>
    </w:p>
    <w:p w:rsidR="0037666B" w:rsidRDefault="00C627B8">
      <w:pPr>
        <w:tabs>
          <w:tab w:val="left" w:pos="2302"/>
        </w:tabs>
        <w:rPr>
          <w:noProof/>
          <w:szCs w:val="24"/>
        </w:rPr>
      </w:pPr>
      <w:r>
        <w:rPr>
          <w:noProof/>
          <w:szCs w:val="24"/>
        </w:rPr>
        <w:t>In particular, the following changes would be introduced in the Regulation:</w:t>
      </w:r>
    </w:p>
    <w:tbl>
      <w:tblPr>
        <w:tblStyle w:val="TableGrid1"/>
        <w:tblW w:w="0" w:type="auto"/>
        <w:tblInd w:w="108" w:type="dxa"/>
        <w:tblLook w:val="04A0" w:firstRow="1" w:lastRow="0" w:firstColumn="1" w:lastColumn="0" w:noHBand="0" w:noVBand="1"/>
      </w:tblPr>
      <w:tblGrid>
        <w:gridCol w:w="8726"/>
      </w:tblGrid>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a) Free movement of goods guaranteed by compliance with European st</w:t>
            </w:r>
            <w:r>
              <w:rPr>
                <w:rFonts w:ascii="Times New Roman" w:hAnsi="Times New Roman" w:cs="Times New Roman"/>
                <w:b/>
                <w:noProof/>
                <w:szCs w:val="24"/>
              </w:rPr>
              <w:t>andards</w:t>
            </w:r>
          </w:p>
          <w:p w:rsidR="0037666B" w:rsidRDefault="00C627B8">
            <w:pPr>
              <w:rPr>
                <w:rFonts w:ascii="Times New Roman" w:hAnsi="Times New Roman" w:cs="Times New Roman"/>
                <w:i/>
                <w:noProof/>
                <w:szCs w:val="24"/>
              </w:rPr>
            </w:pPr>
            <w:r>
              <w:rPr>
                <w:rFonts w:ascii="Times New Roman" w:hAnsi="Times New Roman" w:cs="Times New Roman"/>
                <w:i/>
                <w:noProof/>
                <w:szCs w:val="24"/>
              </w:rPr>
              <w:t xml:space="preserve">During the 2016 public consultation, 57% of Member States, 84% of businesses and 82% of citizens supported this option. </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A possible solution to address the differences in the technical requirements in national laws would be to guarantee that </w:t>
            </w:r>
            <w:r>
              <w:rPr>
                <w:rFonts w:ascii="Times New Roman" w:hAnsi="Times New Roman" w:cs="Times New Roman"/>
                <w:noProof/>
                <w:szCs w:val="24"/>
              </w:rPr>
              <w:t>products lawfully marketed in one Member State and complying with specifically identified European standards would effectively enjoy the right of free movement in the EU. This option builds on the role that European standards already have in the harmonised</w:t>
            </w:r>
            <w:r>
              <w:rPr>
                <w:rFonts w:ascii="Times New Roman" w:hAnsi="Times New Roman" w:cs="Times New Roman"/>
                <w:noProof/>
                <w:szCs w:val="24"/>
              </w:rPr>
              <w:t xml:space="preserve"> sector. In particular, European standards the reference of which has been published in the Official Journal, provide presumption of conformity of a product with the specific requirements of a harmonisation legislation they covered. Such referenced Europea</w:t>
            </w:r>
            <w:r>
              <w:rPr>
                <w:rFonts w:ascii="Times New Roman" w:hAnsi="Times New Roman" w:cs="Times New Roman"/>
                <w:noProof/>
                <w:szCs w:val="24"/>
              </w:rPr>
              <w:t>n standards become thus "harmonised standards" and by applying them, the manufacturer enjoys the presumption of conformity with the applicable requirements and does not need to prove by other means the compliance of its product. In the current context of m</w:t>
            </w:r>
            <w:r>
              <w:rPr>
                <w:rFonts w:ascii="Times New Roman" w:hAnsi="Times New Roman" w:cs="Times New Roman"/>
                <w:noProof/>
                <w:szCs w:val="24"/>
              </w:rPr>
              <w:t>utual recognition, this option refers only to already existing or future European standards but not to mandating the developments of specific European standards. The recognition of particular European standards would be done by the Commission via implement</w:t>
            </w:r>
            <w:r>
              <w:rPr>
                <w:rFonts w:ascii="Times New Roman" w:hAnsi="Times New Roman" w:cs="Times New Roman"/>
                <w:noProof/>
                <w:szCs w:val="24"/>
              </w:rPr>
              <w:t>ing acts, and after consultation of Member States. Compliance with these standards would give a presumption of compliance with the relevant technical rules applicable in any Member State, as the standards usually cover the design of the product and the tes</w:t>
            </w:r>
            <w:r>
              <w:rPr>
                <w:rFonts w:ascii="Times New Roman" w:hAnsi="Times New Roman" w:cs="Times New Roman"/>
                <w:noProof/>
                <w:szCs w:val="24"/>
              </w:rPr>
              <w:t>ting methods, which are the core of technical rules. A product complying with the European standards would benefit from market access in the Member State of destination, unless the national authorities demonstrate that it does not offer adequate protection</w:t>
            </w:r>
            <w:r>
              <w:rPr>
                <w:rFonts w:ascii="Times New Roman" w:hAnsi="Times New Roman" w:cs="Times New Roman"/>
                <w:noProof/>
                <w:szCs w:val="24"/>
              </w:rPr>
              <w:t xml:space="preserve"> of the relevant public interests; thereby shifting the burden of proof to national authorities. Such presumption of compliance would facilitate the free movement of goods already lawfully manufactured in a Member State. It would provide legal certainty an</w:t>
            </w:r>
            <w:r>
              <w:rPr>
                <w:rFonts w:ascii="Times New Roman" w:hAnsi="Times New Roman" w:cs="Times New Roman"/>
                <w:noProof/>
                <w:szCs w:val="24"/>
              </w:rPr>
              <w:t>d reliability as to the outcome when businesses could invoke mutual recognition. Compliance with these standards would remain voluntary for economic operators, who would need to be aware and apply any particular European standards identified in the context</w:t>
            </w:r>
            <w:r>
              <w:rPr>
                <w:rFonts w:ascii="Times New Roman" w:hAnsi="Times New Roman" w:cs="Times New Roman"/>
                <w:noProof/>
                <w:szCs w:val="24"/>
              </w:rPr>
              <w:t xml:space="preserve"> of mutual recognition if they want to access other Member States markets. However, the limits of this option would be that currently, European standards do not exist for every product or aspect of product, and therefore it would not provide a solution for</w:t>
            </w:r>
            <w:r>
              <w:rPr>
                <w:rFonts w:ascii="Times New Roman" w:hAnsi="Times New Roman" w:cs="Times New Roman"/>
                <w:noProof/>
                <w:szCs w:val="24"/>
              </w:rPr>
              <w:t xml:space="preserve"> those other products or aspects of products. Also, the process for recognising them for the purposes of mutual recognition via implementing acts would be time consuming.</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b) Transparency for administrative decisions denying market access</w:t>
            </w:r>
          </w:p>
          <w:p w:rsidR="0037666B" w:rsidRDefault="00C627B8">
            <w:pPr>
              <w:rPr>
                <w:rFonts w:ascii="Times New Roman" w:hAnsi="Times New Roman" w:cs="Times New Roman"/>
                <w:b/>
                <w:noProof/>
                <w:szCs w:val="24"/>
              </w:rPr>
            </w:pPr>
            <w:r>
              <w:rPr>
                <w:rFonts w:ascii="Times New Roman" w:hAnsi="Times New Roman" w:cs="Times New Roman"/>
                <w:i/>
                <w:noProof/>
                <w:szCs w:val="24"/>
              </w:rPr>
              <w:t>During the 2016 p</w:t>
            </w:r>
            <w:r>
              <w:rPr>
                <w:rFonts w:ascii="Times New Roman" w:hAnsi="Times New Roman" w:cs="Times New Roman"/>
                <w:i/>
                <w:noProof/>
                <w:szCs w:val="24"/>
              </w:rPr>
              <w:t>ublic consultation, 46% of Member States, 81% of businesses and 64% of citizens agreed that dissuasive means are necessary to ensure the notification obligation is respected.</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The Regulation would reinforce the obligation to notify administrative decisions</w:t>
            </w:r>
            <w:r>
              <w:rPr>
                <w:rFonts w:ascii="Times New Roman" w:hAnsi="Times New Roman" w:cs="Times New Roman"/>
                <w:noProof/>
                <w:szCs w:val="24"/>
              </w:rPr>
              <w:t xml:space="preserve"> denying or restricting mutual recognition. Under this option, the notification obligations would be strengthened and administrative decisions which have not been notified to the Commission and the economic operator concerned would be considered as void an</w:t>
            </w:r>
            <w:r>
              <w:rPr>
                <w:rFonts w:ascii="Times New Roman" w:hAnsi="Times New Roman" w:cs="Times New Roman"/>
                <w:noProof/>
                <w:szCs w:val="24"/>
              </w:rPr>
              <w:t>d thus could not be enforced vis-à-vis the operator. More transparency for these decisions would be an incentive for Member States to apply the mutual recognition principle properly, as the lack of proper justification supporting the administrative decisio</w:t>
            </w:r>
            <w:r>
              <w:rPr>
                <w:rFonts w:ascii="Times New Roman" w:hAnsi="Times New Roman" w:cs="Times New Roman"/>
                <w:noProof/>
                <w:szCs w:val="24"/>
              </w:rPr>
              <w:t>ns to be notified could be spotted easily by the Commission and any other Member State, including the Member State of origin. Using an IT tool for allowing Member States to notify would also give all notifications more visibility. The IT tool to be conside</w:t>
            </w:r>
            <w:r>
              <w:rPr>
                <w:rFonts w:ascii="Times New Roman" w:hAnsi="Times New Roman" w:cs="Times New Roman"/>
                <w:noProof/>
                <w:szCs w:val="24"/>
              </w:rPr>
              <w:t xml:space="preserve">red could be, e.g., the Internal Market Information tool (IMI) or ICSMS (i.e. the General Information Support System referred to in Article 23 of Regulation (EC) No 765/2008). </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c) Enlarging the role of Product Contact Points</w:t>
            </w:r>
          </w:p>
          <w:p w:rsidR="0037666B" w:rsidRDefault="00C627B8">
            <w:pPr>
              <w:rPr>
                <w:rFonts w:ascii="Times New Roman" w:hAnsi="Times New Roman" w:cs="Times New Roman"/>
                <w:noProof/>
                <w:szCs w:val="24"/>
              </w:rPr>
            </w:pPr>
            <w:r>
              <w:rPr>
                <w:rFonts w:ascii="Times New Roman" w:hAnsi="Times New Roman" w:cs="Times New Roman"/>
                <w:i/>
                <w:noProof/>
                <w:szCs w:val="24"/>
              </w:rPr>
              <w:t>During the 2016 public consult</w:t>
            </w:r>
            <w:r>
              <w:rPr>
                <w:rFonts w:ascii="Times New Roman" w:hAnsi="Times New Roman" w:cs="Times New Roman"/>
                <w:i/>
                <w:noProof/>
                <w:szCs w:val="24"/>
              </w:rPr>
              <w:t>ation, 64% of Member States, 64% of businesses and 70% of citizens agreed that PCPs need to be strengthened. Member States (31%) and citizens (23%) ranked this as the last priority for the Commission, while businesses ranked it second to last (54%).</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The </w:t>
            </w:r>
            <w:r>
              <w:rPr>
                <w:rFonts w:ascii="Times New Roman" w:hAnsi="Times New Roman" w:cs="Times New Roman"/>
                <w:noProof/>
                <w:szCs w:val="24"/>
              </w:rPr>
              <w:t>efficiency of PCPs in raising awareness of mutual recognition and in providing useful information to businesses was limited. However, the need to keep a network able to provide basic information and connect economic operators with the responsible authoriti</w:t>
            </w:r>
            <w:r>
              <w:rPr>
                <w:rFonts w:ascii="Times New Roman" w:hAnsi="Times New Roman" w:cs="Times New Roman"/>
                <w:noProof/>
                <w:szCs w:val="24"/>
              </w:rPr>
              <w:t>es for more complex information remains. This is why it is proposed that PCPs remain as the main information points for mutual recognition, but that their role is enhanced. The role of PCPs would be enlarged in order to provide information on all applicabl</w:t>
            </w:r>
            <w:r>
              <w:rPr>
                <w:rFonts w:ascii="Times New Roman" w:hAnsi="Times New Roman" w:cs="Times New Roman"/>
                <w:noProof/>
                <w:szCs w:val="24"/>
              </w:rPr>
              <w:t>e rules for all products, i.e. information on Union harmonisation legislation and on national technical rules adopted in the non-harmonised area. This would be particularly relevant for products where certain aspects are covered by harmonised legislation a</w:t>
            </w:r>
            <w:r>
              <w:rPr>
                <w:rFonts w:ascii="Times New Roman" w:hAnsi="Times New Roman" w:cs="Times New Roman"/>
                <w:noProof/>
                <w:szCs w:val="24"/>
              </w:rPr>
              <w:t>nd others subject to national technical rules, since it would offer economic operators information on all rules applicable to their product and thus a more complete overview of the regulatory situation in the Member State of destination.</w:t>
            </w:r>
          </w:p>
        </w:tc>
      </w:tr>
    </w:tbl>
    <w:p w:rsidR="0037666B" w:rsidRDefault="00C627B8">
      <w:pPr>
        <w:numPr>
          <w:ilvl w:val="1"/>
          <w:numId w:val="3"/>
        </w:numPr>
        <w:tabs>
          <w:tab w:val="clear" w:pos="1200"/>
          <w:tab w:val="num" w:pos="567"/>
        </w:tabs>
        <w:spacing w:before="240"/>
        <w:ind w:left="567" w:hanging="567"/>
        <w:outlineLvl w:val="1"/>
        <w:rPr>
          <w:b/>
          <w:noProof/>
          <w:szCs w:val="24"/>
        </w:rPr>
      </w:pPr>
      <w:r>
        <w:rPr>
          <w:b/>
          <w:noProof/>
          <w:szCs w:val="24"/>
        </w:rPr>
        <w:t>Option 4: Compreh</w:t>
      </w:r>
      <w:r>
        <w:rPr>
          <w:b/>
          <w:noProof/>
          <w:szCs w:val="24"/>
        </w:rPr>
        <w:t>ensive legislative changes to Regulation (EC) No 764/2008 to improve the functioning of mutual recognition</w:t>
      </w:r>
    </w:p>
    <w:p w:rsidR="0037666B" w:rsidRDefault="00C627B8">
      <w:pPr>
        <w:tabs>
          <w:tab w:val="left" w:pos="2302"/>
        </w:tabs>
        <w:rPr>
          <w:noProof/>
          <w:szCs w:val="24"/>
        </w:rPr>
      </w:pPr>
      <w:r>
        <w:rPr>
          <w:noProof/>
          <w:szCs w:val="24"/>
        </w:rPr>
        <w:t xml:space="preserve">Under this option, comprehensive regulatory changes would be made to the current legislation. </w:t>
      </w:r>
    </w:p>
    <w:p w:rsidR="0037666B" w:rsidRDefault="00C627B8">
      <w:pPr>
        <w:tabs>
          <w:tab w:val="left" w:pos="2302"/>
        </w:tabs>
        <w:rPr>
          <w:noProof/>
          <w:szCs w:val="24"/>
        </w:rPr>
      </w:pPr>
      <w:r>
        <w:rPr>
          <w:noProof/>
          <w:szCs w:val="24"/>
        </w:rPr>
        <w:t>In particular, the following changes would be introduc</w:t>
      </w:r>
      <w:r>
        <w:rPr>
          <w:noProof/>
          <w:szCs w:val="24"/>
        </w:rPr>
        <w:t>ed in the Regulation:</w:t>
      </w:r>
    </w:p>
    <w:tbl>
      <w:tblPr>
        <w:tblStyle w:val="TableGrid1"/>
        <w:tblW w:w="0" w:type="auto"/>
        <w:tblInd w:w="108" w:type="dxa"/>
        <w:tblLook w:val="04A0" w:firstRow="1" w:lastRow="0" w:firstColumn="1" w:lastColumn="0" w:noHBand="0" w:noVBand="1"/>
      </w:tblPr>
      <w:tblGrid>
        <w:gridCol w:w="8726"/>
      </w:tblGrid>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 xml:space="preserve">a) Clarifying the scope of mutual recognition  </w:t>
            </w:r>
          </w:p>
          <w:p w:rsidR="0037666B" w:rsidRDefault="00C627B8">
            <w:pPr>
              <w:rPr>
                <w:rFonts w:ascii="Times New Roman" w:hAnsi="Times New Roman" w:cs="Times New Roman"/>
                <w:b/>
                <w:noProof/>
                <w:szCs w:val="24"/>
              </w:rPr>
            </w:pPr>
            <w:r>
              <w:rPr>
                <w:rFonts w:ascii="Times New Roman" w:hAnsi="Times New Roman" w:cs="Times New Roman"/>
                <w:i/>
                <w:noProof/>
                <w:szCs w:val="24"/>
              </w:rPr>
              <w:t xml:space="preserve">During the 2016 public consultation, 84% of Member States, 85% of businesses and 82% of citizens supported this option. </w:t>
            </w:r>
          </w:p>
        </w:tc>
      </w:tr>
      <w:tr w:rsidR="0037666B">
        <w:tc>
          <w:tcPr>
            <w:tcW w:w="8726" w:type="dxa"/>
            <w:shd w:val="clear" w:color="auto" w:fill="auto"/>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The Regulation would be clarified and extended beyond its </w:t>
            </w:r>
            <w:r>
              <w:rPr>
                <w:rFonts w:ascii="Times New Roman" w:hAnsi="Times New Roman" w:cs="Times New Roman"/>
                <w:noProof/>
                <w:szCs w:val="24"/>
              </w:rPr>
              <w:t>current scope of defining procedural guarantees for decisions denying market access. It would expressly mention that mutual recognition applies not only to products not subject to harmonisation legislation but also to products for which only certain aspect</w:t>
            </w:r>
            <w:r>
              <w:rPr>
                <w:rFonts w:ascii="Times New Roman" w:hAnsi="Times New Roman" w:cs="Times New Roman"/>
                <w:noProof/>
                <w:szCs w:val="24"/>
              </w:rPr>
              <w:t>s are covered by harmonisation legislation in whatever aspects are left for national rules. Clarifications would be provided also as regards the areas where measures restricting or denying market access can be taken on the basis of the mutual recognition p</w:t>
            </w:r>
            <w:r>
              <w:rPr>
                <w:rFonts w:ascii="Times New Roman" w:hAnsi="Times New Roman" w:cs="Times New Roman"/>
                <w:noProof/>
                <w:szCs w:val="24"/>
              </w:rPr>
              <w:t>rinciple and how these should be notified to the Commission and other concerned parties.</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b) Declaration of compliance</w:t>
            </w:r>
          </w:p>
          <w:p w:rsidR="0037666B" w:rsidRDefault="00C627B8">
            <w:pPr>
              <w:rPr>
                <w:rFonts w:ascii="Times New Roman" w:hAnsi="Times New Roman" w:cs="Times New Roman"/>
                <w:noProof/>
                <w:szCs w:val="24"/>
              </w:rPr>
            </w:pPr>
            <w:r>
              <w:rPr>
                <w:rFonts w:ascii="Times New Roman" w:hAnsi="Times New Roman" w:cs="Times New Roman"/>
                <w:i/>
                <w:noProof/>
                <w:szCs w:val="24"/>
              </w:rPr>
              <w:t>During the 2016 public consultation, 75% of Member States, 80% of businesses and 76% of citizens agreed that a declaration would simplify</w:t>
            </w:r>
            <w:r>
              <w:rPr>
                <w:rFonts w:ascii="Times New Roman" w:hAnsi="Times New Roman" w:cs="Times New Roman"/>
                <w:i/>
                <w:noProof/>
                <w:szCs w:val="24"/>
              </w:rPr>
              <w:t xml:space="preserve"> the demonstration of the lawful marketing of the products. Increasing legal certainty has been ranked by businesses (67%) and citizens (52%) as the 2</w:t>
            </w:r>
            <w:r>
              <w:rPr>
                <w:rFonts w:ascii="Times New Roman" w:hAnsi="Times New Roman" w:cs="Times New Roman"/>
                <w:i/>
                <w:noProof/>
                <w:szCs w:val="24"/>
                <w:vertAlign w:val="superscript"/>
              </w:rPr>
              <w:t>nd</w:t>
            </w:r>
            <w:r>
              <w:rPr>
                <w:rFonts w:ascii="Times New Roman" w:hAnsi="Times New Roman" w:cs="Times New Roman"/>
                <w:i/>
                <w:noProof/>
                <w:szCs w:val="24"/>
              </w:rPr>
              <w:t xml:space="preserve"> priority for the Commission, while Member States (33%) ranked it second to last. </w:t>
            </w:r>
          </w:p>
        </w:tc>
      </w:tr>
      <w:tr w:rsidR="0037666B">
        <w:tc>
          <w:tcPr>
            <w:tcW w:w="8726" w:type="dxa"/>
          </w:tcPr>
          <w:p w:rsidR="0037666B" w:rsidRDefault="00C627B8">
            <w:pPr>
              <w:pStyle w:val="Text3"/>
              <w:ind w:left="0"/>
              <w:rPr>
                <w:rFonts w:ascii="Times New Roman" w:hAnsi="Times New Roman" w:cs="Times New Roman"/>
                <w:noProof/>
                <w:szCs w:val="24"/>
              </w:rPr>
            </w:pPr>
            <w:r>
              <w:rPr>
                <w:rFonts w:ascii="Times New Roman" w:hAnsi="Times New Roman" w:cs="Times New Roman"/>
                <w:noProof/>
                <w:szCs w:val="24"/>
              </w:rPr>
              <w:t>The Regulation would</w:t>
            </w:r>
            <w:r>
              <w:rPr>
                <w:rFonts w:ascii="Times New Roman" w:hAnsi="Times New Roman" w:cs="Times New Roman"/>
                <w:noProof/>
                <w:szCs w:val="24"/>
              </w:rPr>
              <w:t xml:space="preserve"> introduce a declaration of compliance with the technical rules of the Member State where the product is being lawfully marketed, to facilitate the access of this product to the market of the other Member States. A similar declaration of compliance is alre</w:t>
            </w:r>
            <w:r>
              <w:rPr>
                <w:rFonts w:ascii="Times New Roman" w:hAnsi="Times New Roman" w:cs="Times New Roman"/>
                <w:noProof/>
                <w:szCs w:val="24"/>
              </w:rPr>
              <w:t>ady required for products within the scope of Union harmonisation legislation, giving Member States authorities the first information regarding the legislation the product complies with, and the conformity assessment procedure which has been followed, as a</w:t>
            </w:r>
            <w:r>
              <w:rPr>
                <w:rFonts w:ascii="Times New Roman" w:hAnsi="Times New Roman" w:cs="Times New Roman"/>
                <w:noProof/>
                <w:szCs w:val="24"/>
              </w:rPr>
              <w:t>ppropriate. The aim of the declaration for mutual recognition is to bring administrative simplification, as it will allow economic operators to show compliance with applicable national rules in the Member State where their products are lawfully marketed in</w:t>
            </w:r>
            <w:r>
              <w:rPr>
                <w:rFonts w:ascii="Times New Roman" w:hAnsi="Times New Roman" w:cs="Times New Roman"/>
                <w:noProof/>
                <w:szCs w:val="24"/>
              </w:rPr>
              <w:t xml:space="preserve"> a single standardised manner. It would replace the various and numerous existing means for requesting evidence to prove that a product is already lawfully marketed in a certain Member State by one single standardised document. It would bring legal certain</w:t>
            </w:r>
            <w:r>
              <w:rPr>
                <w:rFonts w:ascii="Times New Roman" w:hAnsi="Times New Roman" w:cs="Times New Roman"/>
                <w:noProof/>
                <w:szCs w:val="24"/>
              </w:rPr>
              <w:t>ty for both economic operators and national authorities, as it offers all the information necessary for carrying out the assessment of whether or not the product is allowed on the market. Moreover, it would facilitate the mutual recognition by the authorit</w:t>
            </w:r>
            <w:r>
              <w:rPr>
                <w:rFonts w:ascii="Times New Roman" w:hAnsi="Times New Roman" w:cs="Times New Roman"/>
                <w:noProof/>
                <w:szCs w:val="24"/>
              </w:rPr>
              <w:t xml:space="preserve">ies of the Member State of destination of the requirements already met in the Member State of origin. </w:t>
            </w:r>
          </w:p>
          <w:p w:rsidR="0037666B" w:rsidRDefault="00C627B8">
            <w:pPr>
              <w:rPr>
                <w:rFonts w:ascii="Times New Roman" w:hAnsi="Times New Roman" w:cs="Times New Roman"/>
                <w:noProof/>
                <w:szCs w:val="24"/>
              </w:rPr>
            </w:pPr>
            <w:r>
              <w:rPr>
                <w:rFonts w:ascii="Times New Roman" w:hAnsi="Times New Roman" w:cs="Times New Roman"/>
                <w:noProof/>
                <w:szCs w:val="24"/>
              </w:rPr>
              <w:t>When entering a new market, economic operators would rely on the same declaration to attest that their product is already lawfully marketed. All national</w:t>
            </w:r>
            <w:r>
              <w:rPr>
                <w:rFonts w:ascii="Times New Roman" w:hAnsi="Times New Roman" w:cs="Times New Roman"/>
                <w:noProof/>
                <w:szCs w:val="24"/>
              </w:rPr>
              <w:t xml:space="preserve"> authorities would have to accept this declaration and, while they would be able to ask for evidence substantiating the information stated therein, they would not be able to require different means of evidence. The Regulation would define the </w:t>
            </w:r>
            <w:r>
              <w:rPr>
                <w:rFonts w:ascii="Times New Roman" w:hAnsi="Times New Roman" w:cs="Times New Roman"/>
                <w:b/>
                <w:noProof/>
                <w:szCs w:val="24"/>
              </w:rPr>
              <w:t xml:space="preserve">standardised </w:t>
            </w:r>
            <w:r>
              <w:rPr>
                <w:rFonts w:ascii="Times New Roman" w:hAnsi="Times New Roman" w:cs="Times New Roman"/>
                <w:b/>
                <w:noProof/>
                <w:szCs w:val="24"/>
              </w:rPr>
              <w:t>content</w:t>
            </w:r>
            <w:r>
              <w:rPr>
                <w:rFonts w:ascii="Times New Roman" w:hAnsi="Times New Roman" w:cs="Times New Roman"/>
                <w:noProof/>
                <w:szCs w:val="24"/>
              </w:rPr>
              <w:t xml:space="preserve"> this declaration of compliance would have. It would include at least the identification of the economic operator and of the product, the relevant legislation and /or standards the product complies with and, when applicable, the relevant conformity </w:t>
            </w:r>
            <w:r>
              <w:rPr>
                <w:rFonts w:ascii="Times New Roman" w:hAnsi="Times New Roman" w:cs="Times New Roman"/>
                <w:noProof/>
                <w:szCs w:val="24"/>
              </w:rPr>
              <w:t>assessment procedure and specific tests carried out. It would be drafted in the language of the Member State where the economic operator intends to market his products, by making use of multilingual forms, which would be introduced as an Annex to the Regul</w:t>
            </w:r>
            <w:r>
              <w:rPr>
                <w:rFonts w:ascii="Times New Roman" w:hAnsi="Times New Roman" w:cs="Times New Roman"/>
                <w:noProof/>
                <w:szCs w:val="24"/>
              </w:rPr>
              <w:t>ation. It would be made available by the economic operator to national authorities upon request.</w:t>
            </w:r>
          </w:p>
          <w:p w:rsidR="0037666B" w:rsidRDefault="00C627B8">
            <w:pPr>
              <w:rPr>
                <w:rFonts w:ascii="Times New Roman" w:hAnsi="Times New Roman" w:cs="Times New Roman"/>
                <w:noProof/>
                <w:szCs w:val="24"/>
              </w:rPr>
            </w:pPr>
            <w:r>
              <w:rPr>
                <w:rFonts w:ascii="Times New Roman" w:hAnsi="Times New Roman" w:cs="Times New Roman"/>
                <w:noProof/>
                <w:szCs w:val="24"/>
              </w:rPr>
              <w:t>By signing the declaration, the economic operator takes full responsibility as regards the compliance of his product with the applicable rules in the Member St</w:t>
            </w:r>
            <w:r>
              <w:rPr>
                <w:rFonts w:ascii="Times New Roman" w:hAnsi="Times New Roman" w:cs="Times New Roman"/>
                <w:noProof/>
                <w:szCs w:val="24"/>
              </w:rPr>
              <w:t>ate of origin and the lawfulness of what he is declaring. The limit of this option is that it will not guarantee absolute market access for the relevant products, given that the application of mutual recognition can be objected to by national authorities w</w:t>
            </w:r>
            <w:r>
              <w:rPr>
                <w:rFonts w:ascii="Times New Roman" w:hAnsi="Times New Roman" w:cs="Times New Roman"/>
                <w:noProof/>
                <w:szCs w:val="24"/>
              </w:rPr>
              <w:t>hen this is justified and proportionate for the protection of legitimate public interests. This option contains the following sub-options:</w:t>
            </w:r>
          </w:p>
          <w:p w:rsidR="0037666B" w:rsidRDefault="00C627B8">
            <w:pPr>
              <w:rPr>
                <w:rFonts w:ascii="Times New Roman" w:hAnsi="Times New Roman" w:cs="Times New Roman"/>
                <w:noProof/>
                <w:szCs w:val="24"/>
              </w:rPr>
            </w:pPr>
            <w:r>
              <w:rPr>
                <w:rFonts w:ascii="Times New Roman" w:hAnsi="Times New Roman" w:cs="Times New Roman"/>
                <w:b/>
                <w:noProof/>
                <w:szCs w:val="24"/>
              </w:rPr>
              <w:t>a)Voluntary self-declaration of compliance</w:t>
            </w:r>
          </w:p>
          <w:p w:rsidR="0037666B" w:rsidRDefault="00C627B8">
            <w:pPr>
              <w:rPr>
                <w:rFonts w:ascii="Times New Roman" w:hAnsi="Times New Roman" w:cs="Times New Roman"/>
                <w:noProof/>
                <w:szCs w:val="24"/>
              </w:rPr>
            </w:pPr>
            <w:r>
              <w:rPr>
                <w:rFonts w:ascii="Times New Roman" w:hAnsi="Times New Roman" w:cs="Times New Roman"/>
                <w:noProof/>
                <w:szCs w:val="24"/>
              </w:rPr>
              <w:t>The declaration would be issued by the economic operator and would be volu</w:t>
            </w:r>
            <w:r>
              <w:rPr>
                <w:rFonts w:ascii="Times New Roman" w:hAnsi="Times New Roman" w:cs="Times New Roman"/>
                <w:noProof/>
                <w:szCs w:val="24"/>
              </w:rPr>
              <w:t>ntary for all those relying on mutual recognition to enter a new market.</w:t>
            </w:r>
          </w:p>
          <w:p w:rsidR="0037666B" w:rsidRDefault="00C627B8">
            <w:pPr>
              <w:rPr>
                <w:rFonts w:ascii="Times New Roman" w:hAnsi="Times New Roman" w:cs="Times New Roman"/>
                <w:noProof/>
                <w:szCs w:val="24"/>
              </w:rPr>
            </w:pPr>
            <w:r>
              <w:rPr>
                <w:rFonts w:ascii="Times New Roman" w:hAnsi="Times New Roman" w:cs="Times New Roman"/>
                <w:b/>
                <w:noProof/>
                <w:szCs w:val="24"/>
              </w:rPr>
              <w:t>b) Mandatory self-declaration of compliance</w:t>
            </w:r>
            <w:r>
              <w:rPr>
                <w:rFonts w:ascii="Times New Roman" w:hAnsi="Times New Roman" w:cs="Times New Roman"/>
                <w:noProof/>
                <w:szCs w:val="24"/>
              </w:rPr>
              <w:t xml:space="preserve"> </w:t>
            </w:r>
          </w:p>
          <w:p w:rsidR="0037666B" w:rsidRDefault="00C627B8">
            <w:pPr>
              <w:rPr>
                <w:rFonts w:ascii="Times New Roman" w:hAnsi="Times New Roman" w:cs="Times New Roman"/>
                <w:noProof/>
                <w:szCs w:val="24"/>
              </w:rPr>
            </w:pPr>
            <w:r>
              <w:rPr>
                <w:rFonts w:ascii="Times New Roman" w:hAnsi="Times New Roman" w:cs="Times New Roman"/>
                <w:noProof/>
                <w:szCs w:val="24"/>
              </w:rPr>
              <w:t>The declaration would be issued by the economic operator but would be mandatory for all relying on mutual recognition to enter a new marke</w:t>
            </w:r>
            <w:r>
              <w:rPr>
                <w:rFonts w:ascii="Times New Roman" w:hAnsi="Times New Roman" w:cs="Times New Roman"/>
                <w:noProof/>
                <w:szCs w:val="24"/>
              </w:rPr>
              <w:t>t.</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 xml:space="preserve">c) Fast-track appeal procedure – effective remedies against national decisions denying market access  </w:t>
            </w:r>
          </w:p>
          <w:p w:rsidR="0037666B" w:rsidRDefault="00C627B8">
            <w:pPr>
              <w:rPr>
                <w:rFonts w:ascii="Times New Roman" w:hAnsi="Times New Roman" w:cs="Times New Roman"/>
                <w:b/>
                <w:noProof/>
                <w:szCs w:val="24"/>
              </w:rPr>
            </w:pPr>
            <w:r>
              <w:rPr>
                <w:rFonts w:ascii="Times New Roman" w:hAnsi="Times New Roman" w:cs="Times New Roman"/>
                <w:i/>
                <w:noProof/>
                <w:szCs w:val="24"/>
              </w:rPr>
              <w:t xml:space="preserve">During the 2016 public consultation, 66% of Member States, 90% of businesses and 76% of citizens agreed that effective remedies to challenge </w:t>
            </w:r>
            <w:r>
              <w:rPr>
                <w:rFonts w:ascii="Times New Roman" w:hAnsi="Times New Roman" w:cs="Times New Roman"/>
                <w:i/>
                <w:noProof/>
                <w:szCs w:val="24"/>
              </w:rPr>
              <w:t>administrative decisions denying market access are necessary. Businesses ranked this as the 1</w:t>
            </w:r>
            <w:r>
              <w:rPr>
                <w:rFonts w:ascii="Times New Roman" w:hAnsi="Times New Roman" w:cs="Times New Roman"/>
                <w:i/>
                <w:noProof/>
                <w:szCs w:val="24"/>
                <w:vertAlign w:val="superscript"/>
              </w:rPr>
              <w:t>st</w:t>
            </w:r>
            <w:r>
              <w:rPr>
                <w:rFonts w:ascii="Times New Roman" w:hAnsi="Times New Roman" w:cs="Times New Roman"/>
                <w:i/>
                <w:noProof/>
                <w:szCs w:val="24"/>
              </w:rPr>
              <w:t xml:space="preserve"> priority for the Commission (72%), while Member States (40%) and citizens ranked it as the 3</w:t>
            </w:r>
            <w:r>
              <w:rPr>
                <w:rFonts w:ascii="Times New Roman" w:hAnsi="Times New Roman" w:cs="Times New Roman"/>
                <w:i/>
                <w:noProof/>
                <w:szCs w:val="24"/>
                <w:vertAlign w:val="superscript"/>
              </w:rPr>
              <w:t>rd</w:t>
            </w:r>
            <w:r>
              <w:rPr>
                <w:rFonts w:ascii="Times New Roman" w:hAnsi="Times New Roman" w:cs="Times New Roman"/>
                <w:i/>
                <w:noProof/>
                <w:szCs w:val="24"/>
              </w:rPr>
              <w:t xml:space="preserve"> priority. </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The Regulation would put in place a business friendly</w:t>
            </w:r>
            <w:r>
              <w:rPr>
                <w:rFonts w:ascii="Times New Roman" w:hAnsi="Times New Roman" w:cs="Times New Roman"/>
                <w:noProof/>
                <w:szCs w:val="24"/>
              </w:rPr>
              <w:t xml:space="preserve"> and non-intrusive mechanism, allowing for a fast and efficient resolution of problems triggered by a problematic national administrative decision denying or restricting market access. A similar system of objecting to national decisions denying market acce</w:t>
            </w:r>
            <w:r>
              <w:rPr>
                <w:rFonts w:ascii="Times New Roman" w:hAnsi="Times New Roman" w:cs="Times New Roman"/>
                <w:noProof/>
                <w:szCs w:val="24"/>
              </w:rPr>
              <w:t>ss exists in the harmonised area</w:t>
            </w:r>
            <w:r>
              <w:rPr>
                <w:rStyle w:val="FootnoteReference"/>
                <w:rFonts w:ascii="Times New Roman" w:hAnsi="Times New Roman" w:cs="Times New Roman"/>
                <w:noProof/>
                <w:szCs w:val="24"/>
              </w:rPr>
              <w:footnoteReference w:id="79"/>
            </w:r>
            <w:r>
              <w:rPr>
                <w:rFonts w:ascii="Times New Roman" w:hAnsi="Times New Roman" w:cs="Times New Roman"/>
                <w:noProof/>
                <w:szCs w:val="24"/>
              </w:rPr>
              <w:t xml:space="preserve"> which is called the Union safeguard procedure. By means of this procedure, Member States authorities taking a decision restricting market access to a particular product need to notify such decision to the Commission and other Member States who may object </w:t>
            </w:r>
            <w:r>
              <w:rPr>
                <w:rFonts w:ascii="Times New Roman" w:hAnsi="Times New Roman" w:cs="Times New Roman"/>
                <w:noProof/>
                <w:szCs w:val="24"/>
              </w:rPr>
              <w:t xml:space="preserve">to the measure. If objections are raised, it is for the Commission to decide whether the measure is considered justified or not. </w:t>
            </w:r>
          </w:p>
          <w:p w:rsidR="0037666B" w:rsidRDefault="00C627B8">
            <w:pPr>
              <w:rPr>
                <w:rFonts w:ascii="Times New Roman" w:hAnsi="Times New Roman" w:cs="Times New Roman"/>
                <w:noProof/>
                <w:szCs w:val="24"/>
              </w:rPr>
            </w:pPr>
            <w:r>
              <w:rPr>
                <w:rFonts w:ascii="Times New Roman" w:hAnsi="Times New Roman" w:cs="Times New Roman"/>
                <w:noProof/>
                <w:szCs w:val="24"/>
              </w:rPr>
              <w:t>This mechanism would be a two-step procedure:</w:t>
            </w:r>
          </w:p>
          <w:p w:rsidR="0037666B" w:rsidRDefault="00C627B8">
            <w:pPr>
              <w:rPr>
                <w:rFonts w:ascii="Times New Roman" w:hAnsi="Times New Roman" w:cs="Times New Roman"/>
                <w:noProof/>
                <w:szCs w:val="24"/>
              </w:rPr>
            </w:pPr>
            <w:r>
              <w:rPr>
                <w:rFonts w:ascii="Times New Roman" w:hAnsi="Times New Roman" w:cs="Times New Roman"/>
                <w:noProof/>
                <w:szCs w:val="24"/>
              </w:rPr>
              <w:t>Firstly, it would built on existing problem resolutions tools, such as SOLVIT, i</w:t>
            </w:r>
            <w:r>
              <w:rPr>
                <w:rFonts w:ascii="Times New Roman" w:hAnsi="Times New Roman" w:cs="Times New Roman"/>
                <w:noProof/>
                <w:szCs w:val="24"/>
              </w:rPr>
              <w:t>n order to allow economic operators wishing to do so to challenge, in an informal way, an administrative decision allegedly incompatible with the mutual recognition principle. When faced with a decision denying market access, the economic operator would th</w:t>
            </w:r>
            <w:r>
              <w:rPr>
                <w:rFonts w:ascii="Times New Roman" w:hAnsi="Times New Roman" w:cs="Times New Roman"/>
                <w:noProof/>
                <w:szCs w:val="24"/>
              </w:rPr>
              <w:t>us have the possibility to refer the case to SOLVIT to benefit from an informal problem resolution system. During this phase, the Commission would informally assist SOLVIT with the necessary technical expertise on demand. It would be expected that this ass</w:t>
            </w:r>
            <w:r>
              <w:rPr>
                <w:rFonts w:ascii="Times New Roman" w:hAnsi="Times New Roman" w:cs="Times New Roman"/>
                <w:noProof/>
                <w:szCs w:val="24"/>
              </w:rPr>
              <w:t>istance would increase the resolution rate of the goods related cases involving technical expertise which can be provided by the Commission on request.</w:t>
            </w:r>
          </w:p>
          <w:p w:rsidR="0037666B" w:rsidRDefault="00C627B8">
            <w:pPr>
              <w:rPr>
                <w:rFonts w:ascii="Times New Roman" w:hAnsi="Times New Roman" w:cs="Times New Roman"/>
                <w:noProof/>
                <w:szCs w:val="24"/>
              </w:rPr>
            </w:pPr>
            <w:r>
              <w:rPr>
                <w:rFonts w:ascii="Times New Roman" w:hAnsi="Times New Roman" w:cs="Times New Roman"/>
                <w:noProof/>
                <w:szCs w:val="24"/>
              </w:rPr>
              <w:t>Secondly, if the dialogue phase started by SOLVIT fails to achieve a suitable solution, a Commission bin</w:t>
            </w:r>
            <w:r>
              <w:rPr>
                <w:rFonts w:ascii="Times New Roman" w:hAnsi="Times New Roman" w:cs="Times New Roman"/>
                <w:noProof/>
                <w:szCs w:val="24"/>
              </w:rPr>
              <w:t xml:space="preserve">ding opinion (fast track appeal procedure) can be required. The Commission, during this second phase, would have the choice of intervening or not, on opportunity grounds (strong case, systemic issues, multiplier effect in terms of impacts). The Commission </w:t>
            </w:r>
            <w:r>
              <w:rPr>
                <w:rFonts w:ascii="Times New Roman" w:hAnsi="Times New Roman" w:cs="Times New Roman"/>
                <w:noProof/>
                <w:szCs w:val="24"/>
              </w:rPr>
              <w:t>binding opinion would be a powerful deterrent, particularly useful in the first step of the procedure and intervening only as a last resort tool. The Commission's assessment would be purely technical, as it would not concern the national rule as such and i</w:t>
            </w:r>
            <w:r>
              <w:rPr>
                <w:rFonts w:ascii="Times New Roman" w:hAnsi="Times New Roman" w:cs="Times New Roman"/>
                <w:noProof/>
                <w:szCs w:val="24"/>
              </w:rPr>
              <w:t xml:space="preserve">ts merits, but only the practical results produced by applying a national rule to a specific product which has been lawfully marketed in another Member State. It would ensure a consistent and correct application of the mutual recognition principle.   </w:t>
            </w:r>
          </w:p>
        </w:tc>
      </w:tr>
      <w:tr w:rsidR="0037666B">
        <w:tc>
          <w:tcPr>
            <w:tcW w:w="8726" w:type="dxa"/>
            <w:shd w:val="clear" w:color="auto" w:fill="DAEEF3" w:themeFill="accent5" w:themeFillTint="33"/>
          </w:tcPr>
          <w:p w:rsidR="0037666B" w:rsidRDefault="00C627B8">
            <w:pPr>
              <w:rPr>
                <w:rFonts w:ascii="Times New Roman" w:hAnsi="Times New Roman" w:cs="Times New Roman"/>
                <w:b/>
                <w:noProof/>
                <w:szCs w:val="24"/>
              </w:rPr>
            </w:pPr>
            <w:r>
              <w:rPr>
                <w:rFonts w:ascii="Times New Roman" w:hAnsi="Times New Roman" w:cs="Times New Roman"/>
                <w:b/>
                <w:noProof/>
                <w:szCs w:val="24"/>
              </w:rPr>
              <w:t xml:space="preserve">d) </w:t>
            </w:r>
            <w:r>
              <w:rPr>
                <w:rFonts w:ascii="Times New Roman" w:hAnsi="Times New Roman" w:cs="Times New Roman"/>
                <w:b/>
                <w:noProof/>
                <w:szCs w:val="24"/>
              </w:rPr>
              <w:t>Strengthening the Product Contact Points and the cooperation between relevant authorities</w:t>
            </w:r>
          </w:p>
          <w:p w:rsidR="0037666B" w:rsidRDefault="00C627B8">
            <w:pPr>
              <w:rPr>
                <w:rFonts w:ascii="Times New Roman" w:hAnsi="Times New Roman" w:cs="Times New Roman"/>
                <w:b/>
                <w:noProof/>
                <w:szCs w:val="24"/>
              </w:rPr>
            </w:pPr>
            <w:r>
              <w:rPr>
                <w:rFonts w:ascii="Times New Roman" w:hAnsi="Times New Roman" w:cs="Times New Roman"/>
                <w:i/>
                <w:noProof/>
                <w:szCs w:val="24"/>
              </w:rPr>
              <w:t>During the 2016 public consultation, 64% of Member State, 64% of businesses and 70% of citizens agreed that PCPs needs to strengthen the PCPs. Member States (31%) and</w:t>
            </w:r>
            <w:r>
              <w:rPr>
                <w:rFonts w:ascii="Times New Roman" w:hAnsi="Times New Roman" w:cs="Times New Roman"/>
                <w:i/>
                <w:noProof/>
                <w:szCs w:val="24"/>
              </w:rPr>
              <w:t xml:space="preserve"> citizens (23%) ranked this as the last priority for the Commission, while businesses ranked it second to last (54%). </w:t>
            </w:r>
          </w:p>
        </w:tc>
      </w:tr>
      <w:tr w:rsidR="0037666B">
        <w:tc>
          <w:tcPr>
            <w:tcW w:w="8726" w:type="dxa"/>
          </w:tcPr>
          <w:p w:rsidR="0037666B" w:rsidRDefault="00C627B8">
            <w:pPr>
              <w:rPr>
                <w:rFonts w:ascii="Times New Roman" w:hAnsi="Times New Roman" w:cs="Times New Roman"/>
                <w:noProof/>
                <w:szCs w:val="24"/>
                <w:lang w:val="en"/>
              </w:rPr>
            </w:pPr>
            <w:r>
              <w:rPr>
                <w:rFonts w:ascii="Times New Roman" w:hAnsi="Times New Roman" w:cs="Times New Roman"/>
                <w:noProof/>
                <w:szCs w:val="24"/>
              </w:rPr>
              <w:t>The Regulation would strengthen the role of PCPs in order to provide information on all applicable rules for all products, i.e. informat</w:t>
            </w:r>
            <w:r>
              <w:rPr>
                <w:rFonts w:ascii="Times New Roman" w:hAnsi="Times New Roman" w:cs="Times New Roman"/>
                <w:noProof/>
                <w:szCs w:val="24"/>
              </w:rPr>
              <w:t xml:space="preserve">ion on Union harmonisation legislation and on national technical rules adopted in the non-harmonised area, as in option 3 c). In addition, mandatory administrative cooperation among Member States would be put in place </w:t>
            </w:r>
            <w:r>
              <w:rPr>
                <w:rFonts w:ascii="Times New Roman" w:hAnsi="Times New Roman" w:cs="Times New Roman"/>
                <w:noProof/>
                <w:szCs w:val="24"/>
                <w:lang w:val="en"/>
              </w:rPr>
              <w:t xml:space="preserve">to ensure communication and exchanges </w:t>
            </w:r>
            <w:r>
              <w:rPr>
                <w:rFonts w:ascii="Times New Roman" w:hAnsi="Times New Roman" w:cs="Times New Roman"/>
                <w:noProof/>
                <w:szCs w:val="24"/>
                <w:lang w:val="en"/>
              </w:rPr>
              <w:t xml:space="preserve">among the national authorities responsible for the application of the principle. This network would, for example, discuss difficult cases, identify problematic sectors, make recommendations for </w:t>
            </w:r>
            <w:r>
              <w:rPr>
                <w:rFonts w:ascii="Times New Roman" w:hAnsi="Times New Roman" w:cs="Times New Roman"/>
                <w:noProof/>
                <w:szCs w:val="24"/>
              </w:rPr>
              <w:t>standardisation</w:t>
            </w:r>
            <w:r>
              <w:rPr>
                <w:rFonts w:ascii="Times New Roman" w:hAnsi="Times New Roman" w:cs="Times New Roman"/>
                <w:noProof/>
                <w:szCs w:val="24"/>
                <w:lang w:val="en"/>
              </w:rPr>
              <w:t xml:space="preserve"> mandates, etc. </w:t>
            </w:r>
            <w:r>
              <w:rPr>
                <w:rFonts w:ascii="Times New Roman" w:hAnsi="Times New Roman" w:cs="Times New Roman"/>
                <w:noProof/>
                <w:szCs w:val="24"/>
              </w:rPr>
              <w:t xml:space="preserve"> </w:t>
            </w:r>
          </w:p>
        </w:tc>
      </w:tr>
    </w:tbl>
    <w:p w:rsidR="0037666B" w:rsidRDefault="00C627B8">
      <w:pPr>
        <w:numPr>
          <w:ilvl w:val="1"/>
          <w:numId w:val="3"/>
        </w:numPr>
        <w:tabs>
          <w:tab w:val="clear" w:pos="1200"/>
          <w:tab w:val="num" w:pos="567"/>
        </w:tabs>
        <w:spacing w:before="240"/>
        <w:ind w:left="567" w:hanging="567"/>
        <w:outlineLvl w:val="1"/>
        <w:rPr>
          <w:b/>
          <w:noProof/>
          <w:szCs w:val="24"/>
        </w:rPr>
      </w:pPr>
      <w:r>
        <w:rPr>
          <w:b/>
          <w:noProof/>
          <w:szCs w:val="24"/>
        </w:rPr>
        <w:t>Option 5: Legislative change</w:t>
      </w:r>
      <w:r>
        <w:rPr>
          <w:b/>
          <w:noProof/>
          <w:szCs w:val="24"/>
        </w:rPr>
        <w:t>s to the Regulation to introduce a voluntary prior authorisation to placing on the market</w:t>
      </w:r>
    </w:p>
    <w:p w:rsidR="0037666B" w:rsidRDefault="00C627B8">
      <w:pPr>
        <w:tabs>
          <w:tab w:val="left" w:pos="2302"/>
        </w:tabs>
        <w:rPr>
          <w:noProof/>
          <w:szCs w:val="24"/>
        </w:rPr>
      </w:pPr>
      <w:r>
        <w:rPr>
          <w:noProof/>
          <w:szCs w:val="24"/>
        </w:rPr>
        <w:t>Under this option, the suboptimal functioning of the mutual recognition principle would be addressed by intervening in a pre-marketing phase to prevent obstacles to f</w:t>
      </w:r>
      <w:r>
        <w:rPr>
          <w:noProof/>
          <w:szCs w:val="24"/>
        </w:rPr>
        <w:t xml:space="preserve">ree movement of goods rather than in a post-marketing phase as it is the case today. By introducing a system of prior authorisation to placing products on the market, economic operators would have confirmation that their products can have market access in </w:t>
      </w:r>
      <w:r>
        <w:rPr>
          <w:noProof/>
          <w:szCs w:val="24"/>
        </w:rPr>
        <w:t xml:space="preserve">the Member State of destination before actually entering that market. This voluntary procedure is currently not available at the moment. The Regulation would be amended to reflect the introduction of such a pre-marketing procedure. </w:t>
      </w:r>
    </w:p>
    <w:tbl>
      <w:tblPr>
        <w:tblStyle w:val="TableGrid1"/>
        <w:tblW w:w="0" w:type="auto"/>
        <w:tblInd w:w="108" w:type="dxa"/>
        <w:tblLook w:val="04A0" w:firstRow="1" w:lastRow="0" w:firstColumn="1" w:lastColumn="0" w:noHBand="0" w:noVBand="1"/>
      </w:tblPr>
      <w:tblGrid>
        <w:gridCol w:w="8726"/>
      </w:tblGrid>
      <w:tr w:rsidR="0037666B">
        <w:tc>
          <w:tcPr>
            <w:tcW w:w="8726" w:type="dxa"/>
            <w:shd w:val="clear" w:color="auto" w:fill="DAEEF3" w:themeFill="accent5" w:themeFillTint="33"/>
          </w:tcPr>
          <w:p w:rsidR="0037666B" w:rsidRDefault="00C627B8">
            <w:pPr>
              <w:rPr>
                <w:rFonts w:ascii="Times New Roman" w:hAnsi="Times New Roman" w:cs="Times New Roman"/>
                <w:noProof/>
                <w:szCs w:val="24"/>
              </w:rPr>
            </w:pPr>
            <w:r>
              <w:rPr>
                <w:rFonts w:ascii="Times New Roman" w:hAnsi="Times New Roman" w:cs="Times New Roman"/>
                <w:b/>
                <w:noProof/>
                <w:szCs w:val="24"/>
              </w:rPr>
              <w:t xml:space="preserve">Voluntary prior </w:t>
            </w:r>
            <w:r>
              <w:rPr>
                <w:rFonts w:ascii="Times New Roman" w:hAnsi="Times New Roman" w:cs="Times New Roman"/>
                <w:b/>
                <w:noProof/>
                <w:szCs w:val="24"/>
              </w:rPr>
              <w:t>authorisation to placing on the market</w:t>
            </w:r>
            <w:r>
              <w:rPr>
                <w:rFonts w:ascii="Times New Roman" w:hAnsi="Times New Roman" w:cs="Times New Roman"/>
                <w:noProof/>
                <w:szCs w:val="24"/>
              </w:rPr>
              <w:t xml:space="preserve"> </w:t>
            </w:r>
          </w:p>
          <w:p w:rsidR="0037666B" w:rsidRDefault="00C627B8">
            <w:pPr>
              <w:rPr>
                <w:rFonts w:ascii="Times New Roman" w:hAnsi="Times New Roman" w:cs="Times New Roman"/>
                <w:noProof/>
                <w:szCs w:val="24"/>
              </w:rPr>
            </w:pPr>
            <w:r>
              <w:rPr>
                <w:rFonts w:ascii="Times New Roman" w:hAnsi="Times New Roman" w:cs="Times New Roman"/>
                <w:i/>
                <w:noProof/>
                <w:szCs w:val="24"/>
              </w:rPr>
              <w:t>Increasing legal certainty has been ranked by businesses (67%) and citizens (52%) as the 2</w:t>
            </w:r>
            <w:r>
              <w:rPr>
                <w:rFonts w:ascii="Times New Roman" w:hAnsi="Times New Roman" w:cs="Times New Roman"/>
                <w:i/>
                <w:noProof/>
                <w:szCs w:val="24"/>
                <w:vertAlign w:val="superscript"/>
              </w:rPr>
              <w:t>nd</w:t>
            </w:r>
            <w:r>
              <w:rPr>
                <w:rFonts w:ascii="Times New Roman" w:hAnsi="Times New Roman" w:cs="Times New Roman"/>
                <w:i/>
                <w:noProof/>
                <w:szCs w:val="24"/>
              </w:rPr>
              <w:t xml:space="preserve"> priority for the Commission, while Member States (33%) ranked it second to last.</w:t>
            </w:r>
          </w:p>
        </w:tc>
      </w:tr>
      <w:tr w:rsidR="0037666B">
        <w:tc>
          <w:tcPr>
            <w:tcW w:w="872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This option is inspired from existing </w:t>
            </w:r>
            <w:r>
              <w:rPr>
                <w:rFonts w:ascii="Times New Roman" w:hAnsi="Times New Roman" w:cs="Times New Roman"/>
                <w:noProof/>
                <w:szCs w:val="24"/>
              </w:rPr>
              <w:t>systems at national level, where the marketing of certain specific goods is subject to a mandatory prior authorisation system. Products lawfully marketed in the market of one Member State would be placed on the market of another Member State only after a p</w:t>
            </w:r>
            <w:r>
              <w:rPr>
                <w:rFonts w:ascii="Times New Roman" w:hAnsi="Times New Roman" w:cs="Times New Roman"/>
                <w:noProof/>
                <w:szCs w:val="24"/>
              </w:rPr>
              <w:t>rior examination and authorisation of the product by the receiving Member State. Such examination would consist in assessing if the product can be accepted in the Member State or not, i.e. the Member State would confirm (or disallow in certain specified ca</w:t>
            </w:r>
            <w:r>
              <w:rPr>
                <w:rFonts w:ascii="Times New Roman" w:hAnsi="Times New Roman" w:cs="Times New Roman"/>
                <w:noProof/>
                <w:szCs w:val="24"/>
              </w:rPr>
              <w:t>ses) that a product, although not compliant with its own national legislation, can be marketed in its territory.</w:t>
            </w:r>
            <w:r>
              <w:rPr>
                <w:rFonts w:ascii="Times New Roman" w:hAnsi="Times New Roman" w:cs="Times New Roman"/>
                <w:b/>
                <w:noProof/>
                <w:szCs w:val="24"/>
              </w:rPr>
              <w:t xml:space="preserve"> </w:t>
            </w:r>
            <w:r>
              <w:rPr>
                <w:rFonts w:ascii="Times New Roman" w:hAnsi="Times New Roman" w:cs="Times New Roman"/>
                <w:noProof/>
                <w:szCs w:val="24"/>
              </w:rPr>
              <w:t>This option would remove all uncertainties economic operators currently face when relying on the principle of mutual recognition to enter new n</w:t>
            </w:r>
            <w:r>
              <w:rPr>
                <w:rFonts w:ascii="Times New Roman" w:hAnsi="Times New Roman" w:cs="Times New Roman"/>
                <w:noProof/>
                <w:szCs w:val="24"/>
              </w:rPr>
              <w:t>ational markets. Such a procedure would be voluntary for economic operators but if market access is denied, remedies under national law should be made available to the economic operator.</w:t>
            </w:r>
          </w:p>
        </w:tc>
      </w:tr>
    </w:tbl>
    <w:p w:rsidR="0037666B" w:rsidRDefault="0037666B">
      <w:pPr>
        <w:tabs>
          <w:tab w:val="left" w:pos="2302"/>
        </w:tabs>
        <w:rPr>
          <w:b/>
          <w:noProof/>
          <w:szCs w:val="24"/>
        </w:rPr>
      </w:pPr>
    </w:p>
    <w:p w:rsidR="0037666B" w:rsidRDefault="00C627B8">
      <w:pPr>
        <w:tabs>
          <w:tab w:val="left" w:pos="2302"/>
        </w:tabs>
        <w:rPr>
          <w:b/>
          <w:noProof/>
          <w:szCs w:val="24"/>
        </w:rPr>
      </w:pPr>
      <w:r>
        <w:rPr>
          <w:b/>
          <w:noProof/>
          <w:szCs w:val="24"/>
        </w:rPr>
        <w:t>Figure 6-1: Table with options in relation to the objectives and pr</w:t>
      </w:r>
      <w:r>
        <w:rPr>
          <w:b/>
          <w:noProof/>
          <w:szCs w:val="24"/>
        </w:rPr>
        <w:t>oblem drivers</w:t>
      </w:r>
    </w:p>
    <w:p w:rsidR="0037666B" w:rsidRDefault="00C627B8">
      <w:pPr>
        <w:tabs>
          <w:tab w:val="left" w:pos="2302"/>
        </w:tabs>
        <w:rPr>
          <w:noProof/>
          <w:szCs w:val="24"/>
        </w:rPr>
      </w:pPr>
      <w:r>
        <w:rPr>
          <w:noProof/>
          <w:szCs w:val="24"/>
          <w:lang w:eastAsia="en-GB"/>
        </w:rPr>
        <w:drawing>
          <wp:inline distT="0" distB="0" distL="0" distR="0">
            <wp:extent cx="5472428" cy="3546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02 21 MR_objectives_option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428" cy="3546401"/>
                    </a:xfrm>
                    <a:prstGeom prst="rect">
                      <a:avLst/>
                    </a:prstGeom>
                  </pic:spPr>
                </pic:pic>
              </a:graphicData>
            </a:graphic>
          </wp:inline>
        </w:drawing>
      </w:r>
    </w:p>
    <w:p w:rsidR="0037666B" w:rsidRDefault="0037666B">
      <w:pPr>
        <w:tabs>
          <w:tab w:val="left" w:pos="2302"/>
        </w:tabs>
        <w:rPr>
          <w:noProof/>
          <w:szCs w:val="24"/>
        </w:rPr>
      </w:pPr>
    </w:p>
    <w:p w:rsidR="0037666B" w:rsidRDefault="0037666B">
      <w:pPr>
        <w:tabs>
          <w:tab w:val="left" w:pos="2302"/>
        </w:tabs>
        <w:rPr>
          <w:noProof/>
          <w:szCs w:val="24"/>
        </w:rPr>
      </w:pPr>
    </w:p>
    <w:p w:rsidR="0037666B" w:rsidRDefault="00C627B8">
      <w:pPr>
        <w:pStyle w:val="Heading1"/>
        <w:keepNext w:val="0"/>
        <w:ind w:left="482" w:hanging="482"/>
        <w:rPr>
          <w:noProof/>
          <w:szCs w:val="24"/>
        </w:rPr>
      </w:pPr>
      <w:bookmarkStart w:id="24" w:name="_Toc483992734"/>
      <w:r>
        <w:rPr>
          <w:noProof/>
          <w:szCs w:val="24"/>
        </w:rPr>
        <w:t>Analysis of Impacts</w:t>
      </w:r>
      <w:bookmarkEnd w:id="24"/>
    </w:p>
    <w:p w:rsidR="0037666B" w:rsidRDefault="00C627B8">
      <w:pPr>
        <w:pStyle w:val="Heading2"/>
        <w:rPr>
          <w:noProof/>
        </w:rPr>
      </w:pPr>
      <w:bookmarkStart w:id="25" w:name="_Toc483992735"/>
      <w:r>
        <w:rPr>
          <w:noProof/>
        </w:rPr>
        <w:t>Assessment of the impacts</w:t>
      </w:r>
      <w:bookmarkEnd w:id="25"/>
      <w:r>
        <w:rPr>
          <w:noProof/>
        </w:rPr>
        <w:t xml:space="preserve"> </w:t>
      </w:r>
    </w:p>
    <w:p w:rsidR="0037666B" w:rsidRDefault="00C627B8">
      <w:pPr>
        <w:rPr>
          <w:b/>
          <w:noProof/>
          <w:szCs w:val="24"/>
        </w:rPr>
      </w:pPr>
      <w:r>
        <w:rPr>
          <w:b/>
          <w:noProof/>
          <w:szCs w:val="24"/>
        </w:rPr>
        <w:t>Policy option 1- Baseline</w:t>
      </w:r>
    </w:p>
    <w:p w:rsidR="0037666B" w:rsidRDefault="00C627B8">
      <w:pPr>
        <w:rPr>
          <w:noProof/>
          <w:szCs w:val="24"/>
        </w:rPr>
      </w:pPr>
      <w:r>
        <w:rPr>
          <w:noProof/>
          <w:szCs w:val="24"/>
        </w:rPr>
        <w:t>The impacts of this option can be found in sections 3.1, 3.3 and 3.4.</w:t>
      </w:r>
    </w:p>
    <w:p w:rsidR="0037666B" w:rsidRDefault="00C627B8">
      <w:pPr>
        <w:rPr>
          <w:b/>
          <w:noProof/>
          <w:szCs w:val="24"/>
        </w:rPr>
      </w:pPr>
      <w:r>
        <w:rPr>
          <w:b/>
          <w:noProof/>
          <w:szCs w:val="24"/>
        </w:rPr>
        <w:t>Policy option 2- Soft law instruments</w:t>
      </w:r>
    </w:p>
    <w:tbl>
      <w:tblPr>
        <w:tblStyle w:val="TableGrid"/>
        <w:tblW w:w="8897" w:type="dxa"/>
        <w:tblLook w:val="04A0" w:firstRow="1" w:lastRow="0" w:firstColumn="1" w:lastColumn="0" w:noHBand="0" w:noVBand="1"/>
      </w:tblPr>
      <w:tblGrid>
        <w:gridCol w:w="1362"/>
        <w:gridCol w:w="746"/>
        <w:gridCol w:w="752"/>
        <w:gridCol w:w="702"/>
        <w:gridCol w:w="680"/>
        <w:gridCol w:w="702"/>
        <w:gridCol w:w="680"/>
        <w:gridCol w:w="1161"/>
        <w:gridCol w:w="872"/>
        <w:gridCol w:w="1240"/>
      </w:tblGrid>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Economic Impacts  </w:t>
            </w:r>
          </w:p>
        </w:tc>
      </w:tr>
      <w:tr w:rsidR="0037666B">
        <w:tc>
          <w:tcPr>
            <w:tcW w:w="8897" w:type="dxa"/>
            <w:gridSpan w:val="10"/>
          </w:tcPr>
          <w:p w:rsidR="0037666B" w:rsidRDefault="00C627B8">
            <w:pPr>
              <w:rPr>
                <w:noProof/>
                <w:szCs w:val="24"/>
                <w:u w:val="single"/>
              </w:rPr>
            </w:pPr>
            <w:r>
              <w:rPr>
                <w:noProof/>
                <w:szCs w:val="24"/>
                <w:u w:val="single"/>
              </w:rPr>
              <w:t xml:space="preserve">Economic impacts for businesses </w:t>
            </w:r>
          </w:p>
          <w:p w:rsidR="0037666B" w:rsidRDefault="00C627B8">
            <w:pPr>
              <w:rPr>
                <w:noProof/>
                <w:szCs w:val="24"/>
              </w:rPr>
            </w:pPr>
            <w:r>
              <w:rPr>
                <w:noProof/>
                <w:szCs w:val="24"/>
              </w:rPr>
              <w:t xml:space="preserve">It </w:t>
            </w:r>
            <w:r>
              <w:rPr>
                <w:noProof/>
                <w:szCs w:val="24"/>
              </w:rPr>
              <w:t>is expected that those economic operators who were not aware of mutual recognition or not very familiar with the details will try to use it in order to penetrate new markets. This assumption is limited by the fact that the decision to market products in ot</w:t>
            </w:r>
            <w:r>
              <w:rPr>
                <w:noProof/>
                <w:szCs w:val="24"/>
              </w:rPr>
              <w:t>her Member States is influenced by many other factors; economic operators behaviour and organisation do not necessarily occur in sequence but are rather continuous and dynamic</w:t>
            </w:r>
            <w:r>
              <w:rPr>
                <w:rStyle w:val="FootnoteReference"/>
                <w:noProof/>
                <w:szCs w:val="24"/>
              </w:rPr>
              <w:footnoteReference w:id="80"/>
            </w:r>
            <w:r>
              <w:rPr>
                <w:noProof/>
                <w:szCs w:val="24"/>
              </w:rPr>
              <w:t>.  Furthermore, as this option addresses effectively only the lack of awareness,</w:t>
            </w:r>
            <w:r>
              <w:rPr>
                <w:noProof/>
                <w:szCs w:val="24"/>
              </w:rPr>
              <w:t xml:space="preserve"> without touching upon the substantial issues related to the lack of legal certainty in particular in the application of mutual recognition, it is also expected that these economic operators will face the same problems as those already using mutual recogni</w:t>
            </w:r>
            <w:r>
              <w:rPr>
                <w:noProof/>
                <w:szCs w:val="24"/>
              </w:rPr>
              <w:t>tion (e.g. high information costs, unjustified market access denial, adaptation costs, etc.).</w:t>
            </w:r>
          </w:p>
          <w:p w:rsidR="0037666B" w:rsidRDefault="00C627B8">
            <w:pPr>
              <w:rPr>
                <w:noProof/>
                <w:szCs w:val="24"/>
              </w:rPr>
            </w:pPr>
            <w:r>
              <w:rPr>
                <w:noProof/>
                <w:szCs w:val="24"/>
              </w:rPr>
              <w:t>This option will not entail additional costs for businesses; the trainings for businesses (sub-option 2a) would be organised by the European Enterprise Network an</w:t>
            </w:r>
            <w:r>
              <w:rPr>
                <w:noProof/>
                <w:szCs w:val="24"/>
              </w:rPr>
              <w:t xml:space="preserve">d they would have the possibility to attend these or access information made available online. The mutual recognition clause (sub-option 2b) and the exchange of officials (sub-option 2c) would not entail any costs for businesses either. </w:t>
            </w:r>
          </w:p>
          <w:p w:rsidR="0037666B" w:rsidRDefault="00C627B8">
            <w:pPr>
              <w:rPr>
                <w:noProof/>
                <w:szCs w:val="24"/>
              </w:rPr>
            </w:pPr>
            <w:r>
              <w:rPr>
                <w:noProof/>
                <w:szCs w:val="24"/>
              </w:rPr>
              <w:t>Costs currently fa</w:t>
            </w:r>
            <w:r>
              <w:rPr>
                <w:noProof/>
                <w:szCs w:val="24"/>
              </w:rPr>
              <w:t>ced by economic operators due to the suboptimal functioning of mutual recognition are expected to be reduced but to a limited extent. While the exchange of officials (2c) would not have any direct impact on businesses, the trainings (2a) are expected to le</w:t>
            </w:r>
            <w:r>
              <w:rPr>
                <w:noProof/>
                <w:szCs w:val="24"/>
              </w:rPr>
              <w:t>ad to certain cost savings for businesses, albeit not significant, in finding out the applicable rules in the Member State of destination. This is because, on the one hand, they would be aware that they can access the Member State of destination without ha</w:t>
            </w:r>
            <w:r>
              <w:rPr>
                <w:noProof/>
                <w:szCs w:val="24"/>
              </w:rPr>
              <w:t>ving to comply with the applicable rules in that Member State and, on the other, because they would be made more aware of the role of PCPs which can facilitate any further information as appropriate. However, since this option only addresses effectively on</w:t>
            </w:r>
            <w:r>
              <w:rPr>
                <w:noProof/>
                <w:szCs w:val="24"/>
              </w:rPr>
              <w:t>e of the policy objectives, but not the others related to the legal uncertainty, the economic benefits for businesses in particular in terms of reduced adaptation costs, lost opportunities, or costs related to challenging administrative decisions denying m</w:t>
            </w:r>
            <w:r>
              <w:rPr>
                <w:noProof/>
                <w:szCs w:val="24"/>
              </w:rPr>
              <w:t>arket access are not expected to be substantial by this option alone. The benefits that a clearer mutual recognition clause would bring (2b) would also be limited since these would only impact new national rules which will be adopted as from now on, and no</w:t>
            </w:r>
            <w:r>
              <w:rPr>
                <w:noProof/>
                <w:szCs w:val="24"/>
              </w:rPr>
              <w:t>t all those existing rules.</w:t>
            </w:r>
          </w:p>
          <w:p w:rsidR="0037666B" w:rsidRDefault="00C627B8">
            <w:pPr>
              <w:rPr>
                <w:noProof/>
                <w:szCs w:val="24"/>
              </w:rPr>
            </w:pPr>
            <w:r>
              <w:rPr>
                <w:noProof/>
                <w:szCs w:val="24"/>
              </w:rPr>
              <w:t xml:space="preserve">Since SMEs need to allocate proportionately higher resources in finding out the applicable rules and are the most discouraged to internationalisation by the regulatory complexity; this option (particularly the awareness raising </w:t>
            </w:r>
            <w:r>
              <w:rPr>
                <w:noProof/>
                <w:szCs w:val="24"/>
              </w:rPr>
              <w:t>(2a)) is likely to benefit these companies particularly.</w:t>
            </w:r>
          </w:p>
          <w:p w:rsidR="0037666B" w:rsidRDefault="00C627B8">
            <w:pPr>
              <w:rPr>
                <w:noProof/>
                <w:szCs w:val="24"/>
              </w:rPr>
            </w:pPr>
            <w:r>
              <w:rPr>
                <w:noProof/>
                <w:szCs w:val="24"/>
              </w:rPr>
              <w:t>Given that this option (including all sub-options) does not address all problem drivers but only the awareness, it is not likely to lead, alone, to a significant increase in trade across Member State</w:t>
            </w:r>
            <w:r>
              <w:rPr>
                <w:noProof/>
                <w:szCs w:val="24"/>
              </w:rPr>
              <w:t xml:space="preserve">s in non-harmonised sectors due to a better functioning of mutual recognition. </w:t>
            </w:r>
          </w:p>
          <w:p w:rsidR="0037666B" w:rsidRDefault="00C627B8">
            <w:pPr>
              <w:rPr>
                <w:noProof/>
                <w:szCs w:val="24"/>
                <w:u w:val="single"/>
              </w:rPr>
            </w:pPr>
            <w:r>
              <w:rPr>
                <w:noProof/>
                <w:szCs w:val="24"/>
                <w:u w:val="single"/>
              </w:rPr>
              <w:t>Economic impacts for Member States</w:t>
            </w:r>
          </w:p>
          <w:p w:rsidR="0037666B" w:rsidRDefault="00C627B8">
            <w:pPr>
              <w:rPr>
                <w:noProof/>
                <w:szCs w:val="24"/>
              </w:rPr>
            </w:pPr>
            <w:r>
              <w:rPr>
                <w:noProof/>
                <w:szCs w:val="24"/>
              </w:rPr>
              <w:t>National authorities would bear some costs related to the organisation of trainings and awareness campaigns (2a); however these costs are not</w:t>
            </w:r>
            <w:r>
              <w:rPr>
                <w:noProof/>
                <w:szCs w:val="24"/>
              </w:rPr>
              <w:t xml:space="preserve"> expected to be substantial. The training campaigns would take the form of a "train the trainer" and in that regard, national administrations would be required to organise trainings to other national officials (such as specific administrations in problemat</w:t>
            </w:r>
            <w:r>
              <w:rPr>
                <w:noProof/>
                <w:szCs w:val="24"/>
              </w:rPr>
              <w:t>ic sectors, national judges…). However, part of the training would be developed and available as an online package. Furthermore, for national officials, these trainings could also be integrated into more comprehensive trainings that national officials rece</w:t>
            </w:r>
            <w:r>
              <w:rPr>
                <w:noProof/>
                <w:szCs w:val="24"/>
              </w:rPr>
              <w:t xml:space="preserve">ive (for example, when taking up their duties) so that it is put in the context of the overall tasks they have to perform, which would also limit the costs. </w:t>
            </w:r>
          </w:p>
          <w:p w:rsidR="0037666B" w:rsidRDefault="00C627B8">
            <w:pPr>
              <w:rPr>
                <w:noProof/>
                <w:szCs w:val="24"/>
              </w:rPr>
            </w:pPr>
            <w:r>
              <w:rPr>
                <w:noProof/>
                <w:szCs w:val="24"/>
              </w:rPr>
              <w:t>There are no costs associated with the introduction of a clearer mutual recognition clause (2b). T</w:t>
            </w:r>
            <w:r>
              <w:rPr>
                <w:noProof/>
                <w:szCs w:val="24"/>
              </w:rPr>
              <w:t xml:space="preserve">he exchange of officials (2c) would have an impact for national administrations insofar as during a very short period of time (1 week), a salary would be paid to an official who would be in  another Member State and, therefore, not actively performing his </w:t>
            </w:r>
            <w:r>
              <w:rPr>
                <w:noProof/>
                <w:szCs w:val="24"/>
              </w:rPr>
              <w:t>or her duties. However, given the short period envisaged, these costs related to the absence of the officials are not considered significant and this short absence can be assimilated to the attendance of training by the official. Other travel and accommoda</w:t>
            </w:r>
            <w:r>
              <w:rPr>
                <w:noProof/>
                <w:szCs w:val="24"/>
              </w:rPr>
              <w:t xml:space="preserve">tion costs would not be borne by the Member State but by the EU budget. </w:t>
            </w:r>
          </w:p>
          <w:p w:rsidR="0037666B" w:rsidRDefault="00C627B8">
            <w:pPr>
              <w:rPr>
                <w:noProof/>
                <w:szCs w:val="24"/>
                <w:u w:val="single"/>
              </w:rPr>
            </w:pPr>
            <w:r>
              <w:rPr>
                <w:noProof/>
                <w:szCs w:val="24"/>
                <w:u w:val="single"/>
              </w:rPr>
              <w:t>Economic impacts for the EU budget</w:t>
            </w:r>
          </w:p>
          <w:p w:rsidR="0037666B" w:rsidRDefault="00C627B8">
            <w:pPr>
              <w:rPr>
                <w:noProof/>
                <w:szCs w:val="24"/>
                <w:lang w:eastAsia="en-GB"/>
              </w:rPr>
            </w:pPr>
            <w:r>
              <w:rPr>
                <w:noProof/>
                <w:szCs w:val="24"/>
              </w:rPr>
              <w:t xml:space="preserve">Developing the training packages and coordinating the awareness raising campaigns (sub-option 2a) would imply costs for the Commission. These costs </w:t>
            </w:r>
            <w:r>
              <w:rPr>
                <w:noProof/>
                <w:szCs w:val="24"/>
              </w:rPr>
              <w:t>are considered to be normal costs related to the implementation of new legislation and should not have major impacts in terms of resources. As for the organisation of events in the Member States, if the Commission would organise events in all Member States</w:t>
            </w:r>
            <w:r>
              <w:rPr>
                <w:noProof/>
                <w:szCs w:val="24"/>
              </w:rPr>
              <w:t xml:space="preserve"> for a wide audience, this would entail costs. For example, in similar campaigns organised by the Commission, the organisation of 28 national events over a period of 2 years with an average audience of 75 people per event was carried out with an external c</w:t>
            </w:r>
            <w:r>
              <w:rPr>
                <w:noProof/>
                <w:szCs w:val="24"/>
              </w:rPr>
              <w:t>onsultant with a budget of €1 million</w:t>
            </w:r>
            <w:r>
              <w:rPr>
                <w:rStyle w:val="FootnoteReference"/>
                <w:noProof/>
                <w:szCs w:val="24"/>
              </w:rPr>
              <w:footnoteReference w:id="81"/>
            </w:r>
            <w:r>
              <w:rPr>
                <w:noProof/>
                <w:szCs w:val="24"/>
              </w:rPr>
              <w:t>. The Commission would however envisage that this training is structured with a "train the trainer" concept together with an online training package, for which a lower budget of €500.000 could be established.</w:t>
            </w:r>
            <w:r>
              <w:rPr>
                <w:noProof/>
                <w:szCs w:val="24"/>
                <w:lang w:eastAsia="en-GB"/>
              </w:rPr>
              <w:t xml:space="preserve"> </w:t>
            </w:r>
          </w:p>
          <w:p w:rsidR="0037666B" w:rsidRDefault="00C627B8">
            <w:pPr>
              <w:rPr>
                <w:noProof/>
                <w:szCs w:val="24"/>
              </w:rPr>
            </w:pPr>
            <w:r>
              <w:rPr>
                <w:noProof/>
                <w:szCs w:val="24"/>
              </w:rPr>
              <w:t>A cleare</w:t>
            </w:r>
            <w:r>
              <w:rPr>
                <w:noProof/>
                <w:szCs w:val="24"/>
              </w:rPr>
              <w:t xml:space="preserve">r mutual recognition clause (sub-option 2b) does not imply any costs for the EU budget. </w:t>
            </w:r>
          </w:p>
          <w:p w:rsidR="0037666B" w:rsidRDefault="00C627B8">
            <w:pPr>
              <w:rPr>
                <w:noProof/>
                <w:szCs w:val="24"/>
              </w:rPr>
            </w:pPr>
            <w:r>
              <w:rPr>
                <w:noProof/>
                <w:szCs w:val="24"/>
              </w:rPr>
              <w:t xml:space="preserve">The exchange of officials (sub-option 2c) would be financed by the EU budget as regards travel and accommodation costs. Similar schemes implemented at EU level in the </w:t>
            </w:r>
            <w:r>
              <w:rPr>
                <w:noProof/>
                <w:szCs w:val="24"/>
              </w:rPr>
              <w:t>area of product safety can be used to give an estimate for these costs. Such schemes required an annual budget of €170 000, covering for the travel and subsistence allowances for the officials participating in the scheme. This budget covered around 100 exc</w:t>
            </w:r>
            <w:r>
              <w:rPr>
                <w:noProof/>
                <w:szCs w:val="24"/>
              </w:rPr>
              <w:t>hanges, involving 23 Member States</w:t>
            </w:r>
            <w:r>
              <w:rPr>
                <w:rStyle w:val="FootnoteReference"/>
                <w:noProof/>
                <w:szCs w:val="24"/>
              </w:rPr>
              <w:footnoteReference w:id="82"/>
            </w:r>
            <w:r>
              <w:rPr>
                <w:noProof/>
                <w:szCs w:val="24"/>
              </w:rPr>
              <w:t>. On the basis of this estimate if the number of exchanges would be raised to 300, this could be realised with a budget of around €510 000.</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Social Impacts</w:t>
            </w:r>
          </w:p>
        </w:tc>
      </w:tr>
      <w:tr w:rsidR="0037666B">
        <w:tc>
          <w:tcPr>
            <w:tcW w:w="8897" w:type="dxa"/>
            <w:gridSpan w:val="10"/>
          </w:tcPr>
          <w:p w:rsidR="0037666B" w:rsidRDefault="00C627B8">
            <w:pPr>
              <w:rPr>
                <w:noProof/>
                <w:szCs w:val="24"/>
              </w:rPr>
            </w:pPr>
            <w:r>
              <w:rPr>
                <w:noProof/>
                <w:szCs w:val="24"/>
              </w:rPr>
              <w:t>This option is not expected to have social impacts to the extent</w:t>
            </w:r>
            <w:r>
              <w:rPr>
                <w:noProof/>
                <w:szCs w:val="24"/>
              </w:rPr>
              <w:t xml:space="preserve"> that these can be assessed and quantified. </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Environmental impacts</w:t>
            </w:r>
          </w:p>
        </w:tc>
      </w:tr>
      <w:tr w:rsidR="0037666B">
        <w:tc>
          <w:tcPr>
            <w:tcW w:w="8897" w:type="dxa"/>
            <w:gridSpan w:val="10"/>
          </w:tcPr>
          <w:p w:rsidR="0037666B" w:rsidRDefault="00C627B8">
            <w:pPr>
              <w:rPr>
                <w:noProof/>
                <w:szCs w:val="24"/>
              </w:rPr>
            </w:pPr>
            <w:r>
              <w:rPr>
                <w:noProof/>
                <w:szCs w:val="24"/>
              </w:rPr>
              <w:t>This option is not expected to have environmental impacts to the extent that these can be assessed and quantified.</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Administrative simplifications</w:t>
            </w:r>
          </w:p>
        </w:tc>
      </w:tr>
      <w:tr w:rsidR="0037666B">
        <w:tc>
          <w:tcPr>
            <w:tcW w:w="8897" w:type="dxa"/>
            <w:gridSpan w:val="10"/>
          </w:tcPr>
          <w:p w:rsidR="0037666B" w:rsidRDefault="00C627B8">
            <w:pPr>
              <w:rPr>
                <w:noProof/>
                <w:szCs w:val="24"/>
              </w:rPr>
            </w:pPr>
            <w:r>
              <w:rPr>
                <w:noProof/>
                <w:szCs w:val="24"/>
              </w:rPr>
              <w:t xml:space="preserve">No major administrative simplifications are expected under this option.  </w:t>
            </w:r>
          </w:p>
          <w:p w:rsidR="0037666B" w:rsidRDefault="0037666B">
            <w:pPr>
              <w:rPr>
                <w:noProof/>
                <w:szCs w:val="24"/>
              </w:rPr>
            </w:pPr>
          </w:p>
          <w:p w:rsidR="0037666B" w:rsidRDefault="0037666B">
            <w:pPr>
              <w:rPr>
                <w:noProof/>
                <w:szCs w:val="24"/>
              </w:rPr>
            </w:pPr>
          </w:p>
        </w:tc>
      </w:tr>
      <w:tr w:rsidR="0037666B">
        <w:tc>
          <w:tcPr>
            <w:tcW w:w="8897" w:type="dxa"/>
            <w:gridSpan w:val="10"/>
            <w:tcBorders>
              <w:bottom w:val="single" w:sz="4" w:space="0" w:color="auto"/>
            </w:tcBorders>
            <w:shd w:val="clear" w:color="auto" w:fill="8DB3E2" w:themeFill="text2" w:themeFillTint="66"/>
          </w:tcPr>
          <w:p w:rsidR="0037666B" w:rsidRDefault="00C627B8">
            <w:pPr>
              <w:rPr>
                <w:noProof/>
                <w:szCs w:val="24"/>
              </w:rPr>
            </w:pPr>
            <w:r>
              <w:rPr>
                <w:noProof/>
                <w:szCs w:val="24"/>
              </w:rPr>
              <w:t>Stakeholders views on the option</w:t>
            </w:r>
          </w:p>
        </w:tc>
      </w:tr>
      <w:tr w:rsidR="0037666B">
        <w:trPr>
          <w:trHeight w:val="2266"/>
        </w:trPr>
        <w:tc>
          <w:tcPr>
            <w:tcW w:w="8897" w:type="dxa"/>
            <w:gridSpan w:val="10"/>
            <w:shd w:val="clear" w:color="auto" w:fill="auto"/>
          </w:tcPr>
          <w:p w:rsidR="0037666B" w:rsidRDefault="00C627B8">
            <w:pPr>
              <w:rPr>
                <w:noProof/>
                <w:szCs w:val="24"/>
              </w:rPr>
            </w:pPr>
            <w:r>
              <w:rPr>
                <w:noProof/>
                <w:szCs w:val="24"/>
              </w:rPr>
              <w:t>During the last meeting of the Consultative Committee on mutual recognition (25 October 2016), there was a consensus among Member States represen</w:t>
            </w:r>
            <w:r>
              <w:rPr>
                <w:noProof/>
                <w:szCs w:val="24"/>
              </w:rPr>
              <w:t xml:space="preserve">tatives on the fact that this option will be extremely effective in increasing awareness of the mutual recognition principle and therefore Member States representatives highly supported it. </w:t>
            </w:r>
          </w:p>
          <w:p w:rsidR="0037666B" w:rsidRDefault="00C627B8">
            <w:pPr>
              <w:rPr>
                <w:noProof/>
                <w:szCs w:val="24"/>
              </w:rPr>
            </w:pPr>
            <w:r>
              <w:rPr>
                <w:noProof/>
                <w:szCs w:val="24"/>
              </w:rPr>
              <w:t>During the additional survey and interviews conducted by an exter</w:t>
            </w:r>
            <w:r>
              <w:rPr>
                <w:noProof/>
                <w:szCs w:val="24"/>
              </w:rPr>
              <w:t>nal contractor during 2016-2017</w:t>
            </w:r>
            <w:r>
              <w:rPr>
                <w:rStyle w:val="FootnoteReference"/>
                <w:noProof/>
                <w:szCs w:val="24"/>
              </w:rPr>
              <w:footnoteReference w:id="83"/>
            </w:r>
            <w:r>
              <w:rPr>
                <w:noProof/>
                <w:szCs w:val="24"/>
              </w:rPr>
              <w:t>, stakeholders shared the following views on this option:</w:t>
            </w:r>
          </w:p>
        </w:tc>
      </w:tr>
      <w:tr w:rsidR="0037666B">
        <w:tc>
          <w:tcPr>
            <w:tcW w:w="1362" w:type="dxa"/>
            <w:vMerge w:val="restart"/>
            <w:shd w:val="clear" w:color="auto" w:fill="DBE5F1" w:themeFill="accent1" w:themeFillTint="33"/>
            <w:vAlign w:val="center"/>
          </w:tcPr>
          <w:p w:rsidR="0037666B" w:rsidRDefault="00C627B8">
            <w:pPr>
              <w:spacing w:before="60" w:after="60"/>
              <w:jc w:val="center"/>
              <w:rPr>
                <w:noProof/>
                <w:sz w:val="20"/>
              </w:rPr>
            </w:pPr>
            <w:r>
              <w:rPr>
                <w:noProof/>
                <w:sz w:val="20"/>
              </w:rPr>
              <w:t>Sub-options</w:t>
            </w:r>
          </w:p>
        </w:tc>
        <w:tc>
          <w:tcPr>
            <w:tcW w:w="1498" w:type="dxa"/>
            <w:gridSpan w:val="2"/>
            <w:shd w:val="clear" w:color="auto" w:fill="DBE5F1" w:themeFill="accent1" w:themeFillTint="33"/>
            <w:vAlign w:val="center"/>
          </w:tcPr>
          <w:p w:rsidR="0037666B" w:rsidRDefault="00C627B8">
            <w:pPr>
              <w:spacing w:before="60" w:after="60"/>
              <w:jc w:val="center"/>
              <w:rPr>
                <w:noProof/>
                <w:sz w:val="20"/>
              </w:rPr>
            </w:pPr>
            <w:r>
              <w:rPr>
                <w:noProof/>
                <w:sz w:val="20"/>
              </w:rPr>
              <w:t>Effectiveness for raising awareness (Policy objective 1)</w:t>
            </w:r>
          </w:p>
        </w:tc>
        <w:tc>
          <w:tcPr>
            <w:tcW w:w="1382" w:type="dxa"/>
            <w:gridSpan w:val="2"/>
            <w:shd w:val="clear" w:color="auto" w:fill="DBE5F1" w:themeFill="accent1" w:themeFillTint="33"/>
            <w:vAlign w:val="center"/>
          </w:tcPr>
          <w:p w:rsidR="0037666B" w:rsidRDefault="00C627B8">
            <w:pPr>
              <w:spacing w:before="60" w:after="60"/>
              <w:jc w:val="center"/>
              <w:rPr>
                <w:noProof/>
                <w:sz w:val="20"/>
              </w:rPr>
            </w:pPr>
            <w:r>
              <w:rPr>
                <w:noProof/>
                <w:sz w:val="20"/>
              </w:rPr>
              <w:t>Effectiveness for legal certainty on the scope (Policy objective 2)</w:t>
            </w:r>
          </w:p>
        </w:tc>
        <w:tc>
          <w:tcPr>
            <w:tcW w:w="1382" w:type="dxa"/>
            <w:gridSpan w:val="2"/>
            <w:shd w:val="clear" w:color="auto" w:fill="DBE5F1" w:themeFill="accent1" w:themeFillTint="33"/>
            <w:vAlign w:val="center"/>
          </w:tcPr>
          <w:p w:rsidR="0037666B" w:rsidRDefault="00C627B8">
            <w:pPr>
              <w:spacing w:before="60" w:after="60"/>
              <w:jc w:val="center"/>
              <w:rPr>
                <w:noProof/>
                <w:sz w:val="20"/>
              </w:rPr>
            </w:pPr>
            <w:r>
              <w:rPr>
                <w:noProof/>
                <w:sz w:val="20"/>
              </w:rPr>
              <w:t xml:space="preserve">Effectiveness for legal </w:t>
            </w:r>
            <w:r>
              <w:rPr>
                <w:noProof/>
                <w:sz w:val="20"/>
              </w:rPr>
              <w:t>certainty on the application of MR (Policy objective 3)</w:t>
            </w:r>
          </w:p>
        </w:tc>
        <w:tc>
          <w:tcPr>
            <w:tcW w:w="3273" w:type="dxa"/>
            <w:gridSpan w:val="3"/>
            <w:shd w:val="clear" w:color="auto" w:fill="DBE5F1" w:themeFill="accent1" w:themeFillTint="33"/>
            <w:vAlign w:val="center"/>
          </w:tcPr>
          <w:p w:rsidR="0037666B" w:rsidRDefault="00C627B8">
            <w:pPr>
              <w:spacing w:before="60" w:after="60"/>
              <w:jc w:val="center"/>
              <w:rPr>
                <w:noProof/>
                <w:sz w:val="20"/>
              </w:rPr>
            </w:pPr>
            <w:r>
              <w:rPr>
                <w:noProof/>
                <w:sz w:val="20"/>
              </w:rPr>
              <w:t>Effects on reducing costs for economic operators</w:t>
            </w:r>
          </w:p>
        </w:tc>
      </w:tr>
      <w:tr w:rsidR="0037666B">
        <w:tc>
          <w:tcPr>
            <w:tcW w:w="1362" w:type="dxa"/>
            <w:vMerge/>
            <w:shd w:val="clear" w:color="auto" w:fill="DBE5F1" w:themeFill="accent1" w:themeFillTint="33"/>
            <w:vAlign w:val="center"/>
          </w:tcPr>
          <w:p w:rsidR="0037666B" w:rsidRDefault="0037666B">
            <w:pPr>
              <w:spacing w:before="60" w:after="60"/>
              <w:jc w:val="center"/>
              <w:rPr>
                <w:noProof/>
                <w:sz w:val="20"/>
              </w:rPr>
            </w:pPr>
          </w:p>
        </w:tc>
        <w:tc>
          <w:tcPr>
            <w:tcW w:w="746" w:type="dxa"/>
            <w:vAlign w:val="center"/>
          </w:tcPr>
          <w:p w:rsidR="0037666B" w:rsidRDefault="00C627B8">
            <w:pPr>
              <w:spacing w:before="60" w:after="60"/>
              <w:jc w:val="center"/>
              <w:rPr>
                <w:noProof/>
                <w:sz w:val="20"/>
              </w:rPr>
            </w:pPr>
            <w:r>
              <w:rPr>
                <w:noProof/>
                <w:sz w:val="20"/>
              </w:rPr>
              <w:t>MS</w:t>
            </w:r>
          </w:p>
        </w:tc>
        <w:tc>
          <w:tcPr>
            <w:tcW w:w="752" w:type="dxa"/>
            <w:vAlign w:val="center"/>
          </w:tcPr>
          <w:p w:rsidR="0037666B" w:rsidRDefault="00C627B8">
            <w:pPr>
              <w:spacing w:before="60" w:after="60"/>
              <w:jc w:val="center"/>
              <w:rPr>
                <w:noProof/>
                <w:sz w:val="20"/>
              </w:rPr>
            </w:pPr>
            <w:r>
              <w:rPr>
                <w:noProof/>
                <w:sz w:val="20"/>
              </w:rPr>
              <w:t>EO</w:t>
            </w:r>
            <w:r>
              <w:rPr>
                <w:rStyle w:val="FootnoteReference"/>
                <w:noProof/>
                <w:sz w:val="20"/>
              </w:rPr>
              <w:footnoteReference w:id="84"/>
            </w:r>
          </w:p>
        </w:tc>
        <w:tc>
          <w:tcPr>
            <w:tcW w:w="702" w:type="dxa"/>
            <w:vAlign w:val="center"/>
          </w:tcPr>
          <w:p w:rsidR="0037666B" w:rsidRDefault="00C627B8">
            <w:pPr>
              <w:spacing w:before="60" w:after="60"/>
              <w:jc w:val="center"/>
              <w:rPr>
                <w:noProof/>
                <w:sz w:val="20"/>
              </w:rPr>
            </w:pPr>
            <w:r>
              <w:rPr>
                <w:noProof/>
                <w:sz w:val="20"/>
              </w:rPr>
              <w:t>MS</w:t>
            </w:r>
          </w:p>
        </w:tc>
        <w:tc>
          <w:tcPr>
            <w:tcW w:w="680" w:type="dxa"/>
            <w:vAlign w:val="center"/>
          </w:tcPr>
          <w:p w:rsidR="0037666B" w:rsidRDefault="00C627B8">
            <w:pPr>
              <w:spacing w:before="60" w:after="60"/>
              <w:jc w:val="center"/>
              <w:rPr>
                <w:noProof/>
                <w:sz w:val="20"/>
              </w:rPr>
            </w:pPr>
            <w:r>
              <w:rPr>
                <w:noProof/>
                <w:sz w:val="20"/>
              </w:rPr>
              <w:t>EO</w:t>
            </w:r>
          </w:p>
        </w:tc>
        <w:tc>
          <w:tcPr>
            <w:tcW w:w="702" w:type="dxa"/>
            <w:vAlign w:val="center"/>
          </w:tcPr>
          <w:p w:rsidR="0037666B" w:rsidRDefault="00C627B8">
            <w:pPr>
              <w:spacing w:before="60" w:after="60"/>
              <w:jc w:val="center"/>
              <w:rPr>
                <w:noProof/>
                <w:sz w:val="20"/>
              </w:rPr>
            </w:pPr>
            <w:r>
              <w:rPr>
                <w:noProof/>
                <w:sz w:val="20"/>
              </w:rPr>
              <w:t>MS</w:t>
            </w:r>
          </w:p>
        </w:tc>
        <w:tc>
          <w:tcPr>
            <w:tcW w:w="680" w:type="dxa"/>
            <w:vAlign w:val="center"/>
          </w:tcPr>
          <w:p w:rsidR="0037666B" w:rsidRDefault="00C627B8">
            <w:pPr>
              <w:spacing w:before="60" w:after="60"/>
              <w:jc w:val="center"/>
              <w:rPr>
                <w:noProof/>
                <w:sz w:val="20"/>
              </w:rPr>
            </w:pPr>
            <w:r>
              <w:rPr>
                <w:noProof/>
                <w:sz w:val="20"/>
              </w:rPr>
              <w:t>EO</w:t>
            </w:r>
          </w:p>
        </w:tc>
        <w:tc>
          <w:tcPr>
            <w:tcW w:w="1161" w:type="dxa"/>
            <w:vAlign w:val="center"/>
          </w:tcPr>
          <w:p w:rsidR="0037666B" w:rsidRDefault="00C627B8">
            <w:pPr>
              <w:spacing w:before="60" w:after="60"/>
              <w:jc w:val="center"/>
              <w:rPr>
                <w:noProof/>
                <w:sz w:val="20"/>
              </w:rPr>
            </w:pPr>
            <w:r>
              <w:rPr>
                <w:noProof/>
                <w:sz w:val="20"/>
              </w:rPr>
              <w:t>Transaction costs</w:t>
            </w:r>
          </w:p>
        </w:tc>
        <w:tc>
          <w:tcPr>
            <w:tcW w:w="872" w:type="dxa"/>
            <w:vAlign w:val="center"/>
          </w:tcPr>
          <w:p w:rsidR="0037666B" w:rsidRDefault="00C627B8">
            <w:pPr>
              <w:spacing w:before="60" w:after="60"/>
              <w:jc w:val="center"/>
              <w:rPr>
                <w:noProof/>
                <w:sz w:val="20"/>
              </w:rPr>
            </w:pPr>
            <w:r>
              <w:rPr>
                <w:noProof/>
                <w:sz w:val="20"/>
              </w:rPr>
              <w:t>Appeals</w:t>
            </w:r>
          </w:p>
        </w:tc>
        <w:tc>
          <w:tcPr>
            <w:tcW w:w="1240" w:type="dxa"/>
            <w:vAlign w:val="center"/>
          </w:tcPr>
          <w:p w:rsidR="0037666B" w:rsidRDefault="00C627B8">
            <w:pPr>
              <w:spacing w:before="60" w:after="60"/>
              <w:jc w:val="center"/>
              <w:rPr>
                <w:noProof/>
                <w:sz w:val="20"/>
              </w:rPr>
            </w:pPr>
            <w:r>
              <w:rPr>
                <w:noProof/>
                <w:sz w:val="20"/>
              </w:rPr>
              <w:t>Delayed market access</w:t>
            </w:r>
          </w:p>
        </w:tc>
      </w:tr>
      <w:tr w:rsidR="0037666B">
        <w:tc>
          <w:tcPr>
            <w:tcW w:w="1362" w:type="dxa"/>
            <w:shd w:val="clear" w:color="auto" w:fill="DBE5F1" w:themeFill="accent1" w:themeFillTint="33"/>
            <w:vAlign w:val="center"/>
          </w:tcPr>
          <w:p w:rsidR="0037666B" w:rsidRDefault="00C627B8">
            <w:pPr>
              <w:spacing w:before="60" w:after="60"/>
              <w:jc w:val="center"/>
              <w:rPr>
                <w:noProof/>
                <w:sz w:val="20"/>
              </w:rPr>
            </w:pPr>
            <w:r>
              <w:rPr>
                <w:noProof/>
                <w:sz w:val="20"/>
              </w:rPr>
              <w:t>Awareness raising and training</w:t>
            </w:r>
          </w:p>
        </w:tc>
        <w:tc>
          <w:tcPr>
            <w:tcW w:w="746" w:type="dxa"/>
            <w:vAlign w:val="center"/>
          </w:tcPr>
          <w:p w:rsidR="0037666B" w:rsidRDefault="00C627B8">
            <w:pPr>
              <w:spacing w:before="60" w:after="60"/>
              <w:jc w:val="center"/>
              <w:rPr>
                <w:noProof/>
                <w:sz w:val="20"/>
              </w:rPr>
            </w:pPr>
            <w:r>
              <w:rPr>
                <w:noProof/>
                <w:sz w:val="20"/>
              </w:rPr>
              <w:t>58%</w:t>
            </w:r>
          </w:p>
        </w:tc>
        <w:tc>
          <w:tcPr>
            <w:tcW w:w="752" w:type="dxa"/>
            <w:vAlign w:val="center"/>
          </w:tcPr>
          <w:p w:rsidR="0037666B" w:rsidRDefault="00C627B8">
            <w:pPr>
              <w:spacing w:before="60" w:after="60"/>
              <w:jc w:val="center"/>
              <w:rPr>
                <w:noProof/>
                <w:sz w:val="20"/>
              </w:rPr>
            </w:pPr>
            <w:r>
              <w:rPr>
                <w:noProof/>
                <w:sz w:val="20"/>
              </w:rPr>
              <w:t>50%</w:t>
            </w:r>
          </w:p>
        </w:tc>
        <w:tc>
          <w:tcPr>
            <w:tcW w:w="702" w:type="dxa"/>
            <w:vAlign w:val="center"/>
          </w:tcPr>
          <w:p w:rsidR="0037666B" w:rsidRDefault="00C627B8">
            <w:pPr>
              <w:spacing w:before="60" w:after="60"/>
              <w:jc w:val="center"/>
              <w:rPr>
                <w:noProof/>
                <w:sz w:val="20"/>
              </w:rPr>
            </w:pPr>
            <w:r>
              <w:rPr>
                <w:noProof/>
                <w:sz w:val="20"/>
              </w:rPr>
              <w:t>42%</w:t>
            </w:r>
          </w:p>
        </w:tc>
        <w:tc>
          <w:tcPr>
            <w:tcW w:w="680" w:type="dxa"/>
            <w:vAlign w:val="center"/>
          </w:tcPr>
          <w:p w:rsidR="0037666B" w:rsidRDefault="00C627B8">
            <w:pPr>
              <w:spacing w:before="60" w:after="60"/>
              <w:jc w:val="center"/>
              <w:rPr>
                <w:noProof/>
                <w:sz w:val="20"/>
              </w:rPr>
            </w:pPr>
            <w:r>
              <w:rPr>
                <w:noProof/>
                <w:sz w:val="20"/>
              </w:rPr>
              <w:t>42%</w:t>
            </w:r>
          </w:p>
        </w:tc>
        <w:tc>
          <w:tcPr>
            <w:tcW w:w="702" w:type="dxa"/>
            <w:vAlign w:val="center"/>
          </w:tcPr>
          <w:p w:rsidR="0037666B" w:rsidRDefault="00C627B8">
            <w:pPr>
              <w:spacing w:before="60" w:after="60"/>
              <w:jc w:val="center"/>
              <w:rPr>
                <w:noProof/>
                <w:sz w:val="20"/>
              </w:rPr>
            </w:pPr>
            <w:r>
              <w:rPr>
                <w:noProof/>
                <w:sz w:val="20"/>
              </w:rPr>
              <w:t>42%</w:t>
            </w:r>
          </w:p>
        </w:tc>
        <w:tc>
          <w:tcPr>
            <w:tcW w:w="680" w:type="dxa"/>
            <w:vAlign w:val="center"/>
          </w:tcPr>
          <w:p w:rsidR="0037666B" w:rsidRDefault="00C627B8">
            <w:pPr>
              <w:spacing w:before="60" w:after="60"/>
              <w:jc w:val="center"/>
              <w:rPr>
                <w:noProof/>
                <w:sz w:val="20"/>
              </w:rPr>
            </w:pPr>
            <w:r>
              <w:rPr>
                <w:noProof/>
                <w:sz w:val="20"/>
              </w:rPr>
              <w:t>33%</w:t>
            </w:r>
          </w:p>
        </w:tc>
        <w:tc>
          <w:tcPr>
            <w:tcW w:w="1161" w:type="dxa"/>
            <w:vAlign w:val="center"/>
          </w:tcPr>
          <w:p w:rsidR="0037666B" w:rsidRDefault="00C627B8">
            <w:pPr>
              <w:spacing w:before="60" w:after="60"/>
              <w:jc w:val="center"/>
              <w:rPr>
                <w:noProof/>
                <w:sz w:val="20"/>
              </w:rPr>
            </w:pPr>
            <w:r>
              <w:rPr>
                <w:noProof/>
                <w:sz w:val="20"/>
              </w:rPr>
              <w:t>42%</w:t>
            </w:r>
          </w:p>
        </w:tc>
        <w:tc>
          <w:tcPr>
            <w:tcW w:w="872" w:type="dxa"/>
            <w:vAlign w:val="center"/>
          </w:tcPr>
          <w:p w:rsidR="0037666B" w:rsidRDefault="00C627B8">
            <w:pPr>
              <w:spacing w:before="60" w:after="60"/>
              <w:jc w:val="center"/>
              <w:rPr>
                <w:noProof/>
                <w:sz w:val="20"/>
              </w:rPr>
            </w:pPr>
            <w:r>
              <w:rPr>
                <w:noProof/>
                <w:sz w:val="20"/>
              </w:rPr>
              <w:t>25%</w:t>
            </w:r>
          </w:p>
        </w:tc>
        <w:tc>
          <w:tcPr>
            <w:tcW w:w="1240" w:type="dxa"/>
            <w:vAlign w:val="center"/>
          </w:tcPr>
          <w:p w:rsidR="0037666B" w:rsidRDefault="00C627B8">
            <w:pPr>
              <w:spacing w:before="60" w:after="60"/>
              <w:jc w:val="center"/>
              <w:rPr>
                <w:noProof/>
                <w:sz w:val="20"/>
              </w:rPr>
            </w:pPr>
            <w:r>
              <w:rPr>
                <w:noProof/>
                <w:sz w:val="20"/>
              </w:rPr>
              <w:t>25%</w:t>
            </w:r>
          </w:p>
        </w:tc>
      </w:tr>
      <w:tr w:rsidR="0037666B">
        <w:tc>
          <w:tcPr>
            <w:tcW w:w="1362" w:type="dxa"/>
            <w:shd w:val="clear" w:color="auto" w:fill="DBE5F1" w:themeFill="accent1" w:themeFillTint="33"/>
            <w:vAlign w:val="center"/>
          </w:tcPr>
          <w:p w:rsidR="0037666B" w:rsidRDefault="00C627B8">
            <w:pPr>
              <w:spacing w:before="60" w:after="60"/>
              <w:jc w:val="center"/>
              <w:rPr>
                <w:noProof/>
                <w:sz w:val="20"/>
              </w:rPr>
            </w:pPr>
            <w:r>
              <w:rPr>
                <w:noProof/>
                <w:sz w:val="20"/>
              </w:rPr>
              <w:t xml:space="preserve">Clearer </w:t>
            </w:r>
            <w:r>
              <w:rPr>
                <w:noProof/>
                <w:sz w:val="20"/>
              </w:rPr>
              <w:t>mutual recognition clause</w:t>
            </w:r>
          </w:p>
        </w:tc>
        <w:tc>
          <w:tcPr>
            <w:tcW w:w="746" w:type="dxa"/>
            <w:vAlign w:val="center"/>
          </w:tcPr>
          <w:p w:rsidR="0037666B" w:rsidRDefault="00C627B8">
            <w:pPr>
              <w:spacing w:before="60" w:after="60"/>
              <w:jc w:val="center"/>
              <w:rPr>
                <w:noProof/>
                <w:sz w:val="20"/>
              </w:rPr>
            </w:pPr>
            <w:r>
              <w:rPr>
                <w:noProof/>
                <w:sz w:val="20"/>
              </w:rPr>
              <w:t>68%</w:t>
            </w:r>
          </w:p>
        </w:tc>
        <w:tc>
          <w:tcPr>
            <w:tcW w:w="752" w:type="dxa"/>
            <w:vAlign w:val="center"/>
          </w:tcPr>
          <w:p w:rsidR="0037666B" w:rsidRDefault="00C627B8">
            <w:pPr>
              <w:spacing w:before="60" w:after="60"/>
              <w:jc w:val="center"/>
              <w:rPr>
                <w:noProof/>
                <w:sz w:val="20"/>
              </w:rPr>
            </w:pPr>
            <w:r>
              <w:rPr>
                <w:noProof/>
                <w:sz w:val="20"/>
              </w:rPr>
              <w:t>50%</w:t>
            </w:r>
          </w:p>
        </w:tc>
        <w:tc>
          <w:tcPr>
            <w:tcW w:w="702" w:type="dxa"/>
            <w:vAlign w:val="center"/>
          </w:tcPr>
          <w:p w:rsidR="0037666B" w:rsidRDefault="00C627B8">
            <w:pPr>
              <w:spacing w:before="60" w:after="60"/>
              <w:jc w:val="center"/>
              <w:rPr>
                <w:noProof/>
                <w:sz w:val="20"/>
              </w:rPr>
            </w:pPr>
            <w:r>
              <w:rPr>
                <w:noProof/>
                <w:sz w:val="20"/>
              </w:rPr>
              <w:t>63%</w:t>
            </w:r>
          </w:p>
        </w:tc>
        <w:tc>
          <w:tcPr>
            <w:tcW w:w="680" w:type="dxa"/>
            <w:vAlign w:val="center"/>
          </w:tcPr>
          <w:p w:rsidR="0037666B" w:rsidRDefault="00C627B8">
            <w:pPr>
              <w:spacing w:before="60" w:after="60"/>
              <w:jc w:val="center"/>
              <w:rPr>
                <w:noProof/>
                <w:sz w:val="20"/>
              </w:rPr>
            </w:pPr>
            <w:r>
              <w:rPr>
                <w:noProof/>
                <w:sz w:val="20"/>
              </w:rPr>
              <w:t>42%</w:t>
            </w:r>
          </w:p>
        </w:tc>
        <w:tc>
          <w:tcPr>
            <w:tcW w:w="702" w:type="dxa"/>
            <w:vAlign w:val="center"/>
          </w:tcPr>
          <w:p w:rsidR="0037666B" w:rsidRDefault="00C627B8">
            <w:pPr>
              <w:spacing w:before="60" w:after="60"/>
              <w:jc w:val="center"/>
              <w:rPr>
                <w:noProof/>
                <w:sz w:val="20"/>
              </w:rPr>
            </w:pPr>
            <w:r>
              <w:rPr>
                <w:noProof/>
                <w:sz w:val="20"/>
              </w:rPr>
              <w:t>69%</w:t>
            </w:r>
          </w:p>
        </w:tc>
        <w:tc>
          <w:tcPr>
            <w:tcW w:w="680" w:type="dxa"/>
            <w:vAlign w:val="center"/>
          </w:tcPr>
          <w:p w:rsidR="0037666B" w:rsidRDefault="00C627B8">
            <w:pPr>
              <w:spacing w:before="60" w:after="60"/>
              <w:jc w:val="center"/>
              <w:rPr>
                <w:noProof/>
                <w:sz w:val="20"/>
              </w:rPr>
            </w:pPr>
            <w:r>
              <w:rPr>
                <w:noProof/>
                <w:sz w:val="20"/>
              </w:rPr>
              <w:t>33%</w:t>
            </w:r>
          </w:p>
        </w:tc>
        <w:tc>
          <w:tcPr>
            <w:tcW w:w="1161" w:type="dxa"/>
            <w:vAlign w:val="center"/>
          </w:tcPr>
          <w:p w:rsidR="0037666B" w:rsidRDefault="00C627B8">
            <w:pPr>
              <w:spacing w:before="60" w:after="60"/>
              <w:jc w:val="center"/>
              <w:rPr>
                <w:noProof/>
                <w:sz w:val="20"/>
              </w:rPr>
            </w:pPr>
            <w:r>
              <w:rPr>
                <w:noProof/>
                <w:sz w:val="20"/>
              </w:rPr>
              <w:t>42%</w:t>
            </w:r>
          </w:p>
        </w:tc>
        <w:tc>
          <w:tcPr>
            <w:tcW w:w="872" w:type="dxa"/>
            <w:vAlign w:val="center"/>
          </w:tcPr>
          <w:p w:rsidR="0037666B" w:rsidRDefault="00C627B8">
            <w:pPr>
              <w:spacing w:before="60" w:after="60"/>
              <w:jc w:val="center"/>
              <w:rPr>
                <w:noProof/>
                <w:sz w:val="20"/>
              </w:rPr>
            </w:pPr>
            <w:r>
              <w:rPr>
                <w:noProof/>
                <w:sz w:val="20"/>
              </w:rPr>
              <w:t>25%</w:t>
            </w:r>
          </w:p>
        </w:tc>
        <w:tc>
          <w:tcPr>
            <w:tcW w:w="1240" w:type="dxa"/>
            <w:vAlign w:val="center"/>
          </w:tcPr>
          <w:p w:rsidR="0037666B" w:rsidRDefault="00C627B8">
            <w:pPr>
              <w:spacing w:before="60" w:after="60"/>
              <w:jc w:val="center"/>
              <w:rPr>
                <w:noProof/>
                <w:sz w:val="20"/>
              </w:rPr>
            </w:pPr>
            <w:r>
              <w:rPr>
                <w:noProof/>
                <w:sz w:val="20"/>
              </w:rPr>
              <w:t>25%</w:t>
            </w:r>
          </w:p>
        </w:tc>
      </w:tr>
      <w:tr w:rsidR="0037666B">
        <w:tc>
          <w:tcPr>
            <w:tcW w:w="1362" w:type="dxa"/>
            <w:shd w:val="clear" w:color="auto" w:fill="DBE5F1" w:themeFill="accent1" w:themeFillTint="33"/>
            <w:vAlign w:val="center"/>
          </w:tcPr>
          <w:p w:rsidR="0037666B" w:rsidRDefault="00C627B8">
            <w:pPr>
              <w:spacing w:before="60" w:after="60"/>
              <w:jc w:val="center"/>
              <w:rPr>
                <w:noProof/>
                <w:sz w:val="20"/>
              </w:rPr>
            </w:pPr>
            <w:r>
              <w:rPr>
                <w:noProof/>
                <w:sz w:val="20"/>
              </w:rPr>
              <w:t>Exchange of officials</w:t>
            </w:r>
          </w:p>
        </w:tc>
        <w:tc>
          <w:tcPr>
            <w:tcW w:w="746" w:type="dxa"/>
            <w:vAlign w:val="center"/>
          </w:tcPr>
          <w:p w:rsidR="0037666B" w:rsidRDefault="00C627B8">
            <w:pPr>
              <w:spacing w:before="60" w:after="60"/>
              <w:jc w:val="center"/>
              <w:rPr>
                <w:noProof/>
                <w:sz w:val="20"/>
              </w:rPr>
            </w:pPr>
            <w:r>
              <w:rPr>
                <w:noProof/>
                <w:sz w:val="20"/>
              </w:rPr>
              <w:t>32%</w:t>
            </w:r>
          </w:p>
        </w:tc>
        <w:tc>
          <w:tcPr>
            <w:tcW w:w="752" w:type="dxa"/>
            <w:vAlign w:val="center"/>
          </w:tcPr>
          <w:p w:rsidR="0037666B" w:rsidRDefault="00C627B8">
            <w:pPr>
              <w:spacing w:before="60" w:after="60"/>
              <w:jc w:val="center"/>
              <w:rPr>
                <w:noProof/>
                <w:sz w:val="20"/>
              </w:rPr>
            </w:pPr>
            <w:r>
              <w:rPr>
                <w:noProof/>
                <w:sz w:val="20"/>
              </w:rPr>
              <w:t>33%</w:t>
            </w:r>
          </w:p>
        </w:tc>
        <w:tc>
          <w:tcPr>
            <w:tcW w:w="702" w:type="dxa"/>
            <w:vAlign w:val="center"/>
          </w:tcPr>
          <w:p w:rsidR="0037666B" w:rsidRDefault="00C627B8">
            <w:pPr>
              <w:spacing w:before="60" w:after="60"/>
              <w:jc w:val="center"/>
              <w:rPr>
                <w:noProof/>
                <w:sz w:val="20"/>
              </w:rPr>
            </w:pPr>
            <w:r>
              <w:rPr>
                <w:noProof/>
                <w:sz w:val="20"/>
              </w:rPr>
              <w:t>27%</w:t>
            </w:r>
          </w:p>
        </w:tc>
        <w:tc>
          <w:tcPr>
            <w:tcW w:w="680" w:type="dxa"/>
            <w:vAlign w:val="center"/>
          </w:tcPr>
          <w:p w:rsidR="0037666B" w:rsidRDefault="00C627B8">
            <w:pPr>
              <w:spacing w:before="60" w:after="60"/>
              <w:jc w:val="center"/>
              <w:rPr>
                <w:noProof/>
                <w:sz w:val="20"/>
              </w:rPr>
            </w:pPr>
            <w:r>
              <w:rPr>
                <w:noProof/>
                <w:sz w:val="20"/>
              </w:rPr>
              <w:t>33%</w:t>
            </w:r>
          </w:p>
        </w:tc>
        <w:tc>
          <w:tcPr>
            <w:tcW w:w="702" w:type="dxa"/>
            <w:vAlign w:val="center"/>
          </w:tcPr>
          <w:p w:rsidR="0037666B" w:rsidRDefault="00C627B8">
            <w:pPr>
              <w:spacing w:before="60" w:after="60"/>
              <w:jc w:val="center"/>
              <w:rPr>
                <w:noProof/>
                <w:sz w:val="20"/>
              </w:rPr>
            </w:pPr>
            <w:r>
              <w:rPr>
                <w:noProof/>
                <w:sz w:val="20"/>
              </w:rPr>
              <w:t>37%</w:t>
            </w:r>
          </w:p>
        </w:tc>
        <w:tc>
          <w:tcPr>
            <w:tcW w:w="680" w:type="dxa"/>
            <w:vAlign w:val="center"/>
          </w:tcPr>
          <w:p w:rsidR="0037666B" w:rsidRDefault="00C627B8">
            <w:pPr>
              <w:spacing w:before="60" w:after="60"/>
              <w:jc w:val="center"/>
              <w:rPr>
                <w:noProof/>
                <w:sz w:val="20"/>
              </w:rPr>
            </w:pPr>
            <w:r>
              <w:rPr>
                <w:noProof/>
                <w:sz w:val="20"/>
              </w:rPr>
              <w:t>58%</w:t>
            </w:r>
          </w:p>
        </w:tc>
        <w:tc>
          <w:tcPr>
            <w:tcW w:w="1161" w:type="dxa"/>
            <w:vAlign w:val="center"/>
          </w:tcPr>
          <w:p w:rsidR="0037666B" w:rsidRDefault="00C627B8">
            <w:pPr>
              <w:spacing w:before="60" w:after="60"/>
              <w:jc w:val="center"/>
              <w:rPr>
                <w:noProof/>
                <w:sz w:val="20"/>
              </w:rPr>
            </w:pPr>
            <w:r>
              <w:rPr>
                <w:noProof/>
                <w:sz w:val="20"/>
              </w:rPr>
              <w:t>34%</w:t>
            </w:r>
          </w:p>
        </w:tc>
        <w:tc>
          <w:tcPr>
            <w:tcW w:w="872" w:type="dxa"/>
            <w:vAlign w:val="center"/>
          </w:tcPr>
          <w:p w:rsidR="0037666B" w:rsidRDefault="00C627B8">
            <w:pPr>
              <w:spacing w:before="60" w:after="60"/>
              <w:jc w:val="center"/>
              <w:rPr>
                <w:noProof/>
                <w:sz w:val="20"/>
              </w:rPr>
            </w:pPr>
            <w:r>
              <w:rPr>
                <w:noProof/>
                <w:sz w:val="20"/>
              </w:rPr>
              <w:t>25%</w:t>
            </w:r>
          </w:p>
        </w:tc>
        <w:tc>
          <w:tcPr>
            <w:tcW w:w="1240" w:type="dxa"/>
            <w:vAlign w:val="center"/>
          </w:tcPr>
          <w:p w:rsidR="0037666B" w:rsidRDefault="00C627B8">
            <w:pPr>
              <w:spacing w:before="60" w:after="60"/>
              <w:jc w:val="center"/>
              <w:rPr>
                <w:noProof/>
                <w:sz w:val="20"/>
              </w:rPr>
            </w:pPr>
            <w:r>
              <w:rPr>
                <w:noProof/>
                <w:sz w:val="20"/>
              </w:rPr>
              <w:t>33%</w:t>
            </w:r>
          </w:p>
        </w:tc>
      </w:tr>
      <w:tr w:rsidR="0037666B">
        <w:tc>
          <w:tcPr>
            <w:tcW w:w="8897" w:type="dxa"/>
            <w:gridSpan w:val="10"/>
            <w:shd w:val="clear" w:color="auto" w:fill="8DB3E2" w:themeFill="text2" w:themeFillTint="66"/>
          </w:tcPr>
          <w:p w:rsidR="0037666B" w:rsidRDefault="00C627B8">
            <w:pPr>
              <w:spacing w:before="120"/>
              <w:rPr>
                <w:noProof/>
                <w:szCs w:val="24"/>
              </w:rPr>
            </w:pPr>
            <w:r>
              <w:rPr>
                <w:noProof/>
                <w:szCs w:val="24"/>
              </w:rPr>
              <w:t xml:space="preserve">Assessment of the option </w:t>
            </w:r>
          </w:p>
        </w:tc>
      </w:tr>
      <w:tr w:rsidR="0037666B">
        <w:tc>
          <w:tcPr>
            <w:tcW w:w="8897" w:type="dxa"/>
            <w:gridSpan w:val="10"/>
            <w:shd w:val="clear" w:color="auto" w:fill="auto"/>
          </w:tcPr>
          <w:p w:rsidR="0037666B" w:rsidRDefault="00C627B8">
            <w:pPr>
              <w:rPr>
                <w:noProof/>
                <w:szCs w:val="24"/>
              </w:rPr>
            </w:pPr>
            <w:r>
              <w:rPr>
                <w:noProof/>
                <w:szCs w:val="24"/>
              </w:rPr>
              <w:t xml:space="preserve">Effectiveness in achieving the policy objectives                                                      </w:t>
            </w:r>
          </w:p>
        </w:tc>
      </w:tr>
      <w:tr w:rsidR="0037666B">
        <w:tc>
          <w:tcPr>
            <w:tcW w:w="8897" w:type="dxa"/>
            <w:gridSpan w:val="10"/>
            <w:shd w:val="clear" w:color="auto" w:fill="auto"/>
          </w:tcPr>
          <w:p w:rsidR="0037666B" w:rsidRDefault="00C627B8">
            <w:pPr>
              <w:rPr>
                <w:noProof/>
                <w:szCs w:val="24"/>
              </w:rPr>
            </w:pPr>
            <w:r>
              <w:rPr>
                <w:i/>
                <w:noProof/>
                <w:szCs w:val="24"/>
              </w:rPr>
              <w:t xml:space="preserve">Increase awareness about mutual recognition                                                               </w:t>
            </w:r>
            <w:r>
              <w:rPr>
                <w:noProof/>
                <w:szCs w:val="24"/>
              </w:rPr>
              <w:t>+++</w:t>
            </w:r>
          </w:p>
        </w:tc>
      </w:tr>
      <w:tr w:rsidR="0037666B">
        <w:tc>
          <w:tcPr>
            <w:tcW w:w="8897" w:type="dxa"/>
            <w:gridSpan w:val="10"/>
            <w:shd w:val="clear" w:color="auto" w:fill="auto"/>
          </w:tcPr>
          <w:p w:rsidR="0037666B" w:rsidRDefault="00C627B8">
            <w:pPr>
              <w:rPr>
                <w:noProof/>
                <w:szCs w:val="24"/>
              </w:rPr>
            </w:pPr>
            <w:r>
              <w:rPr>
                <w:i/>
                <w:noProof/>
                <w:szCs w:val="24"/>
              </w:rPr>
              <w:t>Increase legal certainty on the scope of mutual recognition</w:t>
            </w:r>
            <w:r>
              <w:rPr>
                <w:noProof/>
                <w:szCs w:val="24"/>
              </w:rPr>
              <w:t xml:space="preserve">                                          +</w:t>
            </w:r>
          </w:p>
        </w:tc>
      </w:tr>
      <w:tr w:rsidR="0037666B">
        <w:tc>
          <w:tcPr>
            <w:tcW w:w="8897" w:type="dxa"/>
            <w:gridSpan w:val="10"/>
            <w:shd w:val="clear" w:color="auto" w:fill="auto"/>
          </w:tcPr>
          <w:p w:rsidR="0037666B" w:rsidRDefault="00C627B8">
            <w:pPr>
              <w:rPr>
                <w:noProof/>
                <w:szCs w:val="24"/>
              </w:rPr>
            </w:pPr>
            <w:r>
              <w:rPr>
                <w:i/>
                <w:noProof/>
                <w:szCs w:val="24"/>
              </w:rPr>
              <w:t>Increase legal certainty on the applicati</w:t>
            </w:r>
            <w:r>
              <w:rPr>
                <w:i/>
                <w:noProof/>
                <w:szCs w:val="24"/>
              </w:rPr>
              <w:t>on of mutual recognition</w:t>
            </w:r>
            <w:r>
              <w:rPr>
                <w:noProof/>
                <w:szCs w:val="24"/>
              </w:rPr>
              <w:t xml:space="preserve">                                 +</w:t>
            </w:r>
          </w:p>
        </w:tc>
      </w:tr>
      <w:tr w:rsidR="0037666B">
        <w:tc>
          <w:tcPr>
            <w:tcW w:w="8897" w:type="dxa"/>
            <w:gridSpan w:val="10"/>
            <w:shd w:val="clear" w:color="auto" w:fill="auto"/>
          </w:tcPr>
          <w:p w:rsidR="0037666B" w:rsidRDefault="00C627B8">
            <w:pPr>
              <w:rPr>
                <w:noProof/>
                <w:szCs w:val="24"/>
              </w:rPr>
            </w:pPr>
            <w:r>
              <w:rPr>
                <w:i/>
                <w:noProof/>
                <w:szCs w:val="24"/>
              </w:rPr>
              <w:t>Enhance administrative cooperation and communication</w:t>
            </w:r>
            <w:r>
              <w:rPr>
                <w:noProof/>
                <w:szCs w:val="24"/>
              </w:rPr>
              <w:t xml:space="preserve">                                             ++</w:t>
            </w:r>
          </w:p>
        </w:tc>
      </w:tr>
      <w:tr w:rsidR="0037666B">
        <w:tc>
          <w:tcPr>
            <w:tcW w:w="8897" w:type="dxa"/>
            <w:gridSpan w:val="10"/>
            <w:shd w:val="clear" w:color="auto" w:fill="auto"/>
          </w:tcPr>
          <w:p w:rsidR="0037666B" w:rsidRDefault="00C627B8">
            <w:pPr>
              <w:rPr>
                <w:noProof/>
                <w:szCs w:val="24"/>
              </w:rPr>
            </w:pPr>
            <w:r>
              <w:rPr>
                <w:noProof/>
                <w:szCs w:val="24"/>
              </w:rPr>
              <w:t xml:space="preserve">Economic impacts for economic operators                                                        </w:t>
            </w:r>
            <w:r>
              <w:rPr>
                <w:noProof/>
                <w:szCs w:val="24"/>
              </w:rPr>
              <w:t xml:space="preserve">             0</w:t>
            </w:r>
          </w:p>
        </w:tc>
      </w:tr>
      <w:tr w:rsidR="0037666B">
        <w:tc>
          <w:tcPr>
            <w:tcW w:w="8897" w:type="dxa"/>
            <w:gridSpan w:val="10"/>
            <w:shd w:val="clear" w:color="auto" w:fill="auto"/>
          </w:tcPr>
          <w:p w:rsidR="0037666B" w:rsidRDefault="00C627B8">
            <w:pPr>
              <w:jc w:val="left"/>
              <w:rPr>
                <w:noProof/>
                <w:szCs w:val="24"/>
              </w:rPr>
            </w:pPr>
            <w:r>
              <w:rPr>
                <w:noProof/>
                <w:szCs w:val="24"/>
              </w:rPr>
              <w:t xml:space="preserve">Economic impacts for Member States                                                                                  -                                                                                                                              </w:t>
            </w:r>
          </w:p>
        </w:tc>
      </w:tr>
      <w:tr w:rsidR="0037666B">
        <w:tc>
          <w:tcPr>
            <w:tcW w:w="8897" w:type="dxa"/>
            <w:gridSpan w:val="10"/>
            <w:shd w:val="clear" w:color="auto" w:fill="auto"/>
          </w:tcPr>
          <w:p w:rsidR="0037666B" w:rsidRDefault="00C627B8">
            <w:pPr>
              <w:rPr>
                <w:noProof/>
                <w:szCs w:val="24"/>
              </w:rPr>
            </w:pPr>
            <w:r>
              <w:rPr>
                <w:noProof/>
                <w:szCs w:val="24"/>
              </w:rPr>
              <w:t>Economic im</w:t>
            </w:r>
            <w:r>
              <w:rPr>
                <w:noProof/>
                <w:szCs w:val="24"/>
              </w:rPr>
              <w:t xml:space="preserve">pacts on the EU budget                                                                            -                                              </w:t>
            </w:r>
          </w:p>
        </w:tc>
      </w:tr>
      <w:tr w:rsidR="0037666B">
        <w:tc>
          <w:tcPr>
            <w:tcW w:w="8897" w:type="dxa"/>
            <w:gridSpan w:val="10"/>
            <w:shd w:val="clear" w:color="auto" w:fill="auto"/>
          </w:tcPr>
          <w:p w:rsidR="0037666B" w:rsidRDefault="00C627B8">
            <w:pPr>
              <w:rPr>
                <w:noProof/>
                <w:szCs w:val="24"/>
              </w:rPr>
            </w:pPr>
            <w:r>
              <w:rPr>
                <w:noProof/>
                <w:szCs w:val="24"/>
              </w:rPr>
              <w:t xml:space="preserve">Administrative simplification                                                                                </w:t>
            </w:r>
            <w:r>
              <w:rPr>
                <w:noProof/>
                <w:szCs w:val="24"/>
              </w:rPr>
              <w:t xml:space="preserve">       0</w:t>
            </w:r>
          </w:p>
        </w:tc>
      </w:tr>
      <w:tr w:rsidR="0037666B">
        <w:tc>
          <w:tcPr>
            <w:tcW w:w="8897" w:type="dxa"/>
            <w:gridSpan w:val="10"/>
            <w:shd w:val="clear" w:color="auto" w:fill="auto"/>
          </w:tcPr>
          <w:p w:rsidR="0037666B" w:rsidRDefault="00C627B8">
            <w:pPr>
              <w:rPr>
                <w:i/>
                <w:noProof/>
                <w:sz w:val="18"/>
                <w:szCs w:val="18"/>
              </w:rPr>
            </w:pPr>
            <w:r>
              <w:rPr>
                <w:i/>
                <w:noProof/>
                <w:sz w:val="18"/>
                <w:szCs w:val="18"/>
              </w:rPr>
              <w:t xml:space="preserve">Magnitude of impact as compared with the baseline scenario (the baseline is indicated as 0): +++ very positive; ++moderately positive, + positive; - - - strongly negative; - - moderately negative, - negative; neutral 0. </w:t>
            </w:r>
          </w:p>
        </w:tc>
      </w:tr>
    </w:tbl>
    <w:p w:rsidR="0037666B" w:rsidRDefault="0037666B">
      <w:pPr>
        <w:rPr>
          <w:b/>
          <w:noProof/>
          <w:szCs w:val="24"/>
        </w:rPr>
      </w:pPr>
    </w:p>
    <w:p w:rsidR="0037666B" w:rsidRDefault="00C627B8">
      <w:pPr>
        <w:rPr>
          <w:b/>
          <w:noProof/>
          <w:szCs w:val="24"/>
        </w:rPr>
      </w:pPr>
      <w:r>
        <w:rPr>
          <w:b/>
          <w:noProof/>
          <w:szCs w:val="24"/>
        </w:rPr>
        <w:t xml:space="preserve">Policy option 3 – Minimum legislative changes to regulation (EC) No 764/2008 to improve the functioning of mutual recognition </w:t>
      </w:r>
    </w:p>
    <w:tbl>
      <w:tblPr>
        <w:tblStyle w:val="TableGrid"/>
        <w:tblW w:w="8897" w:type="dxa"/>
        <w:tblLook w:val="04A0" w:firstRow="1" w:lastRow="0" w:firstColumn="1" w:lastColumn="0" w:noHBand="0" w:noVBand="1"/>
      </w:tblPr>
      <w:tblGrid>
        <w:gridCol w:w="1489"/>
        <w:gridCol w:w="698"/>
        <w:gridCol w:w="691"/>
        <w:gridCol w:w="699"/>
        <w:gridCol w:w="690"/>
        <w:gridCol w:w="699"/>
        <w:gridCol w:w="690"/>
        <w:gridCol w:w="1223"/>
        <w:gridCol w:w="915"/>
        <w:gridCol w:w="1103"/>
      </w:tblGrid>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Economic impacts  </w:t>
            </w:r>
          </w:p>
        </w:tc>
      </w:tr>
      <w:tr w:rsidR="0037666B">
        <w:tc>
          <w:tcPr>
            <w:tcW w:w="8897" w:type="dxa"/>
            <w:gridSpan w:val="10"/>
          </w:tcPr>
          <w:p w:rsidR="0037666B" w:rsidRDefault="00C627B8">
            <w:pPr>
              <w:rPr>
                <w:noProof/>
                <w:szCs w:val="24"/>
                <w:u w:val="single"/>
              </w:rPr>
            </w:pPr>
            <w:r>
              <w:rPr>
                <w:noProof/>
                <w:szCs w:val="24"/>
                <w:u w:val="single"/>
              </w:rPr>
              <w:t xml:space="preserve">Economic impacts for businesses  </w:t>
            </w:r>
          </w:p>
          <w:p w:rsidR="0037666B" w:rsidRDefault="00C627B8">
            <w:pPr>
              <w:rPr>
                <w:noProof/>
                <w:szCs w:val="24"/>
              </w:rPr>
            </w:pPr>
            <w:r>
              <w:rPr>
                <w:noProof/>
                <w:szCs w:val="24"/>
              </w:rPr>
              <w:t>Due to the complexity of mutual recognition and the variety of products inv</w:t>
            </w:r>
            <w:r>
              <w:rPr>
                <w:noProof/>
                <w:szCs w:val="24"/>
              </w:rPr>
              <w:t>olved, it is very difficult to provide a quantitative assessment of the reduction of costs that this option would trigger. It is expected that information costs would be partially reduced, as economic operators will receive more accurate information in lig</w:t>
            </w:r>
            <w:r>
              <w:rPr>
                <w:noProof/>
                <w:szCs w:val="24"/>
              </w:rPr>
              <w:t xml:space="preserve">ht of the enlargement of PCPs (sub-option 3c); this will impact mostly those products which are considered to be partially harmonised. </w:t>
            </w:r>
          </w:p>
          <w:p w:rsidR="0037666B" w:rsidRDefault="00C627B8">
            <w:pPr>
              <w:rPr>
                <w:noProof/>
                <w:szCs w:val="24"/>
              </w:rPr>
            </w:pPr>
            <w:r>
              <w:rPr>
                <w:noProof/>
                <w:szCs w:val="24"/>
              </w:rPr>
              <w:t>As a result of sub-option 3a (free movement for products complying with European standards) information costs, adaptatio</w:t>
            </w:r>
            <w:r>
              <w:rPr>
                <w:noProof/>
                <w:szCs w:val="24"/>
              </w:rPr>
              <w:t>n costs as well as costs linked to delays in accessing markets and lost opportunities are expected to be reduced; this view is supported by businesses. However, this sub-option would only lead to cost-savings in those sectors and for those products where e</w:t>
            </w:r>
            <w:r>
              <w:rPr>
                <w:noProof/>
                <w:szCs w:val="24"/>
              </w:rPr>
              <w:t>conomic operators would be able to rely on European standards. Such sectors are relatively limited (e.g. childcare articles). Furthermore, this option would only apply to products for which the Commission, after consultation of Member States and via implem</w:t>
            </w:r>
            <w:r>
              <w:rPr>
                <w:noProof/>
                <w:szCs w:val="24"/>
              </w:rPr>
              <w:t>enting acts, has also recognised the European standard in the context of mutual recognition; which may be a time-consuming process. For those products in the area of which European standards do not exist, or have not been formally recognised by the Commiss</w:t>
            </w:r>
            <w:r>
              <w:rPr>
                <w:noProof/>
                <w:szCs w:val="24"/>
              </w:rPr>
              <w:t>ion, including in the area of new, innovative products, this would not lead to benefits. This is supported by views at sector level, where this sub-option is considered to have a lot of potential, but no practical application, due to the lack of existing E</w:t>
            </w:r>
            <w:r>
              <w:rPr>
                <w:noProof/>
                <w:szCs w:val="24"/>
              </w:rPr>
              <w:t>U standards in particular sectors</w:t>
            </w:r>
            <w:r>
              <w:rPr>
                <w:noProof/>
                <w:szCs w:val="24"/>
              </w:rPr>
              <w:footnoteReference w:id="85"/>
            </w:r>
            <w:r>
              <w:rPr>
                <w:noProof/>
                <w:szCs w:val="24"/>
              </w:rPr>
              <w:t xml:space="preserve">. </w:t>
            </w:r>
          </w:p>
          <w:p w:rsidR="0037666B" w:rsidRDefault="00C627B8">
            <w:pPr>
              <w:rPr>
                <w:noProof/>
                <w:szCs w:val="24"/>
              </w:rPr>
            </w:pPr>
            <w:r>
              <w:rPr>
                <w:noProof/>
                <w:szCs w:val="24"/>
              </w:rPr>
              <w:t>Denial of market access and associated costs are also expected to be partially reduced, due to the modification of national authorities' behaviour triggered by the transparency of administrative decisions (sub-option 3b</w:t>
            </w:r>
            <w:r>
              <w:rPr>
                <w:noProof/>
                <w:szCs w:val="24"/>
              </w:rPr>
              <w:t xml:space="preserve">). </w:t>
            </w:r>
          </w:p>
          <w:p w:rsidR="0037666B" w:rsidRDefault="00C627B8">
            <w:pPr>
              <w:rPr>
                <w:noProof/>
                <w:szCs w:val="24"/>
              </w:rPr>
            </w:pPr>
            <w:r>
              <w:rPr>
                <w:noProof/>
                <w:szCs w:val="24"/>
              </w:rPr>
              <w:t>This option (in particular sub-option 3a) would also entail a number of costs for businesses. Companies wanting to benefit from free movement by complying with certain European standards would need to purchase these standards. The costs of the purchase</w:t>
            </w:r>
            <w:r>
              <w:rPr>
                <w:noProof/>
                <w:szCs w:val="24"/>
              </w:rPr>
              <w:t xml:space="preserve"> and/or update of standards for a specific product group have been estimated in the harmonised sector to account for less than €2,000 on an annual basis, and in many cases less than €1,000</w:t>
            </w:r>
            <w:r>
              <w:rPr>
                <w:rStyle w:val="FootnoteReference"/>
                <w:noProof/>
                <w:szCs w:val="24"/>
              </w:rPr>
              <w:footnoteReference w:id="86"/>
            </w:r>
            <w:r>
              <w:rPr>
                <w:noProof/>
                <w:szCs w:val="24"/>
              </w:rPr>
              <w:t>. This option would remain voluntary for companies even in those se</w:t>
            </w:r>
            <w:r>
              <w:rPr>
                <w:noProof/>
                <w:szCs w:val="24"/>
              </w:rPr>
              <w:t>ctors where European standards exist and have been recognised by the Commission in the context of facilitating mutual recognition.</w:t>
            </w:r>
          </w:p>
          <w:p w:rsidR="0037666B" w:rsidRDefault="00C627B8">
            <w:pPr>
              <w:rPr>
                <w:noProof/>
                <w:szCs w:val="24"/>
              </w:rPr>
            </w:pPr>
            <w:r>
              <w:rPr>
                <w:noProof/>
                <w:szCs w:val="24"/>
              </w:rPr>
              <w:t>Furthermore, large firms participate much more actively in EU standardisation processes and they are often involved in drafti</w:t>
            </w:r>
            <w:r>
              <w:rPr>
                <w:noProof/>
                <w:szCs w:val="24"/>
              </w:rPr>
              <w:t>ng standards, ensuring that SMEs are sufficiently represented in the standardisation process and that their concerns are taken into account is one of the concerns of the Commission</w:t>
            </w:r>
            <w:r>
              <w:rPr>
                <w:noProof/>
              </w:rPr>
              <w:footnoteReference w:id="87"/>
            </w:r>
            <w:r>
              <w:rPr>
                <w:noProof/>
                <w:szCs w:val="24"/>
              </w:rPr>
              <w:t>. Therefore, large firms are more likely to benefit from this option than S</w:t>
            </w:r>
            <w:r>
              <w:rPr>
                <w:noProof/>
                <w:szCs w:val="24"/>
              </w:rPr>
              <w:t xml:space="preserve">MEs, and the impact on the functioning of mutual recognition may be less substantial in particular in view of the fact that 87% of companies involved in the non-harmonised sector are micro enterprises. </w:t>
            </w:r>
          </w:p>
          <w:p w:rsidR="0037666B" w:rsidRDefault="00C627B8">
            <w:pPr>
              <w:rPr>
                <w:noProof/>
                <w:szCs w:val="24"/>
              </w:rPr>
            </w:pPr>
            <w:r>
              <w:rPr>
                <w:noProof/>
                <w:szCs w:val="24"/>
              </w:rPr>
              <w:t>This option, in particular by ensuring the free movem</w:t>
            </w:r>
            <w:r>
              <w:rPr>
                <w:noProof/>
                <w:szCs w:val="24"/>
              </w:rPr>
              <w:t>ent of goods is complying with European standards (sub-option 3a) and the transparency of administrative decisions denying market access (sub-option 3b), is expected to have an impact, albeit limited, in increasing trade flows among Member States and thus,</w:t>
            </w:r>
            <w:r>
              <w:rPr>
                <w:noProof/>
                <w:szCs w:val="24"/>
              </w:rPr>
              <w:t xml:space="preserve"> a positive impact on the competitiveness of European industry. </w:t>
            </w:r>
          </w:p>
          <w:p w:rsidR="0037666B" w:rsidRDefault="00C627B8">
            <w:pPr>
              <w:rPr>
                <w:noProof/>
                <w:szCs w:val="24"/>
                <w:u w:val="single"/>
              </w:rPr>
            </w:pPr>
            <w:r>
              <w:rPr>
                <w:noProof/>
                <w:szCs w:val="24"/>
                <w:u w:val="single"/>
              </w:rPr>
              <w:t>Economic impacts for Member States</w:t>
            </w:r>
          </w:p>
          <w:p w:rsidR="0037666B" w:rsidRDefault="00C627B8">
            <w:pPr>
              <w:rPr>
                <w:noProof/>
                <w:szCs w:val="24"/>
              </w:rPr>
            </w:pPr>
            <w:r>
              <w:rPr>
                <w:noProof/>
                <w:szCs w:val="24"/>
              </w:rPr>
              <w:t>Sub-option 3a (free movement for goods complying with European standards) would not trigger any costs for Member States; this would only require national au</w:t>
            </w:r>
            <w:r>
              <w:rPr>
                <w:noProof/>
                <w:szCs w:val="24"/>
              </w:rPr>
              <w:t>thorities to stay informed of all the European standards which are recognised by the Commission for the purposes of mutual recognition and the products it affects. The transparency of administrative decisions denying market access (sub-option 3b) would als</w:t>
            </w:r>
            <w:r>
              <w:rPr>
                <w:noProof/>
                <w:szCs w:val="24"/>
              </w:rPr>
              <w:t>o not entail any costs for Member States, given that they would submit a copy of such decisions via a supporting IT system and that an obligation to notify already exists under the baseline.</w:t>
            </w:r>
          </w:p>
          <w:p w:rsidR="0037666B" w:rsidRDefault="00C627B8">
            <w:pPr>
              <w:rPr>
                <w:noProof/>
                <w:szCs w:val="24"/>
              </w:rPr>
            </w:pPr>
            <w:r>
              <w:rPr>
                <w:noProof/>
                <w:szCs w:val="24"/>
              </w:rPr>
              <w:t>Member States are expected to bear certain costs as regards enlar</w:t>
            </w:r>
            <w:r>
              <w:rPr>
                <w:noProof/>
                <w:szCs w:val="24"/>
              </w:rPr>
              <w:t xml:space="preserve">ging the role of PCPs (3c). National authorities have already incurred costs related to implementing their obligation to establish PCP (putting them in place and having them functioning on an annual basis). Most of the time, the PCP has been integrated in </w:t>
            </w:r>
            <w:r>
              <w:rPr>
                <w:noProof/>
                <w:szCs w:val="24"/>
              </w:rPr>
              <w:t>an already existing department dealing with internal market issues. Based on the annual reports</w:t>
            </w:r>
            <w:r>
              <w:rPr>
                <w:rStyle w:val="FootnoteReference"/>
                <w:noProof/>
                <w:szCs w:val="24"/>
              </w:rPr>
              <w:footnoteReference w:id="88"/>
            </w:r>
            <w:r>
              <w:rPr>
                <w:noProof/>
                <w:szCs w:val="24"/>
              </w:rPr>
              <w:t xml:space="preserve">, one person on average is fulfilling the task of PCP. Since PCPs would be required to provide information on harmonised sectors as well, they would need to be </w:t>
            </w:r>
            <w:r>
              <w:rPr>
                <w:noProof/>
                <w:szCs w:val="24"/>
              </w:rPr>
              <w:t>enlarged. It is likely that the number of information requests will increase quite sharply by including the provision of information on EU harmonised rules as well so that, under this option, it would require between 1 and 3 supplementary FTE per PCP</w:t>
            </w:r>
            <w:r>
              <w:rPr>
                <w:rStyle w:val="FootnoteReference"/>
                <w:noProof/>
                <w:szCs w:val="24"/>
              </w:rPr>
              <w:footnoteReference w:id="89"/>
            </w:r>
            <w:r>
              <w:rPr>
                <w:noProof/>
                <w:szCs w:val="24"/>
              </w:rPr>
              <w:t xml:space="preserve">.   </w:t>
            </w:r>
          </w:p>
          <w:p w:rsidR="0037666B" w:rsidRDefault="00C627B8">
            <w:pPr>
              <w:rPr>
                <w:noProof/>
                <w:szCs w:val="24"/>
                <w:u w:val="single"/>
              </w:rPr>
            </w:pPr>
            <w:r>
              <w:rPr>
                <w:noProof/>
                <w:szCs w:val="24"/>
                <w:u w:val="single"/>
              </w:rPr>
              <w:t>Economic impacts for the EU budget</w:t>
            </w:r>
          </w:p>
          <w:p w:rsidR="0037666B" w:rsidRDefault="00C627B8">
            <w:pPr>
              <w:spacing w:after="0"/>
              <w:jc w:val="left"/>
              <w:rPr>
                <w:noProof/>
                <w:szCs w:val="24"/>
              </w:rPr>
            </w:pPr>
            <w:r>
              <w:rPr>
                <w:noProof/>
                <w:szCs w:val="24"/>
              </w:rPr>
              <w:t>In case of ensuring transparency of decisions denying market access (sub-option 3b), the Commission would have to invest certain resources in the making available of an IT tool to support the notification system. However,</w:t>
            </w:r>
            <w:r>
              <w:rPr>
                <w:noProof/>
                <w:szCs w:val="24"/>
              </w:rPr>
              <w:t xml:space="preserve"> this option would not imply setting up a new IT tool but it would rather rely on existing IT tools (such as ICSMS</w:t>
            </w:r>
            <w:r>
              <w:rPr>
                <w:rStyle w:val="FootnoteReference"/>
                <w:noProof/>
                <w:szCs w:val="24"/>
              </w:rPr>
              <w:footnoteReference w:id="90"/>
            </w:r>
            <w:r>
              <w:rPr>
                <w:noProof/>
                <w:szCs w:val="24"/>
              </w:rPr>
              <w:t xml:space="preserve"> or IMI</w:t>
            </w:r>
            <w:r>
              <w:rPr>
                <w:rStyle w:val="FootnoteReference"/>
                <w:noProof/>
                <w:szCs w:val="24"/>
              </w:rPr>
              <w:footnoteReference w:id="91"/>
            </w:r>
            <w:r>
              <w:rPr>
                <w:noProof/>
                <w:szCs w:val="24"/>
              </w:rPr>
              <w:t>).  Accordingly, the impact on resources would be minor, as it would require only certain (internal) technical work and adaptations i</w:t>
            </w:r>
            <w:r>
              <w:rPr>
                <w:noProof/>
                <w:szCs w:val="24"/>
              </w:rPr>
              <w:t xml:space="preserve">n order to put in place the necessary procedures and functionalities necessary for the purposes of these notifications. </w:t>
            </w:r>
          </w:p>
          <w:p w:rsidR="0037666B" w:rsidRDefault="00C627B8">
            <w:pPr>
              <w:rPr>
                <w:noProof/>
                <w:szCs w:val="24"/>
              </w:rPr>
            </w:pPr>
            <w:r>
              <w:rPr>
                <w:noProof/>
                <w:szCs w:val="24"/>
              </w:rPr>
              <w:t>Sub- options 3a (European standards) and 3c (enlarging the role of PCPs) would not trigger any costs on the EU budget.</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Social impacts </w:t>
            </w:r>
            <w:r>
              <w:rPr>
                <w:noProof/>
                <w:szCs w:val="24"/>
              </w:rPr>
              <w:t xml:space="preserve"> </w:t>
            </w:r>
          </w:p>
        </w:tc>
      </w:tr>
      <w:tr w:rsidR="0037666B">
        <w:tc>
          <w:tcPr>
            <w:tcW w:w="8897" w:type="dxa"/>
            <w:gridSpan w:val="10"/>
          </w:tcPr>
          <w:p w:rsidR="0037666B" w:rsidRDefault="00C627B8">
            <w:pPr>
              <w:rPr>
                <w:noProof/>
                <w:szCs w:val="24"/>
              </w:rPr>
            </w:pPr>
            <w:r>
              <w:rPr>
                <w:noProof/>
                <w:szCs w:val="24"/>
              </w:rPr>
              <w:t xml:space="preserve">Since this option, in particular by ensuring free movement of goods complying with European standards (sub-option 3a) and the transparency of administrative decisions denying market access (sub-option 3b), is expected to have a limited impact in </w:t>
            </w:r>
            <w:r>
              <w:rPr>
                <w:noProof/>
                <w:szCs w:val="24"/>
              </w:rPr>
              <w:t>increasing trade and thus, a positive impact on competitiveness of European industry; it would also have limited positive social impacts on the creation of employment. However, these impacts cannot be quantified.</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Environmental impacts</w:t>
            </w:r>
          </w:p>
        </w:tc>
      </w:tr>
      <w:tr w:rsidR="0037666B">
        <w:tc>
          <w:tcPr>
            <w:tcW w:w="8897" w:type="dxa"/>
            <w:gridSpan w:val="10"/>
          </w:tcPr>
          <w:p w:rsidR="0037666B" w:rsidRDefault="00C627B8">
            <w:pPr>
              <w:rPr>
                <w:noProof/>
                <w:szCs w:val="24"/>
              </w:rPr>
            </w:pPr>
            <w:r>
              <w:rPr>
                <w:noProof/>
                <w:szCs w:val="24"/>
              </w:rPr>
              <w:t>Environmental impac</w:t>
            </w:r>
            <w:r>
              <w:rPr>
                <w:noProof/>
                <w:szCs w:val="24"/>
              </w:rPr>
              <w:t>ts of this option cannot be quantified. Yet, an increase in trade flows between Member States may lead to some additional transport emissions, although they are not considered to be significant.</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Administrative simplifications</w:t>
            </w:r>
          </w:p>
        </w:tc>
      </w:tr>
      <w:tr w:rsidR="0037666B">
        <w:tc>
          <w:tcPr>
            <w:tcW w:w="8897" w:type="dxa"/>
            <w:gridSpan w:val="10"/>
          </w:tcPr>
          <w:p w:rsidR="0037666B" w:rsidRDefault="00C627B8">
            <w:pPr>
              <w:rPr>
                <w:noProof/>
                <w:szCs w:val="24"/>
              </w:rPr>
            </w:pPr>
            <w:r>
              <w:rPr>
                <w:noProof/>
                <w:szCs w:val="24"/>
              </w:rPr>
              <w:t>The free movement for produc</w:t>
            </w:r>
            <w:r>
              <w:rPr>
                <w:noProof/>
                <w:szCs w:val="24"/>
              </w:rPr>
              <w:t xml:space="preserve">ts complying with European standards would bring administrative simplification for companies when ensuring market access but it would only be for those products where a European standard exists and it has been recognised by the Commission for the purposes </w:t>
            </w:r>
            <w:r>
              <w:rPr>
                <w:noProof/>
                <w:szCs w:val="24"/>
              </w:rPr>
              <w:t>of mutual recognition. This is because for such products, companies would be able to rely on the compliance with the European standard and would not be required to further document that the product should be allowed market access on the basis of mutual rec</w:t>
            </w:r>
            <w:r>
              <w:rPr>
                <w:noProof/>
                <w:szCs w:val="24"/>
              </w:rPr>
              <w:t xml:space="preserve">ognition. If the Member State of destination would consider that the product does not adequately protect the public interests at stake despite complying with the European standard, it would be for the authorities to prove this.   </w:t>
            </w:r>
          </w:p>
          <w:p w:rsidR="0037666B" w:rsidRDefault="00C627B8">
            <w:pPr>
              <w:rPr>
                <w:noProof/>
                <w:szCs w:val="24"/>
              </w:rPr>
            </w:pPr>
            <w:r>
              <w:rPr>
                <w:noProof/>
                <w:szCs w:val="24"/>
              </w:rPr>
              <w:t xml:space="preserve">The use of an IT tool to </w:t>
            </w:r>
            <w:r>
              <w:rPr>
                <w:noProof/>
                <w:szCs w:val="24"/>
              </w:rPr>
              <w:t>notify administrative decisions denying market access is seen as an administrative simplification. It would replace the many divergent notification channels used until now, would streamline the coordination and overview of the notifications, and would faci</w:t>
            </w:r>
            <w:r>
              <w:rPr>
                <w:noProof/>
                <w:szCs w:val="24"/>
              </w:rPr>
              <w:t xml:space="preserve">litate their assessment. </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Stakeholders views on the option</w:t>
            </w:r>
          </w:p>
        </w:tc>
      </w:tr>
      <w:tr w:rsidR="0037666B">
        <w:tc>
          <w:tcPr>
            <w:tcW w:w="8897" w:type="dxa"/>
            <w:gridSpan w:val="10"/>
          </w:tcPr>
          <w:p w:rsidR="0037666B" w:rsidRDefault="00C627B8">
            <w:pPr>
              <w:rPr>
                <w:bCs/>
                <w:noProof/>
                <w:szCs w:val="24"/>
              </w:rPr>
            </w:pPr>
            <w:r>
              <w:rPr>
                <w:noProof/>
                <w:szCs w:val="24"/>
              </w:rPr>
              <w:t xml:space="preserve">During the 2016 public consultation, 46% of national authorities, 81% of businesses and 64% of citizens agreed with the need to </w:t>
            </w:r>
            <w:r>
              <w:rPr>
                <w:bCs/>
                <w:noProof/>
                <w:szCs w:val="24"/>
              </w:rPr>
              <w:t xml:space="preserve">introduce dissuasive measures to ensure that the obligation for </w:t>
            </w:r>
            <w:r>
              <w:rPr>
                <w:bCs/>
                <w:noProof/>
                <w:szCs w:val="24"/>
              </w:rPr>
              <w:t>national authorities to notify administrative decisions denying or restricting mutual recognition is respected. In addition, 57% of national authorities, 84% of businesses and 82%.</w:t>
            </w:r>
          </w:p>
          <w:p w:rsidR="0037666B" w:rsidRDefault="00C627B8">
            <w:pPr>
              <w:rPr>
                <w:noProof/>
                <w:szCs w:val="24"/>
              </w:rPr>
            </w:pPr>
            <w:r>
              <w:rPr>
                <w:noProof/>
                <w:szCs w:val="24"/>
              </w:rPr>
              <w:t>During the additional survey and interviews conducted by an external contra</w:t>
            </w:r>
            <w:r>
              <w:rPr>
                <w:noProof/>
                <w:szCs w:val="24"/>
              </w:rPr>
              <w:t>ctor during 2016-2017</w:t>
            </w:r>
            <w:r>
              <w:rPr>
                <w:rStyle w:val="FootnoteReference"/>
                <w:noProof/>
                <w:szCs w:val="24"/>
              </w:rPr>
              <w:footnoteReference w:id="92"/>
            </w:r>
            <w:r>
              <w:rPr>
                <w:noProof/>
                <w:szCs w:val="24"/>
              </w:rPr>
              <w:t>, stakeholders shared the following views on this option:</w:t>
            </w:r>
          </w:p>
        </w:tc>
      </w:tr>
      <w:tr w:rsidR="0037666B">
        <w:trPr>
          <w:cantSplit/>
          <w:trHeight w:val="1230"/>
          <w:tblHeader/>
        </w:trPr>
        <w:tc>
          <w:tcPr>
            <w:tcW w:w="1489" w:type="dxa"/>
            <w:vMerge w:val="restart"/>
            <w:shd w:val="clear" w:color="auto" w:fill="DBE5F1" w:themeFill="accent1" w:themeFillTint="33"/>
            <w:vAlign w:val="center"/>
          </w:tcPr>
          <w:p w:rsidR="0037666B" w:rsidRDefault="00C627B8">
            <w:pPr>
              <w:spacing w:before="120" w:after="120"/>
              <w:jc w:val="center"/>
              <w:rPr>
                <w:noProof/>
                <w:sz w:val="20"/>
              </w:rPr>
            </w:pPr>
            <w:r>
              <w:rPr>
                <w:noProof/>
                <w:sz w:val="20"/>
              </w:rPr>
              <w:t>Sub-options</w:t>
            </w:r>
          </w:p>
        </w:tc>
        <w:tc>
          <w:tcPr>
            <w:tcW w:w="1389"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raising awareness (Policy objective 1)</w:t>
            </w:r>
          </w:p>
        </w:tc>
        <w:tc>
          <w:tcPr>
            <w:tcW w:w="1389"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legal certainty on the scope (Policy objective 2)</w:t>
            </w:r>
          </w:p>
        </w:tc>
        <w:tc>
          <w:tcPr>
            <w:tcW w:w="1389"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legal certainty on t</w:t>
            </w:r>
            <w:r>
              <w:rPr>
                <w:noProof/>
                <w:sz w:val="20"/>
              </w:rPr>
              <w:t>he application of MR (Policy objective 3)</w:t>
            </w:r>
          </w:p>
        </w:tc>
        <w:tc>
          <w:tcPr>
            <w:tcW w:w="3241" w:type="dxa"/>
            <w:gridSpan w:val="3"/>
            <w:shd w:val="clear" w:color="auto" w:fill="DBE5F1" w:themeFill="accent1" w:themeFillTint="33"/>
            <w:vAlign w:val="center"/>
          </w:tcPr>
          <w:p w:rsidR="0037666B" w:rsidRDefault="00C627B8">
            <w:pPr>
              <w:spacing w:before="120" w:after="120"/>
              <w:jc w:val="center"/>
              <w:rPr>
                <w:noProof/>
                <w:sz w:val="20"/>
              </w:rPr>
            </w:pPr>
            <w:r>
              <w:rPr>
                <w:noProof/>
                <w:sz w:val="20"/>
              </w:rPr>
              <w:t>Effects on reducing costs for economic operators</w:t>
            </w:r>
          </w:p>
        </w:tc>
      </w:tr>
      <w:tr w:rsidR="0037666B">
        <w:trPr>
          <w:cantSplit/>
          <w:trHeight w:val="626"/>
          <w:tblHeader/>
        </w:trPr>
        <w:tc>
          <w:tcPr>
            <w:tcW w:w="1489" w:type="dxa"/>
            <w:vMerge/>
            <w:shd w:val="clear" w:color="auto" w:fill="DBE5F1" w:themeFill="accent1" w:themeFillTint="33"/>
            <w:vAlign w:val="center"/>
          </w:tcPr>
          <w:p w:rsidR="0037666B" w:rsidRDefault="0037666B">
            <w:pPr>
              <w:spacing w:before="120" w:after="120"/>
              <w:jc w:val="center"/>
              <w:rPr>
                <w:noProof/>
                <w:sz w:val="20"/>
              </w:rPr>
            </w:pPr>
          </w:p>
        </w:tc>
        <w:tc>
          <w:tcPr>
            <w:tcW w:w="698" w:type="dxa"/>
            <w:vAlign w:val="center"/>
          </w:tcPr>
          <w:p w:rsidR="0037666B" w:rsidRDefault="00C627B8">
            <w:pPr>
              <w:spacing w:before="120" w:after="120"/>
              <w:jc w:val="center"/>
              <w:rPr>
                <w:noProof/>
                <w:sz w:val="20"/>
              </w:rPr>
            </w:pPr>
            <w:r>
              <w:rPr>
                <w:noProof/>
                <w:sz w:val="20"/>
              </w:rPr>
              <w:t>MS</w:t>
            </w:r>
          </w:p>
        </w:tc>
        <w:tc>
          <w:tcPr>
            <w:tcW w:w="691" w:type="dxa"/>
            <w:vAlign w:val="center"/>
          </w:tcPr>
          <w:p w:rsidR="0037666B" w:rsidRDefault="00C627B8">
            <w:pPr>
              <w:spacing w:before="120" w:after="120"/>
              <w:jc w:val="center"/>
              <w:rPr>
                <w:noProof/>
                <w:sz w:val="20"/>
              </w:rPr>
            </w:pPr>
            <w:r>
              <w:rPr>
                <w:noProof/>
                <w:sz w:val="20"/>
              </w:rPr>
              <w:t>EO</w:t>
            </w:r>
            <w:r>
              <w:rPr>
                <w:rStyle w:val="FootnoteReference"/>
                <w:noProof/>
                <w:sz w:val="20"/>
              </w:rPr>
              <w:footnoteReference w:id="93"/>
            </w:r>
          </w:p>
        </w:tc>
        <w:tc>
          <w:tcPr>
            <w:tcW w:w="699" w:type="dxa"/>
            <w:vAlign w:val="center"/>
          </w:tcPr>
          <w:p w:rsidR="0037666B" w:rsidRDefault="00C627B8">
            <w:pPr>
              <w:spacing w:before="120" w:after="120"/>
              <w:jc w:val="center"/>
              <w:rPr>
                <w:noProof/>
                <w:sz w:val="20"/>
              </w:rPr>
            </w:pPr>
            <w:r>
              <w:rPr>
                <w:noProof/>
                <w:sz w:val="20"/>
              </w:rPr>
              <w:t>MS</w:t>
            </w:r>
          </w:p>
        </w:tc>
        <w:tc>
          <w:tcPr>
            <w:tcW w:w="690" w:type="dxa"/>
            <w:vAlign w:val="center"/>
          </w:tcPr>
          <w:p w:rsidR="0037666B" w:rsidRDefault="00C627B8">
            <w:pPr>
              <w:spacing w:before="120" w:after="120"/>
              <w:jc w:val="center"/>
              <w:rPr>
                <w:noProof/>
                <w:sz w:val="20"/>
              </w:rPr>
            </w:pPr>
            <w:r>
              <w:rPr>
                <w:noProof/>
                <w:sz w:val="20"/>
              </w:rPr>
              <w:t>EO</w:t>
            </w:r>
          </w:p>
        </w:tc>
        <w:tc>
          <w:tcPr>
            <w:tcW w:w="699" w:type="dxa"/>
            <w:vAlign w:val="center"/>
          </w:tcPr>
          <w:p w:rsidR="0037666B" w:rsidRDefault="00C627B8">
            <w:pPr>
              <w:spacing w:before="120" w:after="120"/>
              <w:jc w:val="center"/>
              <w:rPr>
                <w:noProof/>
                <w:sz w:val="20"/>
              </w:rPr>
            </w:pPr>
            <w:r>
              <w:rPr>
                <w:noProof/>
                <w:sz w:val="20"/>
              </w:rPr>
              <w:t>MS</w:t>
            </w:r>
          </w:p>
        </w:tc>
        <w:tc>
          <w:tcPr>
            <w:tcW w:w="690" w:type="dxa"/>
            <w:vAlign w:val="center"/>
          </w:tcPr>
          <w:p w:rsidR="0037666B" w:rsidRDefault="00C627B8">
            <w:pPr>
              <w:spacing w:before="120" w:after="120"/>
              <w:jc w:val="center"/>
              <w:rPr>
                <w:noProof/>
                <w:sz w:val="20"/>
              </w:rPr>
            </w:pPr>
            <w:r>
              <w:rPr>
                <w:noProof/>
                <w:sz w:val="20"/>
              </w:rPr>
              <w:t>EO</w:t>
            </w:r>
          </w:p>
        </w:tc>
        <w:tc>
          <w:tcPr>
            <w:tcW w:w="1223" w:type="dxa"/>
            <w:vAlign w:val="center"/>
          </w:tcPr>
          <w:p w:rsidR="0037666B" w:rsidRDefault="00C627B8">
            <w:pPr>
              <w:spacing w:before="120" w:after="120"/>
              <w:jc w:val="center"/>
              <w:rPr>
                <w:noProof/>
                <w:sz w:val="20"/>
              </w:rPr>
            </w:pPr>
            <w:r>
              <w:rPr>
                <w:noProof/>
                <w:sz w:val="20"/>
              </w:rPr>
              <w:t>Transaction costs</w:t>
            </w:r>
          </w:p>
        </w:tc>
        <w:tc>
          <w:tcPr>
            <w:tcW w:w="915" w:type="dxa"/>
            <w:vAlign w:val="center"/>
          </w:tcPr>
          <w:p w:rsidR="0037666B" w:rsidRDefault="00C627B8">
            <w:pPr>
              <w:spacing w:before="120" w:after="120"/>
              <w:jc w:val="center"/>
              <w:rPr>
                <w:noProof/>
                <w:sz w:val="20"/>
              </w:rPr>
            </w:pPr>
            <w:r>
              <w:rPr>
                <w:noProof/>
                <w:sz w:val="20"/>
              </w:rPr>
              <w:t>Appeals</w:t>
            </w:r>
          </w:p>
        </w:tc>
        <w:tc>
          <w:tcPr>
            <w:tcW w:w="1103" w:type="dxa"/>
            <w:vAlign w:val="center"/>
          </w:tcPr>
          <w:p w:rsidR="0037666B" w:rsidRDefault="00C627B8">
            <w:pPr>
              <w:spacing w:before="120" w:after="120"/>
              <w:jc w:val="center"/>
              <w:rPr>
                <w:noProof/>
                <w:sz w:val="20"/>
              </w:rPr>
            </w:pPr>
            <w:r>
              <w:rPr>
                <w:noProof/>
                <w:sz w:val="20"/>
              </w:rPr>
              <w:t>Delayed market access</w:t>
            </w:r>
          </w:p>
        </w:tc>
      </w:tr>
      <w:tr w:rsidR="0037666B">
        <w:trPr>
          <w:cantSplit/>
        </w:trPr>
        <w:tc>
          <w:tcPr>
            <w:tcW w:w="1489" w:type="dxa"/>
            <w:shd w:val="clear" w:color="auto" w:fill="DBE5F1" w:themeFill="accent1" w:themeFillTint="33"/>
            <w:vAlign w:val="center"/>
          </w:tcPr>
          <w:p w:rsidR="0037666B" w:rsidRDefault="00C627B8">
            <w:pPr>
              <w:spacing w:before="120" w:after="120"/>
              <w:jc w:val="center"/>
              <w:rPr>
                <w:noProof/>
                <w:sz w:val="20"/>
              </w:rPr>
            </w:pPr>
            <w:r>
              <w:rPr>
                <w:noProof/>
                <w:sz w:val="20"/>
              </w:rPr>
              <w:t>European Standards</w:t>
            </w:r>
          </w:p>
        </w:tc>
        <w:tc>
          <w:tcPr>
            <w:tcW w:w="698" w:type="dxa"/>
            <w:vAlign w:val="center"/>
          </w:tcPr>
          <w:p w:rsidR="0037666B" w:rsidRDefault="00C627B8">
            <w:pPr>
              <w:spacing w:before="120" w:after="120"/>
              <w:jc w:val="center"/>
              <w:rPr>
                <w:noProof/>
                <w:sz w:val="20"/>
              </w:rPr>
            </w:pPr>
            <w:r>
              <w:rPr>
                <w:noProof/>
                <w:sz w:val="20"/>
              </w:rPr>
              <w:t>48%</w:t>
            </w:r>
          </w:p>
        </w:tc>
        <w:tc>
          <w:tcPr>
            <w:tcW w:w="691" w:type="dxa"/>
            <w:vAlign w:val="center"/>
          </w:tcPr>
          <w:p w:rsidR="0037666B" w:rsidRDefault="00C627B8">
            <w:pPr>
              <w:spacing w:before="120" w:after="120"/>
              <w:jc w:val="center"/>
              <w:rPr>
                <w:noProof/>
                <w:sz w:val="20"/>
              </w:rPr>
            </w:pPr>
            <w:r>
              <w:rPr>
                <w:noProof/>
                <w:sz w:val="20"/>
              </w:rPr>
              <w:t>75%</w:t>
            </w:r>
          </w:p>
        </w:tc>
        <w:tc>
          <w:tcPr>
            <w:tcW w:w="699" w:type="dxa"/>
            <w:vAlign w:val="center"/>
          </w:tcPr>
          <w:p w:rsidR="0037666B" w:rsidRDefault="00C627B8">
            <w:pPr>
              <w:spacing w:before="120" w:after="120"/>
              <w:jc w:val="center"/>
              <w:rPr>
                <w:noProof/>
                <w:sz w:val="20"/>
              </w:rPr>
            </w:pPr>
            <w:r>
              <w:rPr>
                <w:noProof/>
                <w:sz w:val="20"/>
              </w:rPr>
              <w:t>48%</w:t>
            </w:r>
          </w:p>
        </w:tc>
        <w:tc>
          <w:tcPr>
            <w:tcW w:w="690" w:type="dxa"/>
            <w:vAlign w:val="center"/>
          </w:tcPr>
          <w:p w:rsidR="0037666B" w:rsidRDefault="00C627B8">
            <w:pPr>
              <w:spacing w:before="120" w:after="120"/>
              <w:jc w:val="center"/>
              <w:rPr>
                <w:noProof/>
                <w:sz w:val="20"/>
              </w:rPr>
            </w:pPr>
            <w:r>
              <w:rPr>
                <w:noProof/>
                <w:sz w:val="20"/>
              </w:rPr>
              <w:t>75%</w:t>
            </w:r>
          </w:p>
        </w:tc>
        <w:tc>
          <w:tcPr>
            <w:tcW w:w="699" w:type="dxa"/>
            <w:vAlign w:val="center"/>
          </w:tcPr>
          <w:p w:rsidR="0037666B" w:rsidRDefault="00C627B8">
            <w:pPr>
              <w:spacing w:before="120" w:after="120"/>
              <w:jc w:val="center"/>
              <w:rPr>
                <w:noProof/>
                <w:sz w:val="20"/>
              </w:rPr>
            </w:pPr>
            <w:r>
              <w:rPr>
                <w:noProof/>
                <w:sz w:val="20"/>
              </w:rPr>
              <w:t>53%</w:t>
            </w:r>
          </w:p>
        </w:tc>
        <w:tc>
          <w:tcPr>
            <w:tcW w:w="690" w:type="dxa"/>
            <w:vAlign w:val="center"/>
          </w:tcPr>
          <w:p w:rsidR="0037666B" w:rsidRDefault="00C627B8">
            <w:pPr>
              <w:spacing w:before="120" w:after="120"/>
              <w:jc w:val="center"/>
              <w:rPr>
                <w:noProof/>
                <w:sz w:val="20"/>
              </w:rPr>
            </w:pPr>
            <w:r>
              <w:rPr>
                <w:noProof/>
                <w:sz w:val="20"/>
              </w:rPr>
              <w:t>58%</w:t>
            </w:r>
          </w:p>
        </w:tc>
        <w:tc>
          <w:tcPr>
            <w:tcW w:w="1223" w:type="dxa"/>
            <w:vAlign w:val="center"/>
          </w:tcPr>
          <w:p w:rsidR="0037666B" w:rsidRDefault="00C627B8">
            <w:pPr>
              <w:spacing w:before="120" w:after="120"/>
              <w:jc w:val="center"/>
              <w:rPr>
                <w:noProof/>
                <w:sz w:val="20"/>
              </w:rPr>
            </w:pPr>
            <w:r>
              <w:rPr>
                <w:noProof/>
                <w:sz w:val="20"/>
              </w:rPr>
              <w:t>66%</w:t>
            </w:r>
          </w:p>
        </w:tc>
        <w:tc>
          <w:tcPr>
            <w:tcW w:w="915" w:type="dxa"/>
            <w:vAlign w:val="center"/>
          </w:tcPr>
          <w:p w:rsidR="0037666B" w:rsidRDefault="00C627B8">
            <w:pPr>
              <w:spacing w:before="120" w:after="120"/>
              <w:jc w:val="center"/>
              <w:rPr>
                <w:noProof/>
                <w:sz w:val="20"/>
              </w:rPr>
            </w:pPr>
            <w:r>
              <w:rPr>
                <w:noProof/>
                <w:sz w:val="20"/>
              </w:rPr>
              <w:t>42%</w:t>
            </w:r>
          </w:p>
        </w:tc>
        <w:tc>
          <w:tcPr>
            <w:tcW w:w="1103" w:type="dxa"/>
            <w:vAlign w:val="center"/>
          </w:tcPr>
          <w:p w:rsidR="0037666B" w:rsidRDefault="00C627B8">
            <w:pPr>
              <w:spacing w:before="120" w:after="120"/>
              <w:jc w:val="center"/>
              <w:rPr>
                <w:noProof/>
                <w:sz w:val="20"/>
              </w:rPr>
            </w:pPr>
            <w:r>
              <w:rPr>
                <w:noProof/>
                <w:sz w:val="20"/>
              </w:rPr>
              <w:t>42%</w:t>
            </w:r>
          </w:p>
        </w:tc>
      </w:tr>
      <w:tr w:rsidR="0037666B">
        <w:trPr>
          <w:cantSplit/>
        </w:trPr>
        <w:tc>
          <w:tcPr>
            <w:tcW w:w="1489" w:type="dxa"/>
            <w:shd w:val="clear" w:color="auto" w:fill="DBE5F1" w:themeFill="accent1" w:themeFillTint="33"/>
            <w:vAlign w:val="center"/>
          </w:tcPr>
          <w:p w:rsidR="0037666B" w:rsidRDefault="00C627B8">
            <w:pPr>
              <w:spacing w:before="120" w:after="120"/>
              <w:jc w:val="center"/>
              <w:rPr>
                <w:noProof/>
                <w:sz w:val="20"/>
              </w:rPr>
            </w:pPr>
            <w:r>
              <w:rPr>
                <w:noProof/>
                <w:sz w:val="20"/>
              </w:rPr>
              <w:t>Transparency of national decisions</w:t>
            </w:r>
          </w:p>
        </w:tc>
        <w:tc>
          <w:tcPr>
            <w:tcW w:w="698" w:type="dxa"/>
            <w:vAlign w:val="center"/>
          </w:tcPr>
          <w:p w:rsidR="0037666B" w:rsidRDefault="00C627B8">
            <w:pPr>
              <w:spacing w:before="120" w:after="120"/>
              <w:jc w:val="center"/>
              <w:rPr>
                <w:noProof/>
                <w:sz w:val="20"/>
              </w:rPr>
            </w:pPr>
            <w:r>
              <w:rPr>
                <w:noProof/>
                <w:sz w:val="20"/>
              </w:rPr>
              <w:t>58%</w:t>
            </w:r>
          </w:p>
        </w:tc>
        <w:tc>
          <w:tcPr>
            <w:tcW w:w="691" w:type="dxa"/>
            <w:vAlign w:val="center"/>
          </w:tcPr>
          <w:p w:rsidR="0037666B" w:rsidRDefault="00C627B8">
            <w:pPr>
              <w:spacing w:before="120" w:after="120"/>
              <w:jc w:val="center"/>
              <w:rPr>
                <w:noProof/>
                <w:sz w:val="20"/>
              </w:rPr>
            </w:pPr>
            <w:r>
              <w:rPr>
                <w:noProof/>
                <w:sz w:val="20"/>
              </w:rPr>
              <w:t>58%</w:t>
            </w:r>
          </w:p>
        </w:tc>
        <w:tc>
          <w:tcPr>
            <w:tcW w:w="699" w:type="dxa"/>
            <w:vAlign w:val="center"/>
          </w:tcPr>
          <w:p w:rsidR="0037666B" w:rsidRDefault="00C627B8">
            <w:pPr>
              <w:spacing w:before="120" w:after="120"/>
              <w:jc w:val="center"/>
              <w:rPr>
                <w:noProof/>
                <w:sz w:val="20"/>
              </w:rPr>
            </w:pPr>
            <w:r>
              <w:rPr>
                <w:noProof/>
                <w:sz w:val="20"/>
              </w:rPr>
              <w:t>58%</w:t>
            </w:r>
          </w:p>
        </w:tc>
        <w:tc>
          <w:tcPr>
            <w:tcW w:w="690" w:type="dxa"/>
            <w:vAlign w:val="center"/>
          </w:tcPr>
          <w:p w:rsidR="0037666B" w:rsidRDefault="00C627B8">
            <w:pPr>
              <w:spacing w:before="120" w:after="120"/>
              <w:jc w:val="center"/>
              <w:rPr>
                <w:noProof/>
                <w:sz w:val="20"/>
              </w:rPr>
            </w:pPr>
            <w:r>
              <w:rPr>
                <w:noProof/>
                <w:sz w:val="20"/>
              </w:rPr>
              <w:t>58%</w:t>
            </w:r>
          </w:p>
        </w:tc>
        <w:tc>
          <w:tcPr>
            <w:tcW w:w="699" w:type="dxa"/>
            <w:vAlign w:val="center"/>
          </w:tcPr>
          <w:p w:rsidR="0037666B" w:rsidRDefault="00C627B8">
            <w:pPr>
              <w:spacing w:before="120" w:after="120"/>
              <w:jc w:val="center"/>
              <w:rPr>
                <w:noProof/>
                <w:sz w:val="20"/>
              </w:rPr>
            </w:pPr>
            <w:r>
              <w:rPr>
                <w:noProof/>
                <w:sz w:val="20"/>
              </w:rPr>
              <w:t>74%</w:t>
            </w:r>
          </w:p>
        </w:tc>
        <w:tc>
          <w:tcPr>
            <w:tcW w:w="690" w:type="dxa"/>
            <w:vAlign w:val="center"/>
          </w:tcPr>
          <w:p w:rsidR="0037666B" w:rsidRDefault="00C627B8">
            <w:pPr>
              <w:spacing w:before="120" w:after="120"/>
              <w:jc w:val="center"/>
              <w:rPr>
                <w:noProof/>
                <w:sz w:val="20"/>
              </w:rPr>
            </w:pPr>
            <w:r>
              <w:rPr>
                <w:noProof/>
                <w:sz w:val="20"/>
              </w:rPr>
              <w:t>50%</w:t>
            </w:r>
          </w:p>
        </w:tc>
        <w:tc>
          <w:tcPr>
            <w:tcW w:w="1223" w:type="dxa"/>
            <w:vAlign w:val="center"/>
          </w:tcPr>
          <w:p w:rsidR="0037666B" w:rsidRDefault="00C627B8">
            <w:pPr>
              <w:spacing w:before="120" w:after="120"/>
              <w:jc w:val="center"/>
              <w:rPr>
                <w:noProof/>
                <w:sz w:val="20"/>
              </w:rPr>
            </w:pPr>
            <w:r>
              <w:rPr>
                <w:noProof/>
                <w:sz w:val="20"/>
              </w:rPr>
              <w:t>50%</w:t>
            </w:r>
          </w:p>
        </w:tc>
        <w:tc>
          <w:tcPr>
            <w:tcW w:w="915" w:type="dxa"/>
            <w:vAlign w:val="center"/>
          </w:tcPr>
          <w:p w:rsidR="0037666B" w:rsidRDefault="00C627B8">
            <w:pPr>
              <w:spacing w:before="120" w:after="120"/>
              <w:jc w:val="center"/>
              <w:rPr>
                <w:noProof/>
                <w:sz w:val="20"/>
              </w:rPr>
            </w:pPr>
            <w:r>
              <w:rPr>
                <w:noProof/>
                <w:sz w:val="20"/>
              </w:rPr>
              <w:t>50%</w:t>
            </w:r>
          </w:p>
        </w:tc>
        <w:tc>
          <w:tcPr>
            <w:tcW w:w="1103" w:type="dxa"/>
            <w:vAlign w:val="center"/>
          </w:tcPr>
          <w:p w:rsidR="0037666B" w:rsidRDefault="00C627B8">
            <w:pPr>
              <w:spacing w:before="120" w:after="120"/>
              <w:jc w:val="center"/>
              <w:rPr>
                <w:noProof/>
                <w:sz w:val="20"/>
              </w:rPr>
            </w:pPr>
            <w:r>
              <w:rPr>
                <w:noProof/>
                <w:sz w:val="20"/>
              </w:rPr>
              <w:t>50%</w:t>
            </w:r>
          </w:p>
        </w:tc>
      </w:tr>
      <w:tr w:rsidR="0037666B">
        <w:trPr>
          <w:cantSplit/>
          <w:trHeight w:val="531"/>
        </w:trPr>
        <w:tc>
          <w:tcPr>
            <w:tcW w:w="1489" w:type="dxa"/>
            <w:shd w:val="clear" w:color="auto" w:fill="DBE5F1" w:themeFill="accent1" w:themeFillTint="33"/>
            <w:vAlign w:val="center"/>
          </w:tcPr>
          <w:p w:rsidR="0037666B" w:rsidRDefault="00C627B8">
            <w:pPr>
              <w:spacing w:before="120" w:after="120"/>
              <w:jc w:val="center"/>
              <w:rPr>
                <w:noProof/>
                <w:sz w:val="20"/>
              </w:rPr>
            </w:pPr>
            <w:r>
              <w:rPr>
                <w:noProof/>
                <w:sz w:val="20"/>
              </w:rPr>
              <w:t>PCPs</w:t>
            </w:r>
          </w:p>
        </w:tc>
        <w:tc>
          <w:tcPr>
            <w:tcW w:w="698" w:type="dxa"/>
            <w:vAlign w:val="center"/>
          </w:tcPr>
          <w:p w:rsidR="0037666B" w:rsidRDefault="00C627B8">
            <w:pPr>
              <w:spacing w:before="120" w:after="120"/>
              <w:jc w:val="center"/>
              <w:rPr>
                <w:noProof/>
                <w:sz w:val="20"/>
              </w:rPr>
            </w:pPr>
            <w:r>
              <w:rPr>
                <w:noProof/>
                <w:sz w:val="20"/>
              </w:rPr>
              <w:t>42%</w:t>
            </w:r>
          </w:p>
        </w:tc>
        <w:tc>
          <w:tcPr>
            <w:tcW w:w="691" w:type="dxa"/>
            <w:vAlign w:val="center"/>
          </w:tcPr>
          <w:p w:rsidR="0037666B" w:rsidRDefault="00C627B8">
            <w:pPr>
              <w:spacing w:before="120" w:after="120"/>
              <w:jc w:val="center"/>
              <w:rPr>
                <w:noProof/>
                <w:sz w:val="20"/>
              </w:rPr>
            </w:pPr>
            <w:r>
              <w:rPr>
                <w:noProof/>
                <w:sz w:val="20"/>
              </w:rPr>
              <w:t>33%</w:t>
            </w:r>
          </w:p>
        </w:tc>
        <w:tc>
          <w:tcPr>
            <w:tcW w:w="699" w:type="dxa"/>
            <w:vAlign w:val="center"/>
          </w:tcPr>
          <w:p w:rsidR="0037666B" w:rsidRDefault="00C627B8">
            <w:pPr>
              <w:spacing w:before="120" w:after="120"/>
              <w:jc w:val="center"/>
              <w:rPr>
                <w:noProof/>
                <w:sz w:val="20"/>
              </w:rPr>
            </w:pPr>
            <w:r>
              <w:rPr>
                <w:noProof/>
                <w:sz w:val="20"/>
              </w:rPr>
              <w:t>37%</w:t>
            </w:r>
          </w:p>
        </w:tc>
        <w:tc>
          <w:tcPr>
            <w:tcW w:w="690" w:type="dxa"/>
            <w:vAlign w:val="center"/>
          </w:tcPr>
          <w:p w:rsidR="0037666B" w:rsidRDefault="00C627B8">
            <w:pPr>
              <w:spacing w:before="120" w:after="120"/>
              <w:jc w:val="center"/>
              <w:rPr>
                <w:noProof/>
                <w:sz w:val="20"/>
              </w:rPr>
            </w:pPr>
            <w:r>
              <w:rPr>
                <w:noProof/>
                <w:sz w:val="20"/>
              </w:rPr>
              <w:t>33%</w:t>
            </w:r>
          </w:p>
        </w:tc>
        <w:tc>
          <w:tcPr>
            <w:tcW w:w="699" w:type="dxa"/>
            <w:vAlign w:val="center"/>
          </w:tcPr>
          <w:p w:rsidR="0037666B" w:rsidRDefault="00C627B8">
            <w:pPr>
              <w:spacing w:before="120" w:after="120"/>
              <w:jc w:val="center"/>
              <w:rPr>
                <w:noProof/>
                <w:sz w:val="20"/>
              </w:rPr>
            </w:pPr>
            <w:r>
              <w:rPr>
                <w:noProof/>
                <w:sz w:val="20"/>
              </w:rPr>
              <w:t>37%</w:t>
            </w:r>
          </w:p>
        </w:tc>
        <w:tc>
          <w:tcPr>
            <w:tcW w:w="690" w:type="dxa"/>
            <w:vAlign w:val="center"/>
          </w:tcPr>
          <w:p w:rsidR="0037666B" w:rsidRDefault="00C627B8">
            <w:pPr>
              <w:spacing w:before="120" w:after="120"/>
              <w:jc w:val="center"/>
              <w:rPr>
                <w:noProof/>
                <w:sz w:val="20"/>
              </w:rPr>
            </w:pPr>
            <w:r>
              <w:rPr>
                <w:noProof/>
                <w:sz w:val="20"/>
              </w:rPr>
              <w:t>58%</w:t>
            </w:r>
          </w:p>
        </w:tc>
        <w:tc>
          <w:tcPr>
            <w:tcW w:w="1223" w:type="dxa"/>
            <w:vAlign w:val="center"/>
          </w:tcPr>
          <w:p w:rsidR="0037666B" w:rsidRDefault="00C627B8">
            <w:pPr>
              <w:spacing w:before="120" w:after="120"/>
              <w:jc w:val="center"/>
              <w:rPr>
                <w:noProof/>
                <w:sz w:val="20"/>
              </w:rPr>
            </w:pPr>
            <w:r>
              <w:rPr>
                <w:noProof/>
                <w:sz w:val="20"/>
              </w:rPr>
              <w:t>42%</w:t>
            </w:r>
          </w:p>
        </w:tc>
        <w:tc>
          <w:tcPr>
            <w:tcW w:w="915" w:type="dxa"/>
            <w:vAlign w:val="center"/>
          </w:tcPr>
          <w:p w:rsidR="0037666B" w:rsidRDefault="00C627B8">
            <w:pPr>
              <w:spacing w:before="120" w:after="120"/>
              <w:jc w:val="center"/>
              <w:rPr>
                <w:noProof/>
                <w:sz w:val="20"/>
              </w:rPr>
            </w:pPr>
            <w:r>
              <w:rPr>
                <w:noProof/>
                <w:sz w:val="20"/>
              </w:rPr>
              <w:t>34%</w:t>
            </w:r>
          </w:p>
        </w:tc>
        <w:tc>
          <w:tcPr>
            <w:tcW w:w="1103" w:type="dxa"/>
            <w:vAlign w:val="center"/>
          </w:tcPr>
          <w:p w:rsidR="0037666B" w:rsidRDefault="00C627B8">
            <w:pPr>
              <w:spacing w:before="120" w:after="120"/>
              <w:jc w:val="center"/>
              <w:rPr>
                <w:noProof/>
                <w:sz w:val="20"/>
              </w:rPr>
            </w:pPr>
            <w:r>
              <w:rPr>
                <w:noProof/>
                <w:sz w:val="20"/>
              </w:rPr>
              <w:t>34%</w:t>
            </w:r>
          </w:p>
        </w:tc>
      </w:tr>
      <w:tr w:rsidR="0037666B">
        <w:tc>
          <w:tcPr>
            <w:tcW w:w="8897" w:type="dxa"/>
            <w:gridSpan w:val="10"/>
            <w:shd w:val="clear" w:color="auto" w:fill="8DB3E2" w:themeFill="text2" w:themeFillTint="66"/>
          </w:tcPr>
          <w:p w:rsidR="0037666B" w:rsidRDefault="00C627B8">
            <w:pPr>
              <w:rPr>
                <w:noProof/>
                <w:szCs w:val="24"/>
              </w:rPr>
            </w:pPr>
            <w:r>
              <w:rPr>
                <w:noProof/>
              </w:rPr>
              <w:br w:type="page"/>
            </w:r>
            <w:r>
              <w:rPr>
                <w:noProof/>
                <w:szCs w:val="24"/>
              </w:rPr>
              <w:t xml:space="preserve">Assessment of the option </w:t>
            </w:r>
          </w:p>
        </w:tc>
      </w:tr>
      <w:tr w:rsidR="0037666B">
        <w:tc>
          <w:tcPr>
            <w:tcW w:w="8897" w:type="dxa"/>
            <w:gridSpan w:val="10"/>
          </w:tcPr>
          <w:p w:rsidR="0037666B" w:rsidRDefault="00C627B8">
            <w:pPr>
              <w:rPr>
                <w:noProof/>
                <w:szCs w:val="24"/>
              </w:rPr>
            </w:pPr>
            <w:r>
              <w:rPr>
                <w:noProof/>
                <w:szCs w:val="24"/>
              </w:rPr>
              <w:t xml:space="preserve">Effectiveness in achieving the policy objectives                                                     </w:t>
            </w:r>
          </w:p>
        </w:tc>
      </w:tr>
      <w:tr w:rsidR="0037666B">
        <w:tc>
          <w:tcPr>
            <w:tcW w:w="8897" w:type="dxa"/>
            <w:gridSpan w:val="10"/>
          </w:tcPr>
          <w:p w:rsidR="0037666B" w:rsidRDefault="00C627B8">
            <w:pPr>
              <w:rPr>
                <w:noProof/>
                <w:szCs w:val="24"/>
              </w:rPr>
            </w:pPr>
            <w:r>
              <w:rPr>
                <w:i/>
                <w:noProof/>
                <w:szCs w:val="24"/>
              </w:rPr>
              <w:t xml:space="preserve">Increase awareness about mutual recognition                                                             </w:t>
            </w:r>
            <w:r>
              <w:rPr>
                <w:noProof/>
                <w:szCs w:val="24"/>
              </w:rPr>
              <w:t>+</w:t>
            </w:r>
          </w:p>
        </w:tc>
      </w:tr>
      <w:tr w:rsidR="0037666B">
        <w:tc>
          <w:tcPr>
            <w:tcW w:w="8897" w:type="dxa"/>
            <w:gridSpan w:val="10"/>
          </w:tcPr>
          <w:p w:rsidR="0037666B" w:rsidRDefault="00C627B8">
            <w:pPr>
              <w:rPr>
                <w:noProof/>
                <w:szCs w:val="24"/>
              </w:rPr>
            </w:pPr>
            <w:r>
              <w:rPr>
                <w:i/>
                <w:noProof/>
                <w:szCs w:val="24"/>
              </w:rPr>
              <w:t>Increase legal certainty on the scope of mutual recognition</w:t>
            </w:r>
            <w:r>
              <w:rPr>
                <w:noProof/>
                <w:szCs w:val="24"/>
              </w:rPr>
              <w:t xml:space="preserve">                                         +</w:t>
            </w:r>
          </w:p>
        </w:tc>
      </w:tr>
      <w:tr w:rsidR="0037666B">
        <w:tc>
          <w:tcPr>
            <w:tcW w:w="8897" w:type="dxa"/>
            <w:gridSpan w:val="10"/>
          </w:tcPr>
          <w:p w:rsidR="0037666B" w:rsidRDefault="00C627B8">
            <w:pPr>
              <w:rPr>
                <w:noProof/>
                <w:szCs w:val="24"/>
              </w:rPr>
            </w:pPr>
            <w:r>
              <w:rPr>
                <w:i/>
                <w:noProof/>
                <w:szCs w:val="24"/>
              </w:rPr>
              <w:t>Increase legal certainty on the application of</w:t>
            </w:r>
            <w:r>
              <w:rPr>
                <w:i/>
                <w:noProof/>
                <w:szCs w:val="24"/>
              </w:rPr>
              <w:t xml:space="preserve"> mutual recognition</w:t>
            </w:r>
            <w:r>
              <w:rPr>
                <w:noProof/>
                <w:szCs w:val="24"/>
              </w:rPr>
              <w:t xml:space="preserve">                                 ++</w:t>
            </w:r>
          </w:p>
        </w:tc>
      </w:tr>
      <w:tr w:rsidR="0037666B">
        <w:tc>
          <w:tcPr>
            <w:tcW w:w="8897" w:type="dxa"/>
            <w:gridSpan w:val="10"/>
          </w:tcPr>
          <w:p w:rsidR="0037666B" w:rsidRDefault="00C627B8">
            <w:pPr>
              <w:rPr>
                <w:noProof/>
                <w:szCs w:val="24"/>
              </w:rPr>
            </w:pPr>
            <w:r>
              <w:rPr>
                <w:i/>
                <w:noProof/>
                <w:szCs w:val="24"/>
              </w:rPr>
              <w:t>Enhance administrative cooperation and communication</w:t>
            </w:r>
            <w:r>
              <w:rPr>
                <w:noProof/>
                <w:szCs w:val="24"/>
              </w:rPr>
              <w:t xml:space="preserve">                                             +</w:t>
            </w:r>
          </w:p>
        </w:tc>
      </w:tr>
      <w:tr w:rsidR="0037666B">
        <w:tc>
          <w:tcPr>
            <w:tcW w:w="8897" w:type="dxa"/>
            <w:gridSpan w:val="10"/>
          </w:tcPr>
          <w:p w:rsidR="0037666B" w:rsidRDefault="00C627B8">
            <w:pPr>
              <w:rPr>
                <w:noProof/>
                <w:szCs w:val="24"/>
              </w:rPr>
            </w:pPr>
            <w:r>
              <w:rPr>
                <w:noProof/>
                <w:szCs w:val="24"/>
              </w:rPr>
              <w:t xml:space="preserve">Economic impacts for economic operators                                                             </w:t>
            </w:r>
            <w:r>
              <w:rPr>
                <w:noProof/>
                <w:szCs w:val="24"/>
              </w:rPr>
              <w:t xml:space="preserve">     +</w:t>
            </w:r>
          </w:p>
        </w:tc>
      </w:tr>
      <w:tr w:rsidR="0037666B">
        <w:tc>
          <w:tcPr>
            <w:tcW w:w="8897" w:type="dxa"/>
            <w:gridSpan w:val="10"/>
          </w:tcPr>
          <w:p w:rsidR="0037666B" w:rsidRDefault="00C627B8">
            <w:pPr>
              <w:rPr>
                <w:noProof/>
                <w:szCs w:val="24"/>
              </w:rPr>
            </w:pPr>
            <w:r>
              <w:rPr>
                <w:noProof/>
                <w:szCs w:val="24"/>
              </w:rPr>
              <w:t>Economic impacts for Member States                                                                            -</w:t>
            </w:r>
          </w:p>
        </w:tc>
      </w:tr>
      <w:tr w:rsidR="0037666B">
        <w:tc>
          <w:tcPr>
            <w:tcW w:w="8897" w:type="dxa"/>
            <w:gridSpan w:val="10"/>
          </w:tcPr>
          <w:p w:rsidR="0037666B" w:rsidRDefault="00C627B8">
            <w:pPr>
              <w:rPr>
                <w:noProof/>
                <w:szCs w:val="24"/>
              </w:rPr>
            </w:pPr>
            <w:r>
              <w:rPr>
                <w:noProof/>
                <w:szCs w:val="24"/>
              </w:rPr>
              <w:t xml:space="preserve">Economic impacts on the EU budget                                                                            0                         </w:t>
            </w:r>
            <w:r>
              <w:rPr>
                <w:noProof/>
                <w:szCs w:val="24"/>
              </w:rPr>
              <w:t xml:space="preserve">                                    </w:t>
            </w:r>
          </w:p>
        </w:tc>
      </w:tr>
      <w:tr w:rsidR="0037666B">
        <w:tc>
          <w:tcPr>
            <w:tcW w:w="8897" w:type="dxa"/>
            <w:gridSpan w:val="10"/>
          </w:tcPr>
          <w:p w:rsidR="0037666B" w:rsidRDefault="00C627B8">
            <w:pPr>
              <w:rPr>
                <w:noProof/>
                <w:szCs w:val="24"/>
              </w:rPr>
            </w:pPr>
            <w:r>
              <w:rPr>
                <w:noProof/>
                <w:szCs w:val="24"/>
              </w:rPr>
              <w:t xml:space="preserve">Administrative simplification                                                                                  +                                                                    </w:t>
            </w:r>
          </w:p>
        </w:tc>
      </w:tr>
      <w:tr w:rsidR="0037666B">
        <w:tc>
          <w:tcPr>
            <w:tcW w:w="8897" w:type="dxa"/>
            <w:gridSpan w:val="10"/>
          </w:tcPr>
          <w:p w:rsidR="0037666B" w:rsidRDefault="00C627B8">
            <w:pPr>
              <w:rPr>
                <w:i/>
                <w:noProof/>
                <w:sz w:val="18"/>
                <w:szCs w:val="18"/>
              </w:rPr>
            </w:pPr>
            <w:r>
              <w:rPr>
                <w:i/>
                <w:noProof/>
                <w:sz w:val="18"/>
                <w:szCs w:val="18"/>
              </w:rPr>
              <w:t xml:space="preserve">Magnitude of impact as compared with the baseline scenario (the baseline is indicated as 0): +++ very positive; ++moderately positive, + positive; - - - strongly negative; - - moderately negative, - negative; neutral 0. </w:t>
            </w:r>
          </w:p>
        </w:tc>
      </w:tr>
    </w:tbl>
    <w:p w:rsidR="0037666B" w:rsidRDefault="00C627B8">
      <w:pPr>
        <w:spacing w:before="240"/>
        <w:rPr>
          <w:b/>
          <w:noProof/>
          <w:szCs w:val="24"/>
        </w:rPr>
      </w:pPr>
      <w:r>
        <w:rPr>
          <w:b/>
          <w:noProof/>
          <w:szCs w:val="24"/>
        </w:rPr>
        <w:t>Policy option 4- Comprehensive leg</w:t>
      </w:r>
      <w:r>
        <w:rPr>
          <w:b/>
          <w:noProof/>
          <w:szCs w:val="24"/>
        </w:rPr>
        <w:t>islative changes to Regulation to improve the functioning of mutual recognition</w:t>
      </w:r>
    </w:p>
    <w:tbl>
      <w:tblPr>
        <w:tblStyle w:val="TableGrid"/>
        <w:tblW w:w="8897" w:type="dxa"/>
        <w:tblLook w:val="04A0" w:firstRow="1" w:lastRow="0" w:firstColumn="1" w:lastColumn="0" w:noHBand="0" w:noVBand="1"/>
      </w:tblPr>
      <w:tblGrid>
        <w:gridCol w:w="1036"/>
        <w:gridCol w:w="746"/>
        <w:gridCol w:w="763"/>
        <w:gridCol w:w="757"/>
        <w:gridCol w:w="752"/>
        <w:gridCol w:w="757"/>
        <w:gridCol w:w="752"/>
        <w:gridCol w:w="1349"/>
        <w:gridCol w:w="1003"/>
        <w:gridCol w:w="982"/>
      </w:tblGrid>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Economic impacts  </w:t>
            </w:r>
          </w:p>
        </w:tc>
      </w:tr>
      <w:tr w:rsidR="0037666B">
        <w:tc>
          <w:tcPr>
            <w:tcW w:w="8897" w:type="dxa"/>
            <w:gridSpan w:val="10"/>
          </w:tcPr>
          <w:p w:rsidR="0037666B" w:rsidRDefault="00C627B8">
            <w:pPr>
              <w:rPr>
                <w:noProof/>
                <w:szCs w:val="24"/>
                <w:u w:val="single"/>
              </w:rPr>
            </w:pPr>
            <w:r>
              <w:rPr>
                <w:noProof/>
                <w:szCs w:val="24"/>
                <w:u w:val="single"/>
              </w:rPr>
              <w:t>Economic impacts for businesses</w:t>
            </w:r>
          </w:p>
          <w:p w:rsidR="0037666B" w:rsidRDefault="00C627B8">
            <w:pPr>
              <w:rPr>
                <w:noProof/>
                <w:szCs w:val="24"/>
              </w:rPr>
            </w:pPr>
            <w:r>
              <w:rPr>
                <w:noProof/>
                <w:szCs w:val="24"/>
              </w:rPr>
              <w:t>Under this option and its related sub-options, costs related to demonstrating that a product has been lawfully marketed in another Member State would be reduced, as well as costs related to a delayed entry on the market due to extensive discussions with na</w:t>
            </w:r>
            <w:r>
              <w:rPr>
                <w:noProof/>
                <w:szCs w:val="24"/>
              </w:rPr>
              <w:t xml:space="preserve">tional authorities as whether or not the product is lawfully marketed in another Member State. </w:t>
            </w:r>
          </w:p>
          <w:p w:rsidR="0037666B" w:rsidRDefault="00C627B8">
            <w:pPr>
              <w:rPr>
                <w:noProof/>
                <w:szCs w:val="24"/>
                <w:lang w:eastAsia="en-GB"/>
              </w:rPr>
            </w:pPr>
            <w:r>
              <w:rPr>
                <w:noProof/>
                <w:szCs w:val="24"/>
              </w:rPr>
              <w:t>Sub option 4b (Declaration of Compliance)</w:t>
            </w:r>
            <w:r>
              <w:rPr>
                <w:noProof/>
                <w:szCs w:val="24"/>
                <w:vertAlign w:val="superscript"/>
              </w:rPr>
              <w:footnoteReference w:id="94"/>
            </w:r>
            <w:r>
              <w:rPr>
                <w:noProof/>
                <w:szCs w:val="24"/>
              </w:rPr>
              <w:t xml:space="preserve">, if voluntary, would not trigger any out of the ordinary costs for economic operators; economic operators would need </w:t>
            </w:r>
            <w:r>
              <w:rPr>
                <w:noProof/>
                <w:szCs w:val="24"/>
              </w:rPr>
              <w:t>to fill it in and keep it updated whenever necessary, such as when legislation or standards are revised. The Declaration of Compliance is only a summary of the conformity assessment procedures already carried out, and does not require any additional testin</w:t>
            </w:r>
            <w:r>
              <w:rPr>
                <w:noProof/>
                <w:szCs w:val="24"/>
              </w:rPr>
              <w:t>g. It would be used only when judged necessary by economic operators, in situations involving products heavily regulated at national level and therefore where the Declaration of Compliance would really have a real added value in terms of streamlining and f</w:t>
            </w:r>
            <w:r>
              <w:rPr>
                <w:noProof/>
                <w:szCs w:val="24"/>
              </w:rPr>
              <w:t>raming the discussions between economic operators and national authorities. A similar declaration is also used in the harmonised area, and had positive effects in terms of reducing costs and facilitating trade</w:t>
            </w:r>
            <w:r>
              <w:rPr>
                <w:rStyle w:val="FootnoteReference"/>
                <w:noProof/>
                <w:szCs w:val="24"/>
              </w:rPr>
              <w:footnoteReference w:id="95"/>
            </w:r>
            <w:r>
              <w:rPr>
                <w:noProof/>
                <w:szCs w:val="24"/>
              </w:rPr>
              <w:t>. The study supporting the evaluation of the i</w:t>
            </w:r>
            <w:r>
              <w:rPr>
                <w:noProof/>
                <w:szCs w:val="24"/>
              </w:rPr>
              <w:t>nternal market for goods</w:t>
            </w:r>
            <w:r>
              <w:rPr>
                <w:rStyle w:val="FootnoteReference"/>
                <w:noProof/>
                <w:szCs w:val="24"/>
              </w:rPr>
              <w:footnoteReference w:id="96"/>
            </w:r>
            <w:r>
              <w:rPr>
                <w:noProof/>
                <w:szCs w:val="24"/>
              </w:rPr>
              <w:t xml:space="preserve"> shows that generally, drafting the declaration of conformity used in the harmonised area is not viewed as problematic or costly. Economic operators</w:t>
            </w:r>
            <w:r>
              <w:rPr>
                <w:rStyle w:val="FootnoteReference"/>
                <w:noProof/>
                <w:szCs w:val="24"/>
              </w:rPr>
              <w:footnoteReference w:id="97"/>
            </w:r>
            <w:r>
              <w:rPr>
                <w:noProof/>
                <w:szCs w:val="24"/>
              </w:rPr>
              <w:t xml:space="preserve"> see it rather as a minor step, not very costly and not very complex, which involv</w:t>
            </w:r>
            <w:r>
              <w:rPr>
                <w:noProof/>
                <w:szCs w:val="24"/>
              </w:rPr>
              <w:t>es minimal administrative work for drafting the declaration.</w:t>
            </w:r>
            <w:r>
              <w:rPr>
                <w:noProof/>
                <w:szCs w:val="24"/>
                <w:lang w:eastAsia="en-GB"/>
              </w:rPr>
              <w:t xml:space="preserve"> Similarly to the current situation in the harmonised area, it is expected that this declaration will be straightforward to complete, taking not more than 30 minutes. Given the diversity of the me</w:t>
            </w:r>
            <w:r>
              <w:rPr>
                <w:noProof/>
                <w:szCs w:val="24"/>
                <w:lang w:eastAsia="en-GB"/>
              </w:rPr>
              <w:t>ans of evidence that economic operators may be asked to provide at present to demonstrate that a product is lawfully marketed in a Member State, the time spent in completing the declaration is expected to constitute an improvement to the current situation.</w:t>
            </w:r>
          </w:p>
          <w:p w:rsidR="0037666B" w:rsidRDefault="00C627B8">
            <w:pPr>
              <w:rPr>
                <w:noProof/>
                <w:szCs w:val="24"/>
              </w:rPr>
            </w:pPr>
            <w:r>
              <w:rPr>
                <w:noProof/>
                <w:szCs w:val="24"/>
              </w:rPr>
              <w:t>On the contrary, a mandatory Declaration of Compliance in the non-harmonised area would be an administrative burden for economic operators, as economic operators would have to draft it and present it no matter what, even for simple products where there ar</w:t>
            </w:r>
            <w:r>
              <w:rPr>
                <w:noProof/>
                <w:szCs w:val="24"/>
              </w:rPr>
              <w:t xml:space="preserve">e no (or few) applicable national rules and therefore no real need for such a declaration and no real added value in terms of facilitating dialogue and market access. </w:t>
            </w:r>
          </w:p>
          <w:p w:rsidR="0037666B" w:rsidRDefault="00C627B8">
            <w:pPr>
              <w:rPr>
                <w:noProof/>
                <w:szCs w:val="24"/>
              </w:rPr>
            </w:pPr>
            <w:r>
              <w:rPr>
                <w:noProof/>
                <w:szCs w:val="24"/>
              </w:rPr>
              <w:t>The Fast Track Appeal Procedure (sub-option 4c) would avoid costs related to court proce</w:t>
            </w:r>
            <w:r>
              <w:rPr>
                <w:noProof/>
                <w:szCs w:val="24"/>
              </w:rPr>
              <w:t>edings, and reduce significantly costs linked to adaptation of products, delayed market access and lost opportunities</w:t>
            </w:r>
            <w:r>
              <w:rPr>
                <w:rStyle w:val="FootnoteReference"/>
                <w:noProof/>
                <w:szCs w:val="24"/>
              </w:rPr>
              <w:footnoteReference w:id="98"/>
            </w:r>
            <w:r>
              <w:rPr>
                <w:noProof/>
                <w:szCs w:val="24"/>
              </w:rPr>
              <w:t>. Furthermore, the use of SOLVIT is particularly useful and adapted for SMEs, who, contrary to large companies, don't have the internal re</w:t>
            </w:r>
            <w:r>
              <w:rPr>
                <w:noProof/>
                <w:szCs w:val="24"/>
              </w:rPr>
              <w:t>sources (e.g. a legal department) or the financial means to afford long and costly court procedures. The use of SOLVIT is free of charge, and the average duration of the procedure is 12 weeks. During 2016, 83% of economic operators who introduced a case in</w:t>
            </w:r>
            <w:r>
              <w:rPr>
                <w:noProof/>
                <w:szCs w:val="24"/>
              </w:rPr>
              <w:t xml:space="preserve"> SOLVIT were SMEs.</w:t>
            </w:r>
          </w:p>
          <w:p w:rsidR="0037666B" w:rsidRDefault="0037666B">
            <w:pPr>
              <w:rPr>
                <w:noProof/>
                <w:szCs w:val="24"/>
              </w:rPr>
            </w:pPr>
          </w:p>
          <w:p w:rsidR="0037666B" w:rsidRDefault="00C627B8">
            <w:pPr>
              <w:rPr>
                <w:noProof/>
                <w:szCs w:val="24"/>
                <w:u w:val="single"/>
              </w:rPr>
            </w:pPr>
            <w:r>
              <w:rPr>
                <w:noProof/>
                <w:szCs w:val="24"/>
                <w:u w:val="single"/>
              </w:rPr>
              <w:t>Economic impacts for Member States</w:t>
            </w:r>
          </w:p>
          <w:p w:rsidR="0037666B" w:rsidRDefault="00C627B8">
            <w:pPr>
              <w:spacing w:after="0"/>
              <w:rPr>
                <w:noProof/>
                <w:szCs w:val="24"/>
                <w:lang w:eastAsia="en-GB"/>
              </w:rPr>
            </w:pPr>
            <w:r>
              <w:rPr>
                <w:noProof/>
                <w:szCs w:val="24"/>
              </w:rPr>
              <w:t>Costs on Member States relate to sub option 4d (Strengthen PCPs and administrative cooperation), as PCPs would need to be integrated in a wider network and cover harmonised products as well. National a</w:t>
            </w:r>
            <w:r>
              <w:rPr>
                <w:noProof/>
                <w:szCs w:val="24"/>
              </w:rPr>
              <w:t>uthorities already incurred costs related to implementing their obligation to establish PCP (putting them in place and having them functioning on an annual basis). Most of the time, the PCP has been integrated in an already existing department dealing with</w:t>
            </w:r>
            <w:r>
              <w:rPr>
                <w:noProof/>
                <w:szCs w:val="24"/>
              </w:rPr>
              <w:t xml:space="preserve"> internal market issues. Based on the annual reports</w:t>
            </w:r>
            <w:r>
              <w:rPr>
                <w:rStyle w:val="FootnoteReference"/>
                <w:noProof/>
                <w:szCs w:val="24"/>
              </w:rPr>
              <w:footnoteReference w:id="99"/>
            </w:r>
            <w:r>
              <w:rPr>
                <w:noProof/>
                <w:szCs w:val="24"/>
              </w:rPr>
              <w:t>, one person on average is fulfilling the task of PCP.  It is likely that the number of information requests will increase quite sharply by including the provision of information on EU harmonised rules a</w:t>
            </w:r>
            <w:r>
              <w:rPr>
                <w:noProof/>
                <w:szCs w:val="24"/>
              </w:rPr>
              <w:t>s well so that, under this option, it would require between 1 and 3 supplementary Full Time Equivalent (FTE) per PCP. As regards mandatory administrative cooperation, some estimation can be drawn based with on a comparison with the harmonised area, where t</w:t>
            </w:r>
            <w:r>
              <w:rPr>
                <w:noProof/>
                <w:szCs w:val="24"/>
              </w:rPr>
              <w:t>he annual costs of administrative cooperation amount to approximately 1 200 000 EURO</w:t>
            </w:r>
            <w:r>
              <w:rPr>
                <w:rStyle w:val="FootnoteReference"/>
                <w:noProof/>
                <w:szCs w:val="24"/>
              </w:rPr>
              <w:footnoteReference w:id="100"/>
            </w:r>
            <w:r>
              <w:rPr>
                <w:noProof/>
                <w:szCs w:val="24"/>
              </w:rPr>
              <w:t>. The costs in the non-harmonised area are expected to be lower, as the harmonised sector represents a higher proportion of the total manufacturing sector</w:t>
            </w:r>
            <w:r>
              <w:rPr>
                <w:rStyle w:val="FootnoteReference"/>
                <w:noProof/>
                <w:szCs w:val="24"/>
              </w:rPr>
              <w:footnoteReference w:id="101"/>
            </w:r>
            <w:r>
              <w:rPr>
                <w:noProof/>
                <w:szCs w:val="24"/>
              </w:rPr>
              <w:t xml:space="preserve">. </w:t>
            </w:r>
          </w:p>
          <w:p w:rsidR="0037666B" w:rsidRDefault="00C627B8">
            <w:pPr>
              <w:rPr>
                <w:noProof/>
                <w:szCs w:val="24"/>
              </w:rPr>
            </w:pPr>
            <w:r>
              <w:rPr>
                <w:noProof/>
                <w:szCs w:val="24"/>
              </w:rPr>
              <w:t>Other costs a</w:t>
            </w:r>
            <w:r>
              <w:rPr>
                <w:noProof/>
                <w:szCs w:val="24"/>
              </w:rPr>
              <w:t>re linked to option 4c (Fast-track appeal). The use of SOLVIT by economic operators is expected to increase, because this tool would become more business friendly due to the informal assistance and technical expertise offered by the Commission services and</w:t>
            </w:r>
            <w:r>
              <w:rPr>
                <w:noProof/>
                <w:szCs w:val="24"/>
              </w:rPr>
              <w:t xml:space="preserve"> the possibility of having a Commission binding opinion. Currently, the number of cases relating to the application of mutual recognition in SOLVIT is very low</w:t>
            </w:r>
            <w:r>
              <w:rPr>
                <w:rStyle w:val="FootnoteReference"/>
                <w:noProof/>
                <w:szCs w:val="24"/>
              </w:rPr>
              <w:footnoteReference w:id="102"/>
            </w:r>
            <w:r>
              <w:rPr>
                <w:noProof/>
                <w:szCs w:val="24"/>
              </w:rPr>
              <w:t>, and accounts to 5 cases in 2016. While it is impossible to estimate with accuracy the number o</w:t>
            </w:r>
            <w:r>
              <w:rPr>
                <w:noProof/>
                <w:szCs w:val="24"/>
              </w:rPr>
              <w:t>f cases that would be submitted to SOLVIT following the implementation of this procedure, an estimation can be made on the basis of the number of cases registered in SOLVIT  in (1) the most successful areas and (2) and the less successful areas. In (1), th</w:t>
            </w:r>
            <w:r>
              <w:rPr>
                <w:noProof/>
                <w:szCs w:val="24"/>
              </w:rPr>
              <w:t>e number of cases submitted in the area of social security accounted in 2015 to approximately 1400, representing more than 50% of the total number of cases submitted to SOLVIT. In (2), the number of cases submitted in the area of goods (other than the appl</w:t>
            </w:r>
            <w:r>
              <w:rPr>
                <w:noProof/>
                <w:szCs w:val="24"/>
              </w:rPr>
              <w:t>ication of the mutual recognition principle) accounted in 2015 to 102, representing less than 5% of the total number of cases submitted to SOLVIT. It is considered that, in order to deal with 16 to 50 cases, a SOVLIT centre needs to have 1 FTE</w:t>
            </w:r>
            <w:r>
              <w:rPr>
                <w:rStyle w:val="FootnoteReference"/>
                <w:noProof/>
                <w:szCs w:val="24"/>
              </w:rPr>
              <w:footnoteReference w:id="103"/>
            </w:r>
            <w:r>
              <w:rPr>
                <w:noProof/>
                <w:szCs w:val="24"/>
              </w:rPr>
              <w:t>.  Therefore</w:t>
            </w:r>
            <w:r>
              <w:rPr>
                <w:noProof/>
                <w:szCs w:val="24"/>
              </w:rPr>
              <w:t>, in (1) the increase in terms of SOLVIT centres staffing accounts for 28 FTEs, while in (2) it accounts to 2 FTEs. However, the costs triggered by the implementation of this option are expected to be limited, as one of the objectives of the Action Plan</w:t>
            </w:r>
            <w:r>
              <w:rPr>
                <w:rStyle w:val="FootnoteReference"/>
                <w:noProof/>
                <w:szCs w:val="24"/>
              </w:rPr>
              <w:footnoteReference w:id="104"/>
            </w:r>
            <w:r>
              <w:rPr>
                <w:noProof/>
                <w:szCs w:val="24"/>
              </w:rPr>
              <w:t xml:space="preserve"> f</w:t>
            </w:r>
            <w:r>
              <w:rPr>
                <w:noProof/>
                <w:szCs w:val="24"/>
              </w:rPr>
              <w:t xml:space="preserve">or reinforcing SOLVIT is to increase the number of business cases. Furthermore, the action plan already foresees that Member States will ensure adequate and stable staffing and continuity of service for their centres. </w:t>
            </w:r>
          </w:p>
          <w:p w:rsidR="0037666B" w:rsidRDefault="00C627B8">
            <w:pPr>
              <w:rPr>
                <w:noProof/>
                <w:szCs w:val="24"/>
                <w:u w:val="single"/>
              </w:rPr>
            </w:pPr>
            <w:r>
              <w:rPr>
                <w:noProof/>
                <w:szCs w:val="24"/>
              </w:rPr>
              <w:t>The other sub options (4a-clarify sco</w:t>
            </w:r>
            <w:r>
              <w:rPr>
                <w:noProof/>
                <w:szCs w:val="24"/>
              </w:rPr>
              <w:t>pe, 4b Declaration of Compliance) are not expected to involve any other costs for Member States. On the contrary, sub- option 4a (clarify the scope) is expected to reduce costs for Member States, as the functioning of PCPs would be more efficient due to th</w:t>
            </w:r>
            <w:r>
              <w:rPr>
                <w:noProof/>
                <w:szCs w:val="24"/>
              </w:rPr>
              <w:t>e clarity as regards the instances where mutual recognition applies or not. Sub-option 4b (Declaration of Compliance) would also reduce costs for public authorities assessing whether or not a products can be placed on the market based on mutual recognition</w:t>
            </w:r>
            <w:r>
              <w:rPr>
                <w:noProof/>
                <w:szCs w:val="24"/>
              </w:rPr>
              <w:t xml:space="preserve">, because the Declaration of Compliance would frame and streamline the dialogue and the assessment of the product intended to be marketed. </w:t>
            </w:r>
          </w:p>
          <w:p w:rsidR="0037666B" w:rsidRDefault="00C627B8">
            <w:pPr>
              <w:rPr>
                <w:noProof/>
                <w:szCs w:val="24"/>
                <w:u w:val="single"/>
              </w:rPr>
            </w:pPr>
            <w:r>
              <w:rPr>
                <w:noProof/>
                <w:szCs w:val="24"/>
                <w:u w:val="single"/>
              </w:rPr>
              <w:t>Economic impacts for the EU budget</w:t>
            </w:r>
          </w:p>
          <w:p w:rsidR="0037666B" w:rsidRDefault="00C627B8">
            <w:pPr>
              <w:rPr>
                <w:noProof/>
                <w:szCs w:val="24"/>
              </w:rPr>
            </w:pPr>
            <w:r>
              <w:rPr>
                <w:noProof/>
                <w:szCs w:val="24"/>
              </w:rPr>
              <w:t>Sub option 4a (clarify scope) and 4b (Declaration of Compliance) are not expected</w:t>
            </w:r>
            <w:r>
              <w:rPr>
                <w:noProof/>
                <w:szCs w:val="24"/>
              </w:rPr>
              <w:t xml:space="preserve"> to cost the Commission anything. </w:t>
            </w:r>
          </w:p>
          <w:p w:rsidR="0037666B" w:rsidRDefault="00C627B8">
            <w:pPr>
              <w:rPr>
                <w:noProof/>
                <w:szCs w:val="24"/>
              </w:rPr>
            </w:pPr>
            <w:r>
              <w:rPr>
                <w:noProof/>
                <w:szCs w:val="24"/>
              </w:rPr>
              <w:t>Sub option 4c (Fast-track appeal) would have impacts on the Commission, in terms work load. The number of cases to be submitted to SOLVIT, as explained above, is expected to increase. Also, staff will need to deal with th</w:t>
            </w:r>
            <w:r>
              <w:rPr>
                <w:noProof/>
                <w:szCs w:val="24"/>
              </w:rPr>
              <w:t>e appeals following the Fast Track Appeal procedure. While it is impossible to estimate with accuracy the increase of cases and related workload, an analogy can be made with the resources necessary to deal with complaints and infringements following Articl</w:t>
            </w:r>
            <w:r>
              <w:rPr>
                <w:noProof/>
                <w:szCs w:val="24"/>
              </w:rPr>
              <w:t xml:space="preserve">es 34-36 TFEU. These costs can be estimated on the basis of FTEs, for which a yearly gross salary of kEUR 60 has been assumed, to which also 25% of overhead was added (75 000). </w:t>
            </w:r>
            <w:r>
              <w:rPr>
                <w:noProof/>
                <w:szCs w:val="24"/>
                <w:lang w:eastAsia="en-GB"/>
              </w:rPr>
              <w:t>Currently, 4 FTEs deal with complains and infringements pursuant to Articles 34</w:t>
            </w:r>
            <w:r>
              <w:rPr>
                <w:noProof/>
                <w:szCs w:val="24"/>
                <w:lang w:eastAsia="en-GB"/>
              </w:rPr>
              <w:t>-36. It is estimated that a maximum 3 additional FTEs will be needed to deal with the appeals, representing EUR 225 000 per year.</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Social impacts  </w:t>
            </w:r>
          </w:p>
        </w:tc>
      </w:tr>
      <w:tr w:rsidR="0037666B">
        <w:tc>
          <w:tcPr>
            <w:tcW w:w="8897" w:type="dxa"/>
            <w:gridSpan w:val="10"/>
          </w:tcPr>
          <w:p w:rsidR="0037666B" w:rsidRDefault="00C627B8">
            <w:pPr>
              <w:rPr>
                <w:noProof/>
                <w:szCs w:val="24"/>
              </w:rPr>
            </w:pPr>
            <w:r>
              <w:rPr>
                <w:noProof/>
                <w:szCs w:val="24"/>
              </w:rPr>
              <w:t>This option would facilitate trade for businesses in the non-harmonised area. Therefore it is expected that</w:t>
            </w:r>
            <w:r>
              <w:rPr>
                <w:noProof/>
                <w:szCs w:val="24"/>
              </w:rPr>
              <w:t xml:space="preserve"> more economic operators will engage in cross border trade and will expand to new markets. This is expected to create more wealth, i.e. value added and turnover, and to have indirect positive impacts on the employment trend in those sectors. Currently, mor</w:t>
            </w:r>
            <w:r>
              <w:rPr>
                <w:noProof/>
                <w:szCs w:val="24"/>
              </w:rPr>
              <w:t>e than 8 million persons are employed in the non-harmonised area of goods, representing 31% of all persons employed in the manufacturing sector</w:t>
            </w:r>
            <w:r>
              <w:rPr>
                <w:rStyle w:val="FootnoteReference"/>
                <w:noProof/>
                <w:szCs w:val="24"/>
              </w:rPr>
              <w:footnoteReference w:id="105"/>
            </w:r>
            <w:r>
              <w:rPr>
                <w:noProof/>
                <w:szCs w:val="24"/>
              </w:rPr>
              <w:t>. Moreover, more trade means more products on the market, and therefore more choices at lower prices for consume</w:t>
            </w:r>
            <w:r>
              <w:rPr>
                <w:noProof/>
                <w:szCs w:val="24"/>
              </w:rPr>
              <w:t>rs. They are thus likely to benefit from this option.</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Environmental impacts</w:t>
            </w:r>
          </w:p>
        </w:tc>
      </w:tr>
      <w:tr w:rsidR="0037666B">
        <w:tc>
          <w:tcPr>
            <w:tcW w:w="8897" w:type="dxa"/>
            <w:gridSpan w:val="10"/>
          </w:tcPr>
          <w:p w:rsidR="0037666B" w:rsidRDefault="00C627B8">
            <w:pPr>
              <w:rPr>
                <w:noProof/>
                <w:szCs w:val="24"/>
              </w:rPr>
            </w:pPr>
            <w:r>
              <w:rPr>
                <w:noProof/>
                <w:szCs w:val="24"/>
              </w:rPr>
              <w:t xml:space="preserve">The potential use of digital means for supplying the Declaration of Compliance (sub-option 4b) is likely to ensure a higher level of protection of the environment (less paper). </w:t>
            </w:r>
            <w:r>
              <w:rPr>
                <w:noProof/>
                <w:szCs w:val="24"/>
              </w:rPr>
              <w:t>Yet, an increase in trade flows between Member States may lead to some additional transport emissions, although not considered to be significant.</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Administrative simplifications</w:t>
            </w:r>
          </w:p>
        </w:tc>
      </w:tr>
      <w:tr w:rsidR="0037666B">
        <w:tc>
          <w:tcPr>
            <w:tcW w:w="8897" w:type="dxa"/>
            <w:gridSpan w:val="10"/>
          </w:tcPr>
          <w:p w:rsidR="0037666B" w:rsidRDefault="00C627B8">
            <w:pPr>
              <w:rPr>
                <w:noProof/>
                <w:szCs w:val="24"/>
              </w:rPr>
            </w:pPr>
            <w:r>
              <w:rPr>
                <w:noProof/>
                <w:szCs w:val="24"/>
              </w:rPr>
              <w:t>Sub-option 4b would bring significant administrative simplifications for busi</w:t>
            </w:r>
            <w:r>
              <w:rPr>
                <w:noProof/>
                <w:szCs w:val="24"/>
              </w:rPr>
              <w:t xml:space="preserve">nesses; it would replace the various and numerous means of proving that a product is already lawfully marketed in a certain Member State by one single standardised document which is expected to be filled in in around 30 minutes. One of the main drivers of </w:t>
            </w:r>
            <w:r>
              <w:rPr>
                <w:noProof/>
                <w:szCs w:val="24"/>
              </w:rPr>
              <w:t>suboptimal mutual recognition is the difficulty that economic operators have in terms of showing that their product is already lawfully marketed elsewhere, due mainly to the diversity of approaches at national level as regards the type of documents to be s</w:t>
            </w:r>
            <w:r>
              <w:rPr>
                <w:noProof/>
                <w:szCs w:val="24"/>
              </w:rPr>
              <w:t xml:space="preserve">ubmitted.  </w:t>
            </w:r>
          </w:p>
          <w:p w:rsidR="0037666B" w:rsidRDefault="00C627B8">
            <w:pPr>
              <w:rPr>
                <w:noProof/>
                <w:szCs w:val="24"/>
              </w:rPr>
            </w:pPr>
            <w:r>
              <w:rPr>
                <w:noProof/>
                <w:szCs w:val="24"/>
              </w:rPr>
              <w:t>Sub-options 4a (clarify scope) 4c (fast-track appeal) and 4 d (strengthened PCPs) are not expected to have significant impacts in terms of administrative burdens.</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Stakeholders views on the option </w:t>
            </w:r>
          </w:p>
        </w:tc>
      </w:tr>
      <w:tr w:rsidR="0037666B">
        <w:tc>
          <w:tcPr>
            <w:tcW w:w="8897" w:type="dxa"/>
            <w:gridSpan w:val="10"/>
          </w:tcPr>
          <w:p w:rsidR="0037666B" w:rsidRDefault="00C627B8">
            <w:pPr>
              <w:rPr>
                <w:noProof/>
                <w:szCs w:val="24"/>
              </w:rPr>
            </w:pPr>
            <w:r>
              <w:rPr>
                <w:noProof/>
                <w:szCs w:val="24"/>
              </w:rPr>
              <w:t>During the 2016 public consultation</w:t>
            </w:r>
            <w:r>
              <w:rPr>
                <w:rStyle w:val="FootnoteReference"/>
                <w:noProof/>
                <w:szCs w:val="24"/>
              </w:rPr>
              <w:footnoteReference w:id="106"/>
            </w:r>
            <w:r>
              <w:rPr>
                <w:noProof/>
                <w:szCs w:val="24"/>
              </w:rPr>
              <w:t>, the sub</w:t>
            </w:r>
            <w:r>
              <w:rPr>
                <w:noProof/>
                <w:szCs w:val="24"/>
              </w:rPr>
              <w:t>-options assessed above received a lot of support from stakeholders. 84% of member States, 85% of businesses and 82% of citizens supported sub-option 4a (clarify scope), while 75% of Member States, 80% of businesses and 76% of citizens agreed that sub-opti</w:t>
            </w:r>
            <w:r>
              <w:rPr>
                <w:noProof/>
                <w:szCs w:val="24"/>
              </w:rPr>
              <w:t>on 4b (Declaration of compliance) would simplify the demonstration of the lawfulness of the marketing of a product. Furthermore, 66% of Member States, 90% of businesses and 76% of citizens agreed that efficient remedies for challenging administrative decis</w:t>
            </w:r>
            <w:r>
              <w:rPr>
                <w:noProof/>
                <w:szCs w:val="24"/>
              </w:rPr>
              <w:t xml:space="preserve">ions denying market access (sub-option 4c-fast-track appeal) are necessary. Strengthening PCPs (sub-option 4d) was supported by 64% of Member States, 64% of businesses and 70% of citizens. </w:t>
            </w:r>
          </w:p>
          <w:p w:rsidR="0037666B" w:rsidRDefault="00C627B8">
            <w:pPr>
              <w:rPr>
                <w:noProof/>
                <w:szCs w:val="24"/>
              </w:rPr>
            </w:pPr>
            <w:r>
              <w:rPr>
                <w:noProof/>
                <w:szCs w:val="24"/>
              </w:rPr>
              <w:t>During the additional survey and interviews conducted by an extern</w:t>
            </w:r>
            <w:r>
              <w:rPr>
                <w:noProof/>
                <w:szCs w:val="24"/>
              </w:rPr>
              <w:t>al contractor during 2016-2017</w:t>
            </w:r>
            <w:r>
              <w:rPr>
                <w:rStyle w:val="FootnoteReference"/>
                <w:noProof/>
                <w:szCs w:val="24"/>
              </w:rPr>
              <w:footnoteReference w:id="107"/>
            </w:r>
            <w:r>
              <w:rPr>
                <w:noProof/>
                <w:szCs w:val="24"/>
              </w:rPr>
              <w:t>, stakeholders shared the following views on this option:</w:t>
            </w:r>
          </w:p>
        </w:tc>
      </w:tr>
      <w:tr w:rsidR="0037666B">
        <w:trPr>
          <w:trHeight w:val="1230"/>
        </w:trPr>
        <w:tc>
          <w:tcPr>
            <w:tcW w:w="1036" w:type="dxa"/>
            <w:vMerge w:val="restart"/>
            <w:shd w:val="clear" w:color="auto" w:fill="DBE5F1" w:themeFill="accent1" w:themeFillTint="33"/>
            <w:vAlign w:val="center"/>
          </w:tcPr>
          <w:p w:rsidR="0037666B" w:rsidRDefault="00C627B8">
            <w:pPr>
              <w:spacing w:before="120" w:after="120"/>
              <w:jc w:val="center"/>
              <w:rPr>
                <w:noProof/>
                <w:sz w:val="20"/>
              </w:rPr>
            </w:pPr>
            <w:r>
              <w:rPr>
                <w:noProof/>
                <w:sz w:val="20"/>
              </w:rPr>
              <w:t>Sub-options</w:t>
            </w:r>
          </w:p>
        </w:tc>
        <w:tc>
          <w:tcPr>
            <w:tcW w:w="1509"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raising awareness (Policy objective 1)</w:t>
            </w:r>
          </w:p>
        </w:tc>
        <w:tc>
          <w:tcPr>
            <w:tcW w:w="1509"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legal certainty on the scope (Policy objective 2)</w:t>
            </w:r>
          </w:p>
        </w:tc>
        <w:tc>
          <w:tcPr>
            <w:tcW w:w="1509"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legal certa</w:t>
            </w:r>
            <w:r>
              <w:rPr>
                <w:noProof/>
                <w:sz w:val="20"/>
              </w:rPr>
              <w:t>inty on the application of MR (Policy objective 3)</w:t>
            </w:r>
          </w:p>
        </w:tc>
        <w:tc>
          <w:tcPr>
            <w:tcW w:w="3334" w:type="dxa"/>
            <w:gridSpan w:val="3"/>
            <w:shd w:val="clear" w:color="auto" w:fill="DBE5F1" w:themeFill="accent1" w:themeFillTint="33"/>
            <w:vAlign w:val="center"/>
          </w:tcPr>
          <w:p w:rsidR="0037666B" w:rsidRDefault="00C627B8">
            <w:pPr>
              <w:spacing w:before="120" w:after="120"/>
              <w:jc w:val="center"/>
              <w:rPr>
                <w:noProof/>
                <w:sz w:val="20"/>
              </w:rPr>
            </w:pPr>
            <w:r>
              <w:rPr>
                <w:noProof/>
                <w:sz w:val="20"/>
              </w:rPr>
              <w:t>Effects on reducing costs for economic operators</w:t>
            </w:r>
          </w:p>
        </w:tc>
      </w:tr>
      <w:tr w:rsidR="0037666B">
        <w:trPr>
          <w:trHeight w:val="626"/>
        </w:trPr>
        <w:tc>
          <w:tcPr>
            <w:tcW w:w="1036" w:type="dxa"/>
            <w:vMerge/>
            <w:shd w:val="clear" w:color="auto" w:fill="4F81BD" w:themeFill="accent1"/>
            <w:vAlign w:val="center"/>
          </w:tcPr>
          <w:p w:rsidR="0037666B" w:rsidRDefault="0037666B">
            <w:pPr>
              <w:spacing w:before="120" w:after="120"/>
              <w:jc w:val="center"/>
              <w:rPr>
                <w:noProof/>
                <w:sz w:val="20"/>
              </w:rPr>
            </w:pPr>
          </w:p>
        </w:tc>
        <w:tc>
          <w:tcPr>
            <w:tcW w:w="746" w:type="dxa"/>
            <w:shd w:val="clear" w:color="auto" w:fill="DBE5F1" w:themeFill="accent1" w:themeFillTint="33"/>
            <w:vAlign w:val="center"/>
          </w:tcPr>
          <w:p w:rsidR="0037666B" w:rsidRDefault="00C627B8">
            <w:pPr>
              <w:spacing w:before="120" w:after="120"/>
              <w:jc w:val="center"/>
              <w:rPr>
                <w:noProof/>
                <w:sz w:val="20"/>
              </w:rPr>
            </w:pPr>
            <w:r>
              <w:rPr>
                <w:noProof/>
                <w:sz w:val="20"/>
              </w:rPr>
              <w:t>MS</w:t>
            </w:r>
          </w:p>
        </w:tc>
        <w:tc>
          <w:tcPr>
            <w:tcW w:w="763" w:type="dxa"/>
            <w:shd w:val="clear" w:color="auto" w:fill="DBE5F1" w:themeFill="accent1" w:themeFillTint="33"/>
            <w:vAlign w:val="center"/>
          </w:tcPr>
          <w:p w:rsidR="0037666B" w:rsidRDefault="00C627B8">
            <w:pPr>
              <w:spacing w:before="120" w:after="120"/>
              <w:jc w:val="center"/>
              <w:rPr>
                <w:noProof/>
                <w:sz w:val="20"/>
              </w:rPr>
            </w:pPr>
            <w:r>
              <w:rPr>
                <w:noProof/>
                <w:sz w:val="20"/>
              </w:rPr>
              <w:t>EO</w:t>
            </w:r>
            <w:r>
              <w:rPr>
                <w:rStyle w:val="FootnoteReference"/>
                <w:noProof/>
                <w:sz w:val="20"/>
              </w:rPr>
              <w:footnoteReference w:id="108"/>
            </w:r>
          </w:p>
        </w:tc>
        <w:tc>
          <w:tcPr>
            <w:tcW w:w="757" w:type="dxa"/>
            <w:shd w:val="clear" w:color="auto" w:fill="DBE5F1" w:themeFill="accent1" w:themeFillTint="33"/>
            <w:vAlign w:val="center"/>
          </w:tcPr>
          <w:p w:rsidR="0037666B" w:rsidRDefault="00C627B8">
            <w:pPr>
              <w:spacing w:before="120" w:after="120"/>
              <w:jc w:val="center"/>
              <w:rPr>
                <w:noProof/>
                <w:sz w:val="20"/>
              </w:rPr>
            </w:pPr>
            <w:r>
              <w:rPr>
                <w:noProof/>
                <w:sz w:val="20"/>
              </w:rPr>
              <w:t>MS</w:t>
            </w:r>
          </w:p>
        </w:tc>
        <w:tc>
          <w:tcPr>
            <w:tcW w:w="752" w:type="dxa"/>
            <w:shd w:val="clear" w:color="auto" w:fill="DBE5F1" w:themeFill="accent1" w:themeFillTint="33"/>
            <w:vAlign w:val="center"/>
          </w:tcPr>
          <w:p w:rsidR="0037666B" w:rsidRDefault="00C627B8">
            <w:pPr>
              <w:spacing w:before="120" w:after="120"/>
              <w:jc w:val="center"/>
              <w:rPr>
                <w:noProof/>
                <w:sz w:val="20"/>
              </w:rPr>
            </w:pPr>
            <w:r>
              <w:rPr>
                <w:noProof/>
                <w:sz w:val="20"/>
              </w:rPr>
              <w:t>EO</w:t>
            </w:r>
          </w:p>
        </w:tc>
        <w:tc>
          <w:tcPr>
            <w:tcW w:w="757" w:type="dxa"/>
            <w:shd w:val="clear" w:color="auto" w:fill="DBE5F1" w:themeFill="accent1" w:themeFillTint="33"/>
            <w:vAlign w:val="center"/>
          </w:tcPr>
          <w:p w:rsidR="0037666B" w:rsidRDefault="00C627B8">
            <w:pPr>
              <w:spacing w:before="120" w:after="120"/>
              <w:jc w:val="center"/>
              <w:rPr>
                <w:noProof/>
                <w:sz w:val="20"/>
              </w:rPr>
            </w:pPr>
            <w:r>
              <w:rPr>
                <w:noProof/>
                <w:sz w:val="20"/>
              </w:rPr>
              <w:t>MS</w:t>
            </w:r>
          </w:p>
        </w:tc>
        <w:tc>
          <w:tcPr>
            <w:tcW w:w="752" w:type="dxa"/>
            <w:shd w:val="clear" w:color="auto" w:fill="DBE5F1" w:themeFill="accent1" w:themeFillTint="33"/>
            <w:vAlign w:val="center"/>
          </w:tcPr>
          <w:p w:rsidR="0037666B" w:rsidRDefault="00C627B8">
            <w:pPr>
              <w:spacing w:before="120" w:after="120"/>
              <w:jc w:val="center"/>
              <w:rPr>
                <w:noProof/>
                <w:sz w:val="20"/>
              </w:rPr>
            </w:pPr>
            <w:r>
              <w:rPr>
                <w:noProof/>
                <w:sz w:val="20"/>
              </w:rPr>
              <w:t>EO</w:t>
            </w:r>
          </w:p>
        </w:tc>
        <w:tc>
          <w:tcPr>
            <w:tcW w:w="1349" w:type="dxa"/>
            <w:shd w:val="clear" w:color="auto" w:fill="DBE5F1" w:themeFill="accent1" w:themeFillTint="33"/>
            <w:vAlign w:val="center"/>
          </w:tcPr>
          <w:p w:rsidR="0037666B" w:rsidRDefault="00C627B8">
            <w:pPr>
              <w:spacing w:before="120" w:after="120"/>
              <w:jc w:val="center"/>
              <w:rPr>
                <w:noProof/>
                <w:sz w:val="20"/>
              </w:rPr>
            </w:pPr>
            <w:r>
              <w:rPr>
                <w:noProof/>
                <w:sz w:val="20"/>
              </w:rPr>
              <w:t>Transaction costs</w:t>
            </w:r>
          </w:p>
        </w:tc>
        <w:tc>
          <w:tcPr>
            <w:tcW w:w="1003" w:type="dxa"/>
            <w:shd w:val="clear" w:color="auto" w:fill="DBE5F1" w:themeFill="accent1" w:themeFillTint="33"/>
            <w:vAlign w:val="center"/>
          </w:tcPr>
          <w:p w:rsidR="0037666B" w:rsidRDefault="00C627B8">
            <w:pPr>
              <w:spacing w:before="120" w:after="120"/>
              <w:jc w:val="center"/>
              <w:rPr>
                <w:noProof/>
                <w:sz w:val="20"/>
              </w:rPr>
            </w:pPr>
            <w:r>
              <w:rPr>
                <w:noProof/>
                <w:sz w:val="20"/>
              </w:rPr>
              <w:t>Appeals</w:t>
            </w:r>
          </w:p>
        </w:tc>
        <w:tc>
          <w:tcPr>
            <w:tcW w:w="982" w:type="dxa"/>
            <w:shd w:val="clear" w:color="auto" w:fill="DBE5F1" w:themeFill="accent1" w:themeFillTint="33"/>
            <w:vAlign w:val="center"/>
          </w:tcPr>
          <w:p w:rsidR="0037666B" w:rsidRDefault="00C627B8">
            <w:pPr>
              <w:spacing w:before="120" w:after="120"/>
              <w:jc w:val="center"/>
              <w:rPr>
                <w:noProof/>
                <w:sz w:val="20"/>
              </w:rPr>
            </w:pPr>
            <w:r>
              <w:rPr>
                <w:noProof/>
                <w:sz w:val="20"/>
              </w:rPr>
              <w:t>Delayed market access</w:t>
            </w:r>
          </w:p>
        </w:tc>
      </w:tr>
      <w:tr w:rsidR="0037666B">
        <w:tc>
          <w:tcPr>
            <w:tcW w:w="1036" w:type="dxa"/>
            <w:shd w:val="clear" w:color="auto" w:fill="DBE5F1" w:themeFill="accent1" w:themeFillTint="33"/>
            <w:vAlign w:val="center"/>
          </w:tcPr>
          <w:p w:rsidR="0037666B" w:rsidRDefault="00C627B8">
            <w:pPr>
              <w:spacing w:before="120" w:after="120"/>
              <w:jc w:val="center"/>
              <w:rPr>
                <w:noProof/>
                <w:sz w:val="20"/>
              </w:rPr>
            </w:pPr>
            <w:r>
              <w:rPr>
                <w:noProof/>
                <w:sz w:val="20"/>
              </w:rPr>
              <w:t>Clarify scope</w:t>
            </w:r>
          </w:p>
        </w:tc>
        <w:tc>
          <w:tcPr>
            <w:tcW w:w="746" w:type="dxa"/>
            <w:vAlign w:val="center"/>
          </w:tcPr>
          <w:p w:rsidR="0037666B" w:rsidRDefault="00C627B8">
            <w:pPr>
              <w:spacing w:before="120" w:after="120"/>
              <w:jc w:val="center"/>
              <w:rPr>
                <w:noProof/>
                <w:sz w:val="20"/>
              </w:rPr>
            </w:pPr>
            <w:r>
              <w:rPr>
                <w:noProof/>
                <w:sz w:val="20"/>
              </w:rPr>
              <w:t>68%</w:t>
            </w:r>
          </w:p>
        </w:tc>
        <w:tc>
          <w:tcPr>
            <w:tcW w:w="763" w:type="dxa"/>
            <w:vAlign w:val="center"/>
          </w:tcPr>
          <w:p w:rsidR="0037666B" w:rsidRDefault="00C627B8">
            <w:pPr>
              <w:spacing w:before="120" w:after="120"/>
              <w:jc w:val="center"/>
              <w:rPr>
                <w:noProof/>
                <w:sz w:val="20"/>
              </w:rPr>
            </w:pPr>
            <w:r>
              <w:rPr>
                <w:noProof/>
                <w:sz w:val="20"/>
              </w:rPr>
              <w:t>84%</w:t>
            </w:r>
          </w:p>
        </w:tc>
        <w:tc>
          <w:tcPr>
            <w:tcW w:w="757" w:type="dxa"/>
            <w:vAlign w:val="center"/>
          </w:tcPr>
          <w:p w:rsidR="0037666B" w:rsidRDefault="00C627B8">
            <w:pPr>
              <w:spacing w:before="120" w:after="120"/>
              <w:jc w:val="center"/>
              <w:rPr>
                <w:noProof/>
                <w:sz w:val="20"/>
              </w:rPr>
            </w:pPr>
            <w:r>
              <w:rPr>
                <w:noProof/>
                <w:sz w:val="20"/>
              </w:rPr>
              <w:t>68%</w:t>
            </w:r>
          </w:p>
        </w:tc>
        <w:tc>
          <w:tcPr>
            <w:tcW w:w="752" w:type="dxa"/>
            <w:vAlign w:val="center"/>
          </w:tcPr>
          <w:p w:rsidR="0037666B" w:rsidRDefault="00C627B8">
            <w:pPr>
              <w:spacing w:before="120" w:after="120"/>
              <w:jc w:val="center"/>
              <w:rPr>
                <w:noProof/>
                <w:sz w:val="20"/>
              </w:rPr>
            </w:pPr>
            <w:r>
              <w:rPr>
                <w:noProof/>
                <w:sz w:val="20"/>
              </w:rPr>
              <w:t>75%</w:t>
            </w:r>
          </w:p>
        </w:tc>
        <w:tc>
          <w:tcPr>
            <w:tcW w:w="757" w:type="dxa"/>
            <w:vAlign w:val="center"/>
          </w:tcPr>
          <w:p w:rsidR="0037666B" w:rsidRDefault="00C627B8">
            <w:pPr>
              <w:spacing w:before="120" w:after="120"/>
              <w:jc w:val="center"/>
              <w:rPr>
                <w:noProof/>
                <w:sz w:val="20"/>
              </w:rPr>
            </w:pPr>
            <w:r>
              <w:rPr>
                <w:noProof/>
                <w:sz w:val="20"/>
              </w:rPr>
              <w:t>63%</w:t>
            </w:r>
          </w:p>
        </w:tc>
        <w:tc>
          <w:tcPr>
            <w:tcW w:w="752" w:type="dxa"/>
            <w:vAlign w:val="center"/>
          </w:tcPr>
          <w:p w:rsidR="0037666B" w:rsidRDefault="00C627B8">
            <w:pPr>
              <w:spacing w:before="120" w:after="120"/>
              <w:jc w:val="center"/>
              <w:rPr>
                <w:noProof/>
                <w:sz w:val="20"/>
              </w:rPr>
            </w:pPr>
            <w:r>
              <w:rPr>
                <w:noProof/>
                <w:sz w:val="20"/>
              </w:rPr>
              <w:t>50%</w:t>
            </w:r>
          </w:p>
        </w:tc>
        <w:tc>
          <w:tcPr>
            <w:tcW w:w="1349" w:type="dxa"/>
            <w:vAlign w:val="center"/>
          </w:tcPr>
          <w:p w:rsidR="0037666B" w:rsidRDefault="00C627B8">
            <w:pPr>
              <w:spacing w:before="120" w:after="120"/>
              <w:jc w:val="center"/>
              <w:rPr>
                <w:noProof/>
                <w:sz w:val="20"/>
              </w:rPr>
            </w:pPr>
            <w:r>
              <w:rPr>
                <w:noProof/>
                <w:sz w:val="20"/>
              </w:rPr>
              <w:t>58%</w:t>
            </w:r>
          </w:p>
        </w:tc>
        <w:tc>
          <w:tcPr>
            <w:tcW w:w="1003" w:type="dxa"/>
            <w:vAlign w:val="center"/>
          </w:tcPr>
          <w:p w:rsidR="0037666B" w:rsidRDefault="00C627B8">
            <w:pPr>
              <w:spacing w:before="120" w:after="120"/>
              <w:jc w:val="center"/>
              <w:rPr>
                <w:noProof/>
                <w:sz w:val="20"/>
              </w:rPr>
            </w:pPr>
            <w:r>
              <w:rPr>
                <w:noProof/>
                <w:sz w:val="20"/>
              </w:rPr>
              <w:t>50%</w:t>
            </w:r>
          </w:p>
        </w:tc>
        <w:tc>
          <w:tcPr>
            <w:tcW w:w="982" w:type="dxa"/>
            <w:vAlign w:val="center"/>
          </w:tcPr>
          <w:p w:rsidR="0037666B" w:rsidRDefault="00C627B8">
            <w:pPr>
              <w:spacing w:before="120" w:after="120"/>
              <w:jc w:val="center"/>
              <w:rPr>
                <w:noProof/>
                <w:sz w:val="20"/>
              </w:rPr>
            </w:pPr>
            <w:r>
              <w:rPr>
                <w:noProof/>
                <w:sz w:val="20"/>
              </w:rPr>
              <w:t>50%</w:t>
            </w:r>
          </w:p>
        </w:tc>
      </w:tr>
      <w:tr w:rsidR="0037666B">
        <w:tc>
          <w:tcPr>
            <w:tcW w:w="1036" w:type="dxa"/>
            <w:shd w:val="clear" w:color="auto" w:fill="DBE5F1" w:themeFill="accent1" w:themeFillTint="33"/>
            <w:vAlign w:val="center"/>
          </w:tcPr>
          <w:p w:rsidR="0037666B" w:rsidRDefault="00C627B8">
            <w:pPr>
              <w:spacing w:before="120" w:after="120"/>
              <w:jc w:val="center"/>
              <w:rPr>
                <w:noProof/>
                <w:sz w:val="20"/>
              </w:rPr>
            </w:pPr>
            <w:r>
              <w:rPr>
                <w:noProof/>
                <w:sz w:val="20"/>
              </w:rPr>
              <w:t>DoC</w:t>
            </w:r>
          </w:p>
        </w:tc>
        <w:tc>
          <w:tcPr>
            <w:tcW w:w="746" w:type="dxa"/>
            <w:vAlign w:val="center"/>
          </w:tcPr>
          <w:p w:rsidR="0037666B" w:rsidRDefault="00C627B8">
            <w:pPr>
              <w:spacing w:before="120" w:after="120"/>
              <w:jc w:val="center"/>
              <w:rPr>
                <w:noProof/>
                <w:sz w:val="20"/>
              </w:rPr>
            </w:pPr>
            <w:r>
              <w:rPr>
                <w:noProof/>
                <w:sz w:val="20"/>
              </w:rPr>
              <w:t>58%</w:t>
            </w:r>
          </w:p>
        </w:tc>
        <w:tc>
          <w:tcPr>
            <w:tcW w:w="763" w:type="dxa"/>
            <w:vAlign w:val="center"/>
          </w:tcPr>
          <w:p w:rsidR="0037666B" w:rsidRDefault="00C627B8">
            <w:pPr>
              <w:spacing w:before="120" w:after="120"/>
              <w:jc w:val="center"/>
              <w:rPr>
                <w:noProof/>
                <w:sz w:val="20"/>
              </w:rPr>
            </w:pPr>
            <w:r>
              <w:rPr>
                <w:noProof/>
                <w:sz w:val="20"/>
              </w:rPr>
              <w:t>83%</w:t>
            </w:r>
          </w:p>
        </w:tc>
        <w:tc>
          <w:tcPr>
            <w:tcW w:w="757" w:type="dxa"/>
            <w:vAlign w:val="center"/>
          </w:tcPr>
          <w:p w:rsidR="0037666B" w:rsidRDefault="00C627B8">
            <w:pPr>
              <w:spacing w:before="120" w:after="120"/>
              <w:jc w:val="center"/>
              <w:rPr>
                <w:noProof/>
                <w:sz w:val="20"/>
              </w:rPr>
            </w:pPr>
            <w:r>
              <w:rPr>
                <w:noProof/>
                <w:sz w:val="20"/>
              </w:rPr>
              <w:t>52%</w:t>
            </w:r>
          </w:p>
        </w:tc>
        <w:tc>
          <w:tcPr>
            <w:tcW w:w="752" w:type="dxa"/>
            <w:vAlign w:val="center"/>
          </w:tcPr>
          <w:p w:rsidR="0037666B" w:rsidRDefault="00C627B8">
            <w:pPr>
              <w:spacing w:before="120" w:after="120"/>
              <w:jc w:val="center"/>
              <w:rPr>
                <w:noProof/>
                <w:sz w:val="20"/>
              </w:rPr>
            </w:pPr>
            <w:r>
              <w:rPr>
                <w:noProof/>
                <w:sz w:val="20"/>
              </w:rPr>
              <w:t>67%</w:t>
            </w:r>
          </w:p>
        </w:tc>
        <w:tc>
          <w:tcPr>
            <w:tcW w:w="757" w:type="dxa"/>
            <w:vAlign w:val="center"/>
          </w:tcPr>
          <w:p w:rsidR="0037666B" w:rsidRDefault="00C627B8">
            <w:pPr>
              <w:spacing w:before="120" w:after="120"/>
              <w:jc w:val="center"/>
              <w:rPr>
                <w:noProof/>
                <w:sz w:val="20"/>
              </w:rPr>
            </w:pPr>
            <w:r>
              <w:rPr>
                <w:noProof/>
                <w:sz w:val="20"/>
              </w:rPr>
              <w:t>48%</w:t>
            </w:r>
          </w:p>
        </w:tc>
        <w:tc>
          <w:tcPr>
            <w:tcW w:w="752" w:type="dxa"/>
            <w:vAlign w:val="center"/>
          </w:tcPr>
          <w:p w:rsidR="0037666B" w:rsidRDefault="00C627B8">
            <w:pPr>
              <w:spacing w:before="120" w:after="120"/>
              <w:jc w:val="center"/>
              <w:rPr>
                <w:noProof/>
                <w:sz w:val="20"/>
              </w:rPr>
            </w:pPr>
            <w:r>
              <w:rPr>
                <w:noProof/>
                <w:sz w:val="20"/>
              </w:rPr>
              <w:t>59%</w:t>
            </w:r>
          </w:p>
        </w:tc>
        <w:tc>
          <w:tcPr>
            <w:tcW w:w="1349" w:type="dxa"/>
            <w:vAlign w:val="center"/>
          </w:tcPr>
          <w:p w:rsidR="0037666B" w:rsidRDefault="00C627B8">
            <w:pPr>
              <w:spacing w:before="120" w:after="120"/>
              <w:jc w:val="center"/>
              <w:rPr>
                <w:noProof/>
                <w:sz w:val="20"/>
              </w:rPr>
            </w:pPr>
            <w:r>
              <w:rPr>
                <w:noProof/>
                <w:sz w:val="20"/>
              </w:rPr>
              <w:t>58%</w:t>
            </w:r>
          </w:p>
        </w:tc>
        <w:tc>
          <w:tcPr>
            <w:tcW w:w="1003" w:type="dxa"/>
            <w:vAlign w:val="center"/>
          </w:tcPr>
          <w:p w:rsidR="0037666B" w:rsidRDefault="00C627B8">
            <w:pPr>
              <w:spacing w:before="120" w:after="120"/>
              <w:jc w:val="center"/>
              <w:rPr>
                <w:noProof/>
                <w:sz w:val="20"/>
              </w:rPr>
            </w:pPr>
            <w:r>
              <w:rPr>
                <w:noProof/>
                <w:sz w:val="20"/>
              </w:rPr>
              <w:t>50%</w:t>
            </w:r>
          </w:p>
        </w:tc>
        <w:tc>
          <w:tcPr>
            <w:tcW w:w="982" w:type="dxa"/>
            <w:vAlign w:val="center"/>
          </w:tcPr>
          <w:p w:rsidR="0037666B" w:rsidRDefault="00C627B8">
            <w:pPr>
              <w:spacing w:before="120" w:after="120"/>
              <w:jc w:val="center"/>
              <w:rPr>
                <w:noProof/>
                <w:sz w:val="20"/>
              </w:rPr>
            </w:pPr>
            <w:r>
              <w:rPr>
                <w:noProof/>
                <w:sz w:val="20"/>
              </w:rPr>
              <w:t>50%</w:t>
            </w:r>
          </w:p>
        </w:tc>
      </w:tr>
      <w:tr w:rsidR="0037666B">
        <w:trPr>
          <w:trHeight w:val="531"/>
        </w:trPr>
        <w:tc>
          <w:tcPr>
            <w:tcW w:w="1036" w:type="dxa"/>
            <w:shd w:val="clear" w:color="auto" w:fill="DBE5F1" w:themeFill="accent1" w:themeFillTint="33"/>
            <w:vAlign w:val="center"/>
          </w:tcPr>
          <w:p w:rsidR="0037666B" w:rsidRDefault="00C627B8">
            <w:pPr>
              <w:spacing w:before="120" w:after="120"/>
              <w:jc w:val="center"/>
              <w:rPr>
                <w:noProof/>
                <w:sz w:val="20"/>
              </w:rPr>
            </w:pPr>
            <w:r>
              <w:rPr>
                <w:noProof/>
                <w:sz w:val="20"/>
              </w:rPr>
              <w:t>Fast-track appeal</w:t>
            </w:r>
          </w:p>
        </w:tc>
        <w:tc>
          <w:tcPr>
            <w:tcW w:w="746" w:type="dxa"/>
            <w:vAlign w:val="center"/>
          </w:tcPr>
          <w:p w:rsidR="0037666B" w:rsidRDefault="00C627B8">
            <w:pPr>
              <w:spacing w:before="120" w:after="120"/>
              <w:jc w:val="center"/>
              <w:rPr>
                <w:noProof/>
                <w:sz w:val="20"/>
              </w:rPr>
            </w:pPr>
            <w:r>
              <w:rPr>
                <w:noProof/>
                <w:sz w:val="20"/>
              </w:rPr>
              <w:t>16%</w:t>
            </w:r>
          </w:p>
        </w:tc>
        <w:tc>
          <w:tcPr>
            <w:tcW w:w="763" w:type="dxa"/>
            <w:vAlign w:val="center"/>
          </w:tcPr>
          <w:p w:rsidR="0037666B" w:rsidRDefault="00C627B8">
            <w:pPr>
              <w:spacing w:before="120" w:after="120"/>
              <w:jc w:val="center"/>
              <w:rPr>
                <w:noProof/>
                <w:sz w:val="20"/>
              </w:rPr>
            </w:pPr>
            <w:r>
              <w:rPr>
                <w:noProof/>
                <w:sz w:val="20"/>
              </w:rPr>
              <w:t>75%</w:t>
            </w:r>
          </w:p>
        </w:tc>
        <w:tc>
          <w:tcPr>
            <w:tcW w:w="757" w:type="dxa"/>
            <w:vAlign w:val="center"/>
          </w:tcPr>
          <w:p w:rsidR="0037666B" w:rsidRDefault="00C627B8">
            <w:pPr>
              <w:spacing w:before="120" w:after="120"/>
              <w:jc w:val="center"/>
              <w:rPr>
                <w:noProof/>
                <w:sz w:val="20"/>
              </w:rPr>
            </w:pPr>
            <w:r>
              <w:rPr>
                <w:noProof/>
                <w:sz w:val="20"/>
              </w:rPr>
              <w:t>37%</w:t>
            </w:r>
          </w:p>
        </w:tc>
        <w:tc>
          <w:tcPr>
            <w:tcW w:w="752" w:type="dxa"/>
            <w:vAlign w:val="center"/>
          </w:tcPr>
          <w:p w:rsidR="0037666B" w:rsidRDefault="00C627B8">
            <w:pPr>
              <w:spacing w:before="120" w:after="120"/>
              <w:jc w:val="center"/>
              <w:rPr>
                <w:noProof/>
                <w:sz w:val="20"/>
              </w:rPr>
            </w:pPr>
            <w:r>
              <w:rPr>
                <w:noProof/>
                <w:sz w:val="20"/>
              </w:rPr>
              <w:t>75%</w:t>
            </w:r>
          </w:p>
        </w:tc>
        <w:tc>
          <w:tcPr>
            <w:tcW w:w="757" w:type="dxa"/>
            <w:vAlign w:val="center"/>
          </w:tcPr>
          <w:p w:rsidR="0037666B" w:rsidRDefault="00C627B8">
            <w:pPr>
              <w:spacing w:before="120" w:after="120"/>
              <w:jc w:val="center"/>
              <w:rPr>
                <w:noProof/>
                <w:sz w:val="20"/>
              </w:rPr>
            </w:pPr>
            <w:r>
              <w:rPr>
                <w:noProof/>
                <w:sz w:val="20"/>
              </w:rPr>
              <w:t>32%</w:t>
            </w:r>
          </w:p>
        </w:tc>
        <w:tc>
          <w:tcPr>
            <w:tcW w:w="752" w:type="dxa"/>
            <w:vAlign w:val="center"/>
          </w:tcPr>
          <w:p w:rsidR="0037666B" w:rsidRDefault="00C627B8">
            <w:pPr>
              <w:spacing w:before="120" w:after="120"/>
              <w:jc w:val="center"/>
              <w:rPr>
                <w:noProof/>
                <w:sz w:val="20"/>
              </w:rPr>
            </w:pPr>
            <w:r>
              <w:rPr>
                <w:noProof/>
                <w:sz w:val="20"/>
              </w:rPr>
              <w:t>58%</w:t>
            </w:r>
          </w:p>
        </w:tc>
        <w:tc>
          <w:tcPr>
            <w:tcW w:w="1349" w:type="dxa"/>
            <w:vAlign w:val="center"/>
          </w:tcPr>
          <w:p w:rsidR="0037666B" w:rsidRDefault="00C627B8">
            <w:pPr>
              <w:spacing w:before="120" w:after="120"/>
              <w:jc w:val="center"/>
              <w:rPr>
                <w:noProof/>
                <w:sz w:val="20"/>
              </w:rPr>
            </w:pPr>
            <w:r>
              <w:rPr>
                <w:noProof/>
                <w:sz w:val="20"/>
              </w:rPr>
              <w:t>58%</w:t>
            </w:r>
          </w:p>
        </w:tc>
        <w:tc>
          <w:tcPr>
            <w:tcW w:w="1003" w:type="dxa"/>
            <w:vAlign w:val="center"/>
          </w:tcPr>
          <w:p w:rsidR="0037666B" w:rsidRDefault="00C627B8">
            <w:pPr>
              <w:spacing w:before="120" w:after="120"/>
              <w:jc w:val="center"/>
              <w:rPr>
                <w:noProof/>
                <w:sz w:val="20"/>
              </w:rPr>
            </w:pPr>
            <w:r>
              <w:rPr>
                <w:noProof/>
                <w:sz w:val="20"/>
              </w:rPr>
              <w:t>59%</w:t>
            </w:r>
          </w:p>
        </w:tc>
        <w:tc>
          <w:tcPr>
            <w:tcW w:w="982" w:type="dxa"/>
            <w:vAlign w:val="center"/>
          </w:tcPr>
          <w:p w:rsidR="0037666B" w:rsidRDefault="00C627B8">
            <w:pPr>
              <w:spacing w:before="120" w:after="120"/>
              <w:jc w:val="center"/>
              <w:rPr>
                <w:noProof/>
                <w:sz w:val="20"/>
              </w:rPr>
            </w:pPr>
            <w:r>
              <w:rPr>
                <w:noProof/>
                <w:sz w:val="20"/>
              </w:rPr>
              <w:t>59%</w:t>
            </w:r>
          </w:p>
        </w:tc>
      </w:tr>
      <w:tr w:rsidR="0037666B">
        <w:trPr>
          <w:trHeight w:val="531"/>
        </w:trPr>
        <w:tc>
          <w:tcPr>
            <w:tcW w:w="1036" w:type="dxa"/>
            <w:shd w:val="clear" w:color="auto" w:fill="DBE5F1" w:themeFill="accent1" w:themeFillTint="33"/>
            <w:vAlign w:val="center"/>
          </w:tcPr>
          <w:p w:rsidR="0037666B" w:rsidRDefault="00C627B8">
            <w:pPr>
              <w:spacing w:before="120" w:after="120"/>
              <w:jc w:val="center"/>
              <w:rPr>
                <w:noProof/>
                <w:sz w:val="20"/>
              </w:rPr>
            </w:pPr>
            <w:r>
              <w:rPr>
                <w:noProof/>
                <w:sz w:val="20"/>
              </w:rPr>
              <w:t>PCPs</w:t>
            </w:r>
          </w:p>
        </w:tc>
        <w:tc>
          <w:tcPr>
            <w:tcW w:w="746" w:type="dxa"/>
            <w:vAlign w:val="center"/>
          </w:tcPr>
          <w:p w:rsidR="0037666B" w:rsidRDefault="00C627B8">
            <w:pPr>
              <w:spacing w:before="120" w:after="120"/>
              <w:jc w:val="center"/>
              <w:rPr>
                <w:noProof/>
                <w:sz w:val="20"/>
              </w:rPr>
            </w:pPr>
            <w:r>
              <w:rPr>
                <w:noProof/>
                <w:sz w:val="20"/>
              </w:rPr>
              <w:t>37%</w:t>
            </w:r>
          </w:p>
        </w:tc>
        <w:tc>
          <w:tcPr>
            <w:tcW w:w="763" w:type="dxa"/>
            <w:vAlign w:val="center"/>
          </w:tcPr>
          <w:p w:rsidR="0037666B" w:rsidRDefault="00C627B8">
            <w:pPr>
              <w:spacing w:before="120" w:after="120"/>
              <w:jc w:val="center"/>
              <w:rPr>
                <w:noProof/>
                <w:sz w:val="20"/>
              </w:rPr>
            </w:pPr>
            <w:r>
              <w:rPr>
                <w:noProof/>
                <w:sz w:val="20"/>
              </w:rPr>
              <w:t>83%</w:t>
            </w:r>
          </w:p>
        </w:tc>
        <w:tc>
          <w:tcPr>
            <w:tcW w:w="757" w:type="dxa"/>
            <w:vAlign w:val="center"/>
          </w:tcPr>
          <w:p w:rsidR="0037666B" w:rsidRDefault="00C627B8">
            <w:pPr>
              <w:spacing w:before="120" w:after="120"/>
              <w:jc w:val="center"/>
              <w:rPr>
                <w:noProof/>
                <w:sz w:val="20"/>
              </w:rPr>
            </w:pPr>
            <w:r>
              <w:rPr>
                <w:noProof/>
                <w:sz w:val="20"/>
              </w:rPr>
              <w:t>37%</w:t>
            </w:r>
          </w:p>
        </w:tc>
        <w:tc>
          <w:tcPr>
            <w:tcW w:w="752" w:type="dxa"/>
            <w:vAlign w:val="center"/>
          </w:tcPr>
          <w:p w:rsidR="0037666B" w:rsidRDefault="00C627B8">
            <w:pPr>
              <w:spacing w:before="120" w:after="120"/>
              <w:jc w:val="center"/>
              <w:rPr>
                <w:noProof/>
                <w:sz w:val="20"/>
              </w:rPr>
            </w:pPr>
            <w:r>
              <w:rPr>
                <w:noProof/>
                <w:sz w:val="20"/>
              </w:rPr>
              <w:t>33%</w:t>
            </w:r>
          </w:p>
        </w:tc>
        <w:tc>
          <w:tcPr>
            <w:tcW w:w="757" w:type="dxa"/>
            <w:vAlign w:val="center"/>
          </w:tcPr>
          <w:p w:rsidR="0037666B" w:rsidRDefault="00C627B8">
            <w:pPr>
              <w:spacing w:before="120" w:after="120"/>
              <w:jc w:val="center"/>
              <w:rPr>
                <w:noProof/>
                <w:sz w:val="20"/>
              </w:rPr>
            </w:pPr>
            <w:r>
              <w:rPr>
                <w:noProof/>
                <w:sz w:val="20"/>
              </w:rPr>
              <w:t>32%</w:t>
            </w:r>
          </w:p>
        </w:tc>
        <w:tc>
          <w:tcPr>
            <w:tcW w:w="752" w:type="dxa"/>
            <w:vAlign w:val="center"/>
          </w:tcPr>
          <w:p w:rsidR="0037666B" w:rsidRDefault="00C627B8">
            <w:pPr>
              <w:spacing w:before="120" w:after="120"/>
              <w:jc w:val="center"/>
              <w:rPr>
                <w:noProof/>
                <w:sz w:val="20"/>
              </w:rPr>
            </w:pPr>
            <w:r>
              <w:rPr>
                <w:noProof/>
                <w:sz w:val="20"/>
              </w:rPr>
              <w:t>42%</w:t>
            </w:r>
          </w:p>
        </w:tc>
        <w:tc>
          <w:tcPr>
            <w:tcW w:w="1349" w:type="dxa"/>
            <w:vAlign w:val="center"/>
          </w:tcPr>
          <w:p w:rsidR="0037666B" w:rsidRDefault="00C627B8">
            <w:pPr>
              <w:spacing w:before="120" w:after="120"/>
              <w:jc w:val="center"/>
              <w:rPr>
                <w:noProof/>
                <w:sz w:val="20"/>
              </w:rPr>
            </w:pPr>
            <w:r>
              <w:rPr>
                <w:noProof/>
                <w:sz w:val="20"/>
              </w:rPr>
              <w:t>59%</w:t>
            </w:r>
          </w:p>
        </w:tc>
        <w:tc>
          <w:tcPr>
            <w:tcW w:w="1003" w:type="dxa"/>
            <w:vAlign w:val="center"/>
          </w:tcPr>
          <w:p w:rsidR="0037666B" w:rsidRDefault="00C627B8">
            <w:pPr>
              <w:spacing w:before="120" w:after="120"/>
              <w:jc w:val="center"/>
              <w:rPr>
                <w:noProof/>
                <w:sz w:val="20"/>
              </w:rPr>
            </w:pPr>
            <w:r>
              <w:rPr>
                <w:noProof/>
                <w:sz w:val="20"/>
              </w:rPr>
              <w:t>59%</w:t>
            </w:r>
          </w:p>
        </w:tc>
        <w:tc>
          <w:tcPr>
            <w:tcW w:w="982" w:type="dxa"/>
            <w:vAlign w:val="center"/>
          </w:tcPr>
          <w:p w:rsidR="0037666B" w:rsidRDefault="00C627B8">
            <w:pPr>
              <w:spacing w:before="120" w:after="120"/>
              <w:jc w:val="center"/>
              <w:rPr>
                <w:noProof/>
                <w:sz w:val="20"/>
              </w:rPr>
            </w:pPr>
            <w:r>
              <w:rPr>
                <w:noProof/>
                <w:sz w:val="20"/>
              </w:rPr>
              <w:t>49%</w:t>
            </w:r>
          </w:p>
        </w:tc>
      </w:tr>
      <w:tr w:rsidR="0037666B">
        <w:tc>
          <w:tcPr>
            <w:tcW w:w="8897" w:type="dxa"/>
            <w:gridSpan w:val="10"/>
            <w:shd w:val="clear" w:color="auto" w:fill="8DB3E2" w:themeFill="text2" w:themeFillTint="66"/>
          </w:tcPr>
          <w:p w:rsidR="0037666B" w:rsidRDefault="00C627B8">
            <w:pPr>
              <w:rPr>
                <w:noProof/>
                <w:szCs w:val="24"/>
              </w:rPr>
            </w:pPr>
            <w:r>
              <w:rPr>
                <w:noProof/>
                <w:szCs w:val="24"/>
              </w:rPr>
              <w:t xml:space="preserve">Assessment of the option </w:t>
            </w:r>
          </w:p>
        </w:tc>
      </w:tr>
      <w:tr w:rsidR="0037666B">
        <w:tc>
          <w:tcPr>
            <w:tcW w:w="8897" w:type="dxa"/>
            <w:gridSpan w:val="10"/>
          </w:tcPr>
          <w:p w:rsidR="0037666B" w:rsidRDefault="00C627B8">
            <w:pPr>
              <w:rPr>
                <w:noProof/>
                <w:szCs w:val="24"/>
              </w:rPr>
            </w:pPr>
            <w:r>
              <w:rPr>
                <w:noProof/>
                <w:szCs w:val="24"/>
              </w:rPr>
              <w:t xml:space="preserve">Effectiveness in achieving the policy objectives                                                                           </w:t>
            </w:r>
          </w:p>
        </w:tc>
      </w:tr>
      <w:tr w:rsidR="0037666B">
        <w:tc>
          <w:tcPr>
            <w:tcW w:w="8897" w:type="dxa"/>
            <w:gridSpan w:val="10"/>
          </w:tcPr>
          <w:p w:rsidR="0037666B" w:rsidRDefault="00C627B8">
            <w:pPr>
              <w:rPr>
                <w:noProof/>
                <w:szCs w:val="24"/>
              </w:rPr>
            </w:pPr>
            <w:r>
              <w:rPr>
                <w:i/>
                <w:noProof/>
                <w:szCs w:val="24"/>
              </w:rPr>
              <w:t xml:space="preserve">Increase awareness about mutual recognition                                                            </w:t>
            </w:r>
            <w:r>
              <w:rPr>
                <w:noProof/>
                <w:szCs w:val="24"/>
              </w:rPr>
              <w:t>+</w:t>
            </w:r>
          </w:p>
        </w:tc>
      </w:tr>
      <w:tr w:rsidR="0037666B">
        <w:tc>
          <w:tcPr>
            <w:tcW w:w="8897" w:type="dxa"/>
            <w:gridSpan w:val="10"/>
          </w:tcPr>
          <w:p w:rsidR="0037666B" w:rsidRDefault="00C627B8">
            <w:pPr>
              <w:rPr>
                <w:noProof/>
                <w:szCs w:val="24"/>
              </w:rPr>
            </w:pPr>
            <w:r>
              <w:rPr>
                <w:i/>
                <w:noProof/>
                <w:szCs w:val="24"/>
              </w:rPr>
              <w:t>Increase legal certainty on the scope of mutual recognition</w:t>
            </w:r>
            <w:r>
              <w:rPr>
                <w:noProof/>
                <w:szCs w:val="24"/>
              </w:rPr>
              <w:t xml:space="preserve">                                         +++</w:t>
            </w:r>
          </w:p>
        </w:tc>
      </w:tr>
      <w:tr w:rsidR="0037666B">
        <w:tc>
          <w:tcPr>
            <w:tcW w:w="8897" w:type="dxa"/>
            <w:gridSpan w:val="10"/>
          </w:tcPr>
          <w:p w:rsidR="0037666B" w:rsidRDefault="00C627B8">
            <w:pPr>
              <w:rPr>
                <w:noProof/>
                <w:szCs w:val="24"/>
              </w:rPr>
            </w:pPr>
            <w:r>
              <w:rPr>
                <w:i/>
                <w:noProof/>
                <w:szCs w:val="24"/>
              </w:rPr>
              <w:t xml:space="preserve">Increase legal certainty on the application </w:t>
            </w:r>
            <w:r>
              <w:rPr>
                <w:i/>
                <w:noProof/>
                <w:szCs w:val="24"/>
              </w:rPr>
              <w:t>of mutual recognition</w:t>
            </w:r>
            <w:r>
              <w:rPr>
                <w:noProof/>
                <w:szCs w:val="24"/>
              </w:rPr>
              <w:t xml:space="preserve">                                 +++</w:t>
            </w:r>
          </w:p>
        </w:tc>
      </w:tr>
      <w:tr w:rsidR="0037666B">
        <w:tc>
          <w:tcPr>
            <w:tcW w:w="8897" w:type="dxa"/>
            <w:gridSpan w:val="10"/>
          </w:tcPr>
          <w:p w:rsidR="0037666B" w:rsidRDefault="00C627B8">
            <w:pPr>
              <w:rPr>
                <w:noProof/>
                <w:szCs w:val="24"/>
              </w:rPr>
            </w:pPr>
            <w:r>
              <w:rPr>
                <w:i/>
                <w:noProof/>
                <w:szCs w:val="24"/>
              </w:rPr>
              <w:t>Enhance administrative cooperation and communication</w:t>
            </w:r>
            <w:r>
              <w:rPr>
                <w:noProof/>
                <w:szCs w:val="24"/>
              </w:rPr>
              <w:t xml:space="preserve">                                             +++</w:t>
            </w:r>
          </w:p>
        </w:tc>
      </w:tr>
      <w:tr w:rsidR="0037666B">
        <w:trPr>
          <w:trHeight w:val="128"/>
        </w:trPr>
        <w:tc>
          <w:tcPr>
            <w:tcW w:w="8897" w:type="dxa"/>
            <w:gridSpan w:val="10"/>
          </w:tcPr>
          <w:p w:rsidR="0037666B" w:rsidRDefault="00C627B8">
            <w:pPr>
              <w:rPr>
                <w:noProof/>
                <w:szCs w:val="24"/>
              </w:rPr>
            </w:pPr>
            <w:r>
              <w:rPr>
                <w:noProof/>
                <w:szCs w:val="24"/>
              </w:rPr>
              <w:t xml:space="preserve">Economic impacts for economic operators                                                        </w:t>
            </w:r>
            <w:r>
              <w:rPr>
                <w:noProof/>
                <w:szCs w:val="24"/>
              </w:rPr>
              <w:t xml:space="preserve">        +++                            </w:t>
            </w:r>
          </w:p>
        </w:tc>
      </w:tr>
      <w:tr w:rsidR="0037666B">
        <w:tc>
          <w:tcPr>
            <w:tcW w:w="8897" w:type="dxa"/>
            <w:gridSpan w:val="10"/>
          </w:tcPr>
          <w:p w:rsidR="0037666B" w:rsidRDefault="00C627B8">
            <w:pPr>
              <w:rPr>
                <w:noProof/>
                <w:szCs w:val="24"/>
              </w:rPr>
            </w:pPr>
            <w:r>
              <w:rPr>
                <w:noProof/>
                <w:szCs w:val="24"/>
              </w:rPr>
              <w:t>Economic impacts for Member States                                                                                -</w:t>
            </w:r>
          </w:p>
        </w:tc>
      </w:tr>
      <w:tr w:rsidR="0037666B">
        <w:tc>
          <w:tcPr>
            <w:tcW w:w="8897" w:type="dxa"/>
            <w:gridSpan w:val="10"/>
          </w:tcPr>
          <w:p w:rsidR="0037666B" w:rsidRDefault="00C627B8">
            <w:pPr>
              <w:rPr>
                <w:noProof/>
                <w:szCs w:val="24"/>
              </w:rPr>
            </w:pPr>
            <w:r>
              <w:rPr>
                <w:noProof/>
                <w:szCs w:val="24"/>
              </w:rPr>
              <w:t xml:space="preserve">Economic impacts on the EU budget                                                                 </w:t>
            </w:r>
            <w:r>
              <w:rPr>
                <w:noProof/>
                <w:szCs w:val="24"/>
              </w:rPr>
              <w:t xml:space="preserve">             -                                       </w:t>
            </w:r>
          </w:p>
        </w:tc>
      </w:tr>
      <w:tr w:rsidR="0037666B">
        <w:tc>
          <w:tcPr>
            <w:tcW w:w="8897" w:type="dxa"/>
            <w:gridSpan w:val="10"/>
          </w:tcPr>
          <w:p w:rsidR="0037666B" w:rsidRDefault="00C627B8">
            <w:pPr>
              <w:rPr>
                <w:noProof/>
                <w:szCs w:val="24"/>
              </w:rPr>
            </w:pPr>
            <w:r>
              <w:rPr>
                <w:noProof/>
                <w:szCs w:val="24"/>
              </w:rPr>
              <w:t xml:space="preserve">Administrative simplification                                                                                    ++                                                </w:t>
            </w:r>
          </w:p>
        </w:tc>
      </w:tr>
      <w:tr w:rsidR="0037666B">
        <w:tc>
          <w:tcPr>
            <w:tcW w:w="8897" w:type="dxa"/>
            <w:gridSpan w:val="10"/>
          </w:tcPr>
          <w:p w:rsidR="0037666B" w:rsidRDefault="00C627B8">
            <w:pPr>
              <w:rPr>
                <w:i/>
                <w:noProof/>
                <w:sz w:val="18"/>
                <w:szCs w:val="18"/>
              </w:rPr>
            </w:pPr>
            <w:r>
              <w:rPr>
                <w:i/>
                <w:noProof/>
                <w:sz w:val="18"/>
                <w:szCs w:val="18"/>
              </w:rPr>
              <w:t>Magnitude of impact as compared with</w:t>
            </w:r>
            <w:r>
              <w:rPr>
                <w:i/>
                <w:noProof/>
                <w:sz w:val="18"/>
                <w:szCs w:val="18"/>
              </w:rPr>
              <w:t xml:space="preserve"> the baseline scenario (the baseline is indicated as 0): +++ very positive; ++moderately positive, + positive; - - - strongly negative; - - moderately negative, - negative; neutral 0. </w:t>
            </w:r>
          </w:p>
        </w:tc>
      </w:tr>
    </w:tbl>
    <w:p w:rsidR="0037666B" w:rsidRDefault="00C627B8">
      <w:pPr>
        <w:spacing w:before="240"/>
        <w:rPr>
          <w:b/>
          <w:noProof/>
          <w:szCs w:val="24"/>
        </w:rPr>
      </w:pPr>
      <w:r>
        <w:rPr>
          <w:b/>
          <w:noProof/>
          <w:szCs w:val="24"/>
        </w:rPr>
        <w:t>Policy option 5- Voluntary prior authorization to placing on the marke</w:t>
      </w:r>
      <w:r>
        <w:rPr>
          <w:b/>
          <w:noProof/>
          <w:szCs w:val="24"/>
        </w:rPr>
        <w:t>t</w:t>
      </w:r>
    </w:p>
    <w:tbl>
      <w:tblPr>
        <w:tblStyle w:val="TableGrid"/>
        <w:tblW w:w="0" w:type="auto"/>
        <w:tblLook w:val="04A0" w:firstRow="1" w:lastRow="0" w:firstColumn="1" w:lastColumn="0" w:noHBand="0" w:noVBand="1"/>
      </w:tblPr>
      <w:tblGrid>
        <w:gridCol w:w="1394"/>
        <w:gridCol w:w="704"/>
        <w:gridCol w:w="722"/>
        <w:gridCol w:w="716"/>
        <w:gridCol w:w="710"/>
        <w:gridCol w:w="716"/>
        <w:gridCol w:w="710"/>
        <w:gridCol w:w="1261"/>
        <w:gridCol w:w="942"/>
        <w:gridCol w:w="959"/>
      </w:tblGrid>
      <w:tr w:rsidR="0037666B">
        <w:tc>
          <w:tcPr>
            <w:tcW w:w="8834" w:type="dxa"/>
            <w:gridSpan w:val="10"/>
            <w:shd w:val="clear" w:color="auto" w:fill="8DB3E2" w:themeFill="text2" w:themeFillTint="66"/>
          </w:tcPr>
          <w:p w:rsidR="0037666B" w:rsidRDefault="00C627B8">
            <w:pPr>
              <w:rPr>
                <w:noProof/>
                <w:szCs w:val="24"/>
              </w:rPr>
            </w:pPr>
            <w:r>
              <w:rPr>
                <w:noProof/>
                <w:szCs w:val="24"/>
              </w:rPr>
              <w:t xml:space="preserve">Economic impacts  </w:t>
            </w:r>
          </w:p>
        </w:tc>
      </w:tr>
      <w:tr w:rsidR="0037666B">
        <w:tc>
          <w:tcPr>
            <w:tcW w:w="8834" w:type="dxa"/>
            <w:gridSpan w:val="10"/>
          </w:tcPr>
          <w:p w:rsidR="0037666B" w:rsidRDefault="00C627B8">
            <w:pPr>
              <w:rPr>
                <w:noProof/>
                <w:szCs w:val="24"/>
                <w:u w:val="single"/>
              </w:rPr>
            </w:pPr>
            <w:r>
              <w:rPr>
                <w:noProof/>
                <w:szCs w:val="24"/>
                <w:u w:val="single"/>
              </w:rPr>
              <w:t>Economic impacts for businesses</w:t>
            </w:r>
          </w:p>
          <w:p w:rsidR="0037666B" w:rsidRDefault="00C627B8">
            <w:pPr>
              <w:rPr>
                <w:noProof/>
                <w:szCs w:val="24"/>
              </w:rPr>
            </w:pPr>
            <w:r>
              <w:rPr>
                <w:noProof/>
                <w:szCs w:val="24"/>
              </w:rPr>
              <w:t xml:space="preserve">This option is supposed to reduce to a certain extent some of the costs incurred by businesses, such as costs related to court proceedings and lost opportunities, due to the lack of legal certainty when using mutual recognition. Those who are not aware or </w:t>
            </w:r>
            <w:r>
              <w:rPr>
                <w:noProof/>
                <w:szCs w:val="24"/>
              </w:rPr>
              <w:t>very familiar with mutual recognition in the first place are not likely to benefit from this option. However, certain costs, such as adaptation costs, are expected to remain unchanged, as there is no guarantee that Member States will modify their behaviour</w:t>
            </w:r>
            <w:r>
              <w:rPr>
                <w:noProof/>
                <w:szCs w:val="24"/>
              </w:rPr>
              <w:t xml:space="preserve"> towards mutual recognition solely because they will have to assess its application in a pre-marketing phase. Moreover, costs related to delayed entry on the market would remain unchanged, as the economic operator would have to wait for the reply from the </w:t>
            </w:r>
            <w:r>
              <w:rPr>
                <w:noProof/>
                <w:szCs w:val="24"/>
              </w:rPr>
              <w:t xml:space="preserve">authorities in the prior authorisation procedure which is expected to be long. </w:t>
            </w:r>
          </w:p>
          <w:p w:rsidR="0037666B" w:rsidRDefault="00C627B8">
            <w:pPr>
              <w:rPr>
                <w:noProof/>
                <w:szCs w:val="24"/>
                <w:u w:val="single"/>
              </w:rPr>
            </w:pPr>
            <w:r>
              <w:rPr>
                <w:noProof/>
                <w:szCs w:val="24"/>
                <w:u w:val="single"/>
              </w:rPr>
              <w:t xml:space="preserve">Economic impacts for Member States  </w:t>
            </w:r>
          </w:p>
          <w:p w:rsidR="0037666B" w:rsidRDefault="00C627B8">
            <w:pPr>
              <w:rPr>
                <w:noProof/>
                <w:szCs w:val="24"/>
              </w:rPr>
            </w:pPr>
            <w:r>
              <w:rPr>
                <w:noProof/>
                <w:szCs w:val="24"/>
              </w:rPr>
              <w:t>This option would create excessive costs on the Member States. They would have to put in place the infrastructure and make available the ne</w:t>
            </w:r>
            <w:r>
              <w:rPr>
                <w:noProof/>
                <w:szCs w:val="24"/>
              </w:rPr>
              <w:t>cessary national resources in order to perform the assessment of the demands requiring prior authorisation.</w:t>
            </w:r>
          </w:p>
          <w:p w:rsidR="0037666B" w:rsidRDefault="00C627B8">
            <w:pPr>
              <w:rPr>
                <w:noProof/>
                <w:szCs w:val="24"/>
              </w:rPr>
            </w:pPr>
            <w:r>
              <w:rPr>
                <w:noProof/>
                <w:szCs w:val="24"/>
              </w:rPr>
              <w:t>Even if this option is voluntary, given its important impacts in terms of legal certainty, it is expected to become a market driven demand, and requ</w:t>
            </w:r>
            <w:r>
              <w:rPr>
                <w:noProof/>
                <w:szCs w:val="24"/>
              </w:rPr>
              <w:t xml:space="preserve">ired by almost all economic operators wishing to have legal certainty when placing their products on new markets. </w:t>
            </w:r>
          </w:p>
          <w:p w:rsidR="0037666B" w:rsidRDefault="00C627B8">
            <w:pPr>
              <w:rPr>
                <w:noProof/>
                <w:szCs w:val="24"/>
              </w:rPr>
            </w:pPr>
            <w:r>
              <w:rPr>
                <w:noProof/>
                <w:szCs w:val="24"/>
              </w:rPr>
              <w:t>The value of the non-harmonised goods area has been estimated at 18% of the total value of intra EU exports, and mutual recognition potential</w:t>
            </w:r>
            <w:r>
              <w:rPr>
                <w:noProof/>
                <w:szCs w:val="24"/>
              </w:rPr>
              <w:t>ly applies to a huge variety or products in the food and non-food area (Annex 5 provides an overview of the categories of products falling under the scope of mutual recognition, by NACE codes). For each category of products, national authorities would have</w:t>
            </w:r>
            <w:r>
              <w:rPr>
                <w:noProof/>
                <w:szCs w:val="24"/>
              </w:rPr>
              <w:t xml:space="preserve"> to put in place the necessary structures and human resources with the necessary technical and scientific expertise in order to deal with the request. While it is impossible to assess with accuracy the magnitude of the costs Member States would have to bea</w:t>
            </w:r>
            <w:r>
              <w:rPr>
                <w:noProof/>
                <w:szCs w:val="24"/>
              </w:rPr>
              <w:t xml:space="preserve">r in order to implement this procedure, estimates are possible based on the costs of prior authorisations in a specific (biocides) sector and on the number of economic operators active in the non-harmonised areas. There are 10 major sectors subject to the </w:t>
            </w:r>
            <w:r>
              <w:rPr>
                <w:noProof/>
                <w:szCs w:val="24"/>
              </w:rPr>
              <w:t>application of the mutual recognition principle</w:t>
            </w:r>
            <w:r>
              <w:rPr>
                <w:rStyle w:val="FootnoteReference"/>
                <w:noProof/>
                <w:szCs w:val="24"/>
              </w:rPr>
              <w:footnoteReference w:id="109"/>
            </w:r>
            <w:r>
              <w:rPr>
                <w:noProof/>
                <w:szCs w:val="24"/>
              </w:rPr>
              <w:t>, accounting for 770 430 active enterprises</w:t>
            </w:r>
            <w:r>
              <w:rPr>
                <w:rStyle w:val="FootnoteReference"/>
                <w:noProof/>
                <w:szCs w:val="24"/>
              </w:rPr>
              <w:footnoteReference w:id="110"/>
            </w:r>
            <w:r>
              <w:rPr>
                <w:noProof/>
                <w:szCs w:val="24"/>
              </w:rPr>
              <w:t>. One scenario would be to assume that, because of the positive impacts in terms of legal certainty, 80% of the economic operators active in the non-harmonised area</w:t>
            </w:r>
            <w:r>
              <w:rPr>
                <w:noProof/>
                <w:szCs w:val="24"/>
              </w:rPr>
              <w:t xml:space="preserve"> will ask for a prior authorisation, accounting for 616 344 enterprises; another scenario would be to assume that despite the positive impacts in terms of legal certainty, a reasonable number of economic operators, (in complex problematic sectors) i.e. 30%</w:t>
            </w:r>
            <w:r>
              <w:rPr>
                <w:noProof/>
                <w:szCs w:val="24"/>
              </w:rPr>
              <w:t>, accounting for 231 129 enterprises, will ask for this authorisation. In the specific sector of biocides, is was assessed that 100-150 FTEs would be needed to run a central prior authorisation such a system, and that the administrative costs related to th</w:t>
            </w:r>
            <w:r>
              <w:rPr>
                <w:noProof/>
                <w:szCs w:val="24"/>
              </w:rPr>
              <w:t>is procedure would be  between 18 and 20 million Euro per year</w:t>
            </w:r>
            <w:r>
              <w:rPr>
                <w:rStyle w:val="FootnoteReference"/>
                <w:noProof/>
                <w:szCs w:val="24"/>
              </w:rPr>
              <w:footnoteReference w:id="111"/>
            </w:r>
            <w:r>
              <w:rPr>
                <w:noProof/>
                <w:szCs w:val="24"/>
              </w:rPr>
              <w:t xml:space="preserve">. </w:t>
            </w:r>
          </w:p>
          <w:p w:rsidR="0037666B" w:rsidRDefault="00C627B8">
            <w:pPr>
              <w:rPr>
                <w:noProof/>
                <w:szCs w:val="24"/>
              </w:rPr>
            </w:pPr>
            <w:r>
              <w:rPr>
                <w:noProof/>
                <w:szCs w:val="24"/>
              </w:rPr>
              <w:t>Therefore, this option would rather create more barriers in the single market for goods, and would result in a new generation of administrative procedures very burdensome and long for econom</w:t>
            </w:r>
            <w:r>
              <w:rPr>
                <w:noProof/>
                <w:szCs w:val="24"/>
              </w:rPr>
              <w:t xml:space="preserve">ic operators. It also contradicts the general EU policy favouring the reduction of administrative burdens, and the jurisprudence of the Court of Justice which considers prior authorisations to placing on the market as de facto infringing the free movement </w:t>
            </w:r>
            <w:r>
              <w:rPr>
                <w:noProof/>
                <w:szCs w:val="24"/>
              </w:rPr>
              <w:t>of goods fundamental principle</w:t>
            </w:r>
            <w:r>
              <w:rPr>
                <w:rStyle w:val="FootnoteReference"/>
                <w:noProof/>
                <w:szCs w:val="24"/>
              </w:rPr>
              <w:footnoteReference w:id="112"/>
            </w:r>
            <w:r>
              <w:rPr>
                <w:noProof/>
                <w:szCs w:val="24"/>
              </w:rPr>
              <w:t xml:space="preserve">.   </w:t>
            </w:r>
          </w:p>
          <w:p w:rsidR="0037666B" w:rsidRDefault="00C627B8">
            <w:pPr>
              <w:rPr>
                <w:noProof/>
                <w:szCs w:val="24"/>
                <w:u w:val="single"/>
              </w:rPr>
            </w:pPr>
            <w:r>
              <w:rPr>
                <w:noProof/>
                <w:szCs w:val="24"/>
                <w:u w:val="single"/>
              </w:rPr>
              <w:t>Economic impacts on the EU budget</w:t>
            </w:r>
          </w:p>
          <w:p w:rsidR="0037666B" w:rsidRDefault="00C627B8">
            <w:pPr>
              <w:rPr>
                <w:noProof/>
                <w:szCs w:val="24"/>
              </w:rPr>
            </w:pPr>
            <w:r>
              <w:rPr>
                <w:noProof/>
                <w:szCs w:val="24"/>
              </w:rPr>
              <w:t>No costs for the EU budget have been identified.</w:t>
            </w:r>
          </w:p>
        </w:tc>
      </w:tr>
      <w:tr w:rsidR="0037666B">
        <w:tc>
          <w:tcPr>
            <w:tcW w:w="8834" w:type="dxa"/>
            <w:gridSpan w:val="10"/>
            <w:shd w:val="clear" w:color="auto" w:fill="8DB3E2" w:themeFill="text2" w:themeFillTint="66"/>
          </w:tcPr>
          <w:p w:rsidR="0037666B" w:rsidRDefault="00C627B8">
            <w:pPr>
              <w:rPr>
                <w:noProof/>
                <w:szCs w:val="24"/>
              </w:rPr>
            </w:pPr>
            <w:r>
              <w:rPr>
                <w:noProof/>
                <w:szCs w:val="24"/>
              </w:rPr>
              <w:t>Social impacts</w:t>
            </w:r>
          </w:p>
        </w:tc>
      </w:tr>
      <w:tr w:rsidR="0037666B">
        <w:tc>
          <w:tcPr>
            <w:tcW w:w="8834" w:type="dxa"/>
            <w:gridSpan w:val="10"/>
          </w:tcPr>
          <w:p w:rsidR="0037666B" w:rsidRDefault="00C627B8">
            <w:pPr>
              <w:rPr>
                <w:noProof/>
                <w:szCs w:val="24"/>
              </w:rPr>
            </w:pPr>
            <w:r>
              <w:rPr>
                <w:noProof/>
                <w:szCs w:val="24"/>
              </w:rPr>
              <w:t>As this option would have some impacts in terms of increasing legal certainty for economic operators when using mutual r</w:t>
            </w:r>
            <w:r>
              <w:rPr>
                <w:noProof/>
                <w:szCs w:val="24"/>
              </w:rPr>
              <w:t>ecognition, it is expected that it would generate an increase in trade of non-harmonised or partially harmonised goods. This increase would translate into more products on the market, thus a wider variety for consumer at lower prices. However, it is expect</w:t>
            </w:r>
            <w:r>
              <w:rPr>
                <w:noProof/>
                <w:szCs w:val="24"/>
              </w:rPr>
              <w:t xml:space="preserve">ed for these impacts to be limited, as the procedure described above is quite heavy and long for Member States.  </w:t>
            </w:r>
          </w:p>
        </w:tc>
      </w:tr>
      <w:tr w:rsidR="0037666B">
        <w:tc>
          <w:tcPr>
            <w:tcW w:w="8834" w:type="dxa"/>
            <w:gridSpan w:val="10"/>
            <w:shd w:val="clear" w:color="auto" w:fill="8DB3E2" w:themeFill="text2" w:themeFillTint="66"/>
          </w:tcPr>
          <w:p w:rsidR="0037666B" w:rsidRDefault="00C627B8">
            <w:pPr>
              <w:rPr>
                <w:noProof/>
                <w:szCs w:val="24"/>
              </w:rPr>
            </w:pPr>
            <w:r>
              <w:rPr>
                <w:noProof/>
                <w:szCs w:val="24"/>
              </w:rPr>
              <w:t>Environmental impacts</w:t>
            </w:r>
          </w:p>
        </w:tc>
      </w:tr>
      <w:tr w:rsidR="0037666B">
        <w:tc>
          <w:tcPr>
            <w:tcW w:w="8834" w:type="dxa"/>
            <w:gridSpan w:val="10"/>
          </w:tcPr>
          <w:p w:rsidR="0037666B" w:rsidRDefault="00C627B8">
            <w:pPr>
              <w:rPr>
                <w:noProof/>
                <w:szCs w:val="24"/>
              </w:rPr>
            </w:pPr>
            <w:r>
              <w:rPr>
                <w:noProof/>
                <w:szCs w:val="24"/>
              </w:rPr>
              <w:t xml:space="preserve">No environmental impacts have been identified. </w:t>
            </w:r>
          </w:p>
        </w:tc>
      </w:tr>
      <w:tr w:rsidR="0037666B">
        <w:tc>
          <w:tcPr>
            <w:tcW w:w="8834" w:type="dxa"/>
            <w:gridSpan w:val="10"/>
            <w:shd w:val="clear" w:color="auto" w:fill="8DB3E2" w:themeFill="text2" w:themeFillTint="66"/>
          </w:tcPr>
          <w:p w:rsidR="0037666B" w:rsidRDefault="00C627B8">
            <w:pPr>
              <w:rPr>
                <w:noProof/>
                <w:szCs w:val="24"/>
              </w:rPr>
            </w:pPr>
            <w:r>
              <w:rPr>
                <w:noProof/>
                <w:szCs w:val="24"/>
              </w:rPr>
              <w:t>Administrative simplifications</w:t>
            </w:r>
          </w:p>
        </w:tc>
      </w:tr>
      <w:tr w:rsidR="0037666B">
        <w:tc>
          <w:tcPr>
            <w:tcW w:w="8834" w:type="dxa"/>
            <w:gridSpan w:val="10"/>
          </w:tcPr>
          <w:p w:rsidR="0037666B" w:rsidRDefault="00C627B8">
            <w:pPr>
              <w:rPr>
                <w:noProof/>
                <w:szCs w:val="24"/>
              </w:rPr>
            </w:pPr>
            <w:r>
              <w:rPr>
                <w:noProof/>
                <w:szCs w:val="24"/>
              </w:rPr>
              <w:t xml:space="preserve">This option is not expected to bring </w:t>
            </w:r>
            <w:r>
              <w:rPr>
                <w:noProof/>
                <w:szCs w:val="24"/>
              </w:rPr>
              <w:t>any administrative simplification; it is rather an important administrative burden for Member States and for economic operators.</w:t>
            </w:r>
          </w:p>
        </w:tc>
      </w:tr>
      <w:tr w:rsidR="0037666B">
        <w:tc>
          <w:tcPr>
            <w:tcW w:w="8834" w:type="dxa"/>
            <w:gridSpan w:val="10"/>
            <w:shd w:val="clear" w:color="auto" w:fill="8DB3E2" w:themeFill="text2" w:themeFillTint="66"/>
          </w:tcPr>
          <w:p w:rsidR="0037666B" w:rsidRDefault="00C627B8">
            <w:pPr>
              <w:rPr>
                <w:noProof/>
                <w:szCs w:val="24"/>
              </w:rPr>
            </w:pPr>
            <w:r>
              <w:rPr>
                <w:noProof/>
                <w:szCs w:val="24"/>
              </w:rPr>
              <w:t xml:space="preserve">Stakeholders views on the option </w:t>
            </w:r>
          </w:p>
        </w:tc>
      </w:tr>
      <w:tr w:rsidR="0037666B">
        <w:tc>
          <w:tcPr>
            <w:tcW w:w="8834" w:type="dxa"/>
            <w:gridSpan w:val="10"/>
          </w:tcPr>
          <w:p w:rsidR="0037666B" w:rsidRDefault="00C627B8">
            <w:pPr>
              <w:rPr>
                <w:noProof/>
                <w:szCs w:val="24"/>
              </w:rPr>
            </w:pPr>
            <w:r>
              <w:rPr>
                <w:noProof/>
                <w:szCs w:val="24"/>
              </w:rPr>
              <w:t>During the last meeting of the Consultative Committee on mutual recognition (25 October 201</w:t>
            </w:r>
            <w:r>
              <w:rPr>
                <w:noProof/>
                <w:szCs w:val="24"/>
              </w:rPr>
              <w:t xml:space="preserve">6), there was a consensus among Member States representatives on the fact that this option constitutes a major administrative burden and therefore Member States representatives advocated against it. </w:t>
            </w:r>
          </w:p>
          <w:p w:rsidR="0037666B" w:rsidRDefault="00C627B8">
            <w:pPr>
              <w:rPr>
                <w:bCs/>
                <w:noProof/>
                <w:szCs w:val="24"/>
              </w:rPr>
            </w:pPr>
            <w:r>
              <w:rPr>
                <w:noProof/>
                <w:szCs w:val="24"/>
              </w:rPr>
              <w:t>During the additional survey and interviews conducted by</w:t>
            </w:r>
            <w:r>
              <w:rPr>
                <w:noProof/>
                <w:szCs w:val="24"/>
              </w:rPr>
              <w:t xml:space="preserve"> an external contractor during 2016-2017</w:t>
            </w:r>
            <w:r>
              <w:rPr>
                <w:rStyle w:val="FootnoteReference"/>
                <w:noProof/>
                <w:szCs w:val="24"/>
              </w:rPr>
              <w:footnoteReference w:id="113"/>
            </w:r>
            <w:r>
              <w:rPr>
                <w:noProof/>
                <w:szCs w:val="24"/>
              </w:rPr>
              <w:t>, stakeholders shared the following views on this option:</w:t>
            </w:r>
          </w:p>
        </w:tc>
      </w:tr>
      <w:tr w:rsidR="0037666B">
        <w:trPr>
          <w:trHeight w:val="1230"/>
        </w:trPr>
        <w:tc>
          <w:tcPr>
            <w:tcW w:w="1394" w:type="dxa"/>
            <w:vMerge w:val="restart"/>
            <w:shd w:val="clear" w:color="auto" w:fill="DBE5F1" w:themeFill="accent1" w:themeFillTint="33"/>
            <w:vAlign w:val="center"/>
          </w:tcPr>
          <w:p w:rsidR="0037666B" w:rsidRDefault="00C627B8">
            <w:pPr>
              <w:spacing w:before="120" w:after="120"/>
              <w:jc w:val="center"/>
              <w:rPr>
                <w:noProof/>
                <w:sz w:val="20"/>
              </w:rPr>
            </w:pPr>
            <w:r>
              <w:rPr>
                <w:noProof/>
                <w:sz w:val="20"/>
              </w:rPr>
              <w:t>Sub-options</w:t>
            </w:r>
          </w:p>
        </w:tc>
        <w:tc>
          <w:tcPr>
            <w:tcW w:w="1426"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raising awareness (Policy objective 1)</w:t>
            </w:r>
          </w:p>
        </w:tc>
        <w:tc>
          <w:tcPr>
            <w:tcW w:w="1426"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legal certainty on the scope (Policy objective 2)</w:t>
            </w:r>
          </w:p>
        </w:tc>
        <w:tc>
          <w:tcPr>
            <w:tcW w:w="1426" w:type="dxa"/>
            <w:gridSpan w:val="2"/>
            <w:shd w:val="clear" w:color="auto" w:fill="DBE5F1" w:themeFill="accent1" w:themeFillTint="33"/>
            <w:vAlign w:val="center"/>
          </w:tcPr>
          <w:p w:rsidR="0037666B" w:rsidRDefault="00C627B8">
            <w:pPr>
              <w:spacing w:before="120" w:after="120"/>
              <w:jc w:val="center"/>
              <w:rPr>
                <w:noProof/>
                <w:sz w:val="20"/>
              </w:rPr>
            </w:pPr>
            <w:r>
              <w:rPr>
                <w:noProof/>
                <w:sz w:val="20"/>
              </w:rPr>
              <w:t>Effectiveness for l</w:t>
            </w:r>
            <w:r>
              <w:rPr>
                <w:noProof/>
                <w:sz w:val="20"/>
              </w:rPr>
              <w:t>egal certainty on the application of MR (Policy objective 3)</w:t>
            </w:r>
          </w:p>
        </w:tc>
        <w:tc>
          <w:tcPr>
            <w:tcW w:w="3162" w:type="dxa"/>
            <w:gridSpan w:val="3"/>
            <w:shd w:val="clear" w:color="auto" w:fill="DBE5F1" w:themeFill="accent1" w:themeFillTint="33"/>
            <w:vAlign w:val="center"/>
          </w:tcPr>
          <w:p w:rsidR="0037666B" w:rsidRDefault="00C627B8">
            <w:pPr>
              <w:spacing w:before="120" w:after="120"/>
              <w:jc w:val="center"/>
              <w:rPr>
                <w:noProof/>
                <w:sz w:val="20"/>
              </w:rPr>
            </w:pPr>
            <w:r>
              <w:rPr>
                <w:noProof/>
                <w:sz w:val="20"/>
              </w:rPr>
              <w:t>Effects on reducing costs for economic operators</w:t>
            </w:r>
          </w:p>
        </w:tc>
      </w:tr>
      <w:tr w:rsidR="0037666B">
        <w:trPr>
          <w:trHeight w:val="626"/>
        </w:trPr>
        <w:tc>
          <w:tcPr>
            <w:tcW w:w="1394" w:type="dxa"/>
            <w:vMerge/>
            <w:shd w:val="clear" w:color="auto" w:fill="DBE5F1" w:themeFill="accent1" w:themeFillTint="33"/>
          </w:tcPr>
          <w:p w:rsidR="0037666B" w:rsidRDefault="0037666B">
            <w:pPr>
              <w:spacing w:before="120" w:after="120"/>
              <w:jc w:val="center"/>
              <w:rPr>
                <w:noProof/>
                <w:sz w:val="20"/>
              </w:rPr>
            </w:pPr>
          </w:p>
        </w:tc>
        <w:tc>
          <w:tcPr>
            <w:tcW w:w="704" w:type="dxa"/>
            <w:shd w:val="clear" w:color="auto" w:fill="DBE5F1" w:themeFill="accent1" w:themeFillTint="33"/>
            <w:vAlign w:val="center"/>
          </w:tcPr>
          <w:p w:rsidR="0037666B" w:rsidRDefault="00C627B8">
            <w:pPr>
              <w:spacing w:before="120" w:after="120"/>
              <w:jc w:val="center"/>
              <w:rPr>
                <w:noProof/>
                <w:sz w:val="20"/>
              </w:rPr>
            </w:pPr>
            <w:r>
              <w:rPr>
                <w:noProof/>
                <w:sz w:val="20"/>
              </w:rPr>
              <w:t>MS</w:t>
            </w:r>
          </w:p>
        </w:tc>
        <w:tc>
          <w:tcPr>
            <w:tcW w:w="722" w:type="dxa"/>
            <w:shd w:val="clear" w:color="auto" w:fill="DBE5F1" w:themeFill="accent1" w:themeFillTint="33"/>
            <w:vAlign w:val="center"/>
          </w:tcPr>
          <w:p w:rsidR="0037666B" w:rsidRDefault="00C627B8">
            <w:pPr>
              <w:spacing w:before="120" w:after="120"/>
              <w:jc w:val="center"/>
              <w:rPr>
                <w:noProof/>
                <w:sz w:val="20"/>
              </w:rPr>
            </w:pPr>
            <w:r>
              <w:rPr>
                <w:noProof/>
                <w:sz w:val="20"/>
              </w:rPr>
              <w:t>EO</w:t>
            </w:r>
            <w:r>
              <w:rPr>
                <w:rStyle w:val="FootnoteReference"/>
                <w:noProof/>
                <w:sz w:val="20"/>
              </w:rPr>
              <w:footnoteReference w:id="114"/>
            </w:r>
          </w:p>
        </w:tc>
        <w:tc>
          <w:tcPr>
            <w:tcW w:w="716" w:type="dxa"/>
            <w:shd w:val="clear" w:color="auto" w:fill="DBE5F1" w:themeFill="accent1" w:themeFillTint="33"/>
            <w:vAlign w:val="center"/>
          </w:tcPr>
          <w:p w:rsidR="0037666B" w:rsidRDefault="00C627B8">
            <w:pPr>
              <w:spacing w:before="120" w:after="120"/>
              <w:jc w:val="center"/>
              <w:rPr>
                <w:noProof/>
                <w:sz w:val="20"/>
              </w:rPr>
            </w:pPr>
            <w:r>
              <w:rPr>
                <w:noProof/>
                <w:sz w:val="20"/>
              </w:rPr>
              <w:t>MS</w:t>
            </w:r>
          </w:p>
        </w:tc>
        <w:tc>
          <w:tcPr>
            <w:tcW w:w="710" w:type="dxa"/>
            <w:shd w:val="clear" w:color="auto" w:fill="DBE5F1" w:themeFill="accent1" w:themeFillTint="33"/>
            <w:vAlign w:val="center"/>
          </w:tcPr>
          <w:p w:rsidR="0037666B" w:rsidRDefault="00C627B8">
            <w:pPr>
              <w:spacing w:before="120" w:after="120"/>
              <w:jc w:val="center"/>
              <w:rPr>
                <w:noProof/>
                <w:sz w:val="20"/>
              </w:rPr>
            </w:pPr>
            <w:r>
              <w:rPr>
                <w:noProof/>
                <w:sz w:val="20"/>
              </w:rPr>
              <w:t>EO</w:t>
            </w:r>
          </w:p>
        </w:tc>
        <w:tc>
          <w:tcPr>
            <w:tcW w:w="716" w:type="dxa"/>
            <w:shd w:val="clear" w:color="auto" w:fill="DBE5F1" w:themeFill="accent1" w:themeFillTint="33"/>
            <w:vAlign w:val="center"/>
          </w:tcPr>
          <w:p w:rsidR="0037666B" w:rsidRDefault="00C627B8">
            <w:pPr>
              <w:spacing w:before="120" w:after="120"/>
              <w:jc w:val="center"/>
              <w:rPr>
                <w:noProof/>
                <w:sz w:val="20"/>
              </w:rPr>
            </w:pPr>
            <w:r>
              <w:rPr>
                <w:noProof/>
                <w:sz w:val="20"/>
              </w:rPr>
              <w:t>MS</w:t>
            </w:r>
          </w:p>
        </w:tc>
        <w:tc>
          <w:tcPr>
            <w:tcW w:w="710" w:type="dxa"/>
            <w:shd w:val="clear" w:color="auto" w:fill="DBE5F1" w:themeFill="accent1" w:themeFillTint="33"/>
            <w:vAlign w:val="center"/>
          </w:tcPr>
          <w:p w:rsidR="0037666B" w:rsidRDefault="00C627B8">
            <w:pPr>
              <w:spacing w:before="120" w:after="120"/>
              <w:jc w:val="center"/>
              <w:rPr>
                <w:noProof/>
                <w:sz w:val="20"/>
              </w:rPr>
            </w:pPr>
            <w:r>
              <w:rPr>
                <w:noProof/>
                <w:sz w:val="20"/>
              </w:rPr>
              <w:t>EO</w:t>
            </w:r>
          </w:p>
        </w:tc>
        <w:tc>
          <w:tcPr>
            <w:tcW w:w="1261" w:type="dxa"/>
            <w:shd w:val="clear" w:color="auto" w:fill="DBE5F1" w:themeFill="accent1" w:themeFillTint="33"/>
            <w:vAlign w:val="center"/>
          </w:tcPr>
          <w:p w:rsidR="0037666B" w:rsidRDefault="00C627B8">
            <w:pPr>
              <w:spacing w:before="120" w:after="120"/>
              <w:jc w:val="center"/>
              <w:rPr>
                <w:noProof/>
                <w:sz w:val="20"/>
              </w:rPr>
            </w:pPr>
            <w:r>
              <w:rPr>
                <w:noProof/>
                <w:sz w:val="20"/>
              </w:rPr>
              <w:t>Transaction costs</w:t>
            </w:r>
          </w:p>
        </w:tc>
        <w:tc>
          <w:tcPr>
            <w:tcW w:w="942" w:type="dxa"/>
            <w:shd w:val="clear" w:color="auto" w:fill="DBE5F1" w:themeFill="accent1" w:themeFillTint="33"/>
            <w:vAlign w:val="center"/>
          </w:tcPr>
          <w:p w:rsidR="0037666B" w:rsidRDefault="00C627B8">
            <w:pPr>
              <w:spacing w:before="120" w:after="120"/>
              <w:jc w:val="center"/>
              <w:rPr>
                <w:noProof/>
                <w:sz w:val="20"/>
              </w:rPr>
            </w:pPr>
            <w:r>
              <w:rPr>
                <w:noProof/>
                <w:sz w:val="20"/>
              </w:rPr>
              <w:t>Appeals</w:t>
            </w:r>
          </w:p>
        </w:tc>
        <w:tc>
          <w:tcPr>
            <w:tcW w:w="959" w:type="dxa"/>
            <w:shd w:val="clear" w:color="auto" w:fill="DBE5F1" w:themeFill="accent1" w:themeFillTint="33"/>
            <w:vAlign w:val="center"/>
          </w:tcPr>
          <w:p w:rsidR="0037666B" w:rsidRDefault="00C627B8">
            <w:pPr>
              <w:spacing w:before="120" w:after="120"/>
              <w:jc w:val="center"/>
              <w:rPr>
                <w:noProof/>
                <w:sz w:val="20"/>
              </w:rPr>
            </w:pPr>
            <w:r>
              <w:rPr>
                <w:noProof/>
                <w:sz w:val="20"/>
              </w:rPr>
              <w:t>Delayed market access</w:t>
            </w:r>
          </w:p>
        </w:tc>
      </w:tr>
      <w:tr w:rsidR="0037666B">
        <w:tc>
          <w:tcPr>
            <w:tcW w:w="1394" w:type="dxa"/>
            <w:shd w:val="clear" w:color="auto" w:fill="DBE5F1" w:themeFill="accent1" w:themeFillTint="33"/>
          </w:tcPr>
          <w:p w:rsidR="0037666B" w:rsidRDefault="00C627B8">
            <w:pPr>
              <w:spacing w:before="120" w:after="120"/>
              <w:jc w:val="center"/>
              <w:rPr>
                <w:noProof/>
                <w:sz w:val="20"/>
              </w:rPr>
            </w:pPr>
            <w:r>
              <w:rPr>
                <w:noProof/>
                <w:sz w:val="20"/>
              </w:rPr>
              <w:t>Voluntary prior authorisation</w:t>
            </w:r>
          </w:p>
        </w:tc>
        <w:tc>
          <w:tcPr>
            <w:tcW w:w="704" w:type="dxa"/>
            <w:vAlign w:val="center"/>
          </w:tcPr>
          <w:p w:rsidR="0037666B" w:rsidRDefault="00C627B8">
            <w:pPr>
              <w:spacing w:before="120" w:after="120"/>
              <w:jc w:val="center"/>
              <w:rPr>
                <w:noProof/>
                <w:sz w:val="20"/>
              </w:rPr>
            </w:pPr>
            <w:r>
              <w:rPr>
                <w:noProof/>
                <w:sz w:val="20"/>
              </w:rPr>
              <w:t>16%</w:t>
            </w:r>
          </w:p>
        </w:tc>
        <w:tc>
          <w:tcPr>
            <w:tcW w:w="722" w:type="dxa"/>
            <w:vAlign w:val="center"/>
          </w:tcPr>
          <w:p w:rsidR="0037666B" w:rsidRDefault="00C627B8">
            <w:pPr>
              <w:spacing w:before="120" w:after="120"/>
              <w:jc w:val="center"/>
              <w:rPr>
                <w:noProof/>
                <w:sz w:val="20"/>
              </w:rPr>
            </w:pPr>
            <w:r>
              <w:rPr>
                <w:noProof/>
                <w:sz w:val="20"/>
              </w:rPr>
              <w:t>58%</w:t>
            </w:r>
          </w:p>
        </w:tc>
        <w:tc>
          <w:tcPr>
            <w:tcW w:w="716" w:type="dxa"/>
            <w:vAlign w:val="center"/>
          </w:tcPr>
          <w:p w:rsidR="0037666B" w:rsidRDefault="00C627B8">
            <w:pPr>
              <w:spacing w:before="120" w:after="120"/>
              <w:jc w:val="center"/>
              <w:rPr>
                <w:noProof/>
                <w:sz w:val="20"/>
              </w:rPr>
            </w:pPr>
            <w:r>
              <w:rPr>
                <w:noProof/>
                <w:sz w:val="20"/>
              </w:rPr>
              <w:t>32%</w:t>
            </w:r>
          </w:p>
        </w:tc>
        <w:tc>
          <w:tcPr>
            <w:tcW w:w="710" w:type="dxa"/>
            <w:vAlign w:val="center"/>
          </w:tcPr>
          <w:p w:rsidR="0037666B" w:rsidRDefault="00C627B8">
            <w:pPr>
              <w:spacing w:before="120" w:after="120"/>
              <w:jc w:val="center"/>
              <w:rPr>
                <w:noProof/>
                <w:sz w:val="20"/>
              </w:rPr>
            </w:pPr>
            <w:r>
              <w:rPr>
                <w:noProof/>
                <w:sz w:val="20"/>
              </w:rPr>
              <w:t>59%</w:t>
            </w:r>
          </w:p>
        </w:tc>
        <w:tc>
          <w:tcPr>
            <w:tcW w:w="716" w:type="dxa"/>
            <w:vAlign w:val="center"/>
          </w:tcPr>
          <w:p w:rsidR="0037666B" w:rsidRDefault="00C627B8">
            <w:pPr>
              <w:spacing w:before="120" w:after="120"/>
              <w:jc w:val="center"/>
              <w:rPr>
                <w:noProof/>
                <w:sz w:val="20"/>
              </w:rPr>
            </w:pPr>
            <w:r>
              <w:rPr>
                <w:noProof/>
                <w:sz w:val="20"/>
              </w:rPr>
              <w:t>27%</w:t>
            </w:r>
          </w:p>
        </w:tc>
        <w:tc>
          <w:tcPr>
            <w:tcW w:w="710" w:type="dxa"/>
            <w:vAlign w:val="center"/>
          </w:tcPr>
          <w:p w:rsidR="0037666B" w:rsidRDefault="00C627B8">
            <w:pPr>
              <w:spacing w:before="120" w:after="120"/>
              <w:jc w:val="center"/>
              <w:rPr>
                <w:noProof/>
                <w:sz w:val="20"/>
              </w:rPr>
            </w:pPr>
            <w:r>
              <w:rPr>
                <w:noProof/>
                <w:sz w:val="20"/>
              </w:rPr>
              <w:t>33%</w:t>
            </w:r>
          </w:p>
        </w:tc>
        <w:tc>
          <w:tcPr>
            <w:tcW w:w="1261" w:type="dxa"/>
            <w:vAlign w:val="center"/>
          </w:tcPr>
          <w:p w:rsidR="0037666B" w:rsidRDefault="00C627B8">
            <w:pPr>
              <w:spacing w:before="120" w:after="120"/>
              <w:jc w:val="center"/>
              <w:rPr>
                <w:noProof/>
                <w:sz w:val="20"/>
              </w:rPr>
            </w:pPr>
            <w:r>
              <w:rPr>
                <w:noProof/>
                <w:sz w:val="20"/>
              </w:rPr>
              <w:t>58%</w:t>
            </w:r>
          </w:p>
        </w:tc>
        <w:tc>
          <w:tcPr>
            <w:tcW w:w="942" w:type="dxa"/>
            <w:vAlign w:val="center"/>
          </w:tcPr>
          <w:p w:rsidR="0037666B" w:rsidRDefault="00C627B8">
            <w:pPr>
              <w:spacing w:before="120" w:after="120"/>
              <w:jc w:val="center"/>
              <w:rPr>
                <w:noProof/>
                <w:sz w:val="20"/>
              </w:rPr>
            </w:pPr>
            <w:r>
              <w:rPr>
                <w:noProof/>
                <w:sz w:val="20"/>
              </w:rPr>
              <w:t>58%</w:t>
            </w:r>
          </w:p>
        </w:tc>
        <w:tc>
          <w:tcPr>
            <w:tcW w:w="959" w:type="dxa"/>
            <w:vAlign w:val="center"/>
          </w:tcPr>
          <w:p w:rsidR="0037666B" w:rsidRDefault="00C627B8">
            <w:pPr>
              <w:spacing w:before="120" w:after="120"/>
              <w:jc w:val="center"/>
              <w:rPr>
                <w:noProof/>
                <w:sz w:val="20"/>
              </w:rPr>
            </w:pPr>
            <w:r>
              <w:rPr>
                <w:noProof/>
                <w:sz w:val="20"/>
              </w:rPr>
              <w:t>33%</w:t>
            </w:r>
          </w:p>
        </w:tc>
      </w:tr>
      <w:tr w:rsidR="0037666B">
        <w:tc>
          <w:tcPr>
            <w:tcW w:w="8834" w:type="dxa"/>
            <w:gridSpan w:val="10"/>
            <w:shd w:val="clear" w:color="auto" w:fill="8DB3E2" w:themeFill="text2" w:themeFillTint="66"/>
          </w:tcPr>
          <w:p w:rsidR="0037666B" w:rsidRDefault="00C627B8">
            <w:pPr>
              <w:rPr>
                <w:noProof/>
                <w:szCs w:val="24"/>
              </w:rPr>
            </w:pPr>
            <w:r>
              <w:rPr>
                <w:noProof/>
                <w:szCs w:val="24"/>
              </w:rPr>
              <w:t xml:space="preserve">Assessment of the option </w:t>
            </w:r>
          </w:p>
        </w:tc>
      </w:tr>
      <w:tr w:rsidR="0037666B">
        <w:tc>
          <w:tcPr>
            <w:tcW w:w="8834" w:type="dxa"/>
            <w:gridSpan w:val="10"/>
          </w:tcPr>
          <w:p w:rsidR="0037666B" w:rsidRDefault="00C627B8">
            <w:pPr>
              <w:jc w:val="left"/>
              <w:rPr>
                <w:noProof/>
                <w:szCs w:val="24"/>
              </w:rPr>
            </w:pPr>
            <w:r>
              <w:rPr>
                <w:noProof/>
                <w:szCs w:val="24"/>
              </w:rPr>
              <w:t xml:space="preserve">Effectiveness in achieving the policy objectives                                                                                       </w:t>
            </w:r>
          </w:p>
        </w:tc>
      </w:tr>
      <w:tr w:rsidR="0037666B">
        <w:tc>
          <w:tcPr>
            <w:tcW w:w="8834" w:type="dxa"/>
            <w:gridSpan w:val="10"/>
          </w:tcPr>
          <w:p w:rsidR="0037666B" w:rsidRDefault="00C627B8">
            <w:pPr>
              <w:jc w:val="left"/>
              <w:rPr>
                <w:noProof/>
                <w:szCs w:val="24"/>
              </w:rPr>
            </w:pPr>
            <w:r>
              <w:rPr>
                <w:i/>
                <w:noProof/>
                <w:szCs w:val="24"/>
              </w:rPr>
              <w:t xml:space="preserve">Increase awareness about mutual recognition                                                                   </w:t>
            </w:r>
            <w:r>
              <w:rPr>
                <w:noProof/>
                <w:szCs w:val="24"/>
              </w:rPr>
              <w:t>0</w:t>
            </w:r>
          </w:p>
        </w:tc>
      </w:tr>
      <w:tr w:rsidR="0037666B">
        <w:tc>
          <w:tcPr>
            <w:tcW w:w="8834" w:type="dxa"/>
            <w:gridSpan w:val="10"/>
          </w:tcPr>
          <w:p w:rsidR="0037666B" w:rsidRDefault="00C627B8">
            <w:pPr>
              <w:jc w:val="left"/>
              <w:rPr>
                <w:noProof/>
                <w:szCs w:val="24"/>
              </w:rPr>
            </w:pPr>
            <w:r>
              <w:rPr>
                <w:i/>
                <w:noProof/>
                <w:szCs w:val="24"/>
              </w:rPr>
              <w:t>Increase legal certainty on the scope of mutual recognition</w:t>
            </w:r>
            <w:r>
              <w:rPr>
                <w:noProof/>
                <w:szCs w:val="24"/>
              </w:rPr>
              <w:t xml:space="preserve">                                              0</w:t>
            </w:r>
          </w:p>
        </w:tc>
      </w:tr>
      <w:tr w:rsidR="0037666B">
        <w:tc>
          <w:tcPr>
            <w:tcW w:w="8834" w:type="dxa"/>
            <w:gridSpan w:val="10"/>
          </w:tcPr>
          <w:p w:rsidR="0037666B" w:rsidRDefault="00C627B8">
            <w:pPr>
              <w:jc w:val="left"/>
              <w:rPr>
                <w:noProof/>
                <w:szCs w:val="24"/>
              </w:rPr>
            </w:pPr>
            <w:r>
              <w:rPr>
                <w:i/>
                <w:noProof/>
                <w:szCs w:val="24"/>
              </w:rPr>
              <w:t>Increase legal certainty on the app</w:t>
            </w:r>
            <w:r>
              <w:rPr>
                <w:i/>
                <w:noProof/>
                <w:szCs w:val="24"/>
              </w:rPr>
              <w:t>lication of mutual recognition</w:t>
            </w:r>
            <w:r>
              <w:rPr>
                <w:noProof/>
                <w:szCs w:val="24"/>
              </w:rPr>
              <w:t xml:space="preserve">                                   ++</w:t>
            </w:r>
          </w:p>
        </w:tc>
      </w:tr>
      <w:tr w:rsidR="0037666B">
        <w:tc>
          <w:tcPr>
            <w:tcW w:w="8834" w:type="dxa"/>
            <w:gridSpan w:val="10"/>
          </w:tcPr>
          <w:p w:rsidR="0037666B" w:rsidRDefault="00C627B8">
            <w:pPr>
              <w:jc w:val="left"/>
              <w:rPr>
                <w:noProof/>
                <w:szCs w:val="24"/>
              </w:rPr>
            </w:pPr>
            <w:r>
              <w:rPr>
                <w:i/>
                <w:noProof/>
                <w:szCs w:val="24"/>
              </w:rPr>
              <w:t>Enhance administrative cooperation and communication</w:t>
            </w:r>
            <w:r>
              <w:rPr>
                <w:noProof/>
                <w:szCs w:val="24"/>
              </w:rPr>
              <w:t xml:space="preserve">                                                  0</w:t>
            </w:r>
          </w:p>
        </w:tc>
      </w:tr>
      <w:tr w:rsidR="0037666B">
        <w:tc>
          <w:tcPr>
            <w:tcW w:w="8834" w:type="dxa"/>
            <w:gridSpan w:val="10"/>
          </w:tcPr>
          <w:p w:rsidR="0037666B" w:rsidRDefault="00C627B8">
            <w:pPr>
              <w:jc w:val="left"/>
              <w:rPr>
                <w:noProof/>
                <w:szCs w:val="24"/>
              </w:rPr>
            </w:pPr>
            <w:r>
              <w:rPr>
                <w:noProof/>
                <w:szCs w:val="24"/>
              </w:rPr>
              <w:t xml:space="preserve">Economic impacts for economic operators                                           </w:t>
            </w:r>
            <w:r>
              <w:rPr>
                <w:noProof/>
                <w:szCs w:val="24"/>
              </w:rPr>
              <w:t xml:space="preserve">                              +                                   </w:t>
            </w:r>
          </w:p>
        </w:tc>
      </w:tr>
      <w:tr w:rsidR="0037666B">
        <w:tc>
          <w:tcPr>
            <w:tcW w:w="8834" w:type="dxa"/>
            <w:gridSpan w:val="10"/>
          </w:tcPr>
          <w:p w:rsidR="0037666B" w:rsidRDefault="00C627B8">
            <w:pPr>
              <w:jc w:val="left"/>
              <w:rPr>
                <w:noProof/>
                <w:szCs w:val="24"/>
              </w:rPr>
            </w:pPr>
            <w:r>
              <w:rPr>
                <w:noProof/>
                <w:szCs w:val="24"/>
              </w:rPr>
              <w:t>Economic impacts for Member States                                                                               ---</w:t>
            </w:r>
          </w:p>
        </w:tc>
      </w:tr>
      <w:tr w:rsidR="0037666B">
        <w:tc>
          <w:tcPr>
            <w:tcW w:w="8834" w:type="dxa"/>
            <w:gridSpan w:val="10"/>
          </w:tcPr>
          <w:p w:rsidR="0037666B" w:rsidRDefault="00C627B8">
            <w:pPr>
              <w:jc w:val="left"/>
              <w:rPr>
                <w:noProof/>
                <w:szCs w:val="24"/>
              </w:rPr>
            </w:pPr>
            <w:r>
              <w:rPr>
                <w:noProof/>
                <w:szCs w:val="24"/>
              </w:rPr>
              <w:t xml:space="preserve">Economic impacts on the EU budget                                     </w:t>
            </w:r>
            <w:r>
              <w:rPr>
                <w:noProof/>
                <w:szCs w:val="24"/>
              </w:rPr>
              <w:t xml:space="preserve">                                             0                                                   </w:t>
            </w:r>
          </w:p>
        </w:tc>
      </w:tr>
      <w:tr w:rsidR="0037666B">
        <w:tc>
          <w:tcPr>
            <w:tcW w:w="8834" w:type="dxa"/>
            <w:gridSpan w:val="10"/>
          </w:tcPr>
          <w:p w:rsidR="0037666B" w:rsidRDefault="00C627B8">
            <w:pPr>
              <w:jc w:val="left"/>
              <w:rPr>
                <w:noProof/>
                <w:szCs w:val="24"/>
              </w:rPr>
            </w:pPr>
            <w:r>
              <w:rPr>
                <w:noProof/>
                <w:szCs w:val="24"/>
              </w:rPr>
              <w:t xml:space="preserve">Administrative simplification                                                                                    </w:t>
            </w:r>
            <w:r>
              <w:rPr>
                <w:noProof/>
                <w:szCs w:val="24"/>
              </w:rPr>
              <w:tab/>
              <w:t xml:space="preserve">         0                                 </w:t>
            </w:r>
            <w:r>
              <w:rPr>
                <w:noProof/>
                <w:szCs w:val="24"/>
              </w:rPr>
              <w:t xml:space="preserve">                   </w:t>
            </w:r>
          </w:p>
        </w:tc>
      </w:tr>
      <w:tr w:rsidR="0037666B">
        <w:tc>
          <w:tcPr>
            <w:tcW w:w="8834" w:type="dxa"/>
            <w:gridSpan w:val="10"/>
          </w:tcPr>
          <w:p w:rsidR="0037666B" w:rsidRDefault="00C627B8">
            <w:pPr>
              <w:jc w:val="left"/>
              <w:rPr>
                <w:i/>
                <w:noProof/>
                <w:sz w:val="18"/>
                <w:szCs w:val="18"/>
              </w:rPr>
            </w:pPr>
            <w:r>
              <w:rPr>
                <w:i/>
                <w:noProof/>
                <w:sz w:val="18"/>
                <w:szCs w:val="18"/>
              </w:rPr>
              <w:t xml:space="preserve">Magnitude of impact as compared with the baseline scenario (the baseline is indicated as 0): +++ very positive; ++moderately positive, + positive; - - - strongly negative; - - moderately negative, - negative; neutral 0. </w:t>
            </w:r>
          </w:p>
        </w:tc>
      </w:tr>
    </w:tbl>
    <w:p w:rsidR="0037666B" w:rsidRDefault="00C627B8">
      <w:pPr>
        <w:pStyle w:val="Heading1"/>
        <w:keepNext w:val="0"/>
        <w:tabs>
          <w:tab w:val="clear" w:pos="480"/>
        </w:tabs>
        <w:ind w:left="567" w:hanging="567"/>
        <w:rPr>
          <w:noProof/>
          <w:szCs w:val="24"/>
        </w:rPr>
      </w:pPr>
      <w:bookmarkStart w:id="26" w:name="_Toc483992736"/>
      <w:r>
        <w:rPr>
          <w:noProof/>
          <w:szCs w:val="24"/>
        </w:rPr>
        <w:t>Comparison of</w:t>
      </w:r>
      <w:r>
        <w:rPr>
          <w:noProof/>
          <w:szCs w:val="24"/>
        </w:rPr>
        <w:t xml:space="preserve"> Options</w:t>
      </w:r>
      <w:bookmarkEnd w:id="26"/>
    </w:p>
    <w:p w:rsidR="0037666B" w:rsidRDefault="00C627B8">
      <w:pPr>
        <w:pStyle w:val="Heading2"/>
        <w:rPr>
          <w:noProof/>
        </w:rPr>
      </w:pPr>
      <w:bookmarkStart w:id="27" w:name="_Toc483992737"/>
      <w:r>
        <w:rPr>
          <w:noProof/>
        </w:rPr>
        <w:t>Effectiveness</w:t>
      </w:r>
      <w:bookmarkEnd w:id="27"/>
    </w:p>
    <w:p w:rsidR="0037666B" w:rsidRDefault="00C627B8">
      <w:pPr>
        <w:pStyle w:val="Text2"/>
        <w:ind w:left="0"/>
        <w:rPr>
          <w:noProof/>
          <w:szCs w:val="24"/>
        </w:rPr>
      </w:pPr>
      <w:r>
        <w:rPr>
          <w:noProof/>
          <w:szCs w:val="24"/>
        </w:rPr>
        <w:t xml:space="preserve">As regards the effectiveness of the different options to achieve the policy objectives identified it is considered that option 2 (soft law) is the most effective to increase awareness on mutual recognition, since it will consist of </w:t>
      </w:r>
      <w:r>
        <w:rPr>
          <w:noProof/>
          <w:szCs w:val="24"/>
        </w:rPr>
        <w:t xml:space="preserve">training and awareness raising campaigns targeting not only national authorities but also stakeholders. This is why a score of +++ was given. However, this option alone will only have a limited impact in addressing the policy objectives for ensuring legal </w:t>
      </w:r>
      <w:r>
        <w:rPr>
          <w:noProof/>
          <w:szCs w:val="24"/>
        </w:rPr>
        <w:t>certainty on the scope of mutual recognition and on the outcome that can be expected, and thus ensuring the free movement of goods based on mutual recognition; this is why a score of + was given for these policy objectives. Since this option will also prov</w:t>
      </w:r>
      <w:r>
        <w:rPr>
          <w:noProof/>
          <w:szCs w:val="24"/>
        </w:rPr>
        <w:t>ide for a system of exchange of officials, it is expected to address the need for better trust and cooperation among authorities. However, in view of the fact that it will necessarily apply to a limited number of officials, a score of ++ has been given. Op</w:t>
      </w:r>
      <w:r>
        <w:rPr>
          <w:noProof/>
          <w:szCs w:val="24"/>
        </w:rPr>
        <w:t>tion 3 (European standards, transparency of decisions and enlarged role of PCPs) will address all policy objectives but only to a limited extent. Increased awareness of the principle of mutual recognition will be ensured via the PCPs; this is why it is exp</w:t>
      </w:r>
      <w:r>
        <w:rPr>
          <w:noProof/>
          <w:szCs w:val="24"/>
        </w:rPr>
        <w:t>ected to only have a limited effectiveness and a score of + has been given. Similarly, it is expected to be only slightly efficient in ensuring more legal certainty on the scope of the principle. This option will be very effective in providing legal certai</w:t>
      </w:r>
      <w:r>
        <w:rPr>
          <w:noProof/>
          <w:szCs w:val="24"/>
        </w:rPr>
        <w:t xml:space="preserve">nty on the outcome to be expected when relying on European standards, but only for those products or aspects of products for which European standards exist and have been identified for the purposes of mutual recognition; this is why a score of ++ has been </w:t>
      </w:r>
      <w:r>
        <w:rPr>
          <w:noProof/>
          <w:szCs w:val="24"/>
        </w:rPr>
        <w:t>given. Option 4 (declaration of compliance, fast track appeal and strengthened PCPs) is expected to achieve all policy objectives in the most effective manner. Option 5 (voluntary prior authorisation) will bring more legal certainty on the application of m</w:t>
      </w:r>
      <w:r>
        <w:rPr>
          <w:noProof/>
          <w:szCs w:val="24"/>
        </w:rPr>
        <w:t xml:space="preserve">utual recognition for those economic operators requesting it who will know in a definite manner whether they can have market access for a specific product, but for the rest of products and/or economic operators it will not address the policy objectives in </w:t>
      </w:r>
      <w:r>
        <w:rPr>
          <w:noProof/>
          <w:szCs w:val="24"/>
        </w:rPr>
        <w:t>a sufficient manner. This is why a score of ++ has been given for the efficiency for achieving the policy objective of ensuring legal certainty on the application of mutual recognition. However, by providing for a pre-marketing assessment of the product, t</w:t>
      </w:r>
      <w:r>
        <w:rPr>
          <w:noProof/>
          <w:szCs w:val="24"/>
        </w:rPr>
        <w:t>his option will not be addressing the awareness or the legal certainty on the scope, nor the cooperation among authorities and this is why a neutral score (0) against those policy objectives has been given.</w:t>
      </w:r>
    </w:p>
    <w:p w:rsidR="0037666B" w:rsidRDefault="00C627B8">
      <w:pPr>
        <w:pStyle w:val="Heading2"/>
        <w:rPr>
          <w:noProof/>
        </w:rPr>
      </w:pPr>
      <w:bookmarkStart w:id="28" w:name="_Toc483992738"/>
      <w:r>
        <w:rPr>
          <w:noProof/>
        </w:rPr>
        <w:t>Efficiency</w:t>
      </w:r>
      <w:bookmarkEnd w:id="28"/>
    </w:p>
    <w:p w:rsidR="0037666B" w:rsidRDefault="00C627B8">
      <w:pPr>
        <w:pStyle w:val="Text3"/>
        <w:ind w:left="0"/>
        <w:rPr>
          <w:noProof/>
          <w:szCs w:val="24"/>
        </w:rPr>
      </w:pPr>
      <w:r>
        <w:rPr>
          <w:noProof/>
          <w:szCs w:val="24"/>
        </w:rPr>
        <w:t xml:space="preserve">When comparing the costs and benefits </w:t>
      </w:r>
      <w:r>
        <w:rPr>
          <w:noProof/>
          <w:szCs w:val="24"/>
        </w:rPr>
        <w:t>of each option, Option 2 (soft law) will entail costs for the EU budget and minimum costs for the Member States, while it will not lead to costs for economic operators; but it will have the most benefits in terms of raising awareness of mutual recognition.</w:t>
      </w:r>
      <w:r>
        <w:rPr>
          <w:noProof/>
          <w:szCs w:val="24"/>
        </w:rPr>
        <w:t xml:space="preserve"> However, since it will not be sufficiently effective for the other policy objectives, a score of ++ has been given. Option 3 (European standards, transparency of decisions and enlarged role of PCPs) does not trigger an important economic burden for any of</w:t>
      </w:r>
      <w:r>
        <w:rPr>
          <w:noProof/>
          <w:szCs w:val="24"/>
        </w:rPr>
        <w:t xml:space="preserve"> the stakeholders but it is also not expected to lead to substantial benefits in the context of the policy objectives. The process for referencing European standards in the context of mutual recognition will be time consuming and burdensome, involving a co</w:t>
      </w:r>
      <w:r>
        <w:rPr>
          <w:noProof/>
          <w:szCs w:val="24"/>
        </w:rPr>
        <w:t>mmittee of Member States representatives and the adoption of implementing acts. This is why a score of + has been given. Option 4 (declaration of compliance, fast track appeal and strengthened PCPs) will lead to costs for economic operators (in terms of dr</w:t>
      </w:r>
      <w:r>
        <w:rPr>
          <w:noProof/>
          <w:szCs w:val="24"/>
        </w:rPr>
        <w:t>afting the declaration of compliance) which have not been deemed as very high and for Member States (for enlarging the PCPs) but will also lead to cost-saving for businesses when demonstrating that their products are lawfully marketed in the Member State o</w:t>
      </w:r>
      <w:r>
        <w:rPr>
          <w:noProof/>
          <w:szCs w:val="24"/>
        </w:rPr>
        <w:t>f origin and when appealing national decisions denying market access. It is also expected to produce the highest benefits in terms of better functioning of mutual recognition and increasing intra-EU trade flows and thus, competitiveness of EU companies inc</w:t>
      </w:r>
      <w:r>
        <w:rPr>
          <w:noProof/>
          <w:szCs w:val="24"/>
        </w:rPr>
        <w:t>luding SMEs. This is why a score of +++ has been given. Finally, while option 5 (voluntary prior authorisation) will lead to certain benefits for those economic operators requesting it, it will trigger the highest identified administrative burden and costs</w:t>
      </w:r>
      <w:r>
        <w:rPr>
          <w:noProof/>
          <w:szCs w:val="24"/>
        </w:rPr>
        <w:t xml:space="preserve"> for both Member States and businesses. This is why a score of -- has been given. </w:t>
      </w:r>
    </w:p>
    <w:p w:rsidR="0037666B" w:rsidRDefault="00C627B8">
      <w:pPr>
        <w:pStyle w:val="Heading2"/>
        <w:rPr>
          <w:noProof/>
        </w:rPr>
      </w:pPr>
      <w:bookmarkStart w:id="29" w:name="_Toc483992739"/>
      <w:r>
        <w:rPr>
          <w:noProof/>
        </w:rPr>
        <w:t>Coherence</w:t>
      </w:r>
      <w:bookmarkEnd w:id="29"/>
    </w:p>
    <w:p w:rsidR="0037666B" w:rsidRDefault="00C627B8">
      <w:pPr>
        <w:pStyle w:val="Text3"/>
        <w:ind w:left="0"/>
        <w:rPr>
          <w:noProof/>
          <w:szCs w:val="24"/>
        </w:rPr>
      </w:pPr>
      <w:r>
        <w:rPr>
          <w:noProof/>
          <w:szCs w:val="24"/>
        </w:rPr>
        <w:t>Option 2 (soft law) consists of training and information campaigns and as such is not considered inconsistent with any other EU policies. This is why a score of ++</w:t>
      </w:r>
      <w:r>
        <w:rPr>
          <w:noProof/>
          <w:szCs w:val="24"/>
        </w:rPr>
        <w:t xml:space="preserve"> has been given. Option 3 (European standards, transparency of decisions and enlarged role of PCPs) is coherent with the European standardisation policy and by enlarging the role of PCPs, it will also help in facilitating a joint assessment of EU harmonisa</w:t>
      </w:r>
      <w:r>
        <w:rPr>
          <w:noProof/>
          <w:szCs w:val="24"/>
        </w:rPr>
        <w:t>tion rules and the application of mutual recognition for economic operators. In addition, this will also be consistent with the current initiatives to ensure that economic operators have better access to information to benefit from the Single Market, in pa</w:t>
      </w:r>
      <w:r>
        <w:rPr>
          <w:noProof/>
          <w:szCs w:val="24"/>
        </w:rPr>
        <w:t>rticular online (the Single Digital Gateway). This is why a score of ++ has been given. Option 4 (declaration of compliance, fast track appeal and strengthened PCPs) will also be consistent with current initiatives such as the Single Digital Gateway and fa</w:t>
      </w:r>
      <w:r>
        <w:rPr>
          <w:noProof/>
          <w:szCs w:val="24"/>
        </w:rPr>
        <w:t>cilitate a joint assessment of all rules applicable to the product (harmonisation rules and mutual recognition). This is not only due to the strengthened role of PCPs, but also because of the fact that the Declaration of Conformity is a document required b</w:t>
      </w:r>
      <w:r>
        <w:rPr>
          <w:noProof/>
          <w:szCs w:val="24"/>
        </w:rPr>
        <w:t xml:space="preserve">y all EU harmonised rules. Setting up a similar documentary form of evidence for mutual recognition will be particularly useful for those products which are partially covered by EU harmonisation rules and for which this Declaration of Conformity has to be </w:t>
      </w:r>
      <w:r>
        <w:rPr>
          <w:noProof/>
          <w:szCs w:val="24"/>
        </w:rPr>
        <w:t>prepared in any case in accordance with those rules. Also, the fast-track appeal procedure would be supported by current initiatives which aim to improve SOLVIT</w:t>
      </w:r>
      <w:r>
        <w:rPr>
          <w:rStyle w:val="FootnoteReference"/>
          <w:noProof/>
          <w:szCs w:val="24"/>
        </w:rPr>
        <w:footnoteReference w:id="115"/>
      </w:r>
      <w:r>
        <w:rPr>
          <w:noProof/>
          <w:szCs w:val="24"/>
        </w:rPr>
        <w:t xml:space="preserve"> so that it becomes a useful tool for businesses. This is why a score of +++ has been given. Op</w:t>
      </w:r>
      <w:r>
        <w:rPr>
          <w:noProof/>
          <w:szCs w:val="24"/>
        </w:rPr>
        <w:t xml:space="preserve">tion 5 (voluntary prior authorisation) contradicts the EU policy for free movement of goods in general, favouring a post market approach in controlling the compliance of the products and will represent in this respect a step back on what has been achieved </w:t>
      </w:r>
      <w:r>
        <w:rPr>
          <w:noProof/>
          <w:szCs w:val="24"/>
        </w:rPr>
        <w:t xml:space="preserve">for the Single Market for goods to date. This is why this option is considered very incoherent with other EU policies, and a score of -- has been given. </w:t>
      </w:r>
    </w:p>
    <w:p w:rsidR="0037666B" w:rsidRDefault="0037666B">
      <w:pPr>
        <w:pStyle w:val="Text3"/>
        <w:ind w:left="0"/>
        <w:rPr>
          <w:noProof/>
          <w:szCs w:val="24"/>
        </w:rPr>
      </w:pPr>
    </w:p>
    <w:p w:rsidR="0037666B" w:rsidRDefault="00C627B8">
      <w:pPr>
        <w:pStyle w:val="Text3"/>
        <w:ind w:left="0"/>
        <w:rPr>
          <w:b/>
          <w:noProof/>
          <w:szCs w:val="24"/>
        </w:rPr>
      </w:pPr>
      <w:r>
        <w:rPr>
          <w:b/>
          <w:noProof/>
          <w:szCs w:val="24"/>
        </w:rPr>
        <w:t xml:space="preserve">Table 8-1: Comparison of the options </w:t>
      </w:r>
    </w:p>
    <w:tbl>
      <w:tblPr>
        <w:tblStyle w:val="TableGrid"/>
        <w:tblW w:w="0" w:type="auto"/>
        <w:tblInd w:w="108" w:type="dxa"/>
        <w:tblLook w:val="04A0" w:firstRow="1" w:lastRow="0" w:firstColumn="1" w:lastColumn="0" w:noHBand="0" w:noVBand="1"/>
      </w:tblPr>
      <w:tblGrid>
        <w:gridCol w:w="4111"/>
        <w:gridCol w:w="1134"/>
        <w:gridCol w:w="1134"/>
        <w:gridCol w:w="1134"/>
        <w:gridCol w:w="1134"/>
      </w:tblGrid>
      <w:tr w:rsidR="0037666B">
        <w:trPr>
          <w:cantSplit/>
        </w:trPr>
        <w:tc>
          <w:tcPr>
            <w:tcW w:w="4111" w:type="dxa"/>
            <w:tcBorders>
              <w:top w:val="nil"/>
              <w:left w:val="nil"/>
              <w:bottom w:val="single" w:sz="4" w:space="0" w:color="auto"/>
              <w:right w:val="single" w:sz="4" w:space="0" w:color="auto"/>
            </w:tcBorders>
          </w:tcPr>
          <w:p w:rsidR="0037666B" w:rsidRDefault="0037666B">
            <w:pPr>
              <w:pStyle w:val="Bulletpoint1"/>
              <w:spacing w:before="60" w:after="60"/>
              <w:jc w:val="center"/>
              <w:rPr>
                <w:rFonts w:ascii="Times New Roman" w:hAnsi="Times New Roman"/>
                <w:b/>
                <w:noProof/>
              </w:rPr>
            </w:pPr>
          </w:p>
        </w:tc>
        <w:tc>
          <w:tcPr>
            <w:tcW w:w="1134" w:type="dxa"/>
            <w:tcBorders>
              <w:left w:val="single" w:sz="4" w:space="0" w:color="auto"/>
            </w:tcBorders>
          </w:tcPr>
          <w:p w:rsidR="0037666B" w:rsidRDefault="00C627B8">
            <w:pPr>
              <w:pStyle w:val="Bulletpoint1"/>
              <w:spacing w:before="60" w:after="60"/>
              <w:jc w:val="center"/>
              <w:rPr>
                <w:rFonts w:ascii="Times New Roman" w:hAnsi="Times New Roman"/>
                <w:b/>
                <w:noProof/>
              </w:rPr>
            </w:pPr>
            <w:r>
              <w:rPr>
                <w:rFonts w:ascii="Times New Roman" w:hAnsi="Times New Roman"/>
                <w:b/>
                <w:noProof/>
              </w:rPr>
              <w:t>Policy option 2</w:t>
            </w:r>
          </w:p>
        </w:tc>
        <w:tc>
          <w:tcPr>
            <w:tcW w:w="1134" w:type="dxa"/>
          </w:tcPr>
          <w:p w:rsidR="0037666B" w:rsidRDefault="00C627B8">
            <w:pPr>
              <w:pStyle w:val="Bulletpoint1"/>
              <w:spacing w:before="60" w:after="60"/>
              <w:jc w:val="center"/>
              <w:rPr>
                <w:rFonts w:ascii="Times New Roman" w:hAnsi="Times New Roman"/>
                <w:b/>
                <w:noProof/>
              </w:rPr>
            </w:pPr>
            <w:r>
              <w:rPr>
                <w:rFonts w:ascii="Times New Roman" w:hAnsi="Times New Roman"/>
                <w:b/>
                <w:noProof/>
              </w:rPr>
              <w:t>Policy option 3</w:t>
            </w:r>
          </w:p>
        </w:tc>
        <w:tc>
          <w:tcPr>
            <w:tcW w:w="1134" w:type="dxa"/>
          </w:tcPr>
          <w:p w:rsidR="0037666B" w:rsidRDefault="00C627B8">
            <w:pPr>
              <w:pStyle w:val="Bulletpoint1"/>
              <w:spacing w:before="60" w:after="60"/>
              <w:jc w:val="center"/>
              <w:rPr>
                <w:rFonts w:ascii="Times New Roman" w:hAnsi="Times New Roman"/>
                <w:b/>
                <w:noProof/>
              </w:rPr>
            </w:pPr>
            <w:r>
              <w:rPr>
                <w:rFonts w:ascii="Times New Roman" w:hAnsi="Times New Roman"/>
                <w:b/>
                <w:noProof/>
              </w:rPr>
              <w:t>Policy option 4</w:t>
            </w:r>
          </w:p>
        </w:tc>
        <w:tc>
          <w:tcPr>
            <w:tcW w:w="1134" w:type="dxa"/>
          </w:tcPr>
          <w:p w:rsidR="0037666B" w:rsidRDefault="00C627B8">
            <w:pPr>
              <w:pStyle w:val="Bulletpoint1"/>
              <w:spacing w:before="60" w:after="60"/>
              <w:jc w:val="center"/>
              <w:rPr>
                <w:rFonts w:ascii="Times New Roman" w:hAnsi="Times New Roman"/>
                <w:b/>
                <w:noProof/>
              </w:rPr>
            </w:pPr>
            <w:r>
              <w:rPr>
                <w:rFonts w:ascii="Times New Roman" w:hAnsi="Times New Roman"/>
                <w:b/>
                <w:noProof/>
              </w:rPr>
              <w:t xml:space="preserve">Policy option </w:t>
            </w:r>
            <w:r>
              <w:rPr>
                <w:rFonts w:ascii="Times New Roman" w:hAnsi="Times New Roman"/>
                <w:b/>
                <w:noProof/>
              </w:rPr>
              <w:t>5</w:t>
            </w:r>
          </w:p>
        </w:tc>
      </w:tr>
      <w:tr w:rsidR="0037666B">
        <w:trPr>
          <w:cantSplit/>
        </w:trPr>
        <w:tc>
          <w:tcPr>
            <w:tcW w:w="4111" w:type="dxa"/>
            <w:tcBorders>
              <w:top w:val="single" w:sz="4" w:space="0" w:color="auto"/>
            </w:tcBorders>
          </w:tcPr>
          <w:p w:rsidR="0037666B" w:rsidRDefault="00C627B8">
            <w:pPr>
              <w:pStyle w:val="Bulletpoint1"/>
              <w:spacing w:before="60" w:after="60"/>
              <w:jc w:val="center"/>
              <w:rPr>
                <w:rFonts w:ascii="Times New Roman" w:hAnsi="Times New Roman"/>
                <w:noProof/>
              </w:rPr>
            </w:pPr>
            <w:r>
              <w:rPr>
                <w:rFonts w:ascii="Times New Roman" w:hAnsi="Times New Roman"/>
                <w:i/>
                <w:noProof/>
              </w:rPr>
              <w:t>Effectiveness</w:t>
            </w:r>
          </w:p>
        </w:tc>
        <w:tc>
          <w:tcPr>
            <w:tcW w:w="1134" w:type="dxa"/>
          </w:tcPr>
          <w:p w:rsidR="0037666B" w:rsidRDefault="0037666B">
            <w:pPr>
              <w:pStyle w:val="Bulletpoint1"/>
              <w:spacing w:before="60" w:after="60"/>
              <w:jc w:val="center"/>
              <w:rPr>
                <w:rFonts w:ascii="Times New Roman" w:hAnsi="Times New Roman"/>
                <w:noProof/>
              </w:rPr>
            </w:pPr>
          </w:p>
        </w:tc>
        <w:tc>
          <w:tcPr>
            <w:tcW w:w="1134" w:type="dxa"/>
          </w:tcPr>
          <w:p w:rsidR="0037666B" w:rsidRDefault="0037666B">
            <w:pPr>
              <w:pStyle w:val="Bulletpoint1"/>
              <w:spacing w:before="60" w:after="60"/>
              <w:jc w:val="center"/>
              <w:rPr>
                <w:rFonts w:ascii="Times New Roman" w:hAnsi="Times New Roman"/>
                <w:noProof/>
              </w:rPr>
            </w:pPr>
          </w:p>
        </w:tc>
        <w:tc>
          <w:tcPr>
            <w:tcW w:w="1134" w:type="dxa"/>
          </w:tcPr>
          <w:p w:rsidR="0037666B" w:rsidRDefault="0037666B">
            <w:pPr>
              <w:pStyle w:val="Bulletpoint1"/>
              <w:spacing w:before="60" w:after="60"/>
              <w:jc w:val="center"/>
              <w:rPr>
                <w:rFonts w:ascii="Times New Roman" w:hAnsi="Times New Roman"/>
                <w:noProof/>
              </w:rPr>
            </w:pPr>
          </w:p>
        </w:tc>
        <w:tc>
          <w:tcPr>
            <w:tcW w:w="1134" w:type="dxa"/>
          </w:tcPr>
          <w:p w:rsidR="0037666B" w:rsidRDefault="0037666B">
            <w:pPr>
              <w:pStyle w:val="Bulletpoint1"/>
              <w:spacing w:before="60" w:after="60"/>
              <w:jc w:val="center"/>
              <w:rPr>
                <w:rFonts w:ascii="Times New Roman" w:hAnsi="Times New Roman"/>
                <w:noProof/>
              </w:rPr>
            </w:pPr>
          </w:p>
        </w:tc>
      </w:tr>
      <w:tr w:rsidR="0037666B">
        <w:trPr>
          <w:cantSplit/>
        </w:trPr>
        <w:tc>
          <w:tcPr>
            <w:tcW w:w="4111" w:type="dxa"/>
            <w:tcBorders>
              <w:top w:val="single" w:sz="4" w:space="0" w:color="auto"/>
            </w:tcBorders>
          </w:tcPr>
          <w:p w:rsidR="0037666B" w:rsidRDefault="00C627B8">
            <w:pPr>
              <w:pStyle w:val="Bulletpoint1"/>
              <w:spacing w:before="60" w:after="60"/>
              <w:jc w:val="center"/>
              <w:rPr>
                <w:rFonts w:ascii="Times New Roman" w:hAnsi="Times New Roman"/>
                <w:noProof/>
              </w:rPr>
            </w:pPr>
            <w:r>
              <w:rPr>
                <w:rFonts w:ascii="Times New Roman" w:hAnsi="Times New Roman"/>
                <w:noProof/>
              </w:rPr>
              <w:t>Policy objective 1</w:t>
            </w:r>
          </w:p>
          <w:p w:rsidR="0037666B" w:rsidRDefault="00C627B8">
            <w:pPr>
              <w:pStyle w:val="Bulletpoint1"/>
              <w:spacing w:before="60" w:after="60"/>
              <w:jc w:val="center"/>
              <w:rPr>
                <w:rFonts w:ascii="Times New Roman" w:hAnsi="Times New Roman"/>
                <w:noProof/>
              </w:rPr>
            </w:pPr>
            <w:r>
              <w:rPr>
                <w:rFonts w:ascii="Times New Roman" w:hAnsi="Times New Roman"/>
                <w:noProof/>
              </w:rPr>
              <w:t>Increase awareness about mutual recognition</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0</w:t>
            </w:r>
          </w:p>
        </w:tc>
      </w:tr>
      <w:tr w:rsidR="0037666B">
        <w:trPr>
          <w:cantSplit/>
        </w:trPr>
        <w:tc>
          <w:tcPr>
            <w:tcW w:w="4111"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Policy objective 2</w:t>
            </w:r>
          </w:p>
          <w:p w:rsidR="0037666B" w:rsidRDefault="00C627B8">
            <w:pPr>
              <w:pStyle w:val="Bulletpoint1"/>
              <w:spacing w:before="60" w:after="60"/>
              <w:jc w:val="center"/>
              <w:rPr>
                <w:rFonts w:ascii="Times New Roman" w:hAnsi="Times New Roman"/>
                <w:noProof/>
              </w:rPr>
            </w:pPr>
            <w:r>
              <w:rPr>
                <w:rFonts w:ascii="Times New Roman" w:hAnsi="Times New Roman"/>
                <w:noProof/>
              </w:rPr>
              <w:t>Increase legal certainty on the scope of mutual recognition for businesses and authorities</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0</w:t>
            </w:r>
          </w:p>
        </w:tc>
      </w:tr>
      <w:tr w:rsidR="0037666B">
        <w:trPr>
          <w:cantSplit/>
        </w:trPr>
        <w:tc>
          <w:tcPr>
            <w:tcW w:w="4111"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Policy objective 3</w:t>
            </w:r>
          </w:p>
          <w:p w:rsidR="0037666B" w:rsidRDefault="00C627B8">
            <w:pPr>
              <w:pStyle w:val="Bulletpoint1"/>
              <w:spacing w:before="60" w:after="60"/>
              <w:jc w:val="center"/>
              <w:rPr>
                <w:rFonts w:ascii="Times New Roman" w:hAnsi="Times New Roman"/>
                <w:noProof/>
              </w:rPr>
            </w:pPr>
            <w:r>
              <w:rPr>
                <w:rFonts w:ascii="Times New Roman" w:hAnsi="Times New Roman"/>
                <w:noProof/>
              </w:rPr>
              <w:t xml:space="preserve">Increase legal </w:t>
            </w:r>
            <w:r>
              <w:rPr>
                <w:rFonts w:ascii="Times New Roman" w:hAnsi="Times New Roman"/>
                <w:noProof/>
              </w:rPr>
              <w:t>certainty on the application of mutual recognition and what to expect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r>
      <w:tr w:rsidR="0037666B">
        <w:trPr>
          <w:cantSplit/>
        </w:trPr>
        <w:tc>
          <w:tcPr>
            <w:tcW w:w="4111"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Policy objective 4</w:t>
            </w:r>
          </w:p>
          <w:p w:rsidR="0037666B" w:rsidRDefault="00C627B8">
            <w:pPr>
              <w:pStyle w:val="Bulletpoint1"/>
              <w:spacing w:before="60" w:after="60"/>
              <w:jc w:val="center"/>
              <w:rPr>
                <w:rFonts w:ascii="Times New Roman" w:hAnsi="Times New Roman"/>
                <w:noProof/>
              </w:rPr>
            </w:pPr>
            <w:r>
              <w:rPr>
                <w:rFonts w:ascii="Times New Roman" w:hAnsi="Times New Roman"/>
                <w:noProof/>
              </w:rPr>
              <w:t>Enhance administrative cooperation and communication</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0</w:t>
            </w:r>
          </w:p>
        </w:tc>
      </w:tr>
      <w:tr w:rsidR="0037666B">
        <w:trPr>
          <w:cantSplit/>
        </w:trPr>
        <w:tc>
          <w:tcPr>
            <w:tcW w:w="4111" w:type="dxa"/>
          </w:tcPr>
          <w:p w:rsidR="0037666B" w:rsidRDefault="00C627B8">
            <w:pPr>
              <w:pStyle w:val="Bulletpoint1"/>
              <w:spacing w:before="60" w:after="60"/>
              <w:jc w:val="center"/>
              <w:rPr>
                <w:rFonts w:ascii="Times New Roman" w:hAnsi="Times New Roman"/>
                <w:noProof/>
              </w:rPr>
            </w:pPr>
            <w:r>
              <w:rPr>
                <w:rFonts w:ascii="Times New Roman" w:hAnsi="Times New Roman"/>
                <w:i/>
                <w:noProof/>
              </w:rPr>
              <w:t>Efficiency</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r>
      <w:tr w:rsidR="0037666B">
        <w:trPr>
          <w:cantSplit/>
        </w:trPr>
        <w:tc>
          <w:tcPr>
            <w:tcW w:w="4111" w:type="dxa"/>
          </w:tcPr>
          <w:p w:rsidR="0037666B" w:rsidRDefault="00C627B8">
            <w:pPr>
              <w:pStyle w:val="Bulletpoint1"/>
              <w:spacing w:before="60" w:after="60"/>
              <w:jc w:val="center"/>
              <w:rPr>
                <w:rFonts w:ascii="Times New Roman" w:hAnsi="Times New Roman"/>
                <w:noProof/>
              </w:rPr>
            </w:pPr>
            <w:r>
              <w:rPr>
                <w:rFonts w:ascii="Times New Roman" w:hAnsi="Times New Roman"/>
                <w:i/>
                <w:noProof/>
              </w:rPr>
              <w:t>Coherence</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c>
          <w:tcPr>
            <w:tcW w:w="1134" w:type="dxa"/>
          </w:tcPr>
          <w:p w:rsidR="0037666B" w:rsidRDefault="00C627B8">
            <w:pPr>
              <w:pStyle w:val="Bulletpoint1"/>
              <w:spacing w:before="60" w:after="60"/>
              <w:jc w:val="center"/>
              <w:rPr>
                <w:rFonts w:ascii="Times New Roman" w:hAnsi="Times New Roman"/>
                <w:noProof/>
              </w:rPr>
            </w:pPr>
            <w:r>
              <w:rPr>
                <w:rFonts w:ascii="Times New Roman" w:hAnsi="Times New Roman"/>
                <w:noProof/>
              </w:rPr>
              <w:t>--</w:t>
            </w:r>
          </w:p>
        </w:tc>
      </w:tr>
    </w:tbl>
    <w:p w:rsidR="0037666B" w:rsidRDefault="00C627B8">
      <w:pPr>
        <w:pStyle w:val="Bulletpoint1"/>
        <w:spacing w:before="240" w:after="240"/>
        <w:rPr>
          <w:rFonts w:ascii="Times New Roman" w:hAnsi="Times New Roman"/>
          <w:noProof/>
          <w:sz w:val="24"/>
          <w:szCs w:val="24"/>
        </w:rPr>
      </w:pPr>
      <w:r>
        <w:rPr>
          <w:rFonts w:ascii="Times New Roman" w:hAnsi="Times New Roman"/>
          <w:noProof/>
          <w:sz w:val="24"/>
          <w:szCs w:val="24"/>
        </w:rPr>
        <w:t xml:space="preserve">The scores are given on the basis of </w:t>
      </w:r>
      <w:r>
        <w:rPr>
          <w:rFonts w:ascii="Times New Roman" w:hAnsi="Times New Roman"/>
          <w:noProof/>
          <w:sz w:val="24"/>
          <w:szCs w:val="24"/>
        </w:rPr>
        <w:t>Commission expected results against the specific policy objectives as explained above; +++ being very positive, ++ positive, + slightly positive, 0 neutral, - negative and – very negative.</w:t>
      </w:r>
    </w:p>
    <w:p w:rsidR="0037666B" w:rsidRDefault="00C627B8">
      <w:pPr>
        <w:pStyle w:val="Bulletpoint1"/>
        <w:spacing w:before="240" w:after="240"/>
        <w:rPr>
          <w:rFonts w:ascii="Times New Roman" w:hAnsi="Times New Roman"/>
          <w:noProof/>
          <w:sz w:val="24"/>
          <w:szCs w:val="24"/>
        </w:rPr>
      </w:pPr>
      <w:r>
        <w:rPr>
          <w:rFonts w:ascii="Times New Roman" w:hAnsi="Times New Roman"/>
          <w:noProof/>
          <w:sz w:val="24"/>
          <w:szCs w:val="24"/>
        </w:rPr>
        <w:t xml:space="preserve">Accordingly, the </w:t>
      </w:r>
      <w:r>
        <w:rPr>
          <w:rFonts w:ascii="Times New Roman" w:hAnsi="Times New Roman"/>
          <w:b/>
          <w:noProof/>
          <w:sz w:val="24"/>
          <w:szCs w:val="24"/>
        </w:rPr>
        <w:t>preferred option</w:t>
      </w:r>
      <w:r>
        <w:rPr>
          <w:rFonts w:ascii="Times New Roman" w:hAnsi="Times New Roman"/>
          <w:noProof/>
          <w:sz w:val="24"/>
          <w:szCs w:val="24"/>
        </w:rPr>
        <w:t xml:space="preserve"> would be a </w:t>
      </w:r>
      <w:r>
        <w:rPr>
          <w:rFonts w:ascii="Times New Roman" w:hAnsi="Times New Roman"/>
          <w:b/>
          <w:noProof/>
          <w:sz w:val="24"/>
          <w:szCs w:val="24"/>
        </w:rPr>
        <w:t xml:space="preserve">combination of Option </w:t>
      </w:r>
      <w:r>
        <w:rPr>
          <w:rFonts w:ascii="Times New Roman" w:hAnsi="Times New Roman"/>
          <w:b/>
          <w:noProof/>
          <w:sz w:val="24"/>
          <w:szCs w:val="24"/>
        </w:rPr>
        <w:t>2</w:t>
      </w:r>
      <w:r>
        <w:rPr>
          <w:rFonts w:ascii="Times New Roman" w:hAnsi="Times New Roman"/>
          <w:noProof/>
          <w:sz w:val="24"/>
          <w:szCs w:val="24"/>
        </w:rPr>
        <w:t xml:space="preserve"> (soft law instruments) </w:t>
      </w:r>
      <w:r>
        <w:rPr>
          <w:rFonts w:ascii="Times New Roman" w:hAnsi="Times New Roman"/>
          <w:b/>
          <w:noProof/>
          <w:sz w:val="24"/>
          <w:szCs w:val="24"/>
        </w:rPr>
        <w:t>and Option 4</w:t>
      </w:r>
      <w:r>
        <w:rPr>
          <w:rFonts w:ascii="Times New Roman" w:hAnsi="Times New Roman"/>
          <w:noProof/>
          <w:sz w:val="24"/>
          <w:szCs w:val="24"/>
        </w:rPr>
        <w:t xml:space="preserve"> (clarification of the scope of the regulation, introduction of a declaration of compliance and of a fast-track appeal procedure for businesses and strengthening the role of PCPs). This combination will address in the m</w:t>
      </w:r>
      <w:r>
        <w:rPr>
          <w:rFonts w:ascii="Times New Roman" w:hAnsi="Times New Roman"/>
          <w:noProof/>
          <w:sz w:val="24"/>
          <w:szCs w:val="24"/>
        </w:rPr>
        <w:t>ost effective and efficient manner all policy objectives to lead to a better functioning of the Single Market for non-harmonised products through more and better mutual recognition.</w:t>
      </w:r>
    </w:p>
    <w:p w:rsidR="0037666B" w:rsidRDefault="00C627B8">
      <w:pPr>
        <w:rPr>
          <w:noProof/>
          <w:szCs w:val="24"/>
        </w:rPr>
      </w:pPr>
      <w:r>
        <w:rPr>
          <w:noProof/>
          <w:szCs w:val="24"/>
        </w:rPr>
        <w:t>The Action Plan on mutual recognition is expected to raise awareness and u</w:t>
      </w:r>
      <w:r>
        <w:rPr>
          <w:noProof/>
          <w:szCs w:val="24"/>
        </w:rPr>
        <w:t>nderstanding on the rights and obligations that all stakeholders involved (national authorities and businesses alike) have when relying on mutual recognition. This is expected to facilitate acceptance of products lawfully marketed in one Member State in ot</w:t>
      </w:r>
      <w:r>
        <w:rPr>
          <w:noProof/>
          <w:szCs w:val="24"/>
        </w:rPr>
        <w:t>her national markets without requiring it to follow technical adaptations. Economic operators will be able to gather more reliable and complete information from PCPs. When Member States authorities want to assess a product relying on mutual recognition, th</w:t>
      </w:r>
      <w:r>
        <w:rPr>
          <w:noProof/>
          <w:szCs w:val="24"/>
        </w:rPr>
        <w:t xml:space="preserve">e voluntary declaration of compliance is expected to simplify the dialogue between businesses and national authorities, and provide more legal certainty on what to expect. Finally, when market access is denied, businesses will have the possibility to seek </w:t>
      </w:r>
      <w:r>
        <w:rPr>
          <w:noProof/>
          <w:szCs w:val="24"/>
        </w:rPr>
        <w:t>a solution via a fast track appeal procedure, which will ensure that market access is denied only where legitimate and proportionate public interests need to be protected. Administrative cooperation and better communication channels will increase trust amo</w:t>
      </w:r>
      <w:r>
        <w:rPr>
          <w:noProof/>
          <w:szCs w:val="24"/>
        </w:rPr>
        <w:t>ng national authorities; all of this contributing to creating a favourable environment for mutual recognition and to ensure that companies can rely on this principle to reap the benefits of the Single Market.</w:t>
      </w:r>
    </w:p>
    <w:p w:rsidR="0037666B" w:rsidRDefault="00C627B8">
      <w:pPr>
        <w:rPr>
          <w:noProof/>
          <w:szCs w:val="24"/>
        </w:rPr>
      </w:pPr>
      <w:r>
        <w:rPr>
          <w:noProof/>
          <w:szCs w:val="24"/>
        </w:rPr>
        <w:t>As mentioned previously, a study done for the E</w:t>
      </w:r>
      <w:r>
        <w:rPr>
          <w:noProof/>
          <w:szCs w:val="24"/>
        </w:rPr>
        <w:t>uropean Parliament</w:t>
      </w:r>
      <w:r>
        <w:rPr>
          <w:noProof/>
          <w:vertAlign w:val="superscript"/>
        </w:rPr>
        <w:footnoteReference w:id="116"/>
      </w:r>
      <w:r>
        <w:rPr>
          <w:noProof/>
          <w:szCs w:val="24"/>
        </w:rPr>
        <w:t xml:space="preserve"> shows that a reduction of barriers to trade could lead to an increase in intra-EU trade of more than 100 billion EUR per year. The fact that mutual recognition does not function well is, de facto, a regulatory burden triggering barriers</w:t>
      </w:r>
      <w:r>
        <w:rPr>
          <w:noProof/>
          <w:szCs w:val="24"/>
        </w:rPr>
        <w:t xml:space="preserve"> to trade. Therefore, the actions described in the preferred option will improve the functioning of mutual recognition and thus result in simplifications for businesses, e.g. easier access to markets.  </w:t>
      </w:r>
    </w:p>
    <w:p w:rsidR="0037666B" w:rsidRDefault="00C627B8">
      <w:pPr>
        <w:pStyle w:val="Heading2"/>
        <w:rPr>
          <w:noProof/>
        </w:rPr>
      </w:pPr>
      <w:bookmarkStart w:id="30" w:name="_Toc483992740"/>
      <w:r>
        <w:rPr>
          <w:noProof/>
        </w:rPr>
        <w:t>Potential for reduction of administrative burdens for</w:t>
      </w:r>
      <w:r>
        <w:rPr>
          <w:noProof/>
        </w:rPr>
        <w:t xml:space="preserve"> companies</w:t>
      </w:r>
      <w:bookmarkEnd w:id="30"/>
    </w:p>
    <w:p w:rsidR="0037666B" w:rsidRDefault="00C627B8">
      <w:pPr>
        <w:pStyle w:val="Bulletpoint1"/>
        <w:spacing w:before="240" w:after="240"/>
        <w:rPr>
          <w:rFonts w:ascii="Times New Roman" w:hAnsi="Times New Roman"/>
          <w:noProof/>
          <w:sz w:val="24"/>
          <w:szCs w:val="24"/>
        </w:rPr>
      </w:pPr>
      <w:r>
        <w:rPr>
          <w:rFonts w:ascii="Times New Roman" w:hAnsi="Times New Roman"/>
          <w:noProof/>
          <w:sz w:val="24"/>
          <w:szCs w:val="24"/>
        </w:rPr>
        <w:t>The mutual recognition principle and the supporting measures currently set out in the Regulation were designed to facilitate free movement of goods in those areas where marketing conditions for products are not harmonised at EU level. Therefore,</w:t>
      </w:r>
      <w:r>
        <w:rPr>
          <w:rFonts w:ascii="Times New Roman" w:hAnsi="Times New Roman"/>
          <w:noProof/>
          <w:sz w:val="24"/>
          <w:szCs w:val="24"/>
        </w:rPr>
        <w:t xml:space="preserve"> the sub-optimal functioning of mutual recognition is as such a burden for businesses and any efforts in improving the functioning of the principle and adapting the regulatory measures to the reality of the market should be considered as a simplification a</w:t>
      </w:r>
      <w:r>
        <w:rPr>
          <w:rFonts w:ascii="Times New Roman" w:hAnsi="Times New Roman"/>
          <w:noProof/>
          <w:sz w:val="24"/>
          <w:szCs w:val="24"/>
        </w:rPr>
        <w:t>nd a reduction of administrative burdens.</w:t>
      </w:r>
    </w:p>
    <w:p w:rsidR="0037666B" w:rsidRDefault="00C627B8">
      <w:pPr>
        <w:pStyle w:val="Heading1"/>
        <w:keepNext w:val="0"/>
        <w:tabs>
          <w:tab w:val="clear" w:pos="480"/>
          <w:tab w:val="num" w:pos="567"/>
        </w:tabs>
        <w:spacing w:before="0"/>
        <w:ind w:left="567" w:hanging="567"/>
        <w:rPr>
          <w:noProof/>
          <w:szCs w:val="24"/>
        </w:rPr>
      </w:pPr>
      <w:bookmarkStart w:id="31" w:name="_Toc483992741"/>
      <w:r>
        <w:rPr>
          <w:noProof/>
          <w:szCs w:val="24"/>
        </w:rPr>
        <w:t>Monitoring and Evaluation</w:t>
      </w:r>
      <w:bookmarkEnd w:id="31"/>
    </w:p>
    <w:p w:rsidR="0037666B" w:rsidRDefault="00C627B8">
      <w:pPr>
        <w:pStyle w:val="Text1"/>
        <w:ind w:left="0"/>
        <w:rPr>
          <w:noProof/>
          <w:szCs w:val="24"/>
        </w:rPr>
      </w:pPr>
      <w:r>
        <w:rPr>
          <w:noProof/>
          <w:szCs w:val="24"/>
        </w:rPr>
        <w:t xml:space="preserve">Monitoring and evaluation have traditionally been a major problem for mutual recognition. The monitoring and evaluation system to be put in place must avoid the shortcomings identified in </w:t>
      </w:r>
      <w:r>
        <w:rPr>
          <w:noProof/>
          <w:szCs w:val="24"/>
        </w:rPr>
        <w:t>the Evaluation. The proposal will therefore specify that the reporting of activities and of the administrative decisions taken will be enhanced, and reported via an IT tool (this will be implemented via existing tools, such as ICSMS or IMI), to ensure full</w:t>
      </w:r>
      <w:r>
        <w:rPr>
          <w:noProof/>
          <w:szCs w:val="24"/>
        </w:rPr>
        <w:t xml:space="preserve"> transparency and follow-up. </w:t>
      </w:r>
    </w:p>
    <w:p w:rsidR="0037666B" w:rsidRDefault="00C627B8">
      <w:pPr>
        <w:pStyle w:val="Text1"/>
        <w:ind w:left="0"/>
        <w:rPr>
          <w:noProof/>
          <w:szCs w:val="24"/>
        </w:rPr>
      </w:pPr>
      <w:r>
        <w:rPr>
          <w:noProof/>
          <w:szCs w:val="24"/>
        </w:rPr>
        <w:t>Furthermore, traditional tools such as the monitoring of complain and infringements, the SOLVIT and TRIS mechanisms will remain monitoring tools to be used. The Single Digital Gateway (SDG) can also be used to monitor the acti</w:t>
      </w:r>
      <w:r>
        <w:rPr>
          <w:noProof/>
          <w:szCs w:val="24"/>
        </w:rPr>
        <w:t xml:space="preserve">ves of PCPs, as they will be integrated into this network and access to their services will be facilitated by the single entry point offered by the SDG. Additionally, the lack of accurate quantitative data on mutual recognition (size of the market, number </w:t>
      </w:r>
      <w:r>
        <w:rPr>
          <w:noProof/>
          <w:szCs w:val="24"/>
        </w:rPr>
        <w:t>of products, costs and benefits) will be addressed by a systematic survey intended to gather the missing data and to prepare and service future evaluations.  For this purpose, existing survey tools at EU level, such as the Commission's Innobarometer</w:t>
      </w:r>
      <w:r>
        <w:rPr>
          <w:rStyle w:val="FootnoteReference"/>
          <w:noProof/>
          <w:szCs w:val="24"/>
        </w:rPr>
        <w:footnoteReference w:id="117"/>
      </w:r>
      <w:r>
        <w:rPr>
          <w:noProof/>
          <w:szCs w:val="24"/>
        </w:rPr>
        <w:t>, coul</w:t>
      </w:r>
      <w:r>
        <w:rPr>
          <w:noProof/>
          <w:szCs w:val="24"/>
        </w:rPr>
        <w:t>d be used.</w:t>
      </w:r>
    </w:p>
    <w:p w:rsidR="0037666B" w:rsidRDefault="00C627B8">
      <w:pPr>
        <w:pStyle w:val="Heading2"/>
        <w:rPr>
          <w:noProof/>
        </w:rPr>
      </w:pPr>
      <w:bookmarkStart w:id="32" w:name="_Toc483992742"/>
      <w:r>
        <w:rPr>
          <w:noProof/>
        </w:rPr>
        <w:t>Operational Objectives</w:t>
      </w:r>
      <w:bookmarkEnd w:id="32"/>
      <w:r>
        <w:rPr>
          <w:noProof/>
        </w:rPr>
        <w:t xml:space="preserve"> </w:t>
      </w:r>
    </w:p>
    <w:p w:rsidR="0037666B" w:rsidRDefault="00C627B8">
      <w:pPr>
        <w:pStyle w:val="ListBullet1"/>
        <w:tabs>
          <w:tab w:val="clear" w:pos="765"/>
          <w:tab w:val="num" w:pos="567"/>
        </w:tabs>
        <w:ind w:left="567" w:hanging="567"/>
        <w:rPr>
          <w:noProof/>
          <w:szCs w:val="24"/>
        </w:rPr>
      </w:pPr>
      <w:r>
        <w:rPr>
          <w:noProof/>
          <w:szCs w:val="24"/>
        </w:rPr>
        <w:t>Enhance awareness of mutual recognition, inter alia through regular training sessions for businesses and national authorities and the exchange of officials in national authorities. The Commission expects that, after the t</w:t>
      </w:r>
      <w:r>
        <w:rPr>
          <w:noProof/>
          <w:szCs w:val="24"/>
        </w:rPr>
        <w:t>rain the trainer has been ensured where it is expected that around 20 to 40 trainers be trained, at least 2-5 national events will be organised per year. Also, the Commission expects that around 5 to 15 exchanges of officials will take place each year.</w:t>
      </w:r>
    </w:p>
    <w:p w:rsidR="0037666B" w:rsidRDefault="00C627B8">
      <w:pPr>
        <w:pStyle w:val="ListBullet1"/>
        <w:tabs>
          <w:tab w:val="clear" w:pos="765"/>
          <w:tab w:val="num" w:pos="567"/>
        </w:tabs>
        <w:ind w:left="567" w:hanging="567"/>
        <w:rPr>
          <w:noProof/>
          <w:szCs w:val="24"/>
        </w:rPr>
      </w:pPr>
      <w:r>
        <w:rPr>
          <w:noProof/>
          <w:szCs w:val="24"/>
        </w:rPr>
        <w:t>Ens</w:t>
      </w:r>
      <w:r>
        <w:rPr>
          <w:noProof/>
          <w:szCs w:val="24"/>
        </w:rPr>
        <w:t>ure that Member States introduce a clear mutual recognition clause in all relevant national technical rules which are notified under Directive (EU) 2015/1535. The Commission expects that with a clearer clause, easier to integrate in notified drafts, the us</w:t>
      </w:r>
      <w:r>
        <w:rPr>
          <w:noProof/>
          <w:szCs w:val="24"/>
        </w:rPr>
        <w:t xml:space="preserve">e of the clause would increase by 50%. </w:t>
      </w:r>
    </w:p>
    <w:p w:rsidR="0037666B" w:rsidRDefault="00C627B8">
      <w:pPr>
        <w:pStyle w:val="ListBullet1"/>
        <w:tabs>
          <w:tab w:val="clear" w:pos="765"/>
          <w:tab w:val="num" w:pos="567"/>
        </w:tabs>
        <w:ind w:left="567" w:hanging="567"/>
        <w:rPr>
          <w:noProof/>
          <w:szCs w:val="24"/>
        </w:rPr>
      </w:pPr>
      <w:r>
        <w:rPr>
          <w:noProof/>
          <w:szCs w:val="24"/>
        </w:rPr>
        <w:t>Introduce a voluntary declaration of compliance facilitating the effective right to free movement within the internal market for products lawfully marketed in another Member States. The Commission expects that the de</w:t>
      </w:r>
      <w:r>
        <w:rPr>
          <w:noProof/>
          <w:szCs w:val="24"/>
        </w:rPr>
        <w:t xml:space="preserve">claration would be used by 60% of businesses operating in the non-harmonised area. </w:t>
      </w:r>
    </w:p>
    <w:p w:rsidR="0037666B" w:rsidRDefault="00C627B8">
      <w:pPr>
        <w:pStyle w:val="ListBullet1"/>
        <w:tabs>
          <w:tab w:val="clear" w:pos="765"/>
          <w:tab w:val="num" w:pos="567"/>
        </w:tabs>
        <w:ind w:left="567" w:hanging="567"/>
        <w:rPr>
          <w:noProof/>
          <w:szCs w:val="24"/>
        </w:rPr>
      </w:pPr>
      <w:r>
        <w:rPr>
          <w:noProof/>
          <w:szCs w:val="24"/>
        </w:rPr>
        <w:t>Ensure that businesses can appeal national decisions denying market access through a fast-track procedure. This will be based on SOLVIT and, where appropriate, by the Commission intervention. The Commission expects that the resolution rate of goods related</w:t>
      </w:r>
      <w:r>
        <w:rPr>
          <w:noProof/>
          <w:szCs w:val="24"/>
        </w:rPr>
        <w:t xml:space="preserve"> cases by SOLVIT would increase by 200%. </w:t>
      </w:r>
    </w:p>
    <w:p w:rsidR="0037666B" w:rsidRDefault="00C627B8">
      <w:pPr>
        <w:pStyle w:val="ListBullet1"/>
        <w:tabs>
          <w:tab w:val="clear" w:pos="765"/>
          <w:tab w:val="num" w:pos="567"/>
        </w:tabs>
        <w:ind w:left="567" w:hanging="567"/>
        <w:rPr>
          <w:noProof/>
          <w:szCs w:val="24"/>
        </w:rPr>
      </w:pPr>
      <w:r>
        <w:rPr>
          <w:noProof/>
          <w:szCs w:val="24"/>
        </w:rPr>
        <w:t xml:space="preserve">Streamline the notification procedure for administrative decisions denying mutual recognition via an IT tool. The Commission expects that the IT tool would increase the number of notifications, reaching a level of </w:t>
      </w:r>
      <w:r>
        <w:rPr>
          <w:noProof/>
          <w:szCs w:val="24"/>
        </w:rPr>
        <w:t xml:space="preserve">at least 90% of decisions being notified. </w:t>
      </w:r>
    </w:p>
    <w:p w:rsidR="0037666B" w:rsidRDefault="00C627B8">
      <w:pPr>
        <w:pStyle w:val="ListBullet1"/>
        <w:tabs>
          <w:tab w:val="clear" w:pos="765"/>
          <w:tab w:val="num" w:pos="567"/>
        </w:tabs>
        <w:ind w:left="567" w:hanging="567"/>
        <w:rPr>
          <w:noProof/>
          <w:szCs w:val="24"/>
        </w:rPr>
      </w:pPr>
      <w:r>
        <w:rPr>
          <w:noProof/>
          <w:szCs w:val="24"/>
        </w:rPr>
        <w:t>Strengthen the role of PCPs to become a central point for information on all products (including harmonized ones). The Commission expects that the number of requests and that the level of awareness and satisfactio</w:t>
      </w:r>
      <w:r>
        <w:rPr>
          <w:noProof/>
          <w:szCs w:val="24"/>
        </w:rPr>
        <w:t>n would increase by 50%.</w:t>
      </w:r>
    </w:p>
    <w:p w:rsidR="0037666B" w:rsidRDefault="00C627B8">
      <w:pPr>
        <w:pStyle w:val="ListBullet1"/>
        <w:tabs>
          <w:tab w:val="clear" w:pos="765"/>
          <w:tab w:val="num" w:pos="567"/>
        </w:tabs>
        <w:ind w:left="567" w:hanging="567"/>
        <w:rPr>
          <w:noProof/>
          <w:szCs w:val="24"/>
        </w:rPr>
      </w:pPr>
      <w:r>
        <w:rPr>
          <w:noProof/>
          <w:szCs w:val="24"/>
        </w:rPr>
        <w:t>Set up an administrative cooperation forum which would meet at least once a year where all national authorities would participate and discuss issues related to the application of mutual recognition. The Commission expects to have a</w:t>
      </w:r>
      <w:r>
        <w:rPr>
          <w:noProof/>
          <w:szCs w:val="24"/>
        </w:rPr>
        <w:t xml:space="preserve">t least one meeting per year, reaching participation from at least 25 Member States. </w:t>
      </w:r>
    </w:p>
    <w:p w:rsidR="0037666B" w:rsidRDefault="00C627B8">
      <w:pPr>
        <w:pStyle w:val="Heading2"/>
        <w:rPr>
          <w:noProof/>
        </w:rPr>
      </w:pPr>
      <w:bookmarkStart w:id="33" w:name="_Toc483992743"/>
      <w:r>
        <w:rPr>
          <w:noProof/>
        </w:rPr>
        <w:t>Indicators for the monitoring</w:t>
      </w:r>
      <w:bookmarkEnd w:id="33"/>
      <w:r>
        <w:rPr>
          <w:noProof/>
        </w:rPr>
        <w:t xml:space="preserve"> </w:t>
      </w:r>
    </w:p>
    <w:p w:rsidR="0037666B" w:rsidRDefault="00C627B8">
      <w:pPr>
        <w:pStyle w:val="ListBullet1"/>
        <w:tabs>
          <w:tab w:val="clear" w:pos="765"/>
          <w:tab w:val="num" w:pos="567"/>
        </w:tabs>
        <w:ind w:left="567" w:hanging="425"/>
        <w:rPr>
          <w:noProof/>
          <w:szCs w:val="24"/>
        </w:rPr>
      </w:pPr>
      <w:r>
        <w:rPr>
          <w:noProof/>
          <w:szCs w:val="24"/>
        </w:rPr>
        <w:t>Number of events organised (awareness campaigns and trainings), and number of persons participating in the events or receiving the training</w:t>
      </w:r>
      <w:r>
        <w:rPr>
          <w:noProof/>
          <w:szCs w:val="24"/>
        </w:rPr>
        <w:t xml:space="preserve">, as well as their level of satisfaction </w:t>
      </w:r>
    </w:p>
    <w:p w:rsidR="0037666B" w:rsidRDefault="00C627B8">
      <w:pPr>
        <w:pStyle w:val="ListBullet1"/>
        <w:tabs>
          <w:tab w:val="clear" w:pos="765"/>
          <w:tab w:val="num" w:pos="567"/>
        </w:tabs>
        <w:ind w:left="567" w:hanging="425"/>
        <w:rPr>
          <w:noProof/>
          <w:szCs w:val="24"/>
        </w:rPr>
      </w:pPr>
      <w:r>
        <w:rPr>
          <w:noProof/>
          <w:szCs w:val="24"/>
        </w:rPr>
        <w:t>Number of officials participating in the exchange of officials' scheme</w:t>
      </w:r>
    </w:p>
    <w:p w:rsidR="0037666B" w:rsidRDefault="00C627B8">
      <w:pPr>
        <w:pStyle w:val="ListBullet1"/>
        <w:tabs>
          <w:tab w:val="clear" w:pos="765"/>
          <w:tab w:val="num" w:pos="567"/>
        </w:tabs>
        <w:ind w:left="567" w:hanging="425"/>
        <w:rPr>
          <w:noProof/>
          <w:szCs w:val="24"/>
        </w:rPr>
      </w:pPr>
      <w:r>
        <w:rPr>
          <w:noProof/>
          <w:szCs w:val="24"/>
        </w:rPr>
        <w:t>Number of notifications of draft national rules containing a mutual recognition clause</w:t>
      </w:r>
    </w:p>
    <w:p w:rsidR="0037666B" w:rsidRDefault="00C627B8">
      <w:pPr>
        <w:pStyle w:val="ListBullet1"/>
        <w:tabs>
          <w:tab w:val="clear" w:pos="765"/>
          <w:tab w:val="num" w:pos="567"/>
        </w:tabs>
        <w:ind w:left="567" w:hanging="425"/>
        <w:rPr>
          <w:noProof/>
          <w:szCs w:val="24"/>
        </w:rPr>
      </w:pPr>
      <w:r>
        <w:rPr>
          <w:noProof/>
          <w:szCs w:val="24"/>
        </w:rPr>
        <w:t>Number of economic operators using the declaration,  the</w:t>
      </w:r>
      <w:r>
        <w:rPr>
          <w:noProof/>
          <w:szCs w:val="24"/>
        </w:rPr>
        <w:t xml:space="preserve">ir level of satisfaction and their input in terms of costs reduction </w:t>
      </w:r>
    </w:p>
    <w:p w:rsidR="0037666B" w:rsidRDefault="00C627B8">
      <w:pPr>
        <w:pStyle w:val="ListBullet1"/>
        <w:tabs>
          <w:tab w:val="clear" w:pos="765"/>
          <w:tab w:val="num" w:pos="567"/>
        </w:tabs>
        <w:ind w:left="567" w:hanging="425"/>
        <w:rPr>
          <w:noProof/>
          <w:szCs w:val="24"/>
        </w:rPr>
      </w:pPr>
      <w:r>
        <w:rPr>
          <w:noProof/>
          <w:szCs w:val="24"/>
        </w:rPr>
        <w:t>Number of notifications of administrative decisions denying or restricting market access</w:t>
      </w:r>
    </w:p>
    <w:p w:rsidR="0037666B" w:rsidRDefault="00C627B8">
      <w:pPr>
        <w:pStyle w:val="ListBullet1"/>
        <w:tabs>
          <w:tab w:val="clear" w:pos="765"/>
          <w:tab w:val="num" w:pos="567"/>
        </w:tabs>
        <w:ind w:left="567" w:hanging="425"/>
        <w:rPr>
          <w:noProof/>
          <w:szCs w:val="24"/>
        </w:rPr>
      </w:pPr>
      <w:r>
        <w:rPr>
          <w:noProof/>
          <w:szCs w:val="24"/>
        </w:rPr>
        <w:t xml:space="preserve">Number of cases introduced by business in SOLVIT and resolution rate </w:t>
      </w:r>
    </w:p>
    <w:p w:rsidR="0037666B" w:rsidRDefault="00C627B8">
      <w:pPr>
        <w:pStyle w:val="ListBullet1"/>
        <w:tabs>
          <w:tab w:val="clear" w:pos="765"/>
          <w:tab w:val="num" w:pos="567"/>
        </w:tabs>
        <w:ind w:left="567" w:hanging="425"/>
        <w:rPr>
          <w:noProof/>
          <w:szCs w:val="24"/>
        </w:rPr>
      </w:pPr>
      <w:r>
        <w:rPr>
          <w:noProof/>
          <w:szCs w:val="24"/>
        </w:rPr>
        <w:t xml:space="preserve">Number of appeals to the </w:t>
      </w:r>
      <w:r>
        <w:rPr>
          <w:noProof/>
          <w:szCs w:val="24"/>
        </w:rPr>
        <w:t>Commission and number of binding decisions adopted by the Commission</w:t>
      </w:r>
    </w:p>
    <w:p w:rsidR="0037666B" w:rsidRDefault="00C627B8">
      <w:pPr>
        <w:pStyle w:val="ListBullet1"/>
        <w:tabs>
          <w:tab w:val="clear" w:pos="765"/>
          <w:tab w:val="num" w:pos="567"/>
        </w:tabs>
        <w:ind w:left="567" w:hanging="425"/>
        <w:rPr>
          <w:noProof/>
          <w:szCs w:val="24"/>
        </w:rPr>
      </w:pPr>
      <w:r>
        <w:rPr>
          <w:noProof/>
          <w:szCs w:val="24"/>
        </w:rPr>
        <w:t xml:space="preserve">Number of complaints received on the misapplication of the mutual recognition principle </w:t>
      </w:r>
    </w:p>
    <w:p w:rsidR="0037666B" w:rsidRDefault="00C627B8">
      <w:pPr>
        <w:pStyle w:val="ListBullet1"/>
        <w:tabs>
          <w:tab w:val="clear" w:pos="765"/>
          <w:tab w:val="num" w:pos="567"/>
        </w:tabs>
        <w:ind w:left="567" w:hanging="425"/>
        <w:rPr>
          <w:noProof/>
          <w:szCs w:val="24"/>
        </w:rPr>
      </w:pPr>
      <w:r>
        <w:rPr>
          <w:noProof/>
          <w:szCs w:val="24"/>
        </w:rPr>
        <w:t>Number of requests received by PCPs, deadlines for responding and level of satisfaction of economi</w:t>
      </w:r>
      <w:r>
        <w:rPr>
          <w:noProof/>
          <w:szCs w:val="24"/>
        </w:rPr>
        <w:t xml:space="preserve">c operators </w:t>
      </w:r>
    </w:p>
    <w:p w:rsidR="0037666B" w:rsidRDefault="00C627B8">
      <w:pPr>
        <w:pStyle w:val="ListBullet1"/>
        <w:tabs>
          <w:tab w:val="clear" w:pos="765"/>
          <w:tab w:val="num" w:pos="567"/>
        </w:tabs>
        <w:ind w:left="567" w:hanging="425"/>
        <w:rPr>
          <w:noProof/>
          <w:szCs w:val="24"/>
        </w:rPr>
      </w:pPr>
      <w:r>
        <w:rPr>
          <w:noProof/>
          <w:szCs w:val="24"/>
        </w:rPr>
        <w:t>Number of administrative cooperation meetings organised and number of participants</w:t>
      </w:r>
    </w:p>
    <w:p w:rsidR="0037666B" w:rsidRDefault="00C627B8">
      <w:pPr>
        <w:spacing w:after="0"/>
        <w:jc w:val="left"/>
        <w:rPr>
          <w:b/>
          <w:smallCaps/>
          <w:noProof/>
          <w:szCs w:val="24"/>
        </w:rPr>
      </w:pPr>
      <w:bookmarkStart w:id="34" w:name="_Toc483992744"/>
      <w:r>
        <w:rPr>
          <w:noProof/>
          <w:szCs w:val="24"/>
        </w:rPr>
        <w:br w:type="page"/>
      </w:r>
    </w:p>
    <w:p w:rsidR="0037666B" w:rsidRDefault="00C627B8">
      <w:pPr>
        <w:pStyle w:val="Heading1"/>
        <w:keepNext w:val="0"/>
        <w:numPr>
          <w:ilvl w:val="0"/>
          <w:numId w:val="0"/>
        </w:numPr>
        <w:spacing w:before="0"/>
        <w:ind w:left="480" w:hanging="480"/>
        <w:rPr>
          <w:noProof/>
          <w:szCs w:val="24"/>
        </w:rPr>
      </w:pPr>
      <w:r>
        <w:rPr>
          <w:noProof/>
          <w:szCs w:val="24"/>
        </w:rPr>
        <w:t>Annex 1 Procedural Issues and Consultation of Interested Parties</w:t>
      </w:r>
      <w:bookmarkEnd w:id="34"/>
    </w:p>
    <w:p w:rsidR="0037666B" w:rsidRDefault="00C627B8">
      <w:pPr>
        <w:pStyle w:val="Heading1"/>
        <w:keepNext w:val="0"/>
        <w:numPr>
          <w:ilvl w:val="0"/>
          <w:numId w:val="23"/>
        </w:numPr>
        <w:spacing w:before="0"/>
        <w:rPr>
          <w:noProof/>
          <w:szCs w:val="24"/>
        </w:rPr>
      </w:pPr>
      <w:bookmarkStart w:id="35" w:name="_Toc483992745"/>
      <w:r>
        <w:rPr>
          <w:noProof/>
          <w:szCs w:val="24"/>
        </w:rPr>
        <w:t>Identification</w:t>
      </w:r>
      <w:bookmarkEnd w:id="35"/>
      <w:r>
        <w:rPr>
          <w:noProof/>
          <w:szCs w:val="24"/>
        </w:rPr>
        <w:t xml:space="preserve"> </w:t>
      </w:r>
    </w:p>
    <w:p w:rsidR="0037666B" w:rsidRDefault="00C627B8">
      <w:pPr>
        <w:pStyle w:val="Text2"/>
        <w:ind w:left="0"/>
        <w:rPr>
          <w:noProof/>
          <w:szCs w:val="24"/>
        </w:rPr>
      </w:pPr>
      <w:r>
        <w:rPr>
          <w:noProof/>
          <w:szCs w:val="24"/>
        </w:rPr>
        <w:t>Lead Directorate General: Internal Market, Industry, Entrepreneurship and SME</w:t>
      </w:r>
      <w:r>
        <w:rPr>
          <w:noProof/>
          <w:szCs w:val="24"/>
        </w:rPr>
        <w:t>s (DG GROW).</w:t>
      </w:r>
    </w:p>
    <w:p w:rsidR="0037666B" w:rsidRDefault="00C627B8">
      <w:pPr>
        <w:pStyle w:val="Text2"/>
        <w:ind w:left="0"/>
        <w:rPr>
          <w:noProof/>
          <w:szCs w:val="24"/>
        </w:rPr>
      </w:pPr>
      <w:r>
        <w:rPr>
          <w:noProof/>
          <w:szCs w:val="24"/>
        </w:rPr>
        <w:t>This initiative is identified in the Agenda Planning with the reference 2017/GROW/005.</w:t>
      </w:r>
    </w:p>
    <w:p w:rsidR="0037666B" w:rsidRDefault="00C627B8">
      <w:pPr>
        <w:pStyle w:val="Heading1"/>
        <w:keepNext w:val="0"/>
        <w:spacing w:before="0"/>
        <w:rPr>
          <w:noProof/>
          <w:szCs w:val="24"/>
        </w:rPr>
      </w:pPr>
      <w:bookmarkStart w:id="36" w:name="_Toc483992746"/>
      <w:r>
        <w:rPr>
          <w:noProof/>
          <w:szCs w:val="24"/>
        </w:rPr>
        <w:t>Organisation and Timing</w:t>
      </w:r>
      <w:bookmarkEnd w:id="36"/>
    </w:p>
    <w:p w:rsidR="0037666B" w:rsidRDefault="00C627B8">
      <w:pPr>
        <w:pStyle w:val="Text2"/>
        <w:ind w:left="0"/>
        <w:rPr>
          <w:noProof/>
          <w:szCs w:val="24"/>
        </w:rPr>
      </w:pPr>
      <w:r>
        <w:rPr>
          <w:noProof/>
          <w:szCs w:val="24"/>
        </w:rPr>
        <w:t xml:space="preserve">Work on the Impact Assessment started after the adoption of the Commission's Single Market Strategy in October 2015. The Inception Impact Assessment was published on 13 May 2016. </w:t>
      </w:r>
    </w:p>
    <w:p w:rsidR="0037666B" w:rsidRDefault="00C627B8">
      <w:pPr>
        <w:pStyle w:val="Text2"/>
        <w:ind w:left="0"/>
        <w:rPr>
          <w:noProof/>
          <w:szCs w:val="24"/>
        </w:rPr>
      </w:pPr>
      <w:r>
        <w:rPr>
          <w:noProof/>
          <w:szCs w:val="24"/>
        </w:rPr>
        <w:t>An Inter-Service Steering Group (ISSG) chaired by DG GROW was set up in Octo</w:t>
      </w:r>
      <w:r>
        <w:rPr>
          <w:noProof/>
          <w:szCs w:val="24"/>
        </w:rPr>
        <w:t>ber 2015 and with the participation of the following Directorates General: Legal Service of the Commission (LS), Secretariat General (SG), DG Agriculture and Rural Development (AGRI), DG Economic and Financial Affairs (ECFIN), DG Energy (ENER),  DG Environ</w:t>
      </w:r>
      <w:r>
        <w:rPr>
          <w:noProof/>
          <w:szCs w:val="24"/>
        </w:rPr>
        <w:t>ment (ENV), DG Justice and Consumers (JUST), DG For Mobility and Transport (MOVE), DG Health and Food Safety (SANTE), DG Taxation and Customs Union (TAXUD), DG Trade (TRADE), DG Maritime Affairs and Fisheries (MARE).</w:t>
      </w:r>
    </w:p>
    <w:p w:rsidR="0037666B" w:rsidRDefault="00C627B8">
      <w:pPr>
        <w:rPr>
          <w:noProof/>
          <w:szCs w:val="24"/>
        </w:rPr>
      </w:pPr>
      <w:r>
        <w:rPr>
          <w:noProof/>
          <w:szCs w:val="24"/>
        </w:rPr>
        <w:t>The ISSG met in total nine times (29/01</w:t>
      </w:r>
      <w:r>
        <w:rPr>
          <w:noProof/>
          <w:szCs w:val="24"/>
        </w:rPr>
        <w:t>/2016, 07/03/2016, 21/04/2016, 29/09/2016, 28/11/2016, 27/01/2017, 13/02/2017, 27/02/2017 and 06/03/2017).  The minutes of the last ISSG meeting were submitted to the RSB together with the draft IA report.</w:t>
      </w:r>
    </w:p>
    <w:p w:rsidR="0037666B" w:rsidRDefault="00C627B8">
      <w:pPr>
        <w:pStyle w:val="Heading1"/>
        <w:rPr>
          <w:noProof/>
          <w:szCs w:val="24"/>
        </w:rPr>
      </w:pPr>
      <w:bookmarkStart w:id="37" w:name="_Toc483992747"/>
      <w:r>
        <w:rPr>
          <w:noProof/>
          <w:szCs w:val="24"/>
        </w:rPr>
        <w:t>Consultation Of The Regulatory Scrutiny Board</w:t>
      </w:r>
      <w:bookmarkEnd w:id="37"/>
    </w:p>
    <w:p w:rsidR="0037666B" w:rsidRDefault="00C627B8">
      <w:pPr>
        <w:pStyle w:val="Text2"/>
        <w:ind w:left="0"/>
        <w:rPr>
          <w:noProof/>
          <w:szCs w:val="24"/>
        </w:rPr>
      </w:pPr>
      <w:r>
        <w:rPr>
          <w:noProof/>
          <w:szCs w:val="24"/>
        </w:rPr>
        <w:t xml:space="preserve">The </w:t>
      </w:r>
      <w:r>
        <w:rPr>
          <w:noProof/>
          <w:szCs w:val="24"/>
        </w:rPr>
        <w:t xml:space="preserve">Regulatory Scrutiny Board of the European Commission assessed a draft version of the present impact assessment and issued its opinion on 7 April2017. The Regulatory Scrutiny Board gave a positive opinion on the Impact Assessment report. It considered that </w:t>
      </w:r>
      <w:r>
        <w:rPr>
          <w:noProof/>
          <w:szCs w:val="24"/>
        </w:rPr>
        <w:t>the report had an overall good presentation and recommended, as further improvement, to better explain the choice of options and how these would work in practice. The report should also draw clearer conclusions on how far the expected outcome of the revisi</w:t>
      </w:r>
      <w:r>
        <w:rPr>
          <w:noProof/>
          <w:szCs w:val="24"/>
        </w:rPr>
        <w:t>on will have an impact on the functioning of the mutual recognition on the ground and contribute to a well-functioning internal market. Finally, it should better assess the potential to simplify administration and reduce burdens (REFIT). The Impact Assessm</w:t>
      </w:r>
      <w:r>
        <w:rPr>
          <w:noProof/>
          <w:szCs w:val="24"/>
        </w:rPr>
        <w:t>ent has been amended to address the comments made by the Regulatory Scrutiny Board in its opinion.</w:t>
      </w:r>
    </w:p>
    <w:tbl>
      <w:tblPr>
        <w:tblW w:w="8755" w:type="dxa"/>
        <w:tblLook w:val="04A0" w:firstRow="1" w:lastRow="0" w:firstColumn="1" w:lastColumn="0" w:noHBand="0" w:noVBand="1"/>
      </w:tblPr>
      <w:tblGrid>
        <w:gridCol w:w="4377"/>
        <w:gridCol w:w="4378"/>
      </w:tblGrid>
      <w:tr w:rsidR="0037666B">
        <w:tc>
          <w:tcPr>
            <w:tcW w:w="4377" w:type="dxa"/>
          </w:tcPr>
          <w:p w:rsidR="0037666B" w:rsidRDefault="00C627B8">
            <w:pPr>
              <w:spacing w:after="0"/>
              <w:rPr>
                <w:b/>
                <w:noProof/>
              </w:rPr>
            </w:pPr>
            <w:r>
              <w:rPr>
                <w:b/>
                <w:noProof/>
              </w:rPr>
              <w:t>RSB opinion</w:t>
            </w:r>
          </w:p>
        </w:tc>
        <w:tc>
          <w:tcPr>
            <w:tcW w:w="4378" w:type="dxa"/>
          </w:tcPr>
          <w:p w:rsidR="0037666B" w:rsidRDefault="00C627B8">
            <w:pPr>
              <w:spacing w:after="0"/>
              <w:rPr>
                <w:b/>
                <w:noProof/>
              </w:rPr>
            </w:pPr>
            <w:r>
              <w:rPr>
                <w:b/>
                <w:noProof/>
              </w:rPr>
              <w:t>Follow-up</w:t>
            </w:r>
          </w:p>
        </w:tc>
      </w:tr>
      <w:tr w:rsidR="0037666B">
        <w:tc>
          <w:tcPr>
            <w:tcW w:w="4377" w:type="dxa"/>
          </w:tcPr>
          <w:p w:rsidR="0037666B" w:rsidRDefault="00C627B8">
            <w:pPr>
              <w:spacing w:after="0"/>
              <w:rPr>
                <w:b/>
                <w:noProof/>
              </w:rPr>
            </w:pPr>
            <w:r>
              <w:rPr>
                <w:b/>
                <w:noProof/>
              </w:rPr>
              <w:t xml:space="preserve">(B) Main considerations </w:t>
            </w:r>
          </w:p>
          <w:p w:rsidR="0037666B" w:rsidRDefault="00C627B8">
            <w:pPr>
              <w:spacing w:after="0"/>
              <w:rPr>
                <w:noProof/>
              </w:rPr>
            </w:pPr>
            <w:r>
              <w:rPr>
                <w:noProof/>
              </w:rPr>
              <w:t>The Board notes the overall good presentation of this impact assessment report.</w:t>
            </w:r>
          </w:p>
          <w:p w:rsidR="0037666B" w:rsidRDefault="00C627B8">
            <w:pPr>
              <w:spacing w:after="0"/>
              <w:rPr>
                <w:noProof/>
              </w:rPr>
            </w:pPr>
            <w:r>
              <w:rPr>
                <w:noProof/>
              </w:rPr>
              <w:t>The Board gives a positive op</w:t>
            </w:r>
            <w:r>
              <w:rPr>
                <w:noProof/>
              </w:rPr>
              <w:t>inion, with a recommendation to further improve the</w:t>
            </w:r>
          </w:p>
          <w:p w:rsidR="0037666B" w:rsidRDefault="00C627B8">
            <w:pPr>
              <w:spacing w:after="0"/>
              <w:rPr>
                <w:noProof/>
              </w:rPr>
            </w:pPr>
            <w:r>
              <w:rPr>
                <w:noProof/>
              </w:rPr>
              <w:t>report with respect to the key aspects mentioned hereafter.</w:t>
            </w:r>
          </w:p>
          <w:p w:rsidR="0037666B" w:rsidRDefault="0037666B">
            <w:pPr>
              <w:spacing w:after="0"/>
              <w:rPr>
                <w:noProof/>
              </w:rPr>
            </w:pPr>
          </w:p>
          <w:p w:rsidR="0037666B" w:rsidRDefault="00C627B8">
            <w:pPr>
              <w:spacing w:after="0"/>
              <w:rPr>
                <w:noProof/>
              </w:rPr>
            </w:pPr>
            <w:r>
              <w:rPr>
                <w:noProof/>
              </w:rPr>
              <w:t>(1) The report does not clearly explain the choice of the options and how these would work in practice.</w:t>
            </w: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C627B8">
            <w:pPr>
              <w:spacing w:after="0"/>
              <w:rPr>
                <w:noProof/>
              </w:rPr>
            </w:pPr>
            <w:r>
              <w:rPr>
                <w:noProof/>
              </w:rPr>
              <w:t>(2) The report does not draw clear c</w:t>
            </w:r>
            <w:r>
              <w:rPr>
                <w:noProof/>
              </w:rPr>
              <w:t>onclusions on how far the expected outcome of the revision will have an impact on the functioning of the mutual recognition on the ground and contribute to a well-functioning internal market.</w:t>
            </w:r>
          </w:p>
          <w:p w:rsidR="0037666B" w:rsidRDefault="0037666B">
            <w:pPr>
              <w:spacing w:after="0"/>
              <w:rPr>
                <w:noProof/>
              </w:rPr>
            </w:pPr>
          </w:p>
          <w:p w:rsidR="0037666B" w:rsidRDefault="00C627B8">
            <w:pPr>
              <w:spacing w:after="0"/>
              <w:rPr>
                <w:noProof/>
              </w:rPr>
            </w:pPr>
            <w:r>
              <w:rPr>
                <w:noProof/>
              </w:rPr>
              <w:t>(3) The report has not assessed the potential to simplify admin</w:t>
            </w:r>
            <w:r>
              <w:rPr>
                <w:noProof/>
              </w:rPr>
              <w:t>istration and reduce burdens (REFIT).</w:t>
            </w:r>
          </w:p>
        </w:tc>
        <w:tc>
          <w:tcPr>
            <w:tcW w:w="4378" w:type="dxa"/>
          </w:tcPr>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C627B8">
            <w:pPr>
              <w:spacing w:after="0"/>
              <w:rPr>
                <w:noProof/>
              </w:rPr>
            </w:pPr>
            <w:r>
              <w:rPr>
                <w:noProof/>
              </w:rPr>
              <w:t>1) Section 6 on the Options has been amended to better explain the different options and the interaction between them, as well as how the options would work in practice.</w:t>
            </w:r>
          </w:p>
          <w:p w:rsidR="0037666B" w:rsidRDefault="0037666B">
            <w:pPr>
              <w:spacing w:after="0"/>
              <w:rPr>
                <w:noProof/>
              </w:rPr>
            </w:pPr>
          </w:p>
          <w:p w:rsidR="0037666B" w:rsidRDefault="00C627B8">
            <w:pPr>
              <w:spacing w:after="0"/>
              <w:rPr>
                <w:noProof/>
              </w:rPr>
            </w:pPr>
            <w:r>
              <w:rPr>
                <w:noProof/>
              </w:rPr>
              <w:t xml:space="preserve">2) The conclusion of section 8 has been amended to explain the expected consequences on the market of the preferred option. </w:t>
            </w: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C627B8">
            <w:pPr>
              <w:spacing w:after="0"/>
              <w:rPr>
                <w:noProof/>
              </w:rPr>
            </w:pPr>
            <w:r>
              <w:rPr>
                <w:noProof/>
              </w:rPr>
              <w:t>3) A new dedicated section 8.4 explains that the current regulatory burdens are due to the non-functioning of mutual recognition</w:t>
            </w:r>
            <w:r>
              <w:rPr>
                <w:noProof/>
              </w:rPr>
              <w:t xml:space="preserve"> and indicates the effects of the preferred option is expected to have in reducing those.</w:t>
            </w:r>
          </w:p>
        </w:tc>
      </w:tr>
      <w:tr w:rsidR="0037666B">
        <w:tc>
          <w:tcPr>
            <w:tcW w:w="4377" w:type="dxa"/>
          </w:tcPr>
          <w:p w:rsidR="0037666B" w:rsidRDefault="00C627B8">
            <w:pPr>
              <w:autoSpaceDE w:val="0"/>
              <w:autoSpaceDN w:val="0"/>
              <w:adjustRightInd w:val="0"/>
              <w:spacing w:after="0"/>
              <w:jc w:val="left"/>
              <w:rPr>
                <w:rFonts w:eastAsiaTheme="minorHAnsi"/>
                <w:b/>
                <w:bCs/>
                <w:noProof/>
                <w:szCs w:val="24"/>
              </w:rPr>
            </w:pPr>
            <w:r>
              <w:rPr>
                <w:rFonts w:eastAsiaTheme="minorHAnsi"/>
                <w:b/>
                <w:bCs/>
                <w:noProof/>
                <w:szCs w:val="24"/>
              </w:rPr>
              <w:t>(C) Further considerations and adjustment recommendations</w:t>
            </w:r>
          </w:p>
          <w:p w:rsidR="0037666B" w:rsidRDefault="00C627B8">
            <w:pPr>
              <w:autoSpaceDE w:val="0"/>
              <w:autoSpaceDN w:val="0"/>
              <w:adjustRightInd w:val="0"/>
              <w:spacing w:after="0"/>
              <w:jc w:val="left"/>
              <w:rPr>
                <w:rFonts w:eastAsiaTheme="minorHAnsi"/>
                <w:b/>
                <w:bCs/>
                <w:noProof/>
                <w:szCs w:val="24"/>
              </w:rPr>
            </w:pPr>
            <w:r>
              <w:rPr>
                <w:rFonts w:eastAsiaTheme="minorHAnsi"/>
                <w:b/>
                <w:bCs/>
                <w:noProof/>
                <w:szCs w:val="24"/>
              </w:rPr>
              <w:t>(1) Problem definition</w:t>
            </w:r>
          </w:p>
          <w:p w:rsidR="0037666B" w:rsidRDefault="00C627B8">
            <w:pPr>
              <w:autoSpaceDE w:val="0"/>
              <w:autoSpaceDN w:val="0"/>
              <w:adjustRightInd w:val="0"/>
              <w:spacing w:after="0"/>
              <w:rPr>
                <w:rFonts w:eastAsiaTheme="minorHAnsi"/>
                <w:noProof/>
                <w:szCs w:val="24"/>
              </w:rPr>
            </w:pPr>
            <w:r>
              <w:rPr>
                <w:rFonts w:eastAsiaTheme="minorHAnsi"/>
                <w:noProof/>
                <w:szCs w:val="24"/>
              </w:rPr>
              <w:t>Based on available evidence, the report should more clearly explain the most problem</w:t>
            </w:r>
            <w:r>
              <w:rPr>
                <w:rFonts w:eastAsiaTheme="minorHAnsi"/>
                <w:noProof/>
                <w:szCs w:val="24"/>
              </w:rPr>
              <w:t>atic aspects of mutual recognition. It should explain to what extent the Mutual Recognition Regulation has been ineffective. It should elaborate on the issue of lack of trust between national administrations: the evaluation identifies this as one of the fa</w:t>
            </w:r>
            <w:r>
              <w:rPr>
                <w:rFonts w:eastAsiaTheme="minorHAnsi"/>
                <w:noProof/>
                <w:szCs w:val="24"/>
              </w:rPr>
              <w:t>ctors for the non-functioning of the mutual recognition. Moreover, the report should better assess why mutual recognition is not working in the Member States by presenting additional evidence.</w:t>
            </w:r>
          </w:p>
          <w:p w:rsidR="0037666B" w:rsidRDefault="00C627B8">
            <w:pPr>
              <w:autoSpaceDE w:val="0"/>
              <w:autoSpaceDN w:val="0"/>
              <w:adjustRightInd w:val="0"/>
              <w:spacing w:after="0"/>
              <w:rPr>
                <w:noProof/>
              </w:rPr>
            </w:pPr>
            <w:r>
              <w:rPr>
                <w:rFonts w:eastAsiaTheme="minorHAnsi"/>
                <w:noProof/>
                <w:szCs w:val="24"/>
              </w:rPr>
              <w:t>The IA report should be a self-standing document. Therefore, it</w:t>
            </w:r>
            <w:r>
              <w:rPr>
                <w:rFonts w:eastAsiaTheme="minorHAnsi"/>
                <w:noProof/>
                <w:szCs w:val="24"/>
              </w:rPr>
              <w:t xml:space="preserve"> should summarize the findings of the evaluation. In particular, the report should present in more detail the problems encountered with the current Regulation, including why Product Contact Points are not functioning.</w:t>
            </w:r>
          </w:p>
        </w:tc>
        <w:tc>
          <w:tcPr>
            <w:tcW w:w="4378" w:type="dxa"/>
          </w:tcPr>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C627B8">
            <w:pPr>
              <w:spacing w:after="0"/>
              <w:rPr>
                <w:noProof/>
              </w:rPr>
            </w:pPr>
            <w:r>
              <w:rPr>
                <w:noProof/>
              </w:rPr>
              <w:t>The Impact Assessment report has be</w:t>
            </w:r>
            <w:r>
              <w:rPr>
                <w:noProof/>
              </w:rPr>
              <w:t>en made a stand-alone document separated from the Evaluation. A summary of the results of the Evaluation has been added as a new annex 6, and evidence that was included only in the Evaluation has been incorporated throughout the problem definition.</w:t>
            </w:r>
          </w:p>
          <w:p w:rsidR="0037666B" w:rsidRDefault="0037666B">
            <w:pPr>
              <w:spacing w:after="0"/>
              <w:rPr>
                <w:noProof/>
              </w:rPr>
            </w:pPr>
          </w:p>
          <w:p w:rsidR="0037666B" w:rsidRDefault="00C627B8">
            <w:pPr>
              <w:spacing w:after="0"/>
              <w:rPr>
                <w:noProof/>
              </w:rPr>
            </w:pPr>
            <w:r>
              <w:rPr>
                <w:noProof/>
              </w:rPr>
              <w:t>The la</w:t>
            </w:r>
            <w:r>
              <w:rPr>
                <w:noProof/>
              </w:rPr>
              <w:t>ck of trust among national administrations has been further elaborated and is now presented as a problem driver in section 3.2.4.</w:t>
            </w:r>
          </w:p>
          <w:p w:rsidR="0037666B" w:rsidRDefault="0037666B">
            <w:pPr>
              <w:spacing w:after="0"/>
              <w:rPr>
                <w:noProof/>
              </w:rPr>
            </w:pPr>
          </w:p>
          <w:p w:rsidR="0037666B" w:rsidRDefault="00C627B8">
            <w:pPr>
              <w:spacing w:after="0"/>
              <w:rPr>
                <w:noProof/>
              </w:rPr>
            </w:pPr>
            <w:r>
              <w:rPr>
                <w:noProof/>
              </w:rPr>
              <w:t>The report includes further evidence on the problem definition on the problems encountered with the current Regulation and al</w:t>
            </w:r>
            <w:r>
              <w:rPr>
                <w:noProof/>
              </w:rPr>
              <w:t>so more detailed information on Product Contact Points.</w:t>
            </w:r>
          </w:p>
        </w:tc>
      </w:tr>
      <w:tr w:rsidR="0037666B">
        <w:tc>
          <w:tcPr>
            <w:tcW w:w="4377" w:type="dxa"/>
          </w:tcPr>
          <w:p w:rsidR="0037666B" w:rsidRDefault="00C627B8">
            <w:pPr>
              <w:autoSpaceDE w:val="0"/>
              <w:autoSpaceDN w:val="0"/>
              <w:adjustRightInd w:val="0"/>
              <w:spacing w:after="0"/>
              <w:jc w:val="left"/>
              <w:rPr>
                <w:rFonts w:eastAsiaTheme="minorHAnsi"/>
                <w:b/>
                <w:bCs/>
                <w:noProof/>
                <w:szCs w:val="24"/>
              </w:rPr>
            </w:pPr>
            <w:r>
              <w:rPr>
                <w:rFonts w:eastAsiaTheme="minorHAnsi"/>
                <w:b/>
                <w:bCs/>
                <w:noProof/>
                <w:szCs w:val="24"/>
              </w:rPr>
              <w:t>(2) Options</w:t>
            </w:r>
          </w:p>
          <w:p w:rsidR="0037666B" w:rsidRDefault="00C627B8">
            <w:pPr>
              <w:autoSpaceDE w:val="0"/>
              <w:autoSpaceDN w:val="0"/>
              <w:adjustRightInd w:val="0"/>
              <w:spacing w:after="0"/>
              <w:rPr>
                <w:rFonts w:eastAsiaTheme="minorHAnsi"/>
                <w:noProof/>
                <w:szCs w:val="24"/>
              </w:rPr>
            </w:pPr>
            <w:r>
              <w:rPr>
                <w:rFonts w:eastAsiaTheme="minorHAnsi"/>
                <w:noProof/>
                <w:szCs w:val="24"/>
              </w:rPr>
              <w:t>In view of the acknowledged ineffectiveness of the current Regulation, the report should explain whether certain provisions of the current Regulation could be removed or amended.</w:t>
            </w:r>
          </w:p>
          <w:p w:rsidR="0037666B" w:rsidRDefault="0037666B">
            <w:pPr>
              <w:autoSpaceDE w:val="0"/>
              <w:autoSpaceDN w:val="0"/>
              <w:adjustRightInd w:val="0"/>
              <w:spacing w:after="0"/>
              <w:jc w:val="left"/>
              <w:rPr>
                <w:rFonts w:eastAsiaTheme="minorHAnsi"/>
                <w:noProof/>
                <w:szCs w:val="24"/>
              </w:rPr>
            </w:pPr>
          </w:p>
          <w:p w:rsidR="0037666B" w:rsidRDefault="00C627B8">
            <w:pPr>
              <w:autoSpaceDE w:val="0"/>
              <w:autoSpaceDN w:val="0"/>
              <w:adjustRightInd w:val="0"/>
              <w:spacing w:after="0"/>
              <w:rPr>
                <w:rFonts w:eastAsiaTheme="minorHAnsi"/>
                <w:noProof/>
                <w:szCs w:val="24"/>
              </w:rPr>
            </w:pPr>
            <w:r>
              <w:rPr>
                <w:rFonts w:eastAsiaTheme="minorHAnsi"/>
                <w:noProof/>
                <w:szCs w:val="24"/>
              </w:rPr>
              <w:t>For ins</w:t>
            </w:r>
            <w:r>
              <w:rPr>
                <w:rFonts w:eastAsiaTheme="minorHAnsi"/>
                <w:noProof/>
                <w:szCs w:val="24"/>
              </w:rPr>
              <w:t>tance, it should clarify why it is necessary to preserve the Product Contact Points despite their suboptimal functioning.</w:t>
            </w:r>
          </w:p>
          <w:p w:rsidR="0037666B" w:rsidRDefault="00C627B8">
            <w:pPr>
              <w:autoSpaceDE w:val="0"/>
              <w:autoSpaceDN w:val="0"/>
              <w:adjustRightInd w:val="0"/>
              <w:spacing w:after="0"/>
              <w:rPr>
                <w:rFonts w:eastAsiaTheme="minorHAnsi"/>
                <w:noProof/>
                <w:szCs w:val="24"/>
              </w:rPr>
            </w:pPr>
            <w:r>
              <w:rPr>
                <w:rFonts w:eastAsiaTheme="minorHAnsi"/>
                <w:noProof/>
                <w:szCs w:val="24"/>
              </w:rPr>
              <w:t>The report should clarify the construction of the options and how they would work in practice. For instance, it should explain the des</w:t>
            </w:r>
            <w:r>
              <w:rPr>
                <w:rFonts w:eastAsiaTheme="minorHAnsi"/>
                <w:noProof/>
                <w:szCs w:val="24"/>
              </w:rPr>
              <w:t>ign of options 3 and 4. The report should clarify the limits of options 3a (compliance with European standards) to better demonstrate the benefits of option 4 (in particular 4b: declaration of compliance). For both options, it should clearly mention the ri</w:t>
            </w:r>
            <w:r>
              <w:rPr>
                <w:rFonts w:eastAsiaTheme="minorHAnsi"/>
                <w:noProof/>
                <w:szCs w:val="24"/>
              </w:rPr>
              <w:t xml:space="preserve">sks and responsibilities for stakeholders. In particular, the report should clarify that the burden on proof will shift from companies to national administrations. In short, it should explain how the more ambitious alternatives in option 4 would supersede </w:t>
            </w:r>
            <w:r>
              <w:rPr>
                <w:rFonts w:eastAsiaTheme="minorHAnsi"/>
                <w:noProof/>
                <w:szCs w:val="24"/>
              </w:rPr>
              <w:t xml:space="preserve">options 3a and 3b. </w:t>
            </w:r>
          </w:p>
          <w:p w:rsidR="0037666B" w:rsidRDefault="00C627B8">
            <w:pPr>
              <w:autoSpaceDE w:val="0"/>
              <w:autoSpaceDN w:val="0"/>
              <w:adjustRightInd w:val="0"/>
              <w:spacing w:after="0"/>
              <w:rPr>
                <w:noProof/>
              </w:rPr>
            </w:pPr>
            <w:r>
              <w:rPr>
                <w:rFonts w:eastAsiaTheme="minorHAnsi"/>
                <w:noProof/>
                <w:szCs w:val="24"/>
              </w:rPr>
              <w:t>The report should make clear how the fast-track provision would work in practice and what will happen to the list of products.</w:t>
            </w:r>
          </w:p>
        </w:tc>
        <w:tc>
          <w:tcPr>
            <w:tcW w:w="4378" w:type="dxa"/>
          </w:tcPr>
          <w:p w:rsidR="0037666B" w:rsidRDefault="0037666B">
            <w:pPr>
              <w:spacing w:after="0"/>
              <w:rPr>
                <w:noProof/>
              </w:rPr>
            </w:pPr>
          </w:p>
          <w:p w:rsidR="0037666B" w:rsidRDefault="00C627B8">
            <w:pPr>
              <w:spacing w:after="0"/>
              <w:rPr>
                <w:noProof/>
              </w:rPr>
            </w:pPr>
            <w:r>
              <w:rPr>
                <w:noProof/>
              </w:rPr>
              <w:t xml:space="preserve">In Section 6.1 on discarded options, it is explained in more detail while, despite its ineffectiveness, the </w:t>
            </w:r>
            <w:r>
              <w:rPr>
                <w:noProof/>
              </w:rPr>
              <w:t>Regulation is not repealed but that certain of its provisions can be removed.</w:t>
            </w:r>
          </w:p>
          <w:p w:rsidR="0037666B" w:rsidRDefault="0037666B">
            <w:pPr>
              <w:spacing w:after="0"/>
              <w:rPr>
                <w:noProof/>
              </w:rPr>
            </w:pPr>
          </w:p>
          <w:p w:rsidR="0037666B" w:rsidRDefault="00C627B8">
            <w:pPr>
              <w:spacing w:after="0"/>
              <w:rPr>
                <w:noProof/>
              </w:rPr>
            </w:pPr>
            <w:r>
              <w:rPr>
                <w:noProof/>
              </w:rPr>
              <w:t>The advantages of preserving Product contact Points has been further explained in the description of option 3 in section 6.4.</w:t>
            </w:r>
          </w:p>
          <w:p w:rsidR="0037666B" w:rsidRDefault="00C627B8">
            <w:pPr>
              <w:spacing w:after="0"/>
              <w:rPr>
                <w:noProof/>
              </w:rPr>
            </w:pPr>
            <w:r>
              <w:rPr>
                <w:noProof/>
              </w:rPr>
              <w:t xml:space="preserve">The introduction to section 6 on the Options </w:t>
            </w:r>
            <w:r>
              <w:rPr>
                <w:noProof/>
              </w:rPr>
              <w:t>explains more clearly the construction of the options. Further explanations have also been added on options 3 and 4 to clarify how they relate to each other.</w:t>
            </w: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37666B">
            <w:pPr>
              <w:spacing w:after="0"/>
              <w:rPr>
                <w:noProof/>
              </w:rPr>
            </w:pPr>
          </w:p>
          <w:p w:rsidR="0037666B" w:rsidRDefault="00C627B8">
            <w:pPr>
              <w:spacing w:after="0"/>
              <w:rPr>
                <w:noProof/>
              </w:rPr>
            </w:pPr>
            <w:r>
              <w:rPr>
                <w:noProof/>
              </w:rPr>
              <w:t>Option 4 has been further elaborated to clarify the fast-track appeal procedure.</w:t>
            </w:r>
          </w:p>
          <w:p w:rsidR="0037666B" w:rsidRDefault="00C627B8">
            <w:pPr>
              <w:spacing w:after="0"/>
              <w:rPr>
                <w:noProof/>
              </w:rPr>
            </w:pPr>
            <w:r>
              <w:rPr>
                <w:noProof/>
              </w:rPr>
              <w:t>The po</w:t>
            </w:r>
            <w:r>
              <w:rPr>
                <w:noProof/>
              </w:rPr>
              <w:t>ssibility to review and make more user friendly the list of product is now specifically included in option 2, in section 6.3.</w:t>
            </w:r>
          </w:p>
        </w:tc>
      </w:tr>
      <w:tr w:rsidR="0037666B">
        <w:tc>
          <w:tcPr>
            <w:tcW w:w="4377" w:type="dxa"/>
          </w:tcPr>
          <w:p w:rsidR="0037666B" w:rsidRDefault="00C627B8">
            <w:pPr>
              <w:autoSpaceDE w:val="0"/>
              <w:autoSpaceDN w:val="0"/>
              <w:adjustRightInd w:val="0"/>
              <w:spacing w:after="0"/>
              <w:jc w:val="left"/>
              <w:rPr>
                <w:rFonts w:eastAsiaTheme="minorHAnsi"/>
                <w:b/>
                <w:bCs/>
                <w:noProof/>
                <w:szCs w:val="24"/>
              </w:rPr>
            </w:pPr>
            <w:r>
              <w:rPr>
                <w:rFonts w:eastAsiaTheme="minorHAnsi"/>
                <w:b/>
                <w:bCs/>
                <w:noProof/>
                <w:szCs w:val="24"/>
              </w:rPr>
              <w:t>(3) Impacts</w:t>
            </w:r>
          </w:p>
          <w:p w:rsidR="0037666B" w:rsidRDefault="00C627B8">
            <w:pPr>
              <w:autoSpaceDE w:val="0"/>
              <w:autoSpaceDN w:val="0"/>
              <w:adjustRightInd w:val="0"/>
              <w:spacing w:after="0"/>
              <w:rPr>
                <w:rFonts w:eastAsiaTheme="minorHAnsi"/>
                <w:noProof/>
                <w:szCs w:val="24"/>
              </w:rPr>
            </w:pPr>
            <w:r>
              <w:rPr>
                <w:rFonts w:eastAsiaTheme="minorHAnsi"/>
                <w:noProof/>
                <w:szCs w:val="24"/>
              </w:rPr>
              <w:t>The analysis of impacts should refer to experience from existing single market tools (in particular from the harmonis</w:t>
            </w:r>
            <w:r>
              <w:rPr>
                <w:rFonts w:eastAsiaTheme="minorHAnsi"/>
                <w:noProof/>
                <w:szCs w:val="24"/>
              </w:rPr>
              <w:t>ed field) and the risks involved. The report should outline the existing Commission and Member State commitments, in particular in terms of resources.</w:t>
            </w:r>
          </w:p>
          <w:p w:rsidR="0037666B" w:rsidRDefault="00C627B8">
            <w:pPr>
              <w:autoSpaceDE w:val="0"/>
              <w:autoSpaceDN w:val="0"/>
              <w:adjustRightInd w:val="0"/>
              <w:spacing w:after="0"/>
              <w:rPr>
                <w:rFonts w:eastAsiaTheme="minorHAnsi"/>
                <w:noProof/>
                <w:szCs w:val="24"/>
              </w:rPr>
            </w:pPr>
            <w:r>
              <w:rPr>
                <w:rFonts w:eastAsiaTheme="minorHAnsi"/>
                <w:noProof/>
                <w:szCs w:val="24"/>
              </w:rPr>
              <w:t>It should explain the changes which the initiative would make for them.</w:t>
            </w:r>
          </w:p>
          <w:p w:rsidR="0037666B" w:rsidRDefault="00C627B8">
            <w:pPr>
              <w:autoSpaceDE w:val="0"/>
              <w:autoSpaceDN w:val="0"/>
              <w:adjustRightInd w:val="0"/>
              <w:spacing w:after="0"/>
              <w:rPr>
                <w:rFonts w:eastAsiaTheme="minorHAnsi"/>
                <w:noProof/>
                <w:szCs w:val="24"/>
              </w:rPr>
            </w:pPr>
            <w:r>
              <w:rPr>
                <w:rFonts w:eastAsiaTheme="minorHAnsi"/>
                <w:noProof/>
                <w:szCs w:val="24"/>
              </w:rPr>
              <w:t xml:space="preserve">Given the likely increase in </w:t>
            </w:r>
            <w:r>
              <w:rPr>
                <w:rFonts w:eastAsiaTheme="minorHAnsi"/>
                <w:noProof/>
                <w:szCs w:val="24"/>
              </w:rPr>
              <w:t>burden for national administrations, the report should make realistic (quantified) estimates of resource implications. It should further justify that the legal certainty provided by the declaration of compliance (option 4b) would outweigh the corresponding</w:t>
            </w:r>
            <w:r>
              <w:rPr>
                <w:rFonts w:eastAsiaTheme="minorHAnsi"/>
                <w:noProof/>
                <w:szCs w:val="24"/>
              </w:rPr>
              <w:t xml:space="preserve"> administrative burden.</w:t>
            </w:r>
          </w:p>
          <w:p w:rsidR="0037666B" w:rsidRDefault="00C627B8">
            <w:pPr>
              <w:autoSpaceDE w:val="0"/>
              <w:autoSpaceDN w:val="0"/>
              <w:adjustRightInd w:val="0"/>
              <w:spacing w:after="0"/>
              <w:rPr>
                <w:rFonts w:eastAsiaTheme="minorHAnsi"/>
                <w:noProof/>
                <w:szCs w:val="24"/>
              </w:rPr>
            </w:pPr>
            <w:r>
              <w:rPr>
                <w:rFonts w:eastAsiaTheme="minorHAnsi"/>
                <w:noProof/>
                <w:szCs w:val="24"/>
              </w:rPr>
              <w:t>Given the initiative's REFIT dimension, the report should more clearly identify the potential for simplification. It should also estimate the potential reduction of administrative burden for companies (identified in the related eval</w:t>
            </w:r>
            <w:r>
              <w:rPr>
                <w:rFonts w:eastAsiaTheme="minorHAnsi"/>
                <w:noProof/>
                <w:szCs w:val="24"/>
              </w:rPr>
              <w:t>uation).</w:t>
            </w:r>
          </w:p>
          <w:p w:rsidR="0037666B" w:rsidRDefault="00C627B8">
            <w:pPr>
              <w:autoSpaceDE w:val="0"/>
              <w:autoSpaceDN w:val="0"/>
              <w:adjustRightInd w:val="0"/>
              <w:spacing w:after="0"/>
              <w:rPr>
                <w:noProof/>
              </w:rPr>
            </w:pPr>
            <w:r>
              <w:rPr>
                <w:rFonts w:eastAsiaTheme="minorHAnsi"/>
                <w:noProof/>
                <w:szCs w:val="24"/>
              </w:rPr>
              <w:t>The report should explain to what extent this initiative and others under revision (e.g. market surveillance, Solvit, Single Digital Gateway) would have a meaningful impact on the functioning of the internal market for goods.</w:t>
            </w:r>
          </w:p>
        </w:tc>
        <w:tc>
          <w:tcPr>
            <w:tcW w:w="4378" w:type="dxa"/>
          </w:tcPr>
          <w:p w:rsidR="0037666B" w:rsidRDefault="0037666B">
            <w:pPr>
              <w:spacing w:after="0"/>
              <w:rPr>
                <w:noProof/>
              </w:rPr>
            </w:pPr>
          </w:p>
          <w:p w:rsidR="0037666B" w:rsidRDefault="00C627B8">
            <w:pPr>
              <w:spacing w:after="0"/>
              <w:rPr>
                <w:noProof/>
              </w:rPr>
            </w:pPr>
            <w:r>
              <w:rPr>
                <w:noProof/>
              </w:rPr>
              <w:t>Section 7 on the Imp</w:t>
            </w:r>
            <w:r>
              <w:rPr>
                <w:noProof/>
              </w:rPr>
              <w:t>acts has been amended to address these remarks and explanations on the experience from the harmonised field have also been added to Section 6 on the description of the options.</w:t>
            </w:r>
          </w:p>
          <w:p w:rsidR="0037666B" w:rsidRDefault="0037666B">
            <w:pPr>
              <w:spacing w:after="0"/>
              <w:rPr>
                <w:noProof/>
              </w:rPr>
            </w:pPr>
          </w:p>
          <w:p w:rsidR="0037666B" w:rsidRDefault="00C627B8">
            <w:pPr>
              <w:spacing w:after="0"/>
              <w:rPr>
                <w:noProof/>
              </w:rPr>
            </w:pPr>
            <w:r>
              <w:rPr>
                <w:noProof/>
              </w:rPr>
              <w:t xml:space="preserve">An estimation of the burden that the declaration of compliance will represent </w:t>
            </w:r>
            <w:r>
              <w:rPr>
                <w:noProof/>
              </w:rPr>
              <w:t>for companies and the expected benefits which are expected to result from it has been included in the analysis of the impacts of option 4.</w:t>
            </w:r>
          </w:p>
          <w:p w:rsidR="0037666B" w:rsidRDefault="00C627B8">
            <w:pPr>
              <w:spacing w:after="0"/>
              <w:rPr>
                <w:noProof/>
              </w:rPr>
            </w:pPr>
            <w:r>
              <w:rPr>
                <w:noProof/>
              </w:rPr>
              <w:t>The conclusion on the comparison of the options in section 8 has been revised to indicate more clearly the expected b</w:t>
            </w:r>
            <w:r>
              <w:rPr>
                <w:noProof/>
              </w:rPr>
              <w:t xml:space="preserve">enefits of the preferred options for the free movement of goods ant the functioning of the single market. </w:t>
            </w:r>
          </w:p>
          <w:p w:rsidR="0037666B" w:rsidRDefault="00C627B8">
            <w:pPr>
              <w:spacing w:after="0"/>
              <w:rPr>
                <w:noProof/>
              </w:rPr>
            </w:pPr>
            <w:r>
              <w:rPr>
                <w:noProof/>
              </w:rPr>
              <w:t>A new section 8.4 has been included to address the potential for reduction of administrative burden in the context of the REFIT initiative.</w:t>
            </w:r>
          </w:p>
          <w:p w:rsidR="0037666B" w:rsidRDefault="00C627B8">
            <w:pPr>
              <w:spacing w:after="0"/>
              <w:rPr>
                <w:noProof/>
              </w:rPr>
            </w:pPr>
            <w:r>
              <w:rPr>
                <w:noProof/>
              </w:rPr>
              <w:t>The Intro</w:t>
            </w:r>
            <w:r>
              <w:rPr>
                <w:noProof/>
              </w:rPr>
              <w:t>duction has also been amended to reflect how this initiative links with others under revision to have an impact on the internal market.</w:t>
            </w:r>
          </w:p>
        </w:tc>
      </w:tr>
      <w:tr w:rsidR="0037666B">
        <w:tc>
          <w:tcPr>
            <w:tcW w:w="4377" w:type="dxa"/>
          </w:tcPr>
          <w:p w:rsidR="0037666B" w:rsidRDefault="00C627B8">
            <w:pPr>
              <w:autoSpaceDE w:val="0"/>
              <w:autoSpaceDN w:val="0"/>
              <w:adjustRightInd w:val="0"/>
              <w:spacing w:after="0"/>
              <w:jc w:val="left"/>
              <w:rPr>
                <w:rFonts w:eastAsiaTheme="minorHAnsi"/>
                <w:b/>
                <w:bCs/>
                <w:noProof/>
                <w:szCs w:val="24"/>
              </w:rPr>
            </w:pPr>
            <w:r>
              <w:rPr>
                <w:rFonts w:eastAsiaTheme="minorHAnsi"/>
                <w:b/>
                <w:bCs/>
                <w:noProof/>
                <w:szCs w:val="24"/>
              </w:rPr>
              <w:t>(4) Comparison of options</w:t>
            </w:r>
          </w:p>
          <w:p w:rsidR="0037666B" w:rsidRDefault="00C627B8">
            <w:pPr>
              <w:autoSpaceDE w:val="0"/>
              <w:autoSpaceDN w:val="0"/>
              <w:adjustRightInd w:val="0"/>
              <w:spacing w:after="0"/>
              <w:rPr>
                <w:rFonts w:eastAsiaTheme="minorHAnsi"/>
                <w:noProof/>
                <w:szCs w:val="24"/>
              </w:rPr>
            </w:pPr>
            <w:r>
              <w:rPr>
                <w:rFonts w:eastAsiaTheme="minorHAnsi"/>
                <w:noProof/>
                <w:szCs w:val="24"/>
              </w:rPr>
              <w:t>In the absence of solid evidence, the report should better substantiate the high scores given</w:t>
            </w:r>
            <w:r>
              <w:rPr>
                <w:rFonts w:eastAsiaTheme="minorHAnsi"/>
                <w:noProof/>
                <w:szCs w:val="24"/>
              </w:rPr>
              <w:t xml:space="preserve"> to some of the options. For instance, what evidence is there to show that the action plan (option 2) would have a very positive impact ('++') on the increase of awareness?</w:t>
            </w:r>
          </w:p>
          <w:p w:rsidR="0037666B" w:rsidRDefault="0037666B">
            <w:pPr>
              <w:autoSpaceDE w:val="0"/>
              <w:autoSpaceDN w:val="0"/>
              <w:adjustRightInd w:val="0"/>
              <w:spacing w:after="0"/>
              <w:rPr>
                <w:noProof/>
              </w:rPr>
            </w:pPr>
          </w:p>
        </w:tc>
        <w:tc>
          <w:tcPr>
            <w:tcW w:w="4378" w:type="dxa"/>
          </w:tcPr>
          <w:p w:rsidR="0037666B" w:rsidRDefault="0037666B">
            <w:pPr>
              <w:spacing w:after="0"/>
              <w:rPr>
                <w:noProof/>
              </w:rPr>
            </w:pPr>
          </w:p>
          <w:p w:rsidR="0037666B" w:rsidRDefault="00C627B8">
            <w:pPr>
              <w:spacing w:after="0"/>
              <w:rPr>
                <w:noProof/>
              </w:rPr>
            </w:pPr>
            <w:r>
              <w:rPr>
                <w:noProof/>
              </w:rPr>
              <w:t>The report now includes explanations on the scores given to the different options</w:t>
            </w:r>
            <w:r>
              <w:rPr>
                <w:noProof/>
              </w:rPr>
              <w:t xml:space="preserve"> against each of the policy drivers.    </w:t>
            </w:r>
          </w:p>
        </w:tc>
      </w:tr>
      <w:tr w:rsidR="0037666B">
        <w:tc>
          <w:tcPr>
            <w:tcW w:w="4377" w:type="dxa"/>
          </w:tcPr>
          <w:p w:rsidR="0037666B" w:rsidRDefault="00C627B8">
            <w:pPr>
              <w:autoSpaceDE w:val="0"/>
              <w:autoSpaceDN w:val="0"/>
              <w:adjustRightInd w:val="0"/>
              <w:spacing w:after="0"/>
              <w:jc w:val="left"/>
              <w:rPr>
                <w:rFonts w:eastAsiaTheme="minorHAnsi"/>
                <w:b/>
                <w:bCs/>
                <w:noProof/>
                <w:szCs w:val="24"/>
              </w:rPr>
            </w:pPr>
            <w:r>
              <w:rPr>
                <w:rFonts w:eastAsiaTheme="minorHAnsi"/>
                <w:b/>
                <w:bCs/>
                <w:noProof/>
                <w:szCs w:val="24"/>
              </w:rPr>
              <w:t>(5) Future monitoring and evaluation</w:t>
            </w:r>
          </w:p>
          <w:p w:rsidR="0037666B" w:rsidRDefault="00C627B8">
            <w:pPr>
              <w:autoSpaceDE w:val="0"/>
              <w:autoSpaceDN w:val="0"/>
              <w:adjustRightInd w:val="0"/>
              <w:spacing w:after="0"/>
              <w:rPr>
                <w:rFonts w:eastAsiaTheme="minorHAnsi"/>
                <w:noProof/>
                <w:szCs w:val="24"/>
              </w:rPr>
            </w:pPr>
            <w:r>
              <w:rPr>
                <w:rFonts w:eastAsiaTheme="minorHAnsi"/>
                <w:noProof/>
                <w:szCs w:val="24"/>
              </w:rPr>
              <w:t xml:space="preserve">The report should outline more clearly operational monitoring and evaluation arrangements. It should indicate benchmarks against which the Commission will assess the success of </w:t>
            </w:r>
            <w:r>
              <w:rPr>
                <w:rFonts w:eastAsiaTheme="minorHAnsi"/>
                <w:noProof/>
                <w:szCs w:val="24"/>
              </w:rPr>
              <w:t>the initiative.</w:t>
            </w:r>
          </w:p>
          <w:p w:rsidR="0037666B" w:rsidRDefault="00C627B8">
            <w:pPr>
              <w:spacing w:after="0"/>
              <w:rPr>
                <w:noProof/>
              </w:rPr>
            </w:pPr>
            <w:r>
              <w:rPr>
                <w:rFonts w:eastAsiaTheme="minorHAnsi"/>
                <w:i/>
                <w:iCs/>
                <w:noProof/>
                <w:szCs w:val="24"/>
              </w:rPr>
              <w:t>Some more technical comments have been transmitted directly to the author DG</w:t>
            </w:r>
          </w:p>
        </w:tc>
        <w:tc>
          <w:tcPr>
            <w:tcW w:w="4378" w:type="dxa"/>
          </w:tcPr>
          <w:p w:rsidR="0037666B" w:rsidRDefault="0037666B">
            <w:pPr>
              <w:spacing w:after="0"/>
              <w:rPr>
                <w:noProof/>
              </w:rPr>
            </w:pPr>
          </w:p>
          <w:p w:rsidR="0037666B" w:rsidRDefault="00C627B8">
            <w:pPr>
              <w:spacing w:after="0"/>
              <w:rPr>
                <w:noProof/>
              </w:rPr>
            </w:pPr>
            <w:r>
              <w:rPr>
                <w:noProof/>
              </w:rPr>
              <w:t>Section 9 on monitoring and evaluation has been amended to include more specific benchmarks.</w:t>
            </w:r>
          </w:p>
          <w:p w:rsidR="0037666B" w:rsidRDefault="0037666B">
            <w:pPr>
              <w:spacing w:after="0"/>
              <w:rPr>
                <w:noProof/>
              </w:rPr>
            </w:pPr>
          </w:p>
          <w:p w:rsidR="0037666B" w:rsidRDefault="0037666B">
            <w:pPr>
              <w:spacing w:after="0"/>
              <w:rPr>
                <w:noProof/>
              </w:rPr>
            </w:pPr>
          </w:p>
          <w:p w:rsidR="0037666B" w:rsidRDefault="0037666B">
            <w:pPr>
              <w:spacing w:after="0"/>
              <w:rPr>
                <w:i/>
                <w:noProof/>
              </w:rPr>
            </w:pPr>
          </w:p>
          <w:p w:rsidR="0037666B" w:rsidRDefault="00C627B8">
            <w:pPr>
              <w:spacing w:after="0"/>
              <w:rPr>
                <w:i/>
                <w:noProof/>
              </w:rPr>
            </w:pPr>
            <w:r>
              <w:rPr>
                <w:i/>
                <w:noProof/>
              </w:rPr>
              <w:t xml:space="preserve">The report also includes a number of other changes to address the </w:t>
            </w:r>
            <w:r>
              <w:rPr>
                <w:i/>
                <w:noProof/>
              </w:rPr>
              <w:t>more detailed comments received ahead of the meeting of the RSB.</w:t>
            </w:r>
          </w:p>
        </w:tc>
      </w:tr>
    </w:tbl>
    <w:p w:rsidR="0037666B" w:rsidRDefault="00C627B8">
      <w:pPr>
        <w:pStyle w:val="Heading1"/>
        <w:keepNext w:val="0"/>
        <w:ind w:left="482" w:hanging="482"/>
        <w:rPr>
          <w:noProof/>
          <w:szCs w:val="24"/>
        </w:rPr>
      </w:pPr>
      <w:bookmarkStart w:id="38" w:name="_Toc483992748"/>
      <w:r>
        <w:rPr>
          <w:noProof/>
          <w:szCs w:val="24"/>
        </w:rPr>
        <w:t>Consultation and Expertise</w:t>
      </w:r>
      <w:bookmarkEnd w:id="38"/>
    </w:p>
    <w:p w:rsidR="0037666B" w:rsidRDefault="00C627B8">
      <w:pPr>
        <w:pStyle w:val="Text2"/>
        <w:ind w:left="0"/>
        <w:rPr>
          <w:rFonts w:eastAsiaTheme="minorHAnsi"/>
          <w:noProof/>
          <w:szCs w:val="24"/>
        </w:rPr>
      </w:pPr>
      <w:r>
        <w:rPr>
          <w:noProof/>
          <w:szCs w:val="24"/>
        </w:rPr>
        <w:t>The application of the principle of mutual recognition, including the functioning of the Regulation has been subject to an evaluation</w:t>
      </w:r>
      <w:r>
        <w:rPr>
          <w:rStyle w:val="FootnoteReference"/>
          <w:noProof/>
          <w:szCs w:val="24"/>
        </w:rPr>
        <w:footnoteReference w:id="118"/>
      </w:r>
      <w:r>
        <w:rPr>
          <w:noProof/>
          <w:szCs w:val="24"/>
        </w:rPr>
        <w:t xml:space="preserve">. As part of that process, </w:t>
      </w:r>
      <w:r>
        <w:rPr>
          <w:rFonts w:eastAsiaTheme="minorHAnsi"/>
          <w:noProof/>
          <w:szCs w:val="24"/>
        </w:rPr>
        <w:t>an</w:t>
      </w:r>
      <w:r>
        <w:rPr>
          <w:rFonts w:eastAsiaTheme="minorHAnsi"/>
          <w:noProof/>
          <w:szCs w:val="24"/>
        </w:rPr>
        <w:t xml:space="preserve"> external evaluation on the application of the principle of mutual recognition was conducted</w:t>
      </w:r>
      <w:r>
        <w:rPr>
          <w:rFonts w:eastAsiaTheme="minorHAnsi"/>
          <w:noProof/>
          <w:szCs w:val="24"/>
          <w:vertAlign w:val="superscript"/>
        </w:rPr>
        <w:footnoteReference w:id="119"/>
      </w:r>
      <w:r>
        <w:rPr>
          <w:rFonts w:eastAsiaTheme="minorHAnsi"/>
          <w:noProof/>
          <w:szCs w:val="24"/>
        </w:rPr>
        <w:t>. Its aim was to evaluate the application of the mutual recognition principle by Member States, in order to identify shortcomings and to present possible ways of e</w:t>
      </w:r>
      <w:r>
        <w:rPr>
          <w:rFonts w:eastAsiaTheme="minorHAnsi"/>
          <w:noProof/>
          <w:szCs w:val="24"/>
        </w:rPr>
        <w:t xml:space="preserve">nhancing the application of the principle. </w:t>
      </w:r>
      <w:r>
        <w:rPr>
          <w:noProof/>
          <w:szCs w:val="24"/>
        </w:rPr>
        <w:t>The external evaluation was based on a combination of data sources and data collection tools, which included a literature review, statistical data, web-based surveys among different target groups and in-depth inte</w:t>
      </w:r>
      <w:r>
        <w:rPr>
          <w:noProof/>
          <w:szCs w:val="24"/>
        </w:rPr>
        <w:t xml:space="preserve">rviews with Member States and relevant stakeholders. The study was conducted between 2014 and 2015, over the course of 9 months. </w:t>
      </w:r>
    </w:p>
    <w:p w:rsidR="0037666B" w:rsidRDefault="00C627B8">
      <w:pPr>
        <w:pStyle w:val="Text2"/>
        <w:ind w:left="0"/>
        <w:rPr>
          <w:rFonts w:eastAsiaTheme="minorHAnsi"/>
          <w:noProof/>
          <w:szCs w:val="24"/>
        </w:rPr>
      </w:pPr>
      <w:r>
        <w:rPr>
          <w:rFonts w:eastAsiaTheme="minorHAnsi"/>
          <w:noProof/>
          <w:szCs w:val="24"/>
        </w:rPr>
        <w:t>In the framework of the external study for the evaluation mentioned above, four different surveys were launched on 9 October 2</w:t>
      </w:r>
      <w:r>
        <w:rPr>
          <w:rFonts w:eastAsiaTheme="minorHAnsi"/>
          <w:noProof/>
          <w:szCs w:val="24"/>
        </w:rPr>
        <w:t xml:space="preserve">014 and completed on 5 January 2015. These were a company survey, a survey of national business associations, a survey of national sector associations, and a product contact point survey. Following the survey, qualitative interviews with national business </w:t>
      </w:r>
      <w:r>
        <w:rPr>
          <w:rFonts w:eastAsiaTheme="minorHAnsi"/>
          <w:noProof/>
          <w:szCs w:val="24"/>
        </w:rPr>
        <w:t>associations and Product Contact Points in each Member State were also carried out. The objective of the qualitative interviews was to shed more light on the implementation of the mutual recognition principle in the Member States, in particular with respec</w:t>
      </w:r>
      <w:r>
        <w:rPr>
          <w:rFonts w:eastAsiaTheme="minorHAnsi"/>
          <w:noProof/>
          <w:szCs w:val="24"/>
        </w:rPr>
        <w:t xml:space="preserve">t to ‘sensitive’ areas such as notification practices (or lack thereof). </w:t>
      </w:r>
    </w:p>
    <w:p w:rsidR="0037666B" w:rsidRDefault="00C627B8">
      <w:pPr>
        <w:pStyle w:val="Text2"/>
        <w:ind w:left="0"/>
        <w:rPr>
          <w:noProof/>
          <w:szCs w:val="24"/>
        </w:rPr>
      </w:pPr>
      <w:r>
        <w:rPr>
          <w:noProof/>
          <w:szCs w:val="24"/>
        </w:rPr>
        <w:t xml:space="preserve">In addition, a stakeholders' event titled "Single Market for Products: Fresh ideas to unleash the full potential" was organised on 17 June 2016 and dealt with, amongst other things, </w:t>
      </w:r>
      <w:r>
        <w:rPr>
          <w:noProof/>
          <w:szCs w:val="24"/>
        </w:rPr>
        <w:t xml:space="preserve">the application of mutual recognition, to identify the main issues related to its functioning and to identify possible ways forward. 144 participants attended the event, representing businesses (62), national authorities (60) and others (22). </w:t>
      </w:r>
    </w:p>
    <w:p w:rsidR="0037666B" w:rsidRDefault="00C627B8">
      <w:pPr>
        <w:pStyle w:val="Text2"/>
        <w:ind w:left="0"/>
        <w:rPr>
          <w:noProof/>
          <w:szCs w:val="24"/>
        </w:rPr>
      </w:pPr>
      <w:r>
        <w:rPr>
          <w:noProof/>
          <w:szCs w:val="24"/>
        </w:rPr>
        <w:t>Following th</w:t>
      </w:r>
      <w:r>
        <w:rPr>
          <w:noProof/>
          <w:szCs w:val="24"/>
        </w:rPr>
        <w:t>e delimitation of the scope of this Impact Assessment, an online public consultation was carried on from the 1</w:t>
      </w:r>
      <w:r>
        <w:rPr>
          <w:noProof/>
          <w:szCs w:val="24"/>
          <w:vertAlign w:val="superscript"/>
        </w:rPr>
        <w:t>st</w:t>
      </w:r>
      <w:r>
        <w:rPr>
          <w:noProof/>
          <w:szCs w:val="24"/>
        </w:rPr>
        <w:t xml:space="preserve"> of June until the 30 of September 2016 (17 weeks) accessible via the </w:t>
      </w:r>
      <w:r>
        <w:rPr>
          <w:i/>
          <w:noProof/>
          <w:szCs w:val="24"/>
        </w:rPr>
        <w:t>Your voice in Europe</w:t>
      </w:r>
      <w:r>
        <w:rPr>
          <w:noProof/>
          <w:szCs w:val="24"/>
        </w:rPr>
        <w:t xml:space="preserve"> website. The consultation was made available to the g</w:t>
      </w:r>
      <w:r>
        <w:rPr>
          <w:noProof/>
          <w:szCs w:val="24"/>
        </w:rPr>
        <w:t xml:space="preserve">eneral public, and aimed to gather data on the functioning of mutual recognition, the current problems as well as possible options for improvement. </w:t>
      </w:r>
      <w:r>
        <w:rPr>
          <w:b/>
          <w:noProof/>
          <w:szCs w:val="24"/>
        </w:rPr>
        <w:t>153</w:t>
      </w:r>
      <w:r>
        <w:rPr>
          <w:noProof/>
          <w:szCs w:val="24"/>
        </w:rPr>
        <w:t xml:space="preserve"> replies were received during the public consultation, representing 91 companies, 45 national authorities</w:t>
      </w:r>
      <w:r>
        <w:rPr>
          <w:noProof/>
          <w:szCs w:val="24"/>
        </w:rPr>
        <w:t xml:space="preserve"> and 17 citizens.</w:t>
      </w:r>
    </w:p>
    <w:p w:rsidR="0037666B" w:rsidRDefault="00C627B8">
      <w:pPr>
        <w:pStyle w:val="Text2"/>
        <w:ind w:left="0"/>
        <w:rPr>
          <w:noProof/>
          <w:szCs w:val="24"/>
        </w:rPr>
      </w:pPr>
      <w:r>
        <w:rPr>
          <w:noProof/>
          <w:szCs w:val="24"/>
        </w:rPr>
        <w:t xml:space="preserve">Simultaneously with the online public consultation, or shortly thereafter, the Commission received position papers from a number of stakeholders, including consumer organisations, business associations, Member States, individual economic </w:t>
      </w:r>
      <w:r>
        <w:rPr>
          <w:noProof/>
          <w:szCs w:val="24"/>
        </w:rPr>
        <w:t>operators etc. The summary of opinions of these stakeholders is set out in Annex 2.</w:t>
      </w:r>
    </w:p>
    <w:p w:rsidR="0037666B" w:rsidRDefault="00C627B8">
      <w:pPr>
        <w:pStyle w:val="Text2"/>
        <w:ind w:left="0"/>
        <w:rPr>
          <w:noProof/>
          <w:szCs w:val="24"/>
        </w:rPr>
      </w:pPr>
      <w:r>
        <w:rPr>
          <w:noProof/>
          <w:szCs w:val="24"/>
        </w:rPr>
        <w:t>Stakeholders' views were also discussed in bilateral meetings that took place during 2016.</w:t>
      </w:r>
    </w:p>
    <w:p w:rsidR="0037666B" w:rsidRDefault="00C627B8">
      <w:pPr>
        <w:pStyle w:val="Text2"/>
        <w:ind w:left="0"/>
        <w:rPr>
          <w:noProof/>
          <w:szCs w:val="24"/>
        </w:rPr>
      </w:pPr>
      <w:r>
        <w:rPr>
          <w:noProof/>
          <w:szCs w:val="24"/>
        </w:rPr>
        <w:t xml:space="preserve">During the 8th meeting of the Consultative Committee on mutual recognition which </w:t>
      </w:r>
      <w:r>
        <w:rPr>
          <w:noProof/>
          <w:szCs w:val="24"/>
        </w:rPr>
        <w:t>took place on 25 October 2016, the problem definition and drivers as well as the envisaged options were presented and discussed with Member States representatives.</w:t>
      </w:r>
    </w:p>
    <w:p w:rsidR="0037666B" w:rsidRDefault="00C627B8">
      <w:pPr>
        <w:pStyle w:val="Text2"/>
        <w:ind w:left="0"/>
        <w:rPr>
          <w:noProof/>
          <w:szCs w:val="24"/>
        </w:rPr>
      </w:pPr>
      <w:r>
        <w:rPr>
          <w:noProof/>
          <w:szCs w:val="24"/>
        </w:rPr>
        <w:t>The Commission presented the initiative and sought the views of SMEs at the Small Business A</w:t>
      </w:r>
      <w:r>
        <w:rPr>
          <w:noProof/>
          <w:szCs w:val="24"/>
        </w:rPr>
        <w:t>ct regular meeting with European SME associations on 7 December 2016.</w:t>
      </w:r>
    </w:p>
    <w:p w:rsidR="0037666B" w:rsidRDefault="00C627B8">
      <w:pPr>
        <w:pStyle w:val="Text2"/>
        <w:ind w:left="0"/>
        <w:rPr>
          <w:noProof/>
          <w:szCs w:val="24"/>
        </w:rPr>
      </w:pPr>
      <w:r>
        <w:rPr>
          <w:noProof/>
          <w:szCs w:val="24"/>
        </w:rPr>
        <w:t xml:space="preserve">To provide input for this Impact Assessment, a study on the costs and benefits of the revision of the Mutual Recognition Regulation was carried out between September 2016 and March 2017 </w:t>
      </w:r>
      <w:r>
        <w:rPr>
          <w:noProof/>
          <w:szCs w:val="24"/>
        </w:rPr>
        <w:t>in order to estimate the magnitude of the problem triggered by a suboptimal functioning of mutual recognition and to analyse the impacts of the different options envisaged for addressing this problem. In the context of this study, a survey was conducted in</w:t>
      </w:r>
      <w:r>
        <w:rPr>
          <w:noProof/>
          <w:szCs w:val="24"/>
        </w:rPr>
        <w:t xml:space="preserve"> December 2016 and January 2017, addressing different categories of stakeholders. In parallel, the contractor carried out 25 targeted interviews, addressing different categories of stakeholders such as Member States and business associations. Five case stu</w:t>
      </w:r>
      <w:r>
        <w:rPr>
          <w:noProof/>
          <w:szCs w:val="24"/>
        </w:rPr>
        <w:t>dies were also further investigated, in order to corroborate the findings and ensure their robustness, while illustrating in practical terms the implication and impacts of the specific issues at stake.</w:t>
      </w:r>
    </w:p>
    <w:p w:rsidR="0037666B" w:rsidRDefault="00C627B8">
      <w:pPr>
        <w:pStyle w:val="Text2"/>
        <w:ind w:left="0"/>
        <w:rPr>
          <w:noProof/>
          <w:szCs w:val="24"/>
        </w:rPr>
      </w:pPr>
      <w:r>
        <w:rPr>
          <w:noProof/>
          <w:szCs w:val="24"/>
        </w:rPr>
        <w:t>Desk research was conducted for the purpose of the eva</w:t>
      </w:r>
      <w:r>
        <w:rPr>
          <w:noProof/>
          <w:szCs w:val="24"/>
        </w:rPr>
        <w:t xml:space="preserve">luation of the mutual recognition principle and Regulation, by the contractors in the framework of the external studies mentioned under 2.1 and by the Commission's services.  Available literature on the topic, annual reports from the Member States as well </w:t>
      </w:r>
      <w:r>
        <w:rPr>
          <w:noProof/>
          <w:szCs w:val="24"/>
        </w:rPr>
        <w:t>as all notifications</w:t>
      </w:r>
      <w:r>
        <w:rPr>
          <w:noProof/>
          <w:szCs w:val="24"/>
        </w:rPr>
        <w:footnoteReference w:id="120"/>
      </w:r>
      <w:r>
        <w:rPr>
          <w:noProof/>
          <w:szCs w:val="24"/>
        </w:rPr>
        <w:t xml:space="preserve"> received between 2009 and 2016 were scrutinised. Also, the Commission services examined the complaints received from economic operators concerning a malfunctioning of mutual recognition and the draft national regulations notified on t</w:t>
      </w:r>
      <w:r>
        <w:rPr>
          <w:noProof/>
          <w:szCs w:val="24"/>
        </w:rPr>
        <w:t>he basis of Directive (EU) 2015/1535. The desk research involved case studies in sectors where the application of mutual recognition is problematic and cases from the SOLVIT database.  The literature review comprised a review of existing business and acade</w:t>
      </w:r>
      <w:r>
        <w:rPr>
          <w:noProof/>
          <w:szCs w:val="24"/>
        </w:rPr>
        <w:t xml:space="preserve">mic literature on the non-harmonised areas in the EU internal market. Annex 7 contains a full overview of the assessed literature, and a summary of the notifications and annual reports received. </w:t>
      </w:r>
    </w:p>
    <w:p w:rsidR="0037666B" w:rsidRDefault="00C627B8">
      <w:pPr>
        <w:pStyle w:val="Heading1"/>
        <w:spacing w:before="0"/>
        <w:ind w:left="0" w:firstLine="0"/>
        <w:rPr>
          <w:noProof/>
        </w:rPr>
      </w:pPr>
      <w:bookmarkStart w:id="39" w:name="_Toc475443213"/>
      <w:bookmarkStart w:id="40" w:name="_Toc475443257"/>
      <w:bookmarkStart w:id="41" w:name="_Toc475443430"/>
      <w:bookmarkStart w:id="42" w:name="_Toc475443721"/>
      <w:bookmarkStart w:id="43" w:name="_Toc476760725"/>
      <w:bookmarkStart w:id="44" w:name="_Toc483992749"/>
      <w:r>
        <w:rPr>
          <w:noProof/>
        </w:rPr>
        <w:t>Limitations and assessment of robustness of findings</w:t>
      </w:r>
      <w:bookmarkEnd w:id="39"/>
      <w:bookmarkEnd w:id="40"/>
      <w:bookmarkEnd w:id="41"/>
      <w:bookmarkEnd w:id="42"/>
      <w:bookmarkEnd w:id="43"/>
      <w:bookmarkEnd w:id="44"/>
    </w:p>
    <w:p w:rsidR="0037666B" w:rsidRDefault="00C627B8">
      <w:pPr>
        <w:rPr>
          <w:noProof/>
          <w:szCs w:val="24"/>
        </w:rPr>
      </w:pPr>
      <w:r>
        <w:rPr>
          <w:noProof/>
          <w:szCs w:val="24"/>
        </w:rPr>
        <w:t>Assessing the magnitude of the difficulties linked to the functioning of mutual recognition and its actual and potential impacts on stakeholders is not straightforward. Indeed, several factors are making the evaluation of the application of mutual recognit</w:t>
      </w:r>
      <w:r>
        <w:rPr>
          <w:noProof/>
          <w:szCs w:val="24"/>
        </w:rPr>
        <w:t xml:space="preserve">ion a difficult exercise. </w:t>
      </w:r>
    </w:p>
    <w:p w:rsidR="0037666B" w:rsidRDefault="00C627B8">
      <w:pPr>
        <w:rPr>
          <w:i/>
          <w:noProof/>
          <w:szCs w:val="24"/>
        </w:rPr>
      </w:pPr>
      <w:r>
        <w:rPr>
          <w:noProof/>
          <w:szCs w:val="24"/>
        </w:rPr>
        <w:t xml:space="preserve">First, mutual recognition, when it is working properly, is invisible; this is because it is impossible to monitor when and how many times goods are allowed to enter a market on the basis of the mutual recognition principle. Only </w:t>
      </w:r>
      <w:r>
        <w:rPr>
          <w:noProof/>
          <w:szCs w:val="24"/>
        </w:rPr>
        <w:t>the number of products for which market access has been denied can be estimated, on the basis of the monitoring tools in place by the Regulation (notification of administrative decisions denying market access and annual reports). However, this doesn't repr</w:t>
      </w:r>
      <w:r>
        <w:rPr>
          <w:noProof/>
          <w:szCs w:val="24"/>
        </w:rPr>
        <w:t>esent a full picture of the situation, as only 6 Member States are notifying decisions to deny market access</w:t>
      </w:r>
      <w:r>
        <w:rPr>
          <w:rStyle w:val="FootnoteReference"/>
          <w:noProof/>
          <w:szCs w:val="24"/>
        </w:rPr>
        <w:footnoteReference w:id="121"/>
      </w:r>
      <w:r>
        <w:rPr>
          <w:noProof/>
          <w:szCs w:val="24"/>
        </w:rPr>
        <w:t>. The complaints received and the divergences noticed between the annual reports and notifications show that not all decisions taken are being noti</w:t>
      </w:r>
      <w:r>
        <w:rPr>
          <w:noProof/>
          <w:szCs w:val="24"/>
        </w:rPr>
        <w:t xml:space="preserve">fied to the Commission. </w:t>
      </w:r>
    </w:p>
    <w:p w:rsidR="0037666B" w:rsidRDefault="00C627B8">
      <w:pPr>
        <w:rPr>
          <w:noProof/>
          <w:szCs w:val="24"/>
        </w:rPr>
      </w:pPr>
      <w:r>
        <w:rPr>
          <w:noProof/>
          <w:szCs w:val="24"/>
        </w:rPr>
        <w:t>It is possible to estimate, based on intra EU trade statistics, the number of non-harmonised products lawfully marketed in one Member State and placed on the market of other Member States. However, this doesn't show how many produc</w:t>
      </w:r>
      <w:r>
        <w:rPr>
          <w:noProof/>
          <w:szCs w:val="24"/>
        </w:rPr>
        <w:t>ts were marketed on the basis of the mutual recognition principle.   This is because businesses may decide, on commercial grounds, not to use mutual recognition, and to align their products on the existing national rules in the Member States where they wan</w:t>
      </w:r>
      <w:r>
        <w:rPr>
          <w:noProof/>
          <w:szCs w:val="24"/>
        </w:rPr>
        <w:t xml:space="preserve">t to market their products. Some large companies choose to design and produce products fitting the highest requirements, and thus complying with all national technical rules. </w:t>
      </w:r>
    </w:p>
    <w:p w:rsidR="0037666B" w:rsidRDefault="00C627B8">
      <w:pPr>
        <w:rPr>
          <w:noProof/>
          <w:szCs w:val="24"/>
        </w:rPr>
      </w:pPr>
      <w:r>
        <w:rPr>
          <w:noProof/>
          <w:szCs w:val="24"/>
        </w:rPr>
        <w:t>Second, the results of the stakeholders' consultation might need to be treated w</w:t>
      </w:r>
      <w:r>
        <w:rPr>
          <w:noProof/>
          <w:szCs w:val="24"/>
        </w:rPr>
        <w:t xml:space="preserve">ith caution, as the consultations, targeted or opened, were not representative of different sectors, Member States and company types. </w:t>
      </w:r>
    </w:p>
    <w:p w:rsidR="0037666B" w:rsidRDefault="00C627B8">
      <w:pPr>
        <w:rPr>
          <w:noProof/>
          <w:szCs w:val="24"/>
        </w:rPr>
      </w:pPr>
      <w:r>
        <w:rPr>
          <w:noProof/>
          <w:szCs w:val="24"/>
        </w:rPr>
        <w:t>The surveys carried out in 2014-2015 by the external consultant registered a low rate of responses. 199 businesses and 20</w:t>
      </w:r>
      <w:r>
        <w:rPr>
          <w:noProof/>
          <w:szCs w:val="24"/>
        </w:rPr>
        <w:t xml:space="preserve"> national or sectoral associations participated in the survey. The businesses survey did not result in a representative sample. There was a significant geographical bias with respect to the geographical coverage. Companies from Portugal (36), the UK (22) a</w:t>
      </w:r>
      <w:r>
        <w:rPr>
          <w:noProof/>
          <w:szCs w:val="24"/>
        </w:rPr>
        <w:t xml:space="preserve">nd Lithuania (21) were significantly overrepresented, while there were no responses from 9 EU Member States or from any of the EEA countries. Also, large companies were overrepresented in the survey, while small companies were underrepresented. 29% of the </w:t>
      </w:r>
      <w:r>
        <w:rPr>
          <w:noProof/>
          <w:szCs w:val="24"/>
        </w:rPr>
        <w:t>participating companies were large companies with more than 250 employees, while they represent around 1% of the EU's company population</w:t>
      </w:r>
      <w:r>
        <w:rPr>
          <w:rStyle w:val="FootnoteReference"/>
          <w:noProof/>
          <w:szCs w:val="24"/>
        </w:rPr>
        <w:footnoteReference w:id="122"/>
      </w:r>
      <w:r>
        <w:rPr>
          <w:noProof/>
          <w:szCs w:val="24"/>
        </w:rPr>
        <w:t xml:space="preserve">.  26% were medium-sized companies with 50 to 250 employees and 27% are small companies with 10 to 49 employees. Micro </w:t>
      </w:r>
      <w:r>
        <w:rPr>
          <w:noProof/>
          <w:szCs w:val="24"/>
        </w:rPr>
        <w:t>companies with less than 10 employees accounted for 18%. Also, the business associations had generally not put a high priority on responding to the survey, which can be either because they don't monitor issues related to mutual recognition, or because thei</w:t>
      </w:r>
      <w:r>
        <w:rPr>
          <w:noProof/>
          <w:szCs w:val="24"/>
        </w:rPr>
        <w:t>r members don't approach them in relation to these issues. Only a minority of sectors and Member States were represented in the survey. As regards the survey targeting PCPs, its main limitation came from the fact that PCPs are only the interface between bu</w:t>
      </w:r>
      <w:r>
        <w:rPr>
          <w:noProof/>
          <w:szCs w:val="24"/>
        </w:rPr>
        <w:t>siness and national authorities in charge of applying the mutual recognition principle. Thus, they are not always familiar with the practicalities of the application of the mutual recognition principle, and they don't always have insight as regards the den</w:t>
      </w:r>
      <w:r>
        <w:rPr>
          <w:noProof/>
          <w:szCs w:val="24"/>
        </w:rPr>
        <w:t xml:space="preserve">ial of market access for certain products. Furthermore, not all PCPs across the EU participated in the survey. PCPs from Austria, Bulgaria, France, Germany, Italy and Spain did not submit any responses to the survey, but, with the exception of Italy, they </w:t>
      </w:r>
      <w:r>
        <w:rPr>
          <w:noProof/>
          <w:szCs w:val="24"/>
        </w:rPr>
        <w:t xml:space="preserve">were subsequently interviewed.  PCPS from Portugal and Romania were represented twice (as they have several PCPs), and out of the EEA/EFTA countries, Liechtenstein and Norway participated. More details are provided in the synopsis report. </w:t>
      </w:r>
    </w:p>
    <w:p w:rsidR="0037666B" w:rsidRDefault="00C627B8">
      <w:pPr>
        <w:rPr>
          <w:noProof/>
          <w:szCs w:val="24"/>
        </w:rPr>
      </w:pPr>
      <w:r>
        <w:rPr>
          <w:noProof/>
          <w:szCs w:val="24"/>
        </w:rPr>
        <w:t xml:space="preserve">As regards the </w:t>
      </w:r>
      <w:r>
        <w:rPr>
          <w:noProof/>
          <w:szCs w:val="24"/>
        </w:rPr>
        <w:t>public consultation carried out by the Commission, it gathered 153 replies only.  Businesses actively participated (91) but without reaching a representative sample; large companies were overrepresented (19%), while, as mentioned previously, they only repr</w:t>
      </w:r>
      <w:r>
        <w:rPr>
          <w:noProof/>
          <w:szCs w:val="24"/>
        </w:rPr>
        <w:t>esent 1% of the EU's company population. Also, when asked to quantify the costs and benefits of the Regulation, most businesses indicated that such estimation is impossible. Only a few replied (between 11% and 26% depending on the questions), and the repli</w:t>
      </w:r>
      <w:r>
        <w:rPr>
          <w:noProof/>
          <w:szCs w:val="24"/>
        </w:rPr>
        <w:t>es contain considerable variations. This is why case studies were used in order to complement the lack of accurate information on costs and benefits.  Member States were represented in the consultation by both PCPs (13) and other authorities (32), but with</w:t>
      </w:r>
      <w:r>
        <w:rPr>
          <w:noProof/>
          <w:szCs w:val="24"/>
        </w:rPr>
        <w:t>out reaching a good geographical balance: no replies were received from Cyprus, Denmark, Finland, France, Greece, Ireland, Luxembourg, Malta and UK</w:t>
      </w:r>
      <w:r>
        <w:rPr>
          <w:rStyle w:val="FootnoteReference"/>
          <w:noProof/>
          <w:szCs w:val="24"/>
        </w:rPr>
        <w:footnoteReference w:id="123"/>
      </w:r>
      <w:r>
        <w:rPr>
          <w:noProof/>
          <w:szCs w:val="24"/>
        </w:rPr>
        <w:t xml:space="preserve">.  </w:t>
      </w:r>
    </w:p>
    <w:p w:rsidR="0037666B" w:rsidRDefault="00C627B8">
      <w:pPr>
        <w:autoSpaceDE w:val="0"/>
        <w:autoSpaceDN w:val="0"/>
        <w:adjustRightInd w:val="0"/>
        <w:rPr>
          <w:noProof/>
          <w:szCs w:val="24"/>
        </w:rPr>
      </w:pPr>
      <w:r>
        <w:rPr>
          <w:noProof/>
          <w:szCs w:val="24"/>
        </w:rPr>
        <w:t>The overview of the notifications of draft national technical rules for the assessment of their compatib</w:t>
      </w:r>
      <w:r>
        <w:rPr>
          <w:noProof/>
          <w:szCs w:val="24"/>
        </w:rPr>
        <w:t>ility with EU law by the Commission under Directive 2015/1535 provides some insight on the sectors were a high regulatory activity at national level can be observed, and where the use of mutual recognition is more relevant</w:t>
      </w:r>
      <w:r>
        <w:rPr>
          <w:rStyle w:val="FootnoteReference"/>
          <w:noProof/>
          <w:szCs w:val="24"/>
        </w:rPr>
        <w:footnoteReference w:id="124"/>
      </w:r>
      <w:r>
        <w:rPr>
          <w:noProof/>
          <w:szCs w:val="24"/>
        </w:rPr>
        <w:t xml:space="preserve">. From 2011 to 2013, </w:t>
      </w:r>
      <w:r>
        <w:rPr>
          <w:b/>
          <w:noProof/>
          <w:szCs w:val="24"/>
        </w:rPr>
        <w:t xml:space="preserve">2114 </w:t>
      </w:r>
      <w:r>
        <w:rPr>
          <w:noProof/>
          <w:szCs w:val="24"/>
        </w:rPr>
        <w:t>notific</w:t>
      </w:r>
      <w:r>
        <w:rPr>
          <w:noProof/>
          <w:szCs w:val="24"/>
        </w:rPr>
        <w:t xml:space="preserve">ations were received (675 in 2011, 734 in 2012 and 705 in 2013). The </w:t>
      </w:r>
      <w:r>
        <w:rPr>
          <w:b/>
          <w:noProof/>
          <w:szCs w:val="24"/>
        </w:rPr>
        <w:t>construction sector</w:t>
      </w:r>
      <w:r>
        <w:rPr>
          <w:noProof/>
          <w:szCs w:val="24"/>
        </w:rPr>
        <w:t xml:space="preserve"> saw the highest number of notifications, with many measures related to energy efficiency of buildings and concrete structures, road pavements and constituent materials</w:t>
      </w:r>
      <w:r>
        <w:rPr>
          <w:noProof/>
          <w:szCs w:val="24"/>
        </w:rPr>
        <w:t xml:space="preserve">, fire safety of buildings. Construction was followed by </w:t>
      </w:r>
      <w:r>
        <w:rPr>
          <w:b/>
          <w:noProof/>
          <w:szCs w:val="24"/>
        </w:rPr>
        <w:t>agricultural products, foodstuffs and beverages</w:t>
      </w:r>
      <w:r>
        <w:rPr>
          <w:noProof/>
          <w:szCs w:val="24"/>
        </w:rPr>
        <w:t xml:space="preserve"> (food hygiene, the composition and labelling of foodstuffs and beverages, food packaging, minimum price for alcoholic beverages, composition and market</w:t>
      </w:r>
      <w:r>
        <w:rPr>
          <w:noProof/>
          <w:szCs w:val="24"/>
        </w:rPr>
        <w:t xml:space="preserve">ing of alcoholic and non-alcoholic beverages).  Notifications were also received in the </w:t>
      </w:r>
      <w:r>
        <w:rPr>
          <w:b/>
          <w:noProof/>
          <w:szCs w:val="24"/>
        </w:rPr>
        <w:t>telecommunications sector</w:t>
      </w:r>
      <w:r>
        <w:rPr>
          <w:noProof/>
          <w:szCs w:val="24"/>
        </w:rPr>
        <w:t xml:space="preserve"> (radio equipment and telecommunications terminal equipment, radio interfaces, hardware and software for the collection, management and use of </w:t>
      </w:r>
      <w:r>
        <w:rPr>
          <w:noProof/>
          <w:szCs w:val="24"/>
        </w:rPr>
        <w:t xml:space="preserve">data gathered by electronic mechanisms installed on board vehicles (black box)) and in the </w:t>
      </w:r>
      <w:r>
        <w:rPr>
          <w:b/>
          <w:noProof/>
          <w:szCs w:val="24"/>
        </w:rPr>
        <w:t>environment sector</w:t>
      </w:r>
      <w:r>
        <w:rPr>
          <w:noProof/>
          <w:szCs w:val="24"/>
        </w:rPr>
        <w:t xml:space="preserve"> (packaging and packaging waste, recyclable products, processing of biodegradable waste). This information was used in order to identify sectors wh</w:t>
      </w:r>
      <w:r>
        <w:rPr>
          <w:noProof/>
          <w:szCs w:val="24"/>
        </w:rPr>
        <w:t>ere numerous national technical rules exists or were introduced, in order to see if market access problems can be linked to important regulatory activity. However, the use of this information is limited and should be treated with caution, as many issues re</w:t>
      </w:r>
      <w:r>
        <w:rPr>
          <w:noProof/>
          <w:szCs w:val="24"/>
        </w:rPr>
        <w:t>lated to compatibility with EU law are solved before the adoption of the national rule, during the stand still period. Furthermore, the assessment performed under this Directive is linked to the compatibility of the national rule with EU law, while the Mut</w:t>
      </w:r>
      <w:r>
        <w:rPr>
          <w:noProof/>
          <w:szCs w:val="24"/>
        </w:rPr>
        <w:t>ual Recognition Regulation covers the application of a national rule to a specific individual case. Thus, while the national rule is compatible with EU law, its application in a specific individual case may be incompatible. Therefore, the notifications alo</w:t>
      </w:r>
      <w:r>
        <w:rPr>
          <w:noProof/>
          <w:szCs w:val="24"/>
        </w:rPr>
        <w:t xml:space="preserve">ne cannot be used as a good proxy for estimating the number of market access denials in specific sectors. </w:t>
      </w:r>
    </w:p>
    <w:p w:rsidR="0037666B" w:rsidRDefault="00C627B8">
      <w:pPr>
        <w:rPr>
          <w:b/>
          <w:noProof/>
          <w:szCs w:val="24"/>
        </w:rPr>
      </w:pPr>
      <w:r>
        <w:rPr>
          <w:noProof/>
          <w:szCs w:val="24"/>
        </w:rPr>
        <w:t>All these factors make the precise measuring of the mutual recognition principle and Regulation's effect quite challenging. The contributions receive</w:t>
      </w:r>
      <w:r>
        <w:rPr>
          <w:noProof/>
          <w:szCs w:val="24"/>
        </w:rPr>
        <w:t>d following the various surveys and consultations carried out did not allow to a statistically representative result to be reached. However, the stakeholders' consultation was very wide, and, together with the multitude of information sources used, it allo</w:t>
      </w:r>
      <w:r>
        <w:rPr>
          <w:noProof/>
          <w:szCs w:val="24"/>
        </w:rPr>
        <w:t>ws the gathering of a strong indicative picture of the functioning of mutual recognition, reliable enough to be used as a basis for further decision making.</w:t>
      </w:r>
    </w:p>
    <w:p w:rsidR="0037666B" w:rsidRDefault="00C627B8">
      <w:pPr>
        <w:jc w:val="left"/>
        <w:rPr>
          <w:b/>
          <w:smallCaps/>
          <w:noProof/>
          <w:szCs w:val="24"/>
        </w:rPr>
      </w:pPr>
      <w:r>
        <w:rPr>
          <w:noProof/>
          <w:szCs w:val="24"/>
        </w:rPr>
        <w:br w:type="page"/>
      </w:r>
    </w:p>
    <w:p w:rsidR="0037666B" w:rsidRDefault="00C627B8">
      <w:pPr>
        <w:pStyle w:val="Heading1"/>
        <w:keepNext w:val="0"/>
        <w:numPr>
          <w:ilvl w:val="0"/>
          <w:numId w:val="0"/>
        </w:numPr>
        <w:spacing w:before="0"/>
        <w:ind w:left="480" w:hanging="480"/>
        <w:rPr>
          <w:noProof/>
          <w:szCs w:val="24"/>
        </w:rPr>
      </w:pPr>
      <w:bookmarkStart w:id="45" w:name="_Toc483992750"/>
      <w:r>
        <w:rPr>
          <w:noProof/>
          <w:szCs w:val="24"/>
        </w:rPr>
        <w:t>Annex 2 Synopsis report of the stakeholder consultation</w:t>
      </w:r>
      <w:bookmarkEnd w:id="45"/>
    </w:p>
    <w:p w:rsidR="0037666B" w:rsidRDefault="00C627B8">
      <w:pPr>
        <w:pStyle w:val="Heading1"/>
        <w:numPr>
          <w:ilvl w:val="0"/>
          <w:numId w:val="66"/>
        </w:numPr>
        <w:rPr>
          <w:noProof/>
        </w:rPr>
      </w:pPr>
      <w:bookmarkStart w:id="46" w:name="_Toc476747122"/>
      <w:bookmarkStart w:id="47" w:name="_Toc483992751"/>
      <w:r>
        <w:rPr>
          <w:noProof/>
        </w:rPr>
        <w:t>OBJECTIVES OF THE CONSULTATION</w:t>
      </w:r>
      <w:bookmarkEnd w:id="46"/>
      <w:bookmarkEnd w:id="47"/>
      <w:r>
        <w:rPr>
          <w:noProof/>
        </w:rPr>
        <w:t xml:space="preserve"> </w:t>
      </w:r>
    </w:p>
    <w:p w:rsidR="0037666B" w:rsidRDefault="00C627B8">
      <w:pPr>
        <w:rPr>
          <w:noProof/>
          <w:szCs w:val="24"/>
        </w:rPr>
      </w:pPr>
      <w:r>
        <w:rPr>
          <w:noProof/>
          <w:szCs w:val="24"/>
        </w:rPr>
        <w:t>The 'Sing</w:t>
      </w:r>
      <w:r>
        <w:rPr>
          <w:noProof/>
          <w:szCs w:val="24"/>
        </w:rPr>
        <w:t xml:space="preserve">le Market Strategy' (COM(2015)550 of 28.10.2015) highlights the need to strengthen the single market for goods in the field of mutual recognition. This principle allows products lawfully marketed in a Member State and not subject to European harmonisation </w:t>
      </w:r>
      <w:r>
        <w:rPr>
          <w:noProof/>
          <w:szCs w:val="24"/>
        </w:rPr>
        <w:t>legislation to enjoy the right to free movement, despite lack of compliance with national technical rules of the Member State of destination. However, the principle is not yet used at its full potential as shown in a recent evaluation of the mutual recogni</w:t>
      </w:r>
      <w:r>
        <w:rPr>
          <w:noProof/>
          <w:szCs w:val="24"/>
        </w:rPr>
        <w:t xml:space="preserve">tion principle. </w:t>
      </w:r>
    </w:p>
    <w:p w:rsidR="0037666B" w:rsidRDefault="00C627B8">
      <w:pPr>
        <w:rPr>
          <w:noProof/>
          <w:szCs w:val="24"/>
        </w:rPr>
      </w:pPr>
      <w:r>
        <w:rPr>
          <w:noProof/>
          <w:szCs w:val="24"/>
        </w:rPr>
        <w:t xml:space="preserve">To improve the application of the mutual recognition principle, the Commission will present an EU-wide Action Plan to raise awareness of the principle of mutual recognition. The plan will also include specific actions for sectors in which </w:t>
      </w:r>
      <w:r>
        <w:rPr>
          <w:noProof/>
          <w:szCs w:val="24"/>
        </w:rPr>
        <w:t>mutual recognition could achieve the greatest increase in EU competitiveness (e.g. construction). The Commission will also investigate the need for a revision of Regulation (EC) No 764/2008 to ensure a better application among businesses and national autho</w:t>
      </w:r>
      <w:r>
        <w:rPr>
          <w:noProof/>
          <w:szCs w:val="24"/>
        </w:rPr>
        <w:t xml:space="preserve">rities. The objective of the consultation was therefore to seek stakeholders' views on the current and future application of Mutual Recognition.  </w:t>
      </w:r>
    </w:p>
    <w:p w:rsidR="0037666B" w:rsidRDefault="00C627B8">
      <w:pPr>
        <w:pStyle w:val="Heading2"/>
        <w:rPr>
          <w:noProof/>
        </w:rPr>
      </w:pPr>
      <w:bookmarkStart w:id="48" w:name="_Toc476747123"/>
      <w:bookmarkStart w:id="49" w:name="_Toc483992752"/>
      <w:r>
        <w:rPr>
          <w:noProof/>
        </w:rPr>
        <w:t>Consultation methods and tools</w:t>
      </w:r>
      <w:bookmarkEnd w:id="48"/>
      <w:bookmarkEnd w:id="49"/>
    </w:p>
    <w:p w:rsidR="0037666B" w:rsidRDefault="00C627B8">
      <w:pPr>
        <w:rPr>
          <w:noProof/>
          <w:szCs w:val="24"/>
        </w:rPr>
      </w:pPr>
      <w:r>
        <w:rPr>
          <w:noProof/>
          <w:szCs w:val="24"/>
        </w:rPr>
        <w:t xml:space="preserve">The </w:t>
      </w:r>
      <w:r>
        <w:rPr>
          <w:b/>
          <w:noProof/>
          <w:szCs w:val="24"/>
        </w:rPr>
        <w:t>members of the Mutual Recognition Consultative Committee</w:t>
      </w:r>
      <w:r>
        <w:rPr>
          <w:b/>
          <w:noProof/>
          <w:szCs w:val="24"/>
          <w:vertAlign w:val="superscript"/>
        </w:rPr>
        <w:footnoteReference w:id="125"/>
      </w:r>
      <w:r>
        <w:rPr>
          <w:noProof/>
          <w:szCs w:val="24"/>
        </w:rPr>
        <w:t xml:space="preserve"> were asked to pr</w:t>
      </w:r>
      <w:r>
        <w:rPr>
          <w:noProof/>
          <w:szCs w:val="24"/>
        </w:rPr>
        <w:t xml:space="preserve">ovide their feedback on the previous meetings on </w:t>
      </w:r>
      <w:r>
        <w:rPr>
          <w:b/>
          <w:noProof/>
          <w:szCs w:val="24"/>
        </w:rPr>
        <w:t>2 December 2015</w:t>
      </w:r>
      <w:r>
        <w:rPr>
          <w:noProof/>
          <w:szCs w:val="24"/>
        </w:rPr>
        <w:t xml:space="preserve"> and </w:t>
      </w:r>
      <w:r>
        <w:rPr>
          <w:b/>
          <w:noProof/>
          <w:szCs w:val="24"/>
        </w:rPr>
        <w:t>25 October 2016</w:t>
      </w:r>
      <w:r>
        <w:rPr>
          <w:noProof/>
          <w:szCs w:val="24"/>
        </w:rPr>
        <w:t>.</w:t>
      </w:r>
    </w:p>
    <w:p w:rsidR="0037666B" w:rsidRDefault="00C627B8">
      <w:pPr>
        <w:rPr>
          <w:noProof/>
          <w:szCs w:val="24"/>
        </w:rPr>
      </w:pPr>
      <w:r>
        <w:rPr>
          <w:noProof/>
          <w:szCs w:val="24"/>
        </w:rPr>
        <w:t xml:space="preserve">A </w:t>
      </w:r>
      <w:r>
        <w:rPr>
          <w:b/>
          <w:noProof/>
          <w:szCs w:val="24"/>
        </w:rPr>
        <w:t>public consultation in all EU official languages</w:t>
      </w:r>
      <w:r>
        <w:rPr>
          <w:noProof/>
          <w:szCs w:val="24"/>
        </w:rPr>
        <w:t xml:space="preserve"> has been published on a consultation website hosted on </w:t>
      </w:r>
      <w:r>
        <w:rPr>
          <w:i/>
          <w:noProof/>
          <w:szCs w:val="24"/>
        </w:rPr>
        <w:t xml:space="preserve">Europa. </w:t>
      </w:r>
      <w:r>
        <w:rPr>
          <w:noProof/>
          <w:szCs w:val="24"/>
        </w:rPr>
        <w:t xml:space="preserve">The consultation has run from June to September 2016. </w:t>
      </w:r>
    </w:p>
    <w:p w:rsidR="0037666B" w:rsidRDefault="00C627B8">
      <w:pPr>
        <w:rPr>
          <w:noProof/>
          <w:szCs w:val="24"/>
        </w:rPr>
      </w:pPr>
      <w:r>
        <w:rPr>
          <w:noProof/>
          <w:szCs w:val="24"/>
        </w:rPr>
        <w:t>T</w:t>
      </w:r>
      <w:r>
        <w:rPr>
          <w:noProof/>
          <w:szCs w:val="24"/>
        </w:rPr>
        <w:t xml:space="preserve">he public consultation has been supplemented by a </w:t>
      </w:r>
      <w:r>
        <w:rPr>
          <w:b/>
          <w:noProof/>
          <w:szCs w:val="24"/>
        </w:rPr>
        <w:t xml:space="preserve">stakeholder conference </w:t>
      </w:r>
      <w:r>
        <w:rPr>
          <w:noProof/>
          <w:szCs w:val="24"/>
        </w:rPr>
        <w:t xml:space="preserve">organised by the Commission on </w:t>
      </w:r>
      <w:r>
        <w:rPr>
          <w:b/>
          <w:noProof/>
          <w:szCs w:val="24"/>
        </w:rPr>
        <w:t>17</w:t>
      </w:r>
      <w:r>
        <w:rPr>
          <w:noProof/>
          <w:szCs w:val="24"/>
        </w:rPr>
        <w:t xml:space="preserve"> </w:t>
      </w:r>
      <w:r>
        <w:rPr>
          <w:b/>
          <w:noProof/>
          <w:szCs w:val="24"/>
        </w:rPr>
        <w:t>June 2016</w:t>
      </w:r>
      <w:r>
        <w:rPr>
          <w:noProof/>
          <w:szCs w:val="24"/>
        </w:rPr>
        <w:t xml:space="preserve">. </w:t>
      </w:r>
    </w:p>
    <w:p w:rsidR="0037666B" w:rsidRDefault="00C627B8">
      <w:pPr>
        <w:pStyle w:val="Heading1"/>
        <w:rPr>
          <w:noProof/>
        </w:rPr>
      </w:pPr>
      <w:bookmarkStart w:id="50" w:name="_Toc476747124"/>
      <w:bookmarkStart w:id="51" w:name="_Toc483992753"/>
      <w:r>
        <w:rPr>
          <w:noProof/>
        </w:rPr>
        <w:t>RESULTS OF THE CONSULTATION ACTIVITIES</w:t>
      </w:r>
      <w:bookmarkEnd w:id="50"/>
      <w:bookmarkEnd w:id="51"/>
    </w:p>
    <w:p w:rsidR="0037666B" w:rsidRDefault="00C627B8">
      <w:pPr>
        <w:pStyle w:val="Heading2"/>
        <w:rPr>
          <w:noProof/>
        </w:rPr>
      </w:pPr>
      <w:bookmarkStart w:id="52" w:name="_Toc476747125"/>
      <w:bookmarkStart w:id="53" w:name="_Toc483992754"/>
      <w:r>
        <w:rPr>
          <w:noProof/>
        </w:rPr>
        <w:t>Meetings of the Mutual Recognition Consultative Committee</w:t>
      </w:r>
      <w:bookmarkEnd w:id="52"/>
      <w:bookmarkEnd w:id="53"/>
    </w:p>
    <w:p w:rsidR="0037666B" w:rsidRDefault="00C627B8">
      <w:pPr>
        <w:tabs>
          <w:tab w:val="left" w:pos="2160"/>
        </w:tabs>
        <w:rPr>
          <w:noProof/>
          <w:szCs w:val="24"/>
        </w:rPr>
      </w:pPr>
      <w:r>
        <w:rPr>
          <w:noProof/>
          <w:szCs w:val="24"/>
        </w:rPr>
        <w:t>The consultative “Mutual Recognition Com</w:t>
      </w:r>
      <w:r>
        <w:rPr>
          <w:noProof/>
          <w:szCs w:val="24"/>
        </w:rPr>
        <w:t>mittee” held its seventh and eighth meetings on 2 December 2015 and 25 October 2016 respectively. The Committee's members are representatives of Member States dealing with mutual recognition issues. The Commission presented the envisaged actions for raisin</w:t>
      </w:r>
      <w:r>
        <w:rPr>
          <w:noProof/>
          <w:szCs w:val="24"/>
        </w:rPr>
        <w:t>g awareness of mutual recognition and asked for feedback and input on these actions. Member States welcomed the activities presented and stressed the importance of awareness raising in relation to the correct application of the mutual recognition principle</w:t>
      </w:r>
      <w:r>
        <w:rPr>
          <w:noProof/>
          <w:szCs w:val="24"/>
        </w:rPr>
        <w:t>.  The Commission presented also a preliminary analysis of the main problems generated by the suboptimal functioning of mutual recognition, as identified in the framework of the ongoing evaluation.  The delegates agreed that mutual recognition should not b</w:t>
      </w:r>
      <w:r>
        <w:rPr>
          <w:noProof/>
          <w:szCs w:val="24"/>
        </w:rPr>
        <w:t>e only a right that economic operators may invoke, but also a principle that national authorities should apply.  Furthermore, the Commission presented the preliminary options for improving mutual recognition and asked for feedback from the delegations. Som</w:t>
      </w:r>
      <w:r>
        <w:rPr>
          <w:noProof/>
          <w:szCs w:val="24"/>
        </w:rPr>
        <w:t xml:space="preserve">e representatives were not convinced that there are benefits in fully revising the Regulation, whilst all of them agreed that some adjustments are necessary and that many of the problems can be solved with the actions foreseen in the Action Plan. </w:t>
      </w:r>
    </w:p>
    <w:p w:rsidR="0037666B" w:rsidRDefault="00C627B8">
      <w:pPr>
        <w:tabs>
          <w:tab w:val="left" w:pos="2160"/>
        </w:tabs>
        <w:rPr>
          <w:noProof/>
          <w:szCs w:val="24"/>
        </w:rPr>
      </w:pPr>
      <w:r>
        <w:rPr>
          <w:noProof/>
          <w:szCs w:val="24"/>
        </w:rPr>
        <w:t>The part</w:t>
      </w:r>
      <w:r>
        <w:rPr>
          <w:noProof/>
          <w:szCs w:val="24"/>
        </w:rPr>
        <w:t>icipants supported also the option to clarify the scope of the Regulation, and mainly the mutual recognition principle, thus articles 34-36 TFEU, where guidelines are more appropriate to achieve this objective. The Commission also proposed having a clearer</w:t>
      </w:r>
      <w:r>
        <w:rPr>
          <w:noProof/>
          <w:szCs w:val="24"/>
        </w:rPr>
        <w:t xml:space="preserve"> mutual recognition clause, such as a standard model, which could be adapted to particular cases, would be proposed, for systematic integration in new national technical rules.  Another point discussed was the need for an updated and user friendly product </w:t>
      </w:r>
      <w:r>
        <w:rPr>
          <w:noProof/>
          <w:szCs w:val="24"/>
        </w:rPr>
        <w:t xml:space="preserve">database. </w:t>
      </w:r>
    </w:p>
    <w:p w:rsidR="0037666B" w:rsidRDefault="00C627B8">
      <w:pPr>
        <w:tabs>
          <w:tab w:val="left" w:pos="2302"/>
        </w:tabs>
        <w:rPr>
          <w:noProof/>
          <w:szCs w:val="24"/>
        </w:rPr>
      </w:pPr>
      <w:r>
        <w:rPr>
          <w:noProof/>
          <w:szCs w:val="24"/>
        </w:rPr>
        <w:t>The Commission presented then the possible introduction of a declaration of compliance with the technical rules of the Member State where the product is being lawfully marketed, to facilitate the access of this product to the market of the other</w:t>
      </w:r>
      <w:r>
        <w:rPr>
          <w:noProof/>
          <w:szCs w:val="24"/>
        </w:rPr>
        <w:t xml:space="preserve"> Member States.  The declaration would offer a presumption of compliance for the economic operator; this presumption could be rebutted by national authorities, who would have the duty to prove the non-compliance. Some Member States considered that this opt</w:t>
      </w:r>
      <w:r>
        <w:rPr>
          <w:noProof/>
          <w:szCs w:val="24"/>
        </w:rPr>
        <w:t xml:space="preserve">ion would introduce a significant administrative burden on economic operators but market surveillance authorities would welcome such declaration, as it would facilitate their tasks. </w:t>
      </w:r>
    </w:p>
    <w:p w:rsidR="0037666B" w:rsidRDefault="00C627B8">
      <w:pPr>
        <w:tabs>
          <w:tab w:val="left" w:pos="2160"/>
        </w:tabs>
        <w:rPr>
          <w:noProof/>
          <w:szCs w:val="24"/>
        </w:rPr>
      </w:pPr>
      <w:r>
        <w:rPr>
          <w:noProof/>
          <w:szCs w:val="24"/>
        </w:rPr>
        <w:t>Another point discussed was the introduction of incentives for national a</w:t>
      </w:r>
      <w:r>
        <w:rPr>
          <w:noProof/>
          <w:szCs w:val="24"/>
        </w:rPr>
        <w:t>uthorities to ensure they comply with the obligation to notify administrative decisions denying or restricting mutual recognition. More transparency for these decisions would be an incentive for Member States to apply the mutual recognition principle, as i</w:t>
      </w:r>
      <w:r>
        <w:rPr>
          <w:noProof/>
          <w:szCs w:val="24"/>
        </w:rPr>
        <w:t>t would render less acceptable the absence of notifications or the lack of proper justification supporting the administrative decisions to be notified. Using an IT tool allowing Member States to notify would also give all notifications more visibility. Fur</w:t>
      </w:r>
      <w:r>
        <w:rPr>
          <w:noProof/>
          <w:szCs w:val="24"/>
        </w:rPr>
        <w:t>thermore, the Commission examines the possibility of creating a new fast track mechanism which would be an alternative to the costly and lengthy court procedures currently available. It would be inspired by the "safeguard procedure" operating in the area o</w:t>
      </w:r>
      <w:r>
        <w:rPr>
          <w:noProof/>
          <w:szCs w:val="24"/>
        </w:rPr>
        <w:t>f products covered by Union harmonisation legislation, which allows a Member State or the Commission to intervene in order to challenge a national decision which is considered as potentially breaching EU law. The fast track appeal procedure would be very q</w:t>
      </w:r>
      <w:r>
        <w:rPr>
          <w:noProof/>
          <w:szCs w:val="24"/>
        </w:rPr>
        <w:t>uick (no longer than 3 months), and free of charge for businesses and any other complaint they may address to the Commission. The option of a system of prior authorisation to placing products on the market was presented afterwards. Products lawfully market</w:t>
      </w:r>
      <w:r>
        <w:rPr>
          <w:noProof/>
          <w:szCs w:val="24"/>
        </w:rPr>
        <w:t>ed in the market of one Member State would be placed on the market of another Member State only after a prior examination of the product by the receiving Member State. Many Member States expressed their opposition to this option, as it would hinder the fre</w:t>
      </w:r>
      <w:r>
        <w:rPr>
          <w:noProof/>
          <w:szCs w:val="24"/>
        </w:rPr>
        <w:t xml:space="preserve">e movement of goods.  </w:t>
      </w:r>
    </w:p>
    <w:p w:rsidR="0037666B" w:rsidRDefault="00C627B8">
      <w:pPr>
        <w:tabs>
          <w:tab w:val="left" w:pos="2160"/>
        </w:tabs>
        <w:rPr>
          <w:noProof/>
          <w:szCs w:val="24"/>
        </w:rPr>
      </w:pPr>
      <w:r>
        <w:rPr>
          <w:noProof/>
          <w:szCs w:val="24"/>
        </w:rPr>
        <w:t>Another point of discussion was the option of ensuring free movement of goods guaranteed by compliance with European standards. This implies the recognition, by the Commission, and after consultation of Member States, of certain European standards in the a</w:t>
      </w:r>
      <w:r>
        <w:rPr>
          <w:noProof/>
          <w:szCs w:val="24"/>
        </w:rPr>
        <w:t>rea of non-harmonised goods via implementing acts. This option refers only to already existing European standards and not to mandating the developments of new ones.  Member States considered that focusing on essential requirements is more beneficial than u</w:t>
      </w:r>
      <w:r>
        <w:rPr>
          <w:noProof/>
          <w:szCs w:val="24"/>
        </w:rPr>
        <w:t xml:space="preserve">sing standards. </w:t>
      </w:r>
    </w:p>
    <w:p w:rsidR="0037666B" w:rsidRDefault="00C627B8">
      <w:pPr>
        <w:tabs>
          <w:tab w:val="left" w:pos="2160"/>
        </w:tabs>
        <w:rPr>
          <w:noProof/>
          <w:szCs w:val="24"/>
        </w:rPr>
      </w:pPr>
      <w:r>
        <w:rPr>
          <w:noProof/>
          <w:szCs w:val="24"/>
        </w:rPr>
        <w:t>Additionally, the Commission sought Member States' opinion on the option of strengthening of the role of the Product Contact Points in order to provide information on all applicable rules for all products. Member States supported this opti</w:t>
      </w:r>
      <w:r>
        <w:rPr>
          <w:noProof/>
          <w:szCs w:val="24"/>
        </w:rPr>
        <w:t>on as the Product Contact Points lack resources and staff. The Commission proposed also the integration of the Product Contact Points in a wider network, e.g. the Single Digital Gateway. Delegations consider that the Single Digital Gateway initiative is no</w:t>
      </w:r>
      <w:r>
        <w:rPr>
          <w:noProof/>
          <w:szCs w:val="24"/>
        </w:rPr>
        <w:t xml:space="preserve">t advanced enough in order to able to provide input on this option. </w:t>
      </w:r>
    </w:p>
    <w:p w:rsidR="0037666B" w:rsidRDefault="00C627B8">
      <w:pPr>
        <w:tabs>
          <w:tab w:val="left" w:pos="2160"/>
        </w:tabs>
        <w:rPr>
          <w:noProof/>
          <w:szCs w:val="24"/>
        </w:rPr>
      </w:pPr>
      <w:r>
        <w:rPr>
          <w:noProof/>
          <w:szCs w:val="24"/>
        </w:rPr>
        <w:t>Another option presented was the harmonisation of certain basis requirements. Member States were strongly against this option, since partial harmonisation only for the sake of free moveme</w:t>
      </w:r>
      <w:r>
        <w:rPr>
          <w:noProof/>
          <w:szCs w:val="24"/>
        </w:rPr>
        <w:t xml:space="preserve">nt does not bring benefits proportionate to the level red tape it adds.  </w:t>
      </w:r>
    </w:p>
    <w:p w:rsidR="0037666B" w:rsidRDefault="00C627B8">
      <w:pPr>
        <w:pStyle w:val="Heading2"/>
        <w:rPr>
          <w:noProof/>
        </w:rPr>
      </w:pPr>
      <w:bookmarkStart w:id="54" w:name="_Toc476747126"/>
      <w:bookmarkStart w:id="55" w:name="_Toc483992755"/>
      <w:r>
        <w:rPr>
          <w:noProof/>
        </w:rPr>
        <w:t>Stakeholder conference of 17 June 2016</w:t>
      </w:r>
      <w:bookmarkEnd w:id="54"/>
      <w:bookmarkEnd w:id="55"/>
    </w:p>
    <w:p w:rsidR="0037666B" w:rsidRDefault="00C627B8">
      <w:pPr>
        <w:rPr>
          <w:noProof/>
          <w:szCs w:val="24"/>
        </w:rPr>
      </w:pPr>
      <w:r>
        <w:rPr>
          <w:noProof/>
          <w:szCs w:val="24"/>
        </w:rPr>
        <w:t>A stakeholders' event was organised on 17 June 2016, to identify the main issues related to the functioning of mutual recognition and to identi</w:t>
      </w:r>
      <w:r>
        <w:rPr>
          <w:noProof/>
          <w:szCs w:val="24"/>
        </w:rPr>
        <w:t xml:space="preserve">fy possible ways forward. 144 participants attended the event, representing businesses (62), national authorities (60) and others (22), such as consumer organisations, representatives of trade unions. The detailed minutes can be found at: </w:t>
      </w:r>
      <w:hyperlink r:id="rId30" w:history="1">
        <w:r>
          <w:rPr>
            <w:noProof/>
            <w:color w:val="0000FF" w:themeColor="hyperlink"/>
            <w:szCs w:val="24"/>
            <w:u w:val="single"/>
          </w:rPr>
          <w:t>http://ec.europa.eu/DocsRoom/documents/17963</w:t>
        </w:r>
      </w:hyperlink>
      <w:r>
        <w:rPr>
          <w:noProof/>
          <w:szCs w:val="24"/>
        </w:rPr>
        <w:t>.</w:t>
      </w:r>
    </w:p>
    <w:p w:rsidR="0037666B" w:rsidRDefault="00C627B8">
      <w:pPr>
        <w:pStyle w:val="Heading3"/>
        <w:rPr>
          <w:noProof/>
        </w:rPr>
      </w:pPr>
      <w:bookmarkStart w:id="56" w:name="_Toc476747127"/>
      <w:bookmarkStart w:id="57" w:name="_Toc483992756"/>
      <w:r>
        <w:rPr>
          <w:noProof/>
        </w:rPr>
        <w:t>Main meeting</w:t>
      </w:r>
      <w:bookmarkEnd w:id="56"/>
      <w:bookmarkEnd w:id="57"/>
    </w:p>
    <w:p w:rsidR="0037666B" w:rsidRDefault="00C627B8">
      <w:pPr>
        <w:rPr>
          <w:noProof/>
          <w:szCs w:val="24"/>
        </w:rPr>
      </w:pPr>
      <w:r>
        <w:rPr>
          <w:b/>
          <w:noProof/>
          <w:szCs w:val="24"/>
        </w:rPr>
        <w:t>Knut Sauerbier</w:t>
      </w:r>
      <w:r>
        <w:rPr>
          <w:noProof/>
          <w:szCs w:val="24"/>
        </w:rPr>
        <w:t>, responsible for product compliance and IP at BRITA, explained how mutual recognition func</w:t>
      </w:r>
      <w:r>
        <w:rPr>
          <w:noProof/>
          <w:szCs w:val="24"/>
        </w:rPr>
        <w:t xml:space="preserve">tions for businesses by providing the example of drinking water treatment. </w:t>
      </w:r>
    </w:p>
    <w:p w:rsidR="0037666B" w:rsidRDefault="00C627B8">
      <w:pPr>
        <w:rPr>
          <w:noProof/>
          <w:szCs w:val="24"/>
        </w:rPr>
      </w:pPr>
      <w:r>
        <w:rPr>
          <w:b/>
          <w:noProof/>
          <w:szCs w:val="24"/>
        </w:rPr>
        <w:t>Camilla Hjermind</w:t>
      </w:r>
      <w:r>
        <w:rPr>
          <w:noProof/>
          <w:szCs w:val="24"/>
        </w:rPr>
        <w:t>, Head of Division of International Relations of the Danish Business Authority of the Ministry of Business and Growth presented the practical difficulties encounter</w:t>
      </w:r>
      <w:r>
        <w:rPr>
          <w:noProof/>
          <w:szCs w:val="24"/>
        </w:rPr>
        <w:t xml:space="preserve">ed while applying the principle of mutual recognition. </w:t>
      </w:r>
    </w:p>
    <w:p w:rsidR="0037666B" w:rsidRDefault="00C627B8">
      <w:pPr>
        <w:rPr>
          <w:noProof/>
          <w:szCs w:val="24"/>
        </w:rPr>
      </w:pPr>
      <w:r>
        <w:rPr>
          <w:b/>
          <w:noProof/>
          <w:szCs w:val="24"/>
        </w:rPr>
        <w:t>Jacques Pelkmans</w:t>
      </w:r>
      <w:r>
        <w:rPr>
          <w:noProof/>
          <w:szCs w:val="24"/>
        </w:rPr>
        <w:t xml:space="preserve">, Senior Fellow at CEPS in Brussels and visiting Professor at the College of Europe, outlined the main problems faced with mutual recognition, one of the EU's greatest innovation. </w:t>
      </w:r>
    </w:p>
    <w:p w:rsidR="0037666B" w:rsidRDefault="00C627B8">
      <w:pPr>
        <w:rPr>
          <w:noProof/>
          <w:szCs w:val="24"/>
        </w:rPr>
      </w:pPr>
      <w:r>
        <w:rPr>
          <w:noProof/>
          <w:szCs w:val="24"/>
        </w:rPr>
        <w:t>Fol</w:t>
      </w:r>
      <w:r>
        <w:rPr>
          <w:noProof/>
          <w:szCs w:val="24"/>
        </w:rPr>
        <w:t xml:space="preserve">lowing the three presentations, the floor was given to the participants at the conference to discuss the topics. </w:t>
      </w:r>
    </w:p>
    <w:p w:rsidR="0037666B" w:rsidRDefault="00C627B8">
      <w:pPr>
        <w:pStyle w:val="Heading3"/>
        <w:rPr>
          <w:noProof/>
        </w:rPr>
      </w:pPr>
      <w:bookmarkStart w:id="58" w:name="_Toc476747128"/>
      <w:bookmarkStart w:id="59" w:name="_Toc483992757"/>
      <w:r>
        <w:rPr>
          <w:noProof/>
        </w:rPr>
        <w:t>Workshops</w:t>
      </w:r>
      <w:bookmarkEnd w:id="58"/>
      <w:bookmarkEnd w:id="59"/>
    </w:p>
    <w:p w:rsidR="0037666B" w:rsidRDefault="00C627B8">
      <w:pPr>
        <w:rPr>
          <w:noProof/>
          <w:szCs w:val="24"/>
          <w:u w:val="single"/>
        </w:rPr>
      </w:pPr>
      <w:r>
        <w:rPr>
          <w:noProof/>
          <w:szCs w:val="24"/>
          <w:u w:val="single"/>
        </w:rPr>
        <w:t>Workshop 1: Proving and assessing lawful marketing of products in other Member States: a more practical approach</w:t>
      </w:r>
    </w:p>
    <w:p w:rsidR="0037666B" w:rsidRDefault="00C627B8">
      <w:pPr>
        <w:rPr>
          <w:noProof/>
          <w:szCs w:val="24"/>
        </w:rPr>
      </w:pPr>
      <w:r>
        <w:rPr>
          <w:noProof/>
          <w:szCs w:val="24"/>
        </w:rPr>
        <w:t xml:space="preserve">The first workshop </w:t>
      </w:r>
      <w:r>
        <w:rPr>
          <w:noProof/>
          <w:szCs w:val="24"/>
        </w:rPr>
        <w:t>was held on the topic of proving and assessing the lawful marketing of products in another Member State. The participants were to discuss a more practical approach on this issue. The workshop gathered around 30 participants and had a balanced representatio</w:t>
      </w:r>
      <w:r>
        <w:rPr>
          <w:noProof/>
          <w:szCs w:val="24"/>
        </w:rPr>
        <w:t xml:space="preserve">n of national authorities, businesses and associations. </w:t>
      </w:r>
    </w:p>
    <w:p w:rsidR="0037666B" w:rsidRDefault="00C627B8">
      <w:pPr>
        <w:rPr>
          <w:noProof/>
          <w:szCs w:val="24"/>
          <w:u w:val="single"/>
        </w:rPr>
      </w:pPr>
      <w:r>
        <w:rPr>
          <w:noProof/>
          <w:szCs w:val="24"/>
          <w:u w:val="single"/>
        </w:rPr>
        <w:t>Workshop 2: How to make mutual recognition a practical tool for businesses</w:t>
      </w:r>
    </w:p>
    <w:p w:rsidR="0037666B" w:rsidRDefault="00C627B8">
      <w:pPr>
        <w:rPr>
          <w:noProof/>
          <w:szCs w:val="24"/>
        </w:rPr>
      </w:pPr>
      <w:r>
        <w:rPr>
          <w:noProof/>
          <w:szCs w:val="24"/>
        </w:rPr>
        <w:t>The second workshop discussed how to make mutual recognition a practical tool for businesses. The workshop involved 46 stake</w:t>
      </w:r>
      <w:r>
        <w:rPr>
          <w:noProof/>
          <w:szCs w:val="24"/>
        </w:rPr>
        <w:t xml:space="preserve">holders. Participation was well balanced among national authorities, businesses, associations and Commission services. The workshop was moderated by Annette Dragsdahl, Senior Adviser at the Confederation of Danish Industry. </w:t>
      </w:r>
    </w:p>
    <w:p w:rsidR="0037666B" w:rsidRDefault="00C627B8">
      <w:pPr>
        <w:pStyle w:val="Heading2"/>
        <w:rPr>
          <w:noProof/>
        </w:rPr>
      </w:pPr>
      <w:bookmarkStart w:id="60" w:name="_Toc476747129"/>
      <w:bookmarkStart w:id="61" w:name="_Toc483992758"/>
      <w:r>
        <w:rPr>
          <w:noProof/>
        </w:rPr>
        <w:t>Public Consultation</w:t>
      </w:r>
      <w:bookmarkEnd w:id="60"/>
      <w:bookmarkEnd w:id="61"/>
    </w:p>
    <w:p w:rsidR="0037666B" w:rsidRDefault="00C627B8">
      <w:pPr>
        <w:rPr>
          <w:noProof/>
          <w:szCs w:val="24"/>
        </w:rPr>
      </w:pPr>
      <w:r>
        <w:rPr>
          <w:b/>
          <w:noProof/>
          <w:szCs w:val="24"/>
        </w:rPr>
        <w:t>153</w:t>
      </w:r>
      <w:r>
        <w:rPr>
          <w:noProof/>
          <w:szCs w:val="24"/>
        </w:rPr>
        <w:t xml:space="preserve"> replies</w:t>
      </w:r>
      <w:r>
        <w:rPr>
          <w:noProof/>
          <w:szCs w:val="24"/>
        </w:rPr>
        <w:t xml:space="preserve"> were received during the public consultation. Businesses were strongly represented (91), followed by Member States authorities (45), and citizens (17). This includes respondents that did not want their replies published: 16 businesses, 9 authorities and o</w:t>
      </w:r>
      <w:r>
        <w:rPr>
          <w:noProof/>
          <w:szCs w:val="24"/>
        </w:rPr>
        <w:t xml:space="preserve">ne citizen. The remainder of the respondents agreed to have their response published either fully or anonymously. All replies are included in the statistics. </w:t>
      </w:r>
    </w:p>
    <w:p w:rsidR="0037666B" w:rsidRDefault="00C627B8">
      <w:pPr>
        <w:rPr>
          <w:noProof/>
          <w:szCs w:val="24"/>
        </w:rPr>
      </w:pPr>
      <w:r>
        <w:rPr>
          <w:b/>
          <w:noProof/>
          <w:szCs w:val="24"/>
        </w:rPr>
        <w:t>45 authorities</w:t>
      </w:r>
      <w:r>
        <w:rPr>
          <w:noProof/>
          <w:szCs w:val="24"/>
        </w:rPr>
        <w:t xml:space="preserve"> from Member States replied to the public consultation. 31% are Product Contact Poi</w:t>
      </w:r>
      <w:r>
        <w:rPr>
          <w:noProof/>
          <w:szCs w:val="24"/>
        </w:rPr>
        <w:t>nts, the rest are other authorities involved in this area. Among the group of citizens there are two consumer organisations. Individual companies (44) and business organisations (44) were equally represented, while only 3 chambers of commerce replied to th</w:t>
      </w:r>
      <w:r>
        <w:rPr>
          <w:noProof/>
          <w:szCs w:val="24"/>
        </w:rPr>
        <w:t>e consultation. In terms of company size, the responses are roughly balanced between small and large</w:t>
      </w:r>
      <w:r>
        <w:rPr>
          <w:noProof/>
          <w:szCs w:val="24"/>
          <w:vertAlign w:val="superscript"/>
        </w:rPr>
        <w:footnoteReference w:id="126"/>
      </w:r>
      <w:r>
        <w:rPr>
          <w:noProof/>
          <w:szCs w:val="24"/>
        </w:rPr>
        <w:t xml:space="preserve"> companies. </w:t>
      </w:r>
    </w:p>
    <w:p w:rsidR="0037666B" w:rsidRDefault="00C627B8">
      <w:pPr>
        <w:rPr>
          <w:b/>
          <w:noProof/>
          <w:szCs w:val="24"/>
        </w:rPr>
      </w:pPr>
      <w:r>
        <w:rPr>
          <w:noProof/>
          <w:szCs w:val="24"/>
        </w:rPr>
        <w:t xml:space="preserve">In terms of activity sectors, </w:t>
      </w:r>
      <w:r>
        <w:rPr>
          <w:b/>
          <w:noProof/>
          <w:szCs w:val="24"/>
        </w:rPr>
        <w:t>manufacturing is the most represented sector (46%), followed by wholesale and retail trade (13%), agriculture, f</w:t>
      </w:r>
      <w:r>
        <w:rPr>
          <w:b/>
          <w:noProof/>
          <w:szCs w:val="24"/>
        </w:rPr>
        <w:t xml:space="preserve">orestry and fishing (8%) and water supply (6%). </w:t>
      </w:r>
    </w:p>
    <w:p w:rsidR="0037666B" w:rsidRDefault="00C627B8">
      <w:pPr>
        <w:rPr>
          <w:noProof/>
          <w:szCs w:val="24"/>
        </w:rPr>
      </w:pPr>
      <w:r>
        <w:rPr>
          <w:noProof/>
          <w:szCs w:val="24"/>
        </w:rPr>
        <w:t xml:space="preserve">The geographical representation is quite well balanced for businesses. As for national authorities, 18 Member States and Norway participated in the public consultation. No replies were received from Cyprus, </w:t>
      </w:r>
      <w:r>
        <w:rPr>
          <w:noProof/>
          <w:szCs w:val="24"/>
        </w:rPr>
        <w:t xml:space="preserve">Denmark, Finland, France, Greece, Ireland, Luxembourg, Malta and UK. The majority of consumers chose not to indicate their country of establishment. </w:t>
      </w:r>
    </w:p>
    <w:p w:rsidR="0037666B" w:rsidRDefault="00C627B8">
      <w:pPr>
        <w:rPr>
          <w:noProof/>
          <w:szCs w:val="24"/>
        </w:rPr>
      </w:pPr>
      <w:r>
        <w:rPr>
          <w:noProof/>
          <w:szCs w:val="24"/>
        </w:rPr>
        <w:t xml:space="preserve">The numbers and percentages used to describe the distribution of the responses to the public consultation </w:t>
      </w:r>
      <w:r>
        <w:rPr>
          <w:noProof/>
          <w:szCs w:val="24"/>
        </w:rPr>
        <w:t>come from the answers provided under the EU-Survey tool.</w:t>
      </w:r>
    </w:p>
    <w:p w:rsidR="0037666B" w:rsidRDefault="00C627B8">
      <w:pPr>
        <w:pStyle w:val="Heading3"/>
        <w:rPr>
          <w:noProof/>
        </w:rPr>
      </w:pPr>
      <w:bookmarkStart w:id="62" w:name="_Toc471373901"/>
      <w:bookmarkStart w:id="63" w:name="_Toc476747130"/>
      <w:bookmarkStart w:id="64" w:name="_Toc483992759"/>
      <w:r>
        <w:rPr>
          <w:noProof/>
        </w:rPr>
        <w:t>How stakeholders see mutual recognition and its potential shortcomings</w:t>
      </w:r>
      <w:bookmarkEnd w:id="62"/>
      <w:bookmarkEnd w:id="63"/>
      <w:bookmarkEnd w:id="64"/>
    </w:p>
    <w:p w:rsidR="0037666B" w:rsidRDefault="00C627B8">
      <w:pPr>
        <w:rPr>
          <w:noProof/>
          <w:szCs w:val="24"/>
        </w:rPr>
      </w:pPr>
      <w:r>
        <w:rPr>
          <w:noProof/>
          <w:szCs w:val="24"/>
        </w:rPr>
        <w:t xml:space="preserve">The majority of responding companies wishing to sell products in another Member State check the applicable rules in that Member </w:t>
      </w:r>
      <w:r>
        <w:rPr>
          <w:noProof/>
          <w:szCs w:val="24"/>
        </w:rPr>
        <w:t>State, and, if these rules prevent them from selling the product, most of them adapt it. This happens despite the fact that 70% of them are fully aware of the mutual recognition principle. More than half of the businesses responding tried to use mutual rec</w:t>
      </w:r>
      <w:r>
        <w:rPr>
          <w:noProof/>
          <w:szCs w:val="24"/>
        </w:rPr>
        <w:t xml:space="preserve">ognition for entering a new market. Among them, half had their market access denied, and only 2% challenged this decision successfully. </w:t>
      </w:r>
    </w:p>
    <w:p w:rsidR="0037666B" w:rsidRDefault="00C627B8">
      <w:pPr>
        <w:rPr>
          <w:noProof/>
          <w:szCs w:val="24"/>
        </w:rPr>
      </w:pPr>
      <w:r>
        <w:rPr>
          <w:noProof/>
          <w:szCs w:val="24"/>
        </w:rPr>
        <w:t>35% replied that they do not rely on mutual recognition for entering a new market, mainly because they do not know abou</w:t>
      </w:r>
      <w:r>
        <w:rPr>
          <w:noProof/>
          <w:szCs w:val="24"/>
        </w:rPr>
        <w:t xml:space="preserve">t it (15%) or because they do not trust it (4%). </w:t>
      </w:r>
    </w:p>
    <w:p w:rsidR="0037666B" w:rsidRDefault="00C627B8">
      <w:pPr>
        <w:rPr>
          <w:b/>
          <w:noProof/>
          <w:szCs w:val="24"/>
        </w:rPr>
      </w:pPr>
      <w:r>
        <w:rPr>
          <w:noProof/>
          <w:szCs w:val="24"/>
        </w:rPr>
        <w:t xml:space="preserve">When national authorities check if products available on their market and coming from another Member State comply with the national rules they are enforcing, </w:t>
      </w:r>
      <w:r>
        <w:rPr>
          <w:b/>
          <w:noProof/>
          <w:szCs w:val="24"/>
        </w:rPr>
        <w:t>53% verify if they are already lawfully marketed</w:t>
      </w:r>
      <w:r>
        <w:rPr>
          <w:b/>
          <w:noProof/>
          <w:szCs w:val="24"/>
        </w:rPr>
        <w:t xml:space="preserve"> in the Member State of origin while 46% do not. </w:t>
      </w:r>
    </w:p>
    <w:p w:rsidR="0037666B" w:rsidRDefault="00C627B8">
      <w:pPr>
        <w:rPr>
          <w:noProof/>
          <w:szCs w:val="24"/>
        </w:rPr>
      </w:pPr>
      <w:r>
        <w:rPr>
          <w:noProof/>
          <w:szCs w:val="24"/>
        </w:rPr>
        <w:t>Despite the indicated high level of awareness about mutual recognition, the majority of respondents consider that awareness-raising remains necessary.</w:t>
      </w:r>
    </w:p>
    <w:p w:rsidR="0037666B" w:rsidRDefault="00C627B8">
      <w:pPr>
        <w:rPr>
          <w:noProof/>
          <w:szCs w:val="24"/>
        </w:rPr>
      </w:pPr>
      <w:r>
        <w:rPr>
          <w:noProof/>
          <w:szCs w:val="24"/>
        </w:rPr>
        <w:t xml:space="preserve">As regards the obstacles to the functioning of mutual recognition, businesses identified the lack of quick remedies for challenging national decisions denying market access as the highest one, followed by insufficient communication among authorities. </w:t>
      </w:r>
      <w:r>
        <w:rPr>
          <w:b/>
          <w:noProof/>
          <w:szCs w:val="24"/>
        </w:rPr>
        <w:t>52%</w:t>
      </w:r>
      <w:r>
        <w:rPr>
          <w:noProof/>
          <w:szCs w:val="24"/>
        </w:rPr>
        <w:t xml:space="preserve"> o</w:t>
      </w:r>
      <w:r>
        <w:rPr>
          <w:noProof/>
          <w:szCs w:val="24"/>
        </w:rPr>
        <w:t xml:space="preserve">f the respondents faced such obstacles themselves. </w:t>
      </w:r>
    </w:p>
    <w:p w:rsidR="0037666B" w:rsidRDefault="00C627B8">
      <w:pPr>
        <w:pStyle w:val="Heading3"/>
        <w:rPr>
          <w:noProof/>
        </w:rPr>
      </w:pPr>
      <w:bookmarkStart w:id="65" w:name="_Toc471373902"/>
      <w:bookmarkStart w:id="66" w:name="_Toc476747131"/>
      <w:bookmarkStart w:id="67" w:name="_Toc483992760"/>
      <w:r>
        <w:rPr>
          <w:noProof/>
        </w:rPr>
        <w:t>Functioning of the Mutual Recognition Regulation</w:t>
      </w:r>
      <w:bookmarkEnd w:id="65"/>
      <w:bookmarkEnd w:id="66"/>
      <w:bookmarkEnd w:id="67"/>
    </w:p>
    <w:p w:rsidR="0037666B" w:rsidRDefault="00C627B8">
      <w:pPr>
        <w:rPr>
          <w:b/>
          <w:noProof/>
          <w:szCs w:val="24"/>
        </w:rPr>
      </w:pPr>
      <w:r>
        <w:rPr>
          <w:b/>
          <w:noProof/>
          <w:szCs w:val="24"/>
        </w:rPr>
        <w:t xml:space="preserve">Effectiveness: to what extent has the Regulation achieved its objectives? </w:t>
      </w:r>
    </w:p>
    <w:p w:rsidR="0037666B" w:rsidRDefault="00C627B8">
      <w:pPr>
        <w:rPr>
          <w:noProof/>
          <w:szCs w:val="24"/>
        </w:rPr>
      </w:pPr>
      <w:r>
        <w:rPr>
          <w:noProof/>
          <w:szCs w:val="24"/>
        </w:rPr>
        <w:t>The majority of respondents are aware of the Regulation, and consider that most of the tools put in place are useful and still necessary. As regards whether or not the Regulation has met its objective, the feeling is mixed among businesses and national aut</w:t>
      </w:r>
      <w:r>
        <w:rPr>
          <w:noProof/>
          <w:szCs w:val="24"/>
        </w:rPr>
        <w:t>horities. Generally, very few economic operators consider that it is easier to sell products in other Member States since the Regulation entered into force. The majority consider that the Regulation has not improved the situation, or do not know, either be</w:t>
      </w:r>
      <w:r>
        <w:rPr>
          <w:noProof/>
          <w:szCs w:val="24"/>
        </w:rPr>
        <w:t xml:space="preserve">cause they do not use mutual recognition or they do not sell products abroad. </w:t>
      </w:r>
    </w:p>
    <w:p w:rsidR="0037666B" w:rsidRDefault="00C627B8">
      <w:pPr>
        <w:rPr>
          <w:b/>
          <w:noProof/>
          <w:szCs w:val="24"/>
        </w:rPr>
      </w:pPr>
      <w:r>
        <w:rPr>
          <w:b/>
          <w:noProof/>
          <w:szCs w:val="24"/>
        </w:rPr>
        <w:t xml:space="preserve">Efficiency: costs and benefits of the Regulation </w:t>
      </w:r>
    </w:p>
    <w:p w:rsidR="0037666B" w:rsidRDefault="00C627B8">
      <w:pPr>
        <w:rPr>
          <w:noProof/>
          <w:szCs w:val="24"/>
        </w:rPr>
      </w:pPr>
      <w:r>
        <w:rPr>
          <w:noProof/>
          <w:szCs w:val="24"/>
        </w:rPr>
        <w:t>As regards the costs of implementing the Regulation, national authorities ranked them as average. On top of the choices provide</w:t>
      </w:r>
      <w:r>
        <w:rPr>
          <w:noProof/>
          <w:szCs w:val="24"/>
        </w:rPr>
        <w:t>d by the consultation, authorities also indicated additional costs linked to the absence of an updated list of products to which mutual recognition may apply</w:t>
      </w:r>
      <w:r>
        <w:rPr>
          <w:b/>
          <w:noProof/>
          <w:szCs w:val="24"/>
        </w:rPr>
        <w:t xml:space="preserve">. </w:t>
      </w:r>
      <w:r>
        <w:rPr>
          <w:noProof/>
          <w:szCs w:val="24"/>
        </w:rPr>
        <w:t xml:space="preserve">Some consider that additional costs are triggered by the administrative procedures, seen as long </w:t>
      </w:r>
      <w:r>
        <w:rPr>
          <w:noProof/>
          <w:szCs w:val="24"/>
        </w:rPr>
        <w:t xml:space="preserve">and time-consuming. Despite the costs, national authorities agree, fully or partially, that the Regulation brings benefits in terms of facilitating market access. </w:t>
      </w:r>
    </w:p>
    <w:p w:rsidR="0037666B" w:rsidRDefault="00C627B8">
      <w:pPr>
        <w:rPr>
          <w:noProof/>
          <w:szCs w:val="24"/>
        </w:rPr>
      </w:pPr>
      <w:r>
        <w:rPr>
          <w:noProof/>
          <w:szCs w:val="24"/>
        </w:rPr>
        <w:t>As regards businesses, the main costs incurred are triggered by the need to adapt the produc</w:t>
      </w:r>
      <w:r>
        <w:rPr>
          <w:noProof/>
          <w:szCs w:val="24"/>
        </w:rPr>
        <w:t>ts to the applicable national rules, when mutual recognition is either denied or not used for penetrating the market. These costs are estimated</w:t>
      </w:r>
      <w:r>
        <w:rPr>
          <w:noProof/>
          <w:szCs w:val="24"/>
          <w:vertAlign w:val="superscript"/>
        </w:rPr>
        <w:footnoteReference w:id="127"/>
      </w:r>
      <w:r>
        <w:rPr>
          <w:noProof/>
          <w:szCs w:val="24"/>
        </w:rPr>
        <w:t xml:space="preserve"> on average at 23 000 Euro per product and per market. High costs are also related to delays in entering a marke</w:t>
      </w:r>
      <w:r>
        <w:rPr>
          <w:noProof/>
          <w:szCs w:val="24"/>
        </w:rPr>
        <w:t>t, estimated</w:t>
      </w:r>
      <w:r>
        <w:rPr>
          <w:noProof/>
          <w:szCs w:val="24"/>
          <w:vertAlign w:val="superscript"/>
        </w:rPr>
        <w:footnoteReference w:id="128"/>
      </w:r>
      <w:r>
        <w:rPr>
          <w:noProof/>
          <w:szCs w:val="24"/>
        </w:rPr>
        <w:t xml:space="preserve"> at 115 000 Euro per product and per market, and to lost opportunities, when businesses relinquish entering a market because of different national rules that require their products to be adapted. On average, the latest are estimated</w:t>
      </w:r>
      <w:r>
        <w:rPr>
          <w:noProof/>
          <w:szCs w:val="24"/>
          <w:vertAlign w:val="superscript"/>
        </w:rPr>
        <w:footnoteReference w:id="129"/>
      </w:r>
      <w:r>
        <w:rPr>
          <w:noProof/>
          <w:szCs w:val="24"/>
        </w:rPr>
        <w:t xml:space="preserve"> at 136 00</w:t>
      </w:r>
      <w:r>
        <w:rPr>
          <w:noProof/>
          <w:szCs w:val="24"/>
        </w:rPr>
        <w:t>0 Euro per product and per market. The costs related to challenging administrative decisions denying market access are considered as less important, mainly because few economic operators choose to do so. The estimates</w:t>
      </w:r>
      <w:r>
        <w:rPr>
          <w:noProof/>
          <w:szCs w:val="24"/>
          <w:vertAlign w:val="superscript"/>
        </w:rPr>
        <w:footnoteReference w:id="130"/>
      </w:r>
      <w:r>
        <w:rPr>
          <w:noProof/>
          <w:szCs w:val="24"/>
        </w:rPr>
        <w:t xml:space="preserve"> are around 32 000 Euro per product an</w:t>
      </w:r>
      <w:r>
        <w:rPr>
          <w:noProof/>
          <w:szCs w:val="24"/>
        </w:rPr>
        <w:t xml:space="preserve">d per market. There are however considerable variations in the answers. </w:t>
      </w:r>
    </w:p>
    <w:p w:rsidR="0037666B" w:rsidRDefault="00C627B8">
      <w:pPr>
        <w:rPr>
          <w:noProof/>
          <w:szCs w:val="24"/>
        </w:rPr>
      </w:pPr>
      <w:r>
        <w:rPr>
          <w:noProof/>
          <w:szCs w:val="24"/>
        </w:rPr>
        <w:t>Costs were also related to assessing if mutual recognition can be used to sell products in another Member State. Very few economic operators (2%) are outsourcing this assessment, whil</w:t>
      </w:r>
      <w:r>
        <w:rPr>
          <w:noProof/>
          <w:szCs w:val="24"/>
        </w:rPr>
        <w:t xml:space="preserve">e 26% are doing it internally. 46%  are doing both, depending on the product. </w:t>
      </w:r>
    </w:p>
    <w:p w:rsidR="0037666B" w:rsidRDefault="00C627B8">
      <w:pPr>
        <w:rPr>
          <w:noProof/>
          <w:szCs w:val="24"/>
          <w:lang w:eastAsia="en-GB"/>
        </w:rPr>
      </w:pPr>
      <w:r>
        <w:rPr>
          <w:noProof/>
          <w:szCs w:val="24"/>
        </w:rPr>
        <w:t xml:space="preserve">In terms of benefits that the regulation brings, the perceptions of responding businesses are quite mixed. </w:t>
      </w:r>
      <w:r>
        <w:rPr>
          <w:noProof/>
          <w:szCs w:val="24"/>
          <w:lang w:eastAsia="en-GB"/>
        </w:rPr>
        <w:t xml:space="preserve">While Member States tend to consider that the costs of the Regulation </w:t>
      </w:r>
      <w:r>
        <w:rPr>
          <w:noProof/>
          <w:szCs w:val="24"/>
          <w:lang w:eastAsia="en-GB"/>
        </w:rPr>
        <w:t xml:space="preserve">are proportionate to the benefits it generates, businesses mostly disagree with only 9% agreeing. </w:t>
      </w:r>
    </w:p>
    <w:p w:rsidR="0037666B" w:rsidRDefault="00C627B8">
      <w:pPr>
        <w:rPr>
          <w:b/>
          <w:noProof/>
          <w:szCs w:val="24"/>
        </w:rPr>
      </w:pPr>
      <w:r>
        <w:rPr>
          <w:b/>
          <w:noProof/>
          <w:szCs w:val="24"/>
        </w:rPr>
        <w:t>Coherence</w:t>
      </w:r>
    </w:p>
    <w:p w:rsidR="0037666B" w:rsidRDefault="00C627B8">
      <w:pPr>
        <w:rPr>
          <w:noProof/>
          <w:szCs w:val="24"/>
        </w:rPr>
      </w:pPr>
      <w:r>
        <w:rPr>
          <w:noProof/>
          <w:szCs w:val="24"/>
        </w:rPr>
        <w:t>There is a consensus among respondents as regards the coherence of the Regulation. Most of the respondents are not aware of any overlaps between th</w:t>
      </w:r>
      <w:r>
        <w:rPr>
          <w:noProof/>
          <w:szCs w:val="24"/>
        </w:rPr>
        <w:t xml:space="preserve">e Regulation and other initiatives/legislation/policies. The overlaps indicated by those replying positively are linked to Solvit, RAPEX, ICSMS and Regulation 765/2008 on market surveillance. </w:t>
      </w:r>
    </w:p>
    <w:p w:rsidR="0037666B" w:rsidRDefault="00C627B8">
      <w:pPr>
        <w:rPr>
          <w:b/>
          <w:noProof/>
          <w:szCs w:val="24"/>
        </w:rPr>
      </w:pPr>
      <w:r>
        <w:rPr>
          <w:b/>
          <w:noProof/>
          <w:szCs w:val="24"/>
        </w:rPr>
        <w:t xml:space="preserve">EU added value </w:t>
      </w:r>
    </w:p>
    <w:p w:rsidR="0037666B" w:rsidRDefault="00C627B8">
      <w:pPr>
        <w:rPr>
          <w:b/>
          <w:noProof/>
          <w:szCs w:val="24"/>
        </w:rPr>
      </w:pPr>
      <w:r>
        <w:rPr>
          <w:noProof/>
          <w:szCs w:val="24"/>
        </w:rPr>
        <w:t>The European added value of the mutual recognit</w:t>
      </w:r>
      <w:r>
        <w:rPr>
          <w:noProof/>
          <w:szCs w:val="24"/>
        </w:rPr>
        <w:t>ion rules is also strongly underlined by the respondents. Most of them agree that having a common set of rules guarantees equal treatment, and that relying on national rules only would undermine the internal market.</w:t>
      </w:r>
      <w:r>
        <w:rPr>
          <w:b/>
          <w:noProof/>
          <w:szCs w:val="24"/>
        </w:rPr>
        <w:t xml:space="preserve"> </w:t>
      </w:r>
    </w:p>
    <w:p w:rsidR="0037666B" w:rsidRDefault="00C627B8">
      <w:pPr>
        <w:pStyle w:val="Heading3"/>
        <w:rPr>
          <w:noProof/>
        </w:rPr>
      </w:pPr>
      <w:bookmarkStart w:id="68" w:name="_Toc471373903"/>
      <w:bookmarkStart w:id="69" w:name="_Toc476747132"/>
      <w:bookmarkStart w:id="70" w:name="_Toc483992761"/>
      <w:r>
        <w:rPr>
          <w:noProof/>
        </w:rPr>
        <w:t xml:space="preserve">Assessment of communication when using </w:t>
      </w:r>
      <w:r>
        <w:rPr>
          <w:noProof/>
        </w:rPr>
        <w:t>Mutual Recognition</w:t>
      </w:r>
      <w:bookmarkEnd w:id="68"/>
      <w:bookmarkEnd w:id="69"/>
      <w:bookmarkEnd w:id="70"/>
    </w:p>
    <w:p w:rsidR="0037666B" w:rsidRDefault="00C627B8">
      <w:pPr>
        <w:rPr>
          <w:noProof/>
          <w:szCs w:val="24"/>
        </w:rPr>
      </w:pPr>
      <w:r>
        <w:rPr>
          <w:noProof/>
          <w:szCs w:val="24"/>
        </w:rPr>
        <w:t>Most of the responding businesses have never contacted a Product Contact Point to obtain information on the applicable product rules, mainly because they are not aware of their existence. Among those having contacted Product Contact Poin</w:t>
      </w:r>
      <w:r>
        <w:rPr>
          <w:noProof/>
          <w:szCs w:val="24"/>
        </w:rPr>
        <w:t xml:space="preserve">ts, it is quite difficult to identify their level of satisfaction or the reasons behind it. </w:t>
      </w:r>
    </w:p>
    <w:p w:rsidR="0037666B" w:rsidRDefault="00C627B8">
      <w:pPr>
        <w:rPr>
          <w:noProof/>
          <w:szCs w:val="24"/>
        </w:rPr>
      </w:pPr>
      <w:r>
        <w:rPr>
          <w:noProof/>
          <w:szCs w:val="24"/>
        </w:rPr>
        <w:t>Responding Member States consider the communication with authorities within their own country as good, while communication with authorities from other Member State</w:t>
      </w:r>
      <w:r>
        <w:rPr>
          <w:noProof/>
          <w:szCs w:val="24"/>
        </w:rPr>
        <w:t>s is rather average or poor. As regards communication between national administrations and businesses, the assessment by authorities is quite mixed between good, average and poor. The main reasons for poor communication are related to the lack of knowledge</w:t>
      </w:r>
      <w:r>
        <w:rPr>
          <w:noProof/>
          <w:szCs w:val="24"/>
        </w:rPr>
        <w:t xml:space="preserve"> about mutual recognition, language issues and the absence of an appropriate IT tool to facilitate communication. </w:t>
      </w:r>
    </w:p>
    <w:p w:rsidR="0037666B" w:rsidRDefault="00C627B8">
      <w:pPr>
        <w:pStyle w:val="Heading3"/>
        <w:rPr>
          <w:noProof/>
        </w:rPr>
      </w:pPr>
      <w:bookmarkStart w:id="71" w:name="_Toc471373904"/>
      <w:bookmarkStart w:id="72" w:name="_Toc476747133"/>
      <w:bookmarkStart w:id="73" w:name="_Toc483992762"/>
      <w:r>
        <w:rPr>
          <w:noProof/>
        </w:rPr>
        <w:t>Priorities to improve Mutual Recognition</w:t>
      </w:r>
      <w:bookmarkEnd w:id="71"/>
      <w:bookmarkEnd w:id="72"/>
      <w:bookmarkEnd w:id="73"/>
    </w:p>
    <w:p w:rsidR="0037666B" w:rsidRDefault="00C627B8">
      <w:pPr>
        <w:rPr>
          <w:noProof/>
          <w:szCs w:val="24"/>
        </w:rPr>
      </w:pPr>
      <w:r>
        <w:rPr>
          <w:noProof/>
          <w:szCs w:val="24"/>
        </w:rPr>
        <w:t>Stakeholders have different views as regards the possible priorities with regard to mutual recogniti</w:t>
      </w:r>
      <w:r>
        <w:rPr>
          <w:noProof/>
          <w:szCs w:val="24"/>
        </w:rPr>
        <w:t xml:space="preserve">on. If businesses rank the need for effective remedies as being the highest priority, Member States and citizens opt in favour of increasing awareness about mutual recognition. </w:t>
      </w:r>
    </w:p>
    <w:tbl>
      <w:tblPr>
        <w:tblStyle w:val="LightList"/>
        <w:tblW w:w="9180" w:type="dxa"/>
        <w:tblLook w:val="04A0" w:firstRow="1" w:lastRow="0" w:firstColumn="1" w:lastColumn="0" w:noHBand="0" w:noVBand="1"/>
      </w:tblPr>
      <w:tblGrid>
        <w:gridCol w:w="8046"/>
        <w:gridCol w:w="1134"/>
      </w:tblGrid>
      <w:tr w:rsidR="0037666B" w:rsidTr="0037666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8" w:space="0" w:color="000000" w:themeColor="text1"/>
              <w:left w:val="single" w:sz="8" w:space="0" w:color="000000" w:themeColor="text1"/>
              <w:bottom w:val="nil"/>
              <w:right w:val="single" w:sz="8" w:space="0" w:color="000000" w:themeColor="text1"/>
            </w:tcBorders>
            <w:shd w:val="clear" w:color="auto" w:fill="548DD4" w:themeFill="text2" w:themeFillTint="99"/>
            <w:hideMark/>
          </w:tcPr>
          <w:p w:rsidR="0037666B" w:rsidRDefault="00C627B8">
            <w:pPr>
              <w:spacing w:before="120" w:after="120"/>
              <w:rPr>
                <w:rFonts w:ascii="Times New Roman" w:hAnsi="Times New Roman" w:cs="Times New Roman"/>
                <w:noProof/>
                <w:sz w:val="20"/>
                <w:szCs w:val="20"/>
              </w:rPr>
            </w:pPr>
            <w:r>
              <w:rPr>
                <w:rFonts w:ascii="Times New Roman" w:hAnsi="Times New Roman" w:cs="Times New Roman"/>
                <w:noProof/>
                <w:sz w:val="20"/>
                <w:szCs w:val="20"/>
              </w:rPr>
              <w:t>Ranking of priorities by businesses</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shd w:val="clear" w:color="auto" w:fill="8DB3E2" w:themeFill="text2" w:themeFillTint="66"/>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Ensure that businesses have effective </w:t>
            </w:r>
            <w:r>
              <w:rPr>
                <w:rFonts w:ascii="Times New Roman" w:hAnsi="Times New Roman" w:cs="Times New Roman"/>
                <w:b w:val="0"/>
                <w:noProof/>
                <w:sz w:val="20"/>
                <w:szCs w:val="20"/>
              </w:rPr>
              <w:t>remedies at their disposal to take action against decisions denying mutual recognition when needed</w:t>
            </w:r>
          </w:p>
        </w:tc>
        <w:tc>
          <w:tcPr>
            <w:tcW w:w="1134" w:type="dxa"/>
            <w:tcBorders>
              <w:left w:val="nil"/>
            </w:tcBorders>
            <w:shd w:val="clear" w:color="auto" w:fill="8DB3E2" w:themeFill="text2" w:themeFillTint="66"/>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72%</w:t>
            </w:r>
          </w:p>
        </w:tc>
      </w:tr>
      <w:tr w:rsidR="0037666B" w:rsidTr="0037666B">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1134" w:type="dxa"/>
            <w:tcBorders>
              <w:top w:val="nil"/>
              <w:left w:val="nil"/>
              <w:bottom w:val="nil"/>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67%</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Ensure that the procedures are duly followed when </w:t>
            </w:r>
            <w:r>
              <w:rPr>
                <w:rFonts w:ascii="Times New Roman" w:hAnsi="Times New Roman" w:cs="Times New Roman"/>
                <w:b w:val="0"/>
                <w:noProof/>
                <w:sz w:val="20"/>
                <w:szCs w:val="20"/>
              </w:rPr>
              <w:t>decisions denying market access are taken by national authorities</w:t>
            </w:r>
          </w:p>
        </w:tc>
        <w:tc>
          <w:tcPr>
            <w:tcW w:w="1134" w:type="dxa"/>
            <w:tcBorders>
              <w:left w:val="nil"/>
            </w:tcBorders>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65%</w:t>
            </w:r>
          </w:p>
        </w:tc>
      </w:tr>
      <w:tr w:rsidR="0037666B" w:rsidTr="0037666B">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1134" w:type="dxa"/>
            <w:tcBorders>
              <w:top w:val="nil"/>
              <w:left w:val="nil"/>
              <w:bottom w:val="nil"/>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64%</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Facilitate communication between all actors involved in mutual recognition (business, </w:t>
            </w:r>
            <w:r>
              <w:rPr>
                <w:rFonts w:ascii="Times New Roman" w:hAnsi="Times New Roman" w:cs="Times New Roman"/>
                <w:b w:val="0"/>
                <w:noProof/>
                <w:sz w:val="20"/>
                <w:szCs w:val="20"/>
              </w:rPr>
              <w:t>national authorities, European Commission)</w:t>
            </w:r>
          </w:p>
        </w:tc>
        <w:tc>
          <w:tcPr>
            <w:tcW w:w="1134" w:type="dxa"/>
            <w:tcBorders>
              <w:left w:val="nil"/>
            </w:tcBorders>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54%</w:t>
            </w:r>
          </w:p>
        </w:tc>
      </w:tr>
      <w:tr w:rsidR="0037666B" w:rsidTr="0037666B">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single" w:sz="8" w:space="0" w:color="000000" w:themeColor="text1"/>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of the mutual recognition principle</w:t>
            </w:r>
          </w:p>
        </w:tc>
        <w:tc>
          <w:tcPr>
            <w:tcW w:w="1134" w:type="dxa"/>
            <w:tcBorders>
              <w:top w:val="nil"/>
              <w:left w:val="nil"/>
              <w:bottom w:val="single" w:sz="8" w:space="0" w:color="000000" w:themeColor="text1"/>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52%</w:t>
            </w:r>
          </w:p>
        </w:tc>
      </w:tr>
    </w:tbl>
    <w:p w:rsidR="0037666B" w:rsidRDefault="0037666B">
      <w:pPr>
        <w:rPr>
          <w:b/>
          <w:noProof/>
          <w:szCs w:val="24"/>
        </w:rPr>
      </w:pPr>
    </w:p>
    <w:tbl>
      <w:tblPr>
        <w:tblStyle w:val="LightList"/>
        <w:tblW w:w="9180" w:type="dxa"/>
        <w:tblLook w:val="04A0" w:firstRow="1" w:lastRow="0" w:firstColumn="1" w:lastColumn="0" w:noHBand="0" w:noVBand="1"/>
      </w:tblPr>
      <w:tblGrid>
        <w:gridCol w:w="8046"/>
        <w:gridCol w:w="11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8" w:space="0" w:color="000000" w:themeColor="text1"/>
              <w:left w:val="single" w:sz="8" w:space="0" w:color="000000" w:themeColor="text1"/>
              <w:bottom w:val="nil"/>
              <w:right w:val="single" w:sz="8" w:space="0" w:color="000000" w:themeColor="text1"/>
            </w:tcBorders>
            <w:shd w:val="clear" w:color="auto" w:fill="548DD4" w:themeFill="text2" w:themeFillTint="99"/>
            <w:hideMark/>
          </w:tcPr>
          <w:p w:rsidR="0037666B" w:rsidRDefault="00C627B8">
            <w:pPr>
              <w:spacing w:before="120" w:after="120"/>
              <w:rPr>
                <w:rFonts w:ascii="Times New Roman" w:hAnsi="Times New Roman" w:cs="Times New Roman"/>
                <w:noProof/>
                <w:sz w:val="20"/>
                <w:szCs w:val="20"/>
              </w:rPr>
            </w:pPr>
            <w:r>
              <w:rPr>
                <w:rFonts w:ascii="Times New Roman" w:hAnsi="Times New Roman" w:cs="Times New Roman"/>
                <w:noProof/>
                <w:sz w:val="20"/>
                <w:szCs w:val="20"/>
              </w:rPr>
              <w:t>Ranking of priorities by Member States</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shd w:val="clear" w:color="auto" w:fill="8DB3E2" w:themeFill="text2" w:themeFillTint="66"/>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of the mutual recognition principle</w:t>
            </w:r>
          </w:p>
        </w:tc>
        <w:tc>
          <w:tcPr>
            <w:tcW w:w="1134" w:type="dxa"/>
            <w:tcBorders>
              <w:left w:val="nil"/>
            </w:tcBorders>
            <w:shd w:val="clear" w:color="auto" w:fill="8DB3E2" w:themeFill="text2" w:themeFillTint="66"/>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51%</w:t>
            </w:r>
          </w:p>
        </w:tc>
      </w:tr>
      <w:tr w:rsidR="0037666B" w:rsidTr="0037666B">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Ensure that the procedures are </w:t>
            </w:r>
            <w:r>
              <w:rPr>
                <w:rFonts w:ascii="Times New Roman" w:hAnsi="Times New Roman" w:cs="Times New Roman"/>
                <w:b w:val="0"/>
                <w:noProof/>
                <w:sz w:val="20"/>
                <w:szCs w:val="20"/>
              </w:rPr>
              <w:t>duly followed when decisions denying market access are taken by national authorities</w:t>
            </w:r>
          </w:p>
        </w:tc>
        <w:tc>
          <w:tcPr>
            <w:tcW w:w="1134" w:type="dxa"/>
            <w:tcBorders>
              <w:top w:val="nil"/>
              <w:left w:val="nil"/>
              <w:bottom w:val="nil"/>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42%</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1134" w:type="dxa"/>
            <w:tcBorders>
              <w:left w:val="nil"/>
            </w:tcBorders>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40%</w:t>
            </w:r>
          </w:p>
        </w:tc>
      </w:tr>
      <w:tr w:rsidR="0037666B" w:rsidTr="0037666B">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Increase effectiveness </w:t>
            </w:r>
            <w:r>
              <w:rPr>
                <w:rFonts w:ascii="Times New Roman" w:hAnsi="Times New Roman" w:cs="Times New Roman"/>
                <w:b w:val="0"/>
                <w:noProof/>
                <w:sz w:val="20"/>
                <w:szCs w:val="20"/>
              </w:rPr>
              <w:t>of mutual recognition to facilitate access to the internal market</w:t>
            </w:r>
          </w:p>
        </w:tc>
        <w:tc>
          <w:tcPr>
            <w:tcW w:w="1134" w:type="dxa"/>
            <w:tcBorders>
              <w:top w:val="nil"/>
              <w:left w:val="nil"/>
              <w:bottom w:val="nil"/>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1134" w:type="dxa"/>
            <w:tcBorders>
              <w:left w:val="nil"/>
            </w:tcBorders>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33%</w:t>
            </w:r>
          </w:p>
        </w:tc>
      </w:tr>
      <w:tr w:rsidR="0037666B" w:rsidTr="0037666B">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single" w:sz="8" w:space="0" w:color="000000" w:themeColor="text1"/>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Facilitate communication between all actors involved in mutual recognition (business, </w:t>
            </w:r>
            <w:r>
              <w:rPr>
                <w:rFonts w:ascii="Times New Roman" w:hAnsi="Times New Roman" w:cs="Times New Roman"/>
                <w:b w:val="0"/>
                <w:noProof/>
                <w:sz w:val="20"/>
                <w:szCs w:val="20"/>
              </w:rPr>
              <w:t>national authorities, European Commission)</w:t>
            </w:r>
          </w:p>
        </w:tc>
        <w:tc>
          <w:tcPr>
            <w:tcW w:w="1134" w:type="dxa"/>
            <w:tcBorders>
              <w:top w:val="nil"/>
              <w:left w:val="nil"/>
              <w:bottom w:val="single" w:sz="8" w:space="0" w:color="000000" w:themeColor="text1"/>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31%</w:t>
            </w:r>
          </w:p>
        </w:tc>
      </w:tr>
    </w:tbl>
    <w:p w:rsidR="0037666B" w:rsidRDefault="0037666B">
      <w:pPr>
        <w:rPr>
          <w:b/>
          <w:noProof/>
          <w:szCs w:val="24"/>
        </w:rPr>
      </w:pPr>
    </w:p>
    <w:tbl>
      <w:tblPr>
        <w:tblStyle w:val="LightList"/>
        <w:tblW w:w="9180" w:type="dxa"/>
        <w:tblLook w:val="04A0" w:firstRow="1" w:lastRow="0" w:firstColumn="1" w:lastColumn="0" w:noHBand="0" w:noVBand="1"/>
      </w:tblPr>
      <w:tblGrid>
        <w:gridCol w:w="8046"/>
        <w:gridCol w:w="1134"/>
      </w:tblGrid>
      <w:tr w:rsidR="0037666B" w:rsidTr="003766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8" w:space="0" w:color="000000" w:themeColor="text1"/>
              <w:left w:val="single" w:sz="8" w:space="0" w:color="000000" w:themeColor="text1"/>
              <w:bottom w:val="nil"/>
              <w:right w:val="single" w:sz="8" w:space="0" w:color="000000" w:themeColor="text1"/>
            </w:tcBorders>
            <w:shd w:val="clear" w:color="auto" w:fill="548DD4" w:themeFill="text2" w:themeFillTint="99"/>
            <w:hideMark/>
          </w:tcPr>
          <w:p w:rsidR="0037666B" w:rsidRDefault="00C627B8">
            <w:pPr>
              <w:spacing w:before="120" w:after="120"/>
              <w:rPr>
                <w:rFonts w:ascii="Times New Roman" w:hAnsi="Times New Roman" w:cs="Times New Roman"/>
                <w:noProof/>
                <w:sz w:val="20"/>
                <w:szCs w:val="20"/>
              </w:rPr>
            </w:pPr>
            <w:r>
              <w:rPr>
                <w:rFonts w:ascii="Times New Roman" w:hAnsi="Times New Roman" w:cs="Times New Roman"/>
                <w:noProof/>
                <w:sz w:val="20"/>
                <w:szCs w:val="20"/>
              </w:rPr>
              <w:t>Ranking of priorities by citizens</w:t>
            </w:r>
            <w:r>
              <w:rPr>
                <w:rFonts w:ascii="Times New Roman" w:hAnsi="Times New Roman" w:cs="Times New Roman"/>
                <w:noProof/>
                <w:sz w:val="20"/>
                <w:szCs w:val="20"/>
              </w:rPr>
              <w:tab/>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shd w:val="clear" w:color="auto" w:fill="8DB3E2" w:themeFill="text2" w:themeFillTint="66"/>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on the mutual recognition principle</w:t>
            </w:r>
          </w:p>
        </w:tc>
        <w:tc>
          <w:tcPr>
            <w:tcW w:w="1134" w:type="dxa"/>
            <w:tcBorders>
              <w:left w:val="nil"/>
            </w:tcBorders>
            <w:shd w:val="clear" w:color="auto" w:fill="8DB3E2" w:themeFill="text2" w:themeFillTint="66"/>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64%</w:t>
            </w:r>
          </w:p>
        </w:tc>
      </w:tr>
      <w:tr w:rsidR="0037666B" w:rsidTr="0037666B">
        <w:trPr>
          <w:trHeight w:val="20"/>
        </w:trP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1134" w:type="dxa"/>
            <w:tcBorders>
              <w:top w:val="nil"/>
              <w:left w:val="nil"/>
              <w:bottom w:val="nil"/>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52%</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1134" w:type="dxa"/>
            <w:tcBorders>
              <w:left w:val="nil"/>
            </w:tcBorders>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47%</w:t>
            </w:r>
          </w:p>
        </w:tc>
      </w:tr>
      <w:tr w:rsidR="0037666B" w:rsidTr="0037666B">
        <w:trPr>
          <w:trHeight w:val="20"/>
        </w:trP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1134" w:type="dxa"/>
            <w:tcBorders>
              <w:top w:val="nil"/>
              <w:left w:val="nil"/>
              <w:bottom w:val="nil"/>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41%</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 xml:space="preserve">Ensure that the </w:t>
            </w:r>
            <w:r>
              <w:rPr>
                <w:rFonts w:ascii="Times New Roman" w:hAnsi="Times New Roman" w:cs="Times New Roman"/>
                <w:b w:val="0"/>
                <w:noProof/>
                <w:sz w:val="20"/>
                <w:szCs w:val="20"/>
              </w:rPr>
              <w:t>procedures are duly followed when decisions denying market access are taken by national authorities</w:t>
            </w:r>
          </w:p>
        </w:tc>
        <w:tc>
          <w:tcPr>
            <w:tcW w:w="1134" w:type="dxa"/>
            <w:tcBorders>
              <w:left w:val="nil"/>
            </w:tcBorders>
            <w:hideMark/>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rsidR="0037666B" w:rsidTr="0037666B">
        <w:trPr>
          <w:trHeight w:val="20"/>
        </w:trP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single" w:sz="8" w:space="0" w:color="000000" w:themeColor="text1"/>
              <w:right w:val="nil"/>
            </w:tcBorders>
            <w:hideMark/>
          </w:tcPr>
          <w:p w:rsidR="0037666B" w:rsidRDefault="00C627B8">
            <w:pPr>
              <w:spacing w:before="120" w:after="120"/>
              <w:rPr>
                <w:rFonts w:ascii="Times New Roman" w:hAnsi="Times New Roman" w:cs="Times New Roman"/>
                <w:b w:val="0"/>
                <w:noProof/>
                <w:sz w:val="20"/>
                <w:szCs w:val="20"/>
              </w:rPr>
            </w:pPr>
            <w:r>
              <w:rPr>
                <w:rFonts w:ascii="Times New Roman" w:hAnsi="Times New Roman" w:cs="Times New Roman"/>
                <w:b w:val="0"/>
                <w:noProof/>
                <w:sz w:val="20"/>
                <w:szCs w:val="20"/>
              </w:rPr>
              <w:t>Facilitate communication between all actors involved in mutual recognition (business, national authorities, European Commission)</w:t>
            </w:r>
          </w:p>
        </w:tc>
        <w:tc>
          <w:tcPr>
            <w:tcW w:w="1134" w:type="dxa"/>
            <w:tcBorders>
              <w:top w:val="nil"/>
              <w:left w:val="nil"/>
              <w:bottom w:val="single" w:sz="8" w:space="0" w:color="000000" w:themeColor="text1"/>
              <w:right w:val="single" w:sz="8" w:space="0" w:color="000000" w:themeColor="text1"/>
            </w:tcBorders>
            <w:hideMark/>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23%</w:t>
            </w:r>
          </w:p>
        </w:tc>
      </w:tr>
    </w:tbl>
    <w:p w:rsidR="0037666B" w:rsidRDefault="0037666B">
      <w:pPr>
        <w:rPr>
          <w:b/>
          <w:noProof/>
          <w:szCs w:val="24"/>
        </w:rPr>
      </w:pPr>
    </w:p>
    <w:p w:rsidR="0037666B" w:rsidRDefault="00C627B8">
      <w:pPr>
        <w:pStyle w:val="Heading3"/>
        <w:rPr>
          <w:noProof/>
        </w:rPr>
      </w:pPr>
      <w:bookmarkStart w:id="74" w:name="_Toc471373905"/>
      <w:bookmarkStart w:id="75" w:name="_Toc476747134"/>
      <w:bookmarkStart w:id="76" w:name="_Toc483992763"/>
      <w:r>
        <w:rPr>
          <w:noProof/>
        </w:rPr>
        <w:t>Options</w:t>
      </w:r>
      <w:bookmarkEnd w:id="74"/>
      <w:bookmarkEnd w:id="75"/>
      <w:bookmarkEnd w:id="76"/>
    </w:p>
    <w:p w:rsidR="0037666B" w:rsidRDefault="00C627B8">
      <w:pPr>
        <w:rPr>
          <w:noProof/>
          <w:szCs w:val="24"/>
        </w:rPr>
      </w:pPr>
      <w:r>
        <w:rPr>
          <w:noProof/>
          <w:szCs w:val="24"/>
        </w:rPr>
        <w:t xml:space="preserve">All options put forward for making mutual recognition easier to apply and more reliable received a high level of support among stakeholders. </w:t>
      </w:r>
    </w:p>
    <w:p w:rsidR="0037666B" w:rsidRDefault="00C627B8">
      <w:pPr>
        <w:rPr>
          <w:noProof/>
          <w:szCs w:val="24"/>
        </w:rPr>
      </w:pPr>
      <w:r>
        <w:rPr>
          <w:noProof/>
          <w:szCs w:val="24"/>
          <w:lang w:eastAsia="en-GB"/>
        </w:rPr>
        <w:drawing>
          <wp:inline distT="0" distB="0" distL="0" distR="0">
            <wp:extent cx="5400000" cy="1440000"/>
            <wp:effectExtent l="0" t="0" r="10795" b="2730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666B" w:rsidRDefault="00C627B8">
      <w:pPr>
        <w:rPr>
          <w:noProof/>
          <w:szCs w:val="24"/>
        </w:rPr>
      </w:pPr>
      <w:r>
        <w:rPr>
          <w:noProof/>
          <w:szCs w:val="24"/>
          <w:lang w:eastAsia="en-GB"/>
        </w:rPr>
        <w:drawing>
          <wp:inline distT="0" distB="0" distL="0" distR="0">
            <wp:extent cx="5400000" cy="1440000"/>
            <wp:effectExtent l="0" t="0" r="10795" b="273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7666B" w:rsidRDefault="00C627B8">
      <w:pPr>
        <w:rPr>
          <w:noProof/>
          <w:szCs w:val="24"/>
        </w:rPr>
      </w:pPr>
      <w:r>
        <w:rPr>
          <w:noProof/>
          <w:szCs w:val="24"/>
          <w:lang w:eastAsia="en-GB"/>
        </w:rPr>
        <w:drawing>
          <wp:inline distT="0" distB="0" distL="0" distR="0">
            <wp:extent cx="5400000" cy="1440000"/>
            <wp:effectExtent l="0" t="0" r="10795" b="273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7666B" w:rsidRDefault="00C627B8">
      <w:pPr>
        <w:rPr>
          <w:noProof/>
          <w:szCs w:val="24"/>
        </w:rPr>
      </w:pPr>
      <w:r>
        <w:rPr>
          <w:noProof/>
          <w:szCs w:val="24"/>
          <w:lang w:eastAsia="en-GB"/>
        </w:rPr>
        <w:drawing>
          <wp:inline distT="0" distB="0" distL="0" distR="0">
            <wp:extent cx="5400000" cy="1440000"/>
            <wp:effectExtent l="0" t="0" r="10795"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7666B" w:rsidRDefault="00C627B8">
      <w:pPr>
        <w:rPr>
          <w:noProof/>
          <w:szCs w:val="24"/>
        </w:rPr>
      </w:pPr>
      <w:r>
        <w:rPr>
          <w:noProof/>
          <w:szCs w:val="24"/>
          <w:lang w:eastAsia="en-GB"/>
        </w:rPr>
        <w:drawing>
          <wp:inline distT="0" distB="0" distL="0" distR="0">
            <wp:extent cx="5400000" cy="1440000"/>
            <wp:effectExtent l="0" t="0" r="10795" b="273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666B" w:rsidRDefault="00C627B8">
      <w:pPr>
        <w:rPr>
          <w:noProof/>
          <w:szCs w:val="24"/>
        </w:rPr>
      </w:pPr>
      <w:r>
        <w:rPr>
          <w:noProof/>
          <w:szCs w:val="24"/>
          <w:lang w:eastAsia="en-GB"/>
        </w:rPr>
        <w:drawing>
          <wp:inline distT="0" distB="0" distL="0" distR="0">
            <wp:extent cx="5400000" cy="1440000"/>
            <wp:effectExtent l="0" t="0" r="10795" b="273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7666B" w:rsidRDefault="00C627B8">
      <w:pPr>
        <w:rPr>
          <w:noProof/>
          <w:szCs w:val="24"/>
        </w:rPr>
      </w:pPr>
      <w:r>
        <w:rPr>
          <w:noProof/>
          <w:szCs w:val="24"/>
          <w:lang w:eastAsia="en-GB"/>
        </w:rPr>
        <w:drawing>
          <wp:inline distT="0" distB="0" distL="0" distR="0">
            <wp:extent cx="5400000" cy="1800000"/>
            <wp:effectExtent l="0" t="0" r="10795" b="1016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7666B" w:rsidRDefault="00C627B8">
      <w:pPr>
        <w:rPr>
          <w:noProof/>
          <w:szCs w:val="24"/>
        </w:rPr>
      </w:pPr>
      <w:r>
        <w:rPr>
          <w:noProof/>
          <w:szCs w:val="24"/>
        </w:rPr>
        <w:t>As to what would be the most appropriate alternative to mutual recognition, the majority of stakehol</w:t>
      </w:r>
      <w:r>
        <w:rPr>
          <w:noProof/>
          <w:szCs w:val="24"/>
        </w:rPr>
        <w:t xml:space="preserve">ders agree that harmonisation is the most appropriate tool to use when mutual recognition doesn't work properly. </w:t>
      </w:r>
    </w:p>
    <w:p w:rsidR="0037666B" w:rsidRDefault="00C627B8">
      <w:pPr>
        <w:rPr>
          <w:noProof/>
          <w:szCs w:val="24"/>
        </w:rPr>
      </w:pPr>
      <w:r>
        <w:rPr>
          <w:b/>
          <w:noProof/>
          <w:szCs w:val="24"/>
          <w:lang w:eastAsia="en-GB"/>
        </w:rPr>
        <w:drawing>
          <wp:inline distT="0" distB="0" distL="0" distR="0">
            <wp:extent cx="5400000" cy="1800000"/>
            <wp:effectExtent l="0" t="0" r="10795" b="1016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7666B" w:rsidRDefault="00C627B8">
      <w:pPr>
        <w:rPr>
          <w:noProof/>
          <w:szCs w:val="24"/>
        </w:rPr>
      </w:pPr>
      <w:r>
        <w:rPr>
          <w:b/>
          <w:noProof/>
          <w:szCs w:val="24"/>
          <w:lang w:eastAsia="en-GB"/>
        </w:rPr>
        <w:drawing>
          <wp:inline distT="0" distB="0" distL="0" distR="0">
            <wp:extent cx="5400000" cy="1800000"/>
            <wp:effectExtent l="0" t="0" r="10795"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666B" w:rsidRDefault="00C627B8">
      <w:pPr>
        <w:rPr>
          <w:noProof/>
          <w:szCs w:val="24"/>
        </w:rPr>
      </w:pPr>
      <w:r>
        <w:rPr>
          <w:b/>
          <w:noProof/>
          <w:szCs w:val="24"/>
          <w:lang w:eastAsia="en-GB"/>
        </w:rPr>
        <w:drawing>
          <wp:inline distT="0" distB="0" distL="0" distR="0">
            <wp:extent cx="5400000" cy="1800000"/>
            <wp:effectExtent l="0" t="0" r="1079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7666B" w:rsidRDefault="00C627B8">
      <w:pPr>
        <w:pStyle w:val="Heading2"/>
        <w:rPr>
          <w:noProof/>
        </w:rPr>
      </w:pPr>
      <w:bookmarkStart w:id="77" w:name="_Toc476747135"/>
      <w:bookmarkStart w:id="78" w:name="_Toc483992764"/>
      <w:r>
        <w:rPr>
          <w:noProof/>
        </w:rPr>
        <w:t>Surveys carried out by the external contractors</w:t>
      </w:r>
      <w:bookmarkEnd w:id="77"/>
      <w:bookmarkEnd w:id="78"/>
    </w:p>
    <w:p w:rsidR="0037666B" w:rsidRDefault="00C627B8">
      <w:pPr>
        <w:rPr>
          <w:noProof/>
          <w:szCs w:val="24"/>
        </w:rPr>
      </w:pPr>
      <w:r>
        <w:rPr>
          <w:noProof/>
          <w:szCs w:val="24"/>
        </w:rPr>
        <w:t xml:space="preserve">In the framework of the external study evaluating the functioning of the mutual </w:t>
      </w:r>
      <w:r>
        <w:rPr>
          <w:noProof/>
          <w:szCs w:val="24"/>
        </w:rPr>
        <w:t>recognition principle</w:t>
      </w:r>
      <w:r>
        <w:rPr>
          <w:noProof/>
          <w:szCs w:val="24"/>
          <w:vertAlign w:val="superscript"/>
        </w:rPr>
        <w:footnoteReference w:id="131"/>
      </w:r>
      <w:r>
        <w:rPr>
          <w:noProof/>
          <w:szCs w:val="24"/>
        </w:rPr>
        <w:t xml:space="preserve"> , four different surveys were launched on 9 October 2014 and completed on 5 January 2015. These were a company survey (199 participants), a survey of national business associations and of national sector associations (20 participants</w:t>
      </w:r>
      <w:r>
        <w:rPr>
          <w:noProof/>
          <w:szCs w:val="24"/>
        </w:rPr>
        <w:t xml:space="preserve">), and a product contact point survey (26 participants). Following the survey, qualitative interviews with national business associations and Product Contact Points in each Member State were also carried out. </w:t>
      </w:r>
    </w:p>
    <w:p w:rsidR="0037666B" w:rsidRDefault="00C627B8">
      <w:pPr>
        <w:rPr>
          <w:noProof/>
          <w:szCs w:val="24"/>
        </w:rPr>
      </w:pPr>
      <w:r>
        <w:rPr>
          <w:noProof/>
          <w:szCs w:val="24"/>
        </w:rPr>
        <w:t>The findings of the surveys and interviews show that the application of the mutual recognition principle is challenging. Stakeholders outlined that there are still barriers to free movement of lawfully marketed goods due to additional requirements and test</w:t>
      </w:r>
      <w:r>
        <w:rPr>
          <w:noProof/>
          <w:szCs w:val="24"/>
        </w:rPr>
        <w:t xml:space="preserve">s existing in certain Member States. The lack of knowledge and awareness about mutual recognition was also pointed out as being problematic, as companies and national authorities do not know when and how the principle should be applied, in particular with </w:t>
      </w:r>
      <w:r>
        <w:rPr>
          <w:noProof/>
          <w:szCs w:val="24"/>
        </w:rPr>
        <w:t>regard to the type of products falling under the scope of mutual recognition and to the type of documentation required for demonstrating that a product has been already lawfully marketed. Poor communication and cooperation among national authorities has al</w:t>
      </w:r>
      <w:r>
        <w:rPr>
          <w:noProof/>
          <w:szCs w:val="24"/>
        </w:rPr>
        <w:t>so been pointed out as a weakness, contributing to the poor functioning of mutual recognition. In terms of efficiency, many businesses declared having to carry out additional tests at the request of the Member States on the territory of which they are tryi</w:t>
      </w:r>
      <w:r>
        <w:rPr>
          <w:noProof/>
          <w:szCs w:val="24"/>
        </w:rPr>
        <w:t xml:space="preserve">ng to sell their products. </w:t>
      </w:r>
    </w:p>
    <w:p w:rsidR="0037666B" w:rsidRDefault="00C627B8">
      <w:pPr>
        <w:rPr>
          <w:noProof/>
          <w:szCs w:val="24"/>
        </w:rPr>
      </w:pPr>
      <w:r>
        <w:rPr>
          <w:noProof/>
          <w:szCs w:val="24"/>
        </w:rPr>
        <w:t>In the framework of the study assessing the costs and benefits of the different options envisaged for improving mutual recognition, a survey and interviews were carried out by the external contactor. The stakeholder consultation</w:t>
      </w:r>
      <w:r>
        <w:rPr>
          <w:noProof/>
          <w:szCs w:val="24"/>
        </w:rPr>
        <w:t xml:space="preserve"> focused not only on the current functioning of mutual recognition – and its main issues – but also on how to revise the Regulation, through the policy options proposed by the Commission. Targeted surveys and interviews allowed an understanding of stakehol</w:t>
      </w:r>
      <w:r>
        <w:rPr>
          <w:noProof/>
          <w:szCs w:val="24"/>
        </w:rPr>
        <w:t>ders’ point of view about the Policy Options. With respect the obstacles to the implementation of MR National authorities highlight that: the wide scope, size and fragmentation of the market falling under mutual recognition and the presence of many differe</w:t>
      </w:r>
      <w:r>
        <w:rPr>
          <w:noProof/>
          <w:szCs w:val="24"/>
        </w:rPr>
        <w:t xml:space="preserve">nt national legislations may create difficulties in having clear, structured and smooth procedures to apply mutual recognition; products falling in areas where partial harmonisation and/or some EU standards exist create difficulties for authorities, since </w:t>
      </w:r>
      <w:r>
        <w:rPr>
          <w:noProof/>
          <w:szCs w:val="24"/>
        </w:rPr>
        <w:t>a mix of national and EU rules may apply, requiring more effort from their side to check and decide; a certain lack of communication exists also across Member States. This may result in difficulties for a national body to understand why a product was lawfu</w:t>
      </w:r>
      <w:r>
        <w:rPr>
          <w:noProof/>
          <w:szCs w:val="24"/>
        </w:rPr>
        <w:t xml:space="preserve">lly marketed in another Member State and what relevant rules apply, without investigating and asking for further information or clarification. </w:t>
      </w:r>
      <w:r>
        <w:rPr>
          <w:noProof/>
          <w:szCs w:val="24"/>
        </w:rPr>
        <w:tab/>
        <w:t>Businesses highlighted several obstacles as well, in particular relating to the interaction with national author</w:t>
      </w:r>
      <w:r>
        <w:rPr>
          <w:noProof/>
          <w:szCs w:val="24"/>
        </w:rPr>
        <w:t xml:space="preserve">ities, especially in terms of obtaining easy access to information, concerning mainly relevant legislation and procedures in place especially because of language barriers, proving that the product is already lawfully marketed in another Member State since </w:t>
      </w:r>
      <w:r>
        <w:rPr>
          <w:noProof/>
          <w:szCs w:val="24"/>
        </w:rPr>
        <w:t>National Authorities require different information and evidence. Time required to receive a response from national authorities has a significant impact in delaying the entry into the market or even discouraging them to enter. Considering the issues highlig</w:t>
      </w:r>
      <w:r>
        <w:rPr>
          <w:noProof/>
          <w:szCs w:val="24"/>
        </w:rPr>
        <w:t>hted by stakeholders both economic operators and national authorities agree that measures to improve the MR Regulation have to be taken. Within each category of stakeholder, preferences and opinions about the feasibility and priority of policy options (and</w:t>
      </w:r>
      <w:r>
        <w:rPr>
          <w:noProof/>
          <w:szCs w:val="24"/>
        </w:rPr>
        <w:t xml:space="preserve"> sub-options) seem to be heterogeneous. While among National Authorities there is quite a spread consensus about the need for intervention, either through soft-law or hard-law instruments, economic operators appear to be more cautious on the effectiveness </w:t>
      </w:r>
      <w:r>
        <w:rPr>
          <w:noProof/>
          <w:szCs w:val="24"/>
        </w:rPr>
        <w:t>of the proposed options in avoiding delayed market access and reducing costs for them. However, economic operators and national authorities appear to be in favour of mixing different sub-options, rather than the adoption of a single, full policy option.</w:t>
      </w:r>
    </w:p>
    <w:p w:rsidR="0037666B" w:rsidRDefault="00C627B8">
      <w:pPr>
        <w:pStyle w:val="Heading2"/>
        <w:rPr>
          <w:noProof/>
        </w:rPr>
      </w:pPr>
      <w:bookmarkStart w:id="79" w:name="_Toc476747136"/>
      <w:bookmarkStart w:id="80" w:name="_Toc483992765"/>
      <w:r>
        <w:rPr>
          <w:noProof/>
        </w:rPr>
        <w:t>Ot</w:t>
      </w:r>
      <w:r>
        <w:rPr>
          <w:noProof/>
        </w:rPr>
        <w:t>her contributions received (position papers or e-mail)</w:t>
      </w:r>
      <w:bookmarkEnd w:id="79"/>
      <w:bookmarkEnd w:id="80"/>
    </w:p>
    <w:p w:rsidR="0037666B" w:rsidRDefault="00C627B8">
      <w:pPr>
        <w:rPr>
          <w:noProof/>
          <w:szCs w:val="24"/>
        </w:rPr>
      </w:pPr>
      <w:r>
        <w:rPr>
          <w:noProof/>
          <w:szCs w:val="24"/>
        </w:rPr>
        <w:t>Several interested parties submitted separate position papers, many of which revealed that indeed national technical rules are being used as a basis to deny mutual recognition and that no effective mec</w:t>
      </w:r>
      <w:r>
        <w:rPr>
          <w:noProof/>
          <w:szCs w:val="24"/>
        </w:rPr>
        <w:t>hanisms exist for businesses to question national decisions denying mutual recognition. For this reason, they consider that more ambition is needed to improve trust among Member States and the improvement of transparency of national decisions will alleviat</w:t>
      </w:r>
      <w:r>
        <w:rPr>
          <w:noProof/>
          <w:szCs w:val="24"/>
        </w:rPr>
        <w:t xml:space="preserve">e this lack of trust. </w:t>
      </w:r>
    </w:p>
    <w:p w:rsidR="0037666B" w:rsidRDefault="00C627B8">
      <w:pPr>
        <w:rPr>
          <w:noProof/>
          <w:szCs w:val="24"/>
        </w:rPr>
      </w:pPr>
      <w:r>
        <w:rPr>
          <w:noProof/>
          <w:szCs w:val="24"/>
        </w:rPr>
        <w:t>Concerning the principle of mutual recognition, some stakeholders mentioned that it could further be strengthened by the introduction of a presumption of conformity to independently tested products. They argue that the Commission sho</w:t>
      </w:r>
      <w:r>
        <w:rPr>
          <w:noProof/>
          <w:szCs w:val="24"/>
        </w:rPr>
        <w:t>uld provide for a conformity assessment by independent third parties as a precondition for a corresponding presumption of conformity with regard to the product marketed in another member state because they are not involved in the design, manufacture, suppl</w:t>
      </w:r>
      <w:r>
        <w:rPr>
          <w:noProof/>
          <w:szCs w:val="24"/>
        </w:rPr>
        <w:t xml:space="preserve">y, repair or maintenance of the item to be assessed. </w:t>
      </w:r>
    </w:p>
    <w:p w:rsidR="0037666B" w:rsidRDefault="00C627B8">
      <w:pPr>
        <w:rPr>
          <w:noProof/>
          <w:szCs w:val="24"/>
        </w:rPr>
      </w:pPr>
      <w:r>
        <w:rPr>
          <w:noProof/>
          <w:szCs w:val="24"/>
        </w:rPr>
        <w:t>The scope of the Mutual Recognition Regulation should be clarified, better structures for proportionality assessments should be put in place, and an informal set-up could ensure better sharing of best p</w:t>
      </w:r>
      <w:r>
        <w:rPr>
          <w:noProof/>
          <w:szCs w:val="24"/>
        </w:rPr>
        <w:t>ractices among Member States. Also, dissuasive means should be introduced to ensure that Member States notify according to their obligations in the Regulation. Moreover, effective remedies must be available to businesses in order for them to get quicker cl</w:t>
      </w:r>
      <w:r>
        <w:rPr>
          <w:noProof/>
          <w:szCs w:val="24"/>
        </w:rPr>
        <w:t xml:space="preserve">arity on decisions taken against their products on the Single Market, including enhanced transparency to see the decisions. In addition, the Product Contact Points should be optimised and give businesses easy access to information about national decisions </w:t>
      </w:r>
      <w:r>
        <w:rPr>
          <w:noProof/>
          <w:szCs w:val="24"/>
        </w:rPr>
        <w:t xml:space="preserve">and technical rules. Also, there is an overall need for redeeming trust and strengthening cooperation among Member State authorities across the Single Market. </w:t>
      </w:r>
    </w:p>
    <w:p w:rsidR="0037666B" w:rsidRDefault="00C627B8">
      <w:pPr>
        <w:tabs>
          <w:tab w:val="left" w:pos="4962"/>
        </w:tabs>
        <w:rPr>
          <w:noProof/>
          <w:szCs w:val="24"/>
        </w:rPr>
      </w:pPr>
      <w:r>
        <w:rPr>
          <w:noProof/>
          <w:szCs w:val="24"/>
        </w:rPr>
        <w:t xml:space="preserve">One proposal, made by some stakeholders, is that the notification of article 2.1 administrative </w:t>
      </w:r>
      <w:r>
        <w:rPr>
          <w:noProof/>
          <w:szCs w:val="24"/>
        </w:rPr>
        <w:t>decisions (Regulation (EC) No 764/2008) is brought together with the procedure used in the harmonised sectors. The Commission should also consider other measures in order to integrate the non-harmonised and harmonised goods sector not only at the practical</w:t>
      </w:r>
      <w:r>
        <w:rPr>
          <w:noProof/>
          <w:szCs w:val="24"/>
        </w:rPr>
        <w:t xml:space="preserve"> level but also in the policy level still fully respecting the principle of mutual recognition. </w:t>
      </w:r>
    </w:p>
    <w:p w:rsidR="0037666B" w:rsidRDefault="00C627B8">
      <w:pPr>
        <w:tabs>
          <w:tab w:val="left" w:pos="4962"/>
        </w:tabs>
        <w:rPr>
          <w:noProof/>
          <w:szCs w:val="24"/>
        </w:rPr>
      </w:pPr>
      <w:r>
        <w:rPr>
          <w:noProof/>
          <w:szCs w:val="24"/>
        </w:rPr>
        <w:t>The lack of trust between competent authorities should be overcome and national decisions should become more transparent. A Quick Assessment Procedure, allowin</w:t>
      </w:r>
      <w:r>
        <w:rPr>
          <w:noProof/>
          <w:szCs w:val="24"/>
        </w:rPr>
        <w:t>g an evaluation of decisions denying market access without a binding decision, is a potential tool that can lead to better understanding of the Mutual Recognition principle and improve the functioning of the current Regulation.</w:t>
      </w:r>
    </w:p>
    <w:p w:rsidR="0037666B" w:rsidRDefault="00C627B8">
      <w:pPr>
        <w:pStyle w:val="Heading1"/>
        <w:rPr>
          <w:noProof/>
        </w:rPr>
      </w:pPr>
      <w:bookmarkStart w:id="81" w:name="_Toc476747137"/>
      <w:bookmarkStart w:id="82" w:name="_Toc483992766"/>
      <w:r>
        <w:rPr>
          <w:noProof/>
        </w:rPr>
        <w:t>FEEDBACK TO STAKEHOLDERS</w:t>
      </w:r>
      <w:bookmarkEnd w:id="81"/>
      <w:bookmarkEnd w:id="82"/>
    </w:p>
    <w:p w:rsidR="0037666B" w:rsidRDefault="00C627B8">
      <w:pPr>
        <w:rPr>
          <w:noProof/>
          <w:szCs w:val="24"/>
        </w:rPr>
      </w:pPr>
      <w:r>
        <w:rPr>
          <w:noProof/>
          <w:szCs w:val="24"/>
        </w:rPr>
        <w:t>The</w:t>
      </w:r>
      <w:r>
        <w:rPr>
          <w:noProof/>
          <w:szCs w:val="24"/>
        </w:rPr>
        <w:t xml:space="preserve"> consultation processes provided a wide range of views regarding the implementation of the Regulation in terms of what has worked well and what has not worked so well, seen through the eyes of these stakeholders. The meetings with the stakeholders provided</w:t>
      </w:r>
      <w:r>
        <w:rPr>
          <w:noProof/>
          <w:szCs w:val="24"/>
        </w:rPr>
        <w:t xml:space="preserve"> an early opportunity to promote the engagement of the national authorities, thus enhancing the chances of a good response rate. </w:t>
      </w:r>
    </w:p>
    <w:p w:rsidR="0037666B" w:rsidRDefault="00C627B8">
      <w:pPr>
        <w:rPr>
          <w:noProof/>
          <w:szCs w:val="24"/>
        </w:rPr>
      </w:pPr>
      <w:r>
        <w:rPr>
          <w:noProof/>
          <w:szCs w:val="24"/>
        </w:rPr>
        <w:t>The overall objective of this initiative is to achieve a deeper single market for goods through higher and better mutual recog</w:t>
      </w:r>
      <w:r>
        <w:rPr>
          <w:noProof/>
          <w:szCs w:val="24"/>
        </w:rPr>
        <w:t xml:space="preserve">nition. This will be done by increasing awareness on mutual recognition, enhancing legal certainty for businesses and national authorities when using mutual recognition and improving administrative cooperation and trust among authorities. This will result </w:t>
      </w:r>
      <w:r>
        <w:rPr>
          <w:noProof/>
          <w:szCs w:val="24"/>
        </w:rPr>
        <w:t>in unleashing the full potential of the internal market, by facilitating the use and application of mutual recognition, reducing the risk for businesses that their products will not get access to or will have to be unjustifiably withdrawn from the market a</w:t>
      </w:r>
      <w:r>
        <w:rPr>
          <w:noProof/>
          <w:szCs w:val="24"/>
        </w:rPr>
        <w:t xml:space="preserve">nd offering more choices at lower prices for consumers. </w:t>
      </w:r>
    </w:p>
    <w:p w:rsidR="0037666B" w:rsidRDefault="00C627B8">
      <w:pPr>
        <w:rPr>
          <w:noProof/>
          <w:szCs w:val="24"/>
        </w:rPr>
      </w:pPr>
      <w:r>
        <w:rPr>
          <w:noProof/>
          <w:szCs w:val="24"/>
        </w:rPr>
        <w:t>In line with the assessment carried out, and presented in Section 7 of the Impact Assessment, the preferred option would thus be a combination of Option 2 (soft law instruments) and Option 4 (clarifi</w:t>
      </w:r>
      <w:r>
        <w:rPr>
          <w:noProof/>
          <w:szCs w:val="24"/>
        </w:rPr>
        <w:t xml:space="preserve">cation of the scope of the regulation, introduction of a declaration of compliance and of a fast-track appeal procedure for businesses and strengthening the role of PCPs). This combination will address in the most effective and efficient manner all policy </w:t>
      </w:r>
      <w:r>
        <w:rPr>
          <w:noProof/>
          <w:szCs w:val="24"/>
        </w:rPr>
        <w:t xml:space="preserve">objectives to lead to a better functioning of the Single market for non-harmonised products through more and better mutual recognition. </w:t>
      </w:r>
    </w:p>
    <w:p w:rsidR="0037666B" w:rsidRDefault="00C627B8">
      <w:pPr>
        <w:rPr>
          <w:noProof/>
          <w:szCs w:val="24"/>
        </w:rPr>
      </w:pPr>
      <w:r>
        <w:rPr>
          <w:noProof/>
          <w:szCs w:val="24"/>
        </w:rPr>
        <w:t>Option 2 (Soft law) was supported by all stakeholders, but considered effective only if complemented by other comprehen</w:t>
      </w:r>
      <w:r>
        <w:rPr>
          <w:noProof/>
          <w:szCs w:val="24"/>
        </w:rPr>
        <w:t>sive tools. Furthermore, during the last meeting of the Consultative Committee on mutual recognition (25 October 2016), there was consensus among Member States representatives on the fact that this option will be extremely effective in increasing awareness</w:t>
      </w:r>
      <w:r>
        <w:rPr>
          <w:noProof/>
          <w:szCs w:val="24"/>
        </w:rPr>
        <w:t xml:space="preserve"> of the mutual recognition principle and therefore Member States representatives highly supported it.</w:t>
      </w:r>
    </w:p>
    <w:p w:rsidR="0037666B" w:rsidRDefault="00C627B8">
      <w:pPr>
        <w:rPr>
          <w:noProof/>
          <w:szCs w:val="24"/>
        </w:rPr>
      </w:pPr>
      <w:r>
        <w:rPr>
          <w:noProof/>
          <w:szCs w:val="24"/>
        </w:rPr>
        <w:t xml:space="preserve">Option 3 (minimum legislative changes to the Regulation) was considered by Member States and economic operators as potentially effective, but to a lesser </w:t>
      </w:r>
      <w:r>
        <w:rPr>
          <w:noProof/>
          <w:szCs w:val="24"/>
        </w:rPr>
        <w:t>extent than other options.  During the 2016 public consultation, 46% of national authorities, 81% of businesses and 64% of citizens agreed with the need to introduce dissuasive measures to ensure that the obligation for national authorities to notify admin</w:t>
      </w:r>
      <w:r>
        <w:rPr>
          <w:noProof/>
          <w:szCs w:val="24"/>
        </w:rPr>
        <w:t>istrative decisions denying or restricting mutual recognition is respected. This option was however not retained since it was considered that it would not address the problem in an effective and efficient manner.</w:t>
      </w:r>
    </w:p>
    <w:p w:rsidR="0037666B" w:rsidRDefault="00C627B8">
      <w:pPr>
        <w:rPr>
          <w:noProof/>
          <w:szCs w:val="24"/>
        </w:rPr>
      </w:pPr>
      <w:r>
        <w:rPr>
          <w:noProof/>
          <w:szCs w:val="24"/>
        </w:rPr>
        <w:t>Option 4 (clarification of the scope of the</w:t>
      </w:r>
      <w:r>
        <w:rPr>
          <w:noProof/>
          <w:szCs w:val="24"/>
        </w:rPr>
        <w:t xml:space="preserve"> regulation, introduction of a declaration of compliance and of a fast-track appeal procedure for businesses and strengthening the role of PCPs) was considered as the most effective way to achieve the policy objectives and in reducing costs for business. D</w:t>
      </w:r>
      <w:r>
        <w:rPr>
          <w:noProof/>
          <w:szCs w:val="24"/>
        </w:rPr>
        <w:t>uring the 2016 public consultation, the sub-options assessed above received a lot of support from stakeholders and 74% of businesses considered ensuring effective remedies to challenge national decisions should be the Commission's first priority. This opti</w:t>
      </w:r>
      <w:r>
        <w:rPr>
          <w:noProof/>
          <w:szCs w:val="24"/>
        </w:rPr>
        <w:t>on has been assessed as the most effective and efficient to ensure legal certainty regarding the scope and the application of mutual recognition and this is why it has been retained.</w:t>
      </w:r>
    </w:p>
    <w:p w:rsidR="0037666B" w:rsidRDefault="00C627B8">
      <w:pPr>
        <w:rPr>
          <w:noProof/>
          <w:szCs w:val="24"/>
        </w:rPr>
      </w:pPr>
      <w:r>
        <w:rPr>
          <w:noProof/>
          <w:szCs w:val="24"/>
        </w:rPr>
        <w:t>There was a consensus among stakeholders that option 5 (voluntary prior a</w:t>
      </w:r>
      <w:r>
        <w:rPr>
          <w:noProof/>
          <w:szCs w:val="24"/>
        </w:rPr>
        <w:t>uthorisation) cannot remove the existing obstacles to mutual recognition. As demonstrated in the Impact Assessment this option will entail a high administrative burden and costs, both for Member States and companies, while not effectively addressing the pr</w:t>
      </w:r>
      <w:r>
        <w:rPr>
          <w:noProof/>
          <w:szCs w:val="24"/>
        </w:rPr>
        <w:t>oblem, so it has not been retained.</w:t>
      </w:r>
    </w:p>
    <w:p w:rsidR="0037666B" w:rsidRDefault="00C627B8">
      <w:pPr>
        <w:rPr>
          <w:noProof/>
          <w:szCs w:val="24"/>
        </w:rPr>
      </w:pPr>
      <w:r>
        <w:rPr>
          <w:noProof/>
          <w:szCs w:val="24"/>
        </w:rPr>
        <w:t>The option related to repealing the Regulation and the option of proposing further harmonisation measures on specific basic requirements covering certain aspects of products have been discarded at an early stage, as well</w:t>
      </w:r>
      <w:r>
        <w:rPr>
          <w:noProof/>
          <w:szCs w:val="24"/>
        </w:rPr>
        <w:t xml:space="preserve"> as the introduction of a third party declaration of compliance. </w:t>
      </w:r>
    </w:p>
    <w:p w:rsidR="0037666B" w:rsidRDefault="00C627B8">
      <w:pPr>
        <w:rPr>
          <w:noProof/>
          <w:szCs w:val="24"/>
        </w:rPr>
      </w:pPr>
      <w:r>
        <w:rPr>
          <w:noProof/>
          <w:szCs w:val="24"/>
        </w:rPr>
        <w:t>More information on how the different options have been assessed and the option retained, and on the views of the different stakeholders on each of these options can be found in Sections 7 a</w:t>
      </w:r>
      <w:r>
        <w:rPr>
          <w:noProof/>
          <w:szCs w:val="24"/>
        </w:rPr>
        <w:t>nd 8 of the Impact Assessment.</w:t>
      </w:r>
    </w:p>
    <w:p w:rsidR="0037666B" w:rsidRDefault="00C627B8">
      <w:pPr>
        <w:rPr>
          <w:b/>
          <w:smallCaps/>
          <w:noProof/>
          <w:szCs w:val="24"/>
        </w:rPr>
      </w:pPr>
      <w:r>
        <w:rPr>
          <w:noProof/>
          <w:szCs w:val="24"/>
        </w:rPr>
        <w:br w:type="page"/>
      </w:r>
    </w:p>
    <w:p w:rsidR="0037666B" w:rsidRDefault="00C627B8">
      <w:pPr>
        <w:pStyle w:val="Heading1"/>
        <w:keepNext w:val="0"/>
        <w:numPr>
          <w:ilvl w:val="0"/>
          <w:numId w:val="0"/>
        </w:numPr>
        <w:spacing w:before="0"/>
        <w:ind w:left="480" w:hanging="480"/>
        <w:rPr>
          <w:noProof/>
          <w:szCs w:val="24"/>
        </w:rPr>
      </w:pPr>
      <w:bookmarkStart w:id="83" w:name="_Toc483992767"/>
      <w:r>
        <w:rPr>
          <w:noProof/>
          <w:szCs w:val="24"/>
        </w:rPr>
        <w:t>Annex 3 who is affected and how</w:t>
      </w:r>
      <w:bookmarkEnd w:id="83"/>
    </w:p>
    <w:p w:rsidR="0037666B" w:rsidRDefault="00C627B8">
      <w:pPr>
        <w:rPr>
          <w:noProof/>
          <w:szCs w:val="24"/>
        </w:rPr>
      </w:pPr>
      <w:r>
        <w:rPr>
          <w:noProof/>
          <w:szCs w:val="24"/>
        </w:rPr>
        <w:t xml:space="preserve">The preferred options are option 1- soft law, combined with option 4- comprehensive legislative changes. </w:t>
      </w:r>
    </w:p>
    <w:tbl>
      <w:tblPr>
        <w:tblStyle w:val="LightList-Accent1"/>
        <w:tblW w:w="0" w:type="auto"/>
        <w:tblLook w:val="04A0" w:firstRow="1" w:lastRow="0" w:firstColumn="1" w:lastColumn="0" w:noHBand="0" w:noVBand="1"/>
      </w:tblPr>
      <w:tblGrid>
        <w:gridCol w:w="2311"/>
        <w:gridCol w:w="6523"/>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Affected stakeholders </w:t>
            </w:r>
          </w:p>
        </w:tc>
        <w:tc>
          <w:tcPr>
            <w:tcW w:w="6912" w:type="dxa"/>
          </w:tcPr>
          <w:p w:rsidR="0037666B" w:rsidRDefault="00C627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How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Member States </w:t>
            </w:r>
          </w:p>
        </w:tc>
        <w:tc>
          <w:tcPr>
            <w:tcW w:w="6912" w:type="dxa"/>
          </w:tcPr>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Member States will have the obligation to organise the training and awareness campaigns foreseen in the soft law option and to contribute to more administrative cooperation foreseen in option 4d by gaining knowledge about mutual recognition and trust in ot</w:t>
            </w:r>
            <w:r>
              <w:rPr>
                <w:rFonts w:ascii="Times New Roman" w:hAnsi="Times New Roman" w:cs="Times New Roman"/>
                <w:noProof/>
                <w:szCs w:val="24"/>
              </w:rPr>
              <w:t xml:space="preserve">her Member States regulatory systems. </w:t>
            </w:r>
          </w:p>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When assessing whether or not a product lawfully marketed in another Member State can be placed on the market, Member States authorities will have to accept the voluntary declaration of compliance (option 4c) and only</w:t>
            </w:r>
            <w:r>
              <w:rPr>
                <w:rFonts w:ascii="Times New Roman" w:hAnsi="Times New Roman" w:cs="Times New Roman"/>
                <w:noProof/>
                <w:szCs w:val="24"/>
              </w:rPr>
              <w:t xml:space="preserve"> ask for additional evidence which supports what is indicated therein. Member States will have to provide for additional resources for the PCPs (option 4d), integrating them in a wider network and providing the necessary tools for a proper and efficient ad</w:t>
            </w:r>
            <w:r>
              <w:rPr>
                <w:rFonts w:ascii="Times New Roman" w:hAnsi="Times New Roman" w:cs="Times New Roman"/>
                <w:noProof/>
                <w:szCs w:val="24"/>
              </w:rPr>
              <w:t xml:space="preserve">ministrative cooperation. In case of doubt, Member States will be able to rely on the PCP network and on the reinforced administrative cooperation (option 4d) in order to ask for clarification.  </w:t>
            </w:r>
          </w:p>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National decisions denying market access will be subject to the fast track appeal procedure (option 4c). This will discipline national authorities for strongly encouraging a decision denying market access, and in thoroughly considering the application of t</w:t>
            </w:r>
            <w:r>
              <w:rPr>
                <w:rFonts w:ascii="Times New Roman" w:hAnsi="Times New Roman" w:cs="Times New Roman"/>
                <w:noProof/>
                <w:szCs w:val="24"/>
              </w:rPr>
              <w:t xml:space="preserve">he mutual recognition principle to products lawfully marketed in other Member States. This will result in a more consistent and correct application of the mutual recognition principle. </w:t>
            </w:r>
          </w:p>
        </w:tc>
      </w:tr>
      <w:tr w:rsidR="0037666B" w:rsidTr="0037666B">
        <w:tc>
          <w:tcPr>
            <w:cnfStyle w:val="001000000000" w:firstRow="0" w:lastRow="0" w:firstColumn="1" w:lastColumn="0" w:oddVBand="0" w:evenVBand="0" w:oddHBand="0" w:evenHBand="0" w:firstRowFirstColumn="0" w:firstRowLastColumn="0" w:lastRowFirstColumn="0" w:lastRowLastColumn="0"/>
            <w:tcW w:w="2376" w:type="dxa"/>
          </w:tcPr>
          <w:p w:rsidR="0037666B" w:rsidRDefault="00C627B8">
            <w:pPr>
              <w:rPr>
                <w:rFonts w:ascii="Times New Roman" w:hAnsi="Times New Roman" w:cs="Times New Roman"/>
                <w:noProof/>
                <w:szCs w:val="24"/>
              </w:rPr>
            </w:pPr>
            <w:r>
              <w:rPr>
                <w:rFonts w:ascii="Times New Roman" w:hAnsi="Times New Roman" w:cs="Times New Roman"/>
                <w:noProof/>
                <w:szCs w:val="24"/>
              </w:rPr>
              <w:t>Commission</w:t>
            </w:r>
          </w:p>
        </w:tc>
        <w:tc>
          <w:tcPr>
            <w:tcW w:w="6912" w:type="dxa"/>
          </w:tcPr>
          <w:p w:rsidR="0037666B" w:rsidRDefault="00C627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The Commission will ultimately have to adopt a binding opi</w:t>
            </w:r>
            <w:r>
              <w:rPr>
                <w:rFonts w:ascii="Times New Roman" w:hAnsi="Times New Roman" w:cs="Times New Roman"/>
                <w:noProof/>
                <w:szCs w:val="24"/>
              </w:rPr>
              <w:t>nion in the fast track appeal procedure (option 4c). This is expected to bring an increase of workload for the Commission services. This increased workload is expected to decrease over time, when the implementation of all the other options will trigger a s</w:t>
            </w:r>
            <w:r>
              <w:rPr>
                <w:rFonts w:ascii="Times New Roman" w:hAnsi="Times New Roman" w:cs="Times New Roman"/>
                <w:noProof/>
                <w:szCs w:val="24"/>
              </w:rPr>
              <w:t xml:space="preserve">mother application of the mutual recognition principle and therefore, less needs and grounds to challenge the administrative decisions denying market access.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Economic operators </w:t>
            </w:r>
          </w:p>
        </w:tc>
        <w:tc>
          <w:tcPr>
            <w:tcW w:w="6912" w:type="dxa"/>
          </w:tcPr>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Following the implementation of the soft law measures and of option 4d (PCP</w:t>
            </w:r>
            <w:r>
              <w:rPr>
                <w:rFonts w:ascii="Times New Roman" w:hAnsi="Times New Roman" w:cs="Times New Roman"/>
                <w:noProof/>
                <w:szCs w:val="24"/>
              </w:rPr>
              <w:t xml:space="preserve">s), economic operators will gain in awareness and knowledge on mutual recognition and therefore use more the principle of mutual recognition in order to access new markets. </w:t>
            </w:r>
          </w:p>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Economic operators will also gain in legal certainty as regards the scope of mutua</w:t>
            </w:r>
            <w:r>
              <w:rPr>
                <w:rFonts w:ascii="Times New Roman" w:hAnsi="Times New Roman" w:cs="Times New Roman"/>
                <w:noProof/>
                <w:szCs w:val="24"/>
              </w:rPr>
              <w:t>l recognition and also as regards its applicability. A clearer mutual recognition clause (soft law option) and the clarification of the scope of mutual recognition (option 4a) will allow them to know precisely when and how they can invoke mutual recognitio</w:t>
            </w:r>
            <w:r>
              <w:rPr>
                <w:rFonts w:ascii="Times New Roman" w:hAnsi="Times New Roman" w:cs="Times New Roman"/>
                <w:noProof/>
                <w:szCs w:val="24"/>
              </w:rPr>
              <w:t xml:space="preserve">n in order to market their products in other Member States. </w:t>
            </w:r>
          </w:p>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Economic operators will have the possibility to have recourse to the fast track appeal procedure (option 4c). This will allow them to fight against unjustified administrative decisions denying ma</w:t>
            </w:r>
            <w:r>
              <w:rPr>
                <w:rFonts w:ascii="Times New Roman" w:hAnsi="Times New Roman" w:cs="Times New Roman"/>
                <w:noProof/>
                <w:szCs w:val="24"/>
              </w:rPr>
              <w:t xml:space="preserve">rket access in a fast and business friendly way. </w:t>
            </w:r>
          </w:p>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Economic operators will have the opportunity to demonstrate that their products have been lawfully marketed in another Member State by means of a voluntary declaration of compliance (option 4c). On top of l</w:t>
            </w:r>
            <w:r>
              <w:rPr>
                <w:rFonts w:ascii="Times New Roman" w:hAnsi="Times New Roman" w:cs="Times New Roman"/>
                <w:noProof/>
                <w:szCs w:val="24"/>
              </w:rPr>
              <w:t xml:space="preserve">egal certainty, the voluntary declaration of compliance will bring administrative simplifications, as it will replace many administrative documents with one single standardised document. </w:t>
            </w:r>
          </w:p>
          <w:p w:rsidR="0037666B" w:rsidRDefault="00C627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 xml:space="preserve">Following these changes, economic operators are expected to have an </w:t>
            </w:r>
            <w:r>
              <w:rPr>
                <w:rFonts w:ascii="Times New Roman" w:hAnsi="Times New Roman" w:cs="Times New Roman"/>
                <w:noProof/>
                <w:szCs w:val="24"/>
              </w:rPr>
              <w:t xml:space="preserve">easier access to the markets of other Member States, to reduce information costs, as well as adaptation costs and costs linked to lost opportunities or delayed entry on the market. </w:t>
            </w:r>
          </w:p>
        </w:tc>
      </w:tr>
      <w:tr w:rsidR="0037666B" w:rsidTr="0037666B">
        <w:tc>
          <w:tcPr>
            <w:cnfStyle w:val="001000000000" w:firstRow="0" w:lastRow="0" w:firstColumn="1" w:lastColumn="0" w:oddVBand="0" w:evenVBand="0" w:oddHBand="0" w:evenHBand="0" w:firstRowFirstColumn="0" w:firstRowLastColumn="0" w:lastRowFirstColumn="0" w:lastRowLastColumn="0"/>
            <w:tcW w:w="2376" w:type="dxa"/>
          </w:tcPr>
          <w:p w:rsidR="0037666B" w:rsidRDefault="00C627B8">
            <w:pPr>
              <w:rPr>
                <w:rFonts w:ascii="Times New Roman" w:hAnsi="Times New Roman" w:cs="Times New Roman"/>
                <w:noProof/>
                <w:szCs w:val="24"/>
              </w:rPr>
            </w:pPr>
            <w:r>
              <w:rPr>
                <w:rFonts w:ascii="Times New Roman" w:hAnsi="Times New Roman" w:cs="Times New Roman"/>
                <w:noProof/>
                <w:szCs w:val="24"/>
              </w:rPr>
              <w:t xml:space="preserve">Consumers </w:t>
            </w:r>
          </w:p>
        </w:tc>
        <w:tc>
          <w:tcPr>
            <w:tcW w:w="6912" w:type="dxa"/>
          </w:tcPr>
          <w:p w:rsidR="0037666B" w:rsidRDefault="00C627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Consumers will benefit from an increased number of products an</w:t>
            </w:r>
            <w:r>
              <w:rPr>
                <w:rFonts w:ascii="Times New Roman" w:hAnsi="Times New Roman" w:cs="Times New Roman"/>
                <w:noProof/>
                <w:szCs w:val="24"/>
              </w:rPr>
              <w:t xml:space="preserve">d variety or products available on the market, and also from lower prices, resulting from the economies of scale made by economic operators.  </w:t>
            </w:r>
          </w:p>
        </w:tc>
      </w:tr>
    </w:tbl>
    <w:p w:rsidR="0037666B" w:rsidRDefault="0037666B">
      <w:pPr>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37666B">
      <w:pPr>
        <w:pStyle w:val="Text1"/>
        <w:ind w:left="0"/>
        <w:rPr>
          <w:noProof/>
          <w:szCs w:val="24"/>
        </w:rPr>
      </w:pPr>
    </w:p>
    <w:p w:rsidR="0037666B" w:rsidRDefault="00C627B8">
      <w:pPr>
        <w:jc w:val="left"/>
        <w:rPr>
          <w:b/>
          <w:smallCaps/>
          <w:noProof/>
          <w:szCs w:val="24"/>
        </w:rPr>
      </w:pPr>
      <w:r>
        <w:rPr>
          <w:noProof/>
          <w:szCs w:val="24"/>
        </w:rPr>
        <w:br w:type="page"/>
      </w:r>
    </w:p>
    <w:p w:rsidR="0037666B" w:rsidRDefault="00C627B8">
      <w:pPr>
        <w:pStyle w:val="Heading1"/>
        <w:keepNext w:val="0"/>
        <w:numPr>
          <w:ilvl w:val="0"/>
          <w:numId w:val="0"/>
        </w:numPr>
        <w:spacing w:before="0"/>
        <w:ind w:left="480" w:hanging="480"/>
        <w:rPr>
          <w:noProof/>
          <w:szCs w:val="24"/>
        </w:rPr>
      </w:pPr>
      <w:bookmarkStart w:id="84" w:name="_Toc483992768"/>
      <w:r>
        <w:rPr>
          <w:noProof/>
          <w:szCs w:val="24"/>
        </w:rPr>
        <w:t>Annex 4 Analytical Models Used In Preparing The Impact Assessment</w:t>
      </w:r>
      <w:bookmarkEnd w:id="84"/>
    </w:p>
    <w:p w:rsidR="0037666B" w:rsidRDefault="00C627B8">
      <w:pPr>
        <w:pStyle w:val="BodyText"/>
        <w:spacing w:after="240"/>
        <w:rPr>
          <w:i w:val="0"/>
          <w:noProof/>
          <w:szCs w:val="24"/>
        </w:rPr>
      </w:pPr>
      <w:r>
        <w:rPr>
          <w:i w:val="0"/>
          <w:noProof/>
          <w:szCs w:val="24"/>
        </w:rPr>
        <w:t>This section presents the methodology followed to estimate the market value and the magnitude of the problem, as well as to collect information among stakeholders about the current implementation of mutual recognition, its main obstacles and issues and sen</w:t>
      </w:r>
      <w:r>
        <w:rPr>
          <w:i w:val="0"/>
          <w:noProof/>
          <w:szCs w:val="24"/>
        </w:rPr>
        <w:t xml:space="preserve">timent about the proposed policy options. </w:t>
      </w:r>
    </w:p>
    <w:p w:rsidR="0037666B" w:rsidRDefault="00C627B8">
      <w:pPr>
        <w:pStyle w:val="Heading1"/>
        <w:keepNext w:val="0"/>
        <w:numPr>
          <w:ilvl w:val="0"/>
          <w:numId w:val="36"/>
        </w:numPr>
        <w:spacing w:before="0"/>
        <w:rPr>
          <w:noProof/>
          <w:szCs w:val="24"/>
        </w:rPr>
      </w:pPr>
      <w:bookmarkStart w:id="85" w:name="_Toc476077433"/>
      <w:bookmarkStart w:id="86" w:name="_Toc476077719"/>
      <w:bookmarkStart w:id="87" w:name="_Toc483992769"/>
      <w:r>
        <w:rPr>
          <w:noProof/>
          <w:szCs w:val="24"/>
        </w:rPr>
        <w:t>Methodology for the market analysis</w:t>
      </w:r>
      <w:bookmarkEnd w:id="85"/>
      <w:bookmarkEnd w:id="86"/>
      <w:bookmarkEnd w:id="87"/>
    </w:p>
    <w:p w:rsidR="0037666B" w:rsidRDefault="00C627B8">
      <w:pPr>
        <w:pStyle w:val="BodyText"/>
        <w:spacing w:after="240"/>
        <w:rPr>
          <w:i w:val="0"/>
          <w:noProof/>
          <w:szCs w:val="24"/>
        </w:rPr>
      </w:pPr>
      <w:r>
        <w:rPr>
          <w:i w:val="0"/>
          <w:noProof/>
          <w:szCs w:val="24"/>
        </w:rPr>
        <w:t>The approach for the market analysis has been based on the identification of non-harmonised and partially harmonised products in a “residual way” (e.g. excluding all sectors/pro</w:t>
      </w:r>
      <w:r>
        <w:rPr>
          <w:i w:val="0"/>
          <w:noProof/>
          <w:szCs w:val="24"/>
        </w:rPr>
        <w:t>ducts for which EU harmonised product rules exist, hereafter harmonised sectors). After that, we implemented a two-stage approach. Namely:</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An analysis at </w:t>
      </w:r>
      <w:r>
        <w:rPr>
          <w:rFonts w:ascii="Times New Roman" w:hAnsi="Times New Roman"/>
          <w:b/>
          <w:noProof/>
          <w:sz w:val="24"/>
          <w:szCs w:val="24"/>
        </w:rPr>
        <w:t>sectorial level</w:t>
      </w:r>
      <w:r>
        <w:rPr>
          <w:rFonts w:ascii="Times New Roman" w:hAnsi="Times New Roman"/>
          <w:noProof/>
          <w:sz w:val="24"/>
          <w:szCs w:val="24"/>
        </w:rPr>
        <w:t xml:space="preserve"> oriented towards the macro dimension of the market for non (or partially) harmonised p</w:t>
      </w:r>
      <w:r>
        <w:rPr>
          <w:rFonts w:ascii="Times New Roman" w:hAnsi="Times New Roman"/>
          <w:noProof/>
          <w:sz w:val="24"/>
          <w:szCs w:val="24"/>
        </w:rPr>
        <w:t>roducts, looking at:</w:t>
      </w:r>
    </w:p>
    <w:p w:rsidR="0037666B" w:rsidRDefault="00C627B8">
      <w:pPr>
        <w:pStyle w:val="Bulletpoint1"/>
        <w:numPr>
          <w:ilvl w:val="1"/>
          <w:numId w:val="22"/>
        </w:numPr>
        <w:spacing w:after="240"/>
        <w:ind w:left="1134" w:hanging="567"/>
        <w:rPr>
          <w:rFonts w:ascii="Times New Roman" w:hAnsi="Times New Roman"/>
          <w:noProof/>
          <w:sz w:val="24"/>
          <w:szCs w:val="24"/>
        </w:rPr>
      </w:pPr>
      <w:r>
        <w:rPr>
          <w:rFonts w:ascii="Times New Roman" w:hAnsi="Times New Roman"/>
          <w:noProof/>
          <w:sz w:val="24"/>
          <w:szCs w:val="24"/>
        </w:rPr>
        <w:t xml:space="preserve">The number of economic operators that are active within the economic sectors for which EU harmonised product rules do not exist (here after </w:t>
      </w:r>
      <w:r>
        <w:rPr>
          <w:rFonts w:ascii="Times New Roman" w:hAnsi="Times New Roman"/>
          <w:i/>
          <w:noProof/>
          <w:sz w:val="24"/>
          <w:szCs w:val="24"/>
        </w:rPr>
        <w:t>non-harmonised sectors);</w:t>
      </w:r>
      <w:r>
        <w:rPr>
          <w:rStyle w:val="FootnoteReference"/>
          <w:rFonts w:ascii="Times New Roman" w:hAnsi="Times New Roman"/>
          <w:i/>
          <w:noProof/>
          <w:sz w:val="24"/>
          <w:szCs w:val="24"/>
        </w:rPr>
        <w:footnoteReference w:id="132"/>
      </w:r>
      <w:r>
        <w:rPr>
          <w:rFonts w:ascii="Times New Roman" w:hAnsi="Times New Roman"/>
          <w:noProof/>
          <w:sz w:val="24"/>
          <w:szCs w:val="24"/>
        </w:rPr>
        <w:t xml:space="preserve"> </w:t>
      </w:r>
    </w:p>
    <w:p w:rsidR="0037666B" w:rsidRDefault="00C627B8">
      <w:pPr>
        <w:pStyle w:val="Bulletpoint1"/>
        <w:numPr>
          <w:ilvl w:val="1"/>
          <w:numId w:val="22"/>
        </w:numPr>
        <w:spacing w:after="240"/>
        <w:ind w:left="1134" w:hanging="567"/>
        <w:rPr>
          <w:rFonts w:ascii="Times New Roman" w:hAnsi="Times New Roman"/>
          <w:noProof/>
          <w:sz w:val="24"/>
          <w:szCs w:val="24"/>
        </w:rPr>
      </w:pPr>
      <w:r>
        <w:rPr>
          <w:rFonts w:ascii="Times New Roman" w:hAnsi="Times New Roman"/>
          <w:noProof/>
          <w:sz w:val="24"/>
          <w:szCs w:val="24"/>
        </w:rPr>
        <w:t xml:space="preserve">The current contribution of the non-harmonised sectors to the EU </w:t>
      </w:r>
      <w:r>
        <w:rPr>
          <w:rFonts w:ascii="Times New Roman" w:hAnsi="Times New Roman"/>
          <w:noProof/>
          <w:sz w:val="24"/>
          <w:szCs w:val="24"/>
        </w:rPr>
        <w:t>manufacturing economy.</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An analysis at </w:t>
      </w:r>
      <w:r>
        <w:rPr>
          <w:rFonts w:ascii="Times New Roman" w:hAnsi="Times New Roman"/>
          <w:b/>
          <w:noProof/>
          <w:sz w:val="24"/>
          <w:szCs w:val="24"/>
        </w:rPr>
        <w:t>product level</w:t>
      </w:r>
      <w:r>
        <w:rPr>
          <w:rFonts w:ascii="Times New Roman" w:hAnsi="Times New Roman"/>
          <w:noProof/>
          <w:sz w:val="24"/>
          <w:szCs w:val="24"/>
        </w:rPr>
        <w:t xml:space="preserve"> focused on the value of non-harmonised products that are traded within the EU Single Market.</w:t>
      </w:r>
    </w:p>
    <w:p w:rsidR="0037666B" w:rsidRDefault="00C627B8">
      <w:pPr>
        <w:pStyle w:val="BodyText"/>
        <w:spacing w:after="240"/>
        <w:rPr>
          <w:i w:val="0"/>
          <w:noProof/>
          <w:szCs w:val="24"/>
          <w:highlight w:val="yellow"/>
        </w:rPr>
      </w:pPr>
      <w:r>
        <w:rPr>
          <w:i w:val="0"/>
          <w:noProof/>
          <w:szCs w:val="24"/>
        </w:rPr>
        <w:t>Results from the analysis at sectorial and product level have been combined to identify the sectors for which t</w:t>
      </w:r>
      <w:r>
        <w:rPr>
          <w:i w:val="0"/>
          <w:noProof/>
          <w:szCs w:val="24"/>
        </w:rPr>
        <w:t>he value of trade of non (or partially) harmonised products is more relevant.</w:t>
      </w:r>
    </w:p>
    <w:p w:rsidR="0037666B" w:rsidRDefault="00C627B8">
      <w:pPr>
        <w:pStyle w:val="BodyText"/>
        <w:spacing w:after="240"/>
        <w:rPr>
          <w:i w:val="0"/>
          <w:noProof/>
          <w:szCs w:val="24"/>
        </w:rPr>
      </w:pPr>
      <w:r>
        <w:rPr>
          <w:i w:val="0"/>
          <w:noProof/>
          <w:szCs w:val="24"/>
        </w:rPr>
        <w:t>Furthermore, in order to identify the variables to be included in the analysis, we tried to identify the available statistics that are useful for the scope of the study. All data</w:t>
      </w:r>
      <w:r>
        <w:rPr>
          <w:i w:val="0"/>
          <w:noProof/>
          <w:szCs w:val="24"/>
        </w:rPr>
        <w:t xml:space="preserve"> used within this study have been extracted from two databases: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Structural business statistics (SBS)</w:t>
      </w:r>
      <w:r>
        <w:rPr>
          <w:rStyle w:val="FootnoteReference"/>
          <w:rFonts w:ascii="Times New Roman" w:hAnsi="Times New Roman"/>
          <w:noProof/>
          <w:sz w:val="24"/>
          <w:szCs w:val="24"/>
        </w:rPr>
        <w:footnoteReference w:id="133"/>
      </w:r>
      <w:r>
        <w:rPr>
          <w:rFonts w:ascii="Times New Roman" w:hAnsi="Times New Roman"/>
          <w:noProof/>
          <w:sz w:val="24"/>
          <w:szCs w:val="24"/>
        </w:rPr>
        <w:t xml:space="preserve"> provided by EUROSTAT have been used to describe the structure of non-harmonised and partially harmonised sectors and measure their economic performance;</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EU trade since 1988 by Standard International Trade Classification (SITC)</w:t>
      </w:r>
      <w:r>
        <w:rPr>
          <w:rStyle w:val="FootnoteReference"/>
          <w:rFonts w:ascii="Times New Roman" w:hAnsi="Times New Roman"/>
          <w:noProof/>
          <w:sz w:val="24"/>
          <w:szCs w:val="24"/>
        </w:rPr>
        <w:footnoteReference w:id="134"/>
      </w:r>
      <w:r>
        <w:rPr>
          <w:rFonts w:ascii="Times New Roman" w:hAnsi="Times New Roman"/>
          <w:noProof/>
          <w:sz w:val="24"/>
          <w:szCs w:val="24"/>
        </w:rPr>
        <w:t xml:space="preserve"> provided by EUROSTAT allowed us to estimate the value of intra EU trades of non-harmonised and partially harmonised products.</w:t>
      </w:r>
    </w:p>
    <w:p w:rsidR="0037666B" w:rsidRDefault="00C627B8">
      <w:pPr>
        <w:pStyle w:val="BodyText"/>
        <w:spacing w:after="240"/>
        <w:ind w:left="567" w:hanging="567"/>
        <w:rPr>
          <w:i w:val="0"/>
          <w:noProof/>
          <w:szCs w:val="24"/>
        </w:rPr>
      </w:pPr>
      <w:r>
        <w:rPr>
          <w:i w:val="0"/>
          <w:noProof/>
          <w:szCs w:val="24"/>
        </w:rPr>
        <w:t xml:space="preserve">More in detail, the approach followed consisted of the </w:t>
      </w:r>
      <w:r>
        <w:rPr>
          <w:i w:val="0"/>
          <w:noProof/>
          <w:szCs w:val="24"/>
        </w:rPr>
        <w:t xml:space="preserve">following steps: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Step 1.</w:t>
      </w:r>
      <w:r>
        <w:rPr>
          <w:rFonts w:ascii="Times New Roman" w:hAnsi="Times New Roman"/>
          <w:noProof/>
          <w:sz w:val="24"/>
          <w:szCs w:val="24"/>
        </w:rPr>
        <w:t xml:space="preserve"> Identification of EU legislative acts introducing harmonised product rules (i.e. </w:t>
      </w:r>
      <w:r>
        <w:rPr>
          <w:rFonts w:ascii="Times New Roman" w:hAnsi="Times New Roman"/>
          <w:i/>
          <w:noProof/>
          <w:sz w:val="24"/>
          <w:szCs w:val="24"/>
        </w:rPr>
        <w:t>harmonising legislation</w:t>
      </w:r>
      <w:r>
        <w:rPr>
          <w:rFonts w:ascii="Times New Roman" w:hAnsi="Times New Roman"/>
          <w:noProof/>
          <w:sz w:val="24"/>
          <w:szCs w:val="24"/>
        </w:rPr>
        <w: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Step 2.</w:t>
      </w:r>
      <w:r>
        <w:rPr>
          <w:rFonts w:ascii="Times New Roman" w:hAnsi="Times New Roman"/>
          <w:noProof/>
          <w:sz w:val="24"/>
          <w:szCs w:val="24"/>
        </w:rPr>
        <w:t xml:space="preserve"> Review of EU legislation introducing harmonised product rules;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Step 3.</w:t>
      </w:r>
      <w:r>
        <w:rPr>
          <w:rFonts w:ascii="Times New Roman" w:hAnsi="Times New Roman"/>
          <w:noProof/>
          <w:sz w:val="24"/>
          <w:szCs w:val="24"/>
        </w:rPr>
        <w:t xml:space="preserve"> Identification of the corresponding NACE Divi</w:t>
      </w:r>
      <w:r>
        <w:rPr>
          <w:rFonts w:ascii="Times New Roman" w:hAnsi="Times New Roman"/>
          <w:noProof/>
          <w:sz w:val="24"/>
          <w:szCs w:val="24"/>
        </w:rPr>
        <w:t xml:space="preserve">sions (DIGIT 2) and NACE group (DIGIT 3) that are impacted by the EU Regulation (i.e. </w:t>
      </w:r>
      <w:r>
        <w:rPr>
          <w:rFonts w:ascii="Times New Roman" w:hAnsi="Times New Roman"/>
          <w:i/>
          <w:noProof/>
          <w:sz w:val="24"/>
          <w:szCs w:val="24"/>
        </w:rPr>
        <w:t>harmonised sector</w:t>
      </w:r>
      <w:r>
        <w:rPr>
          <w:rFonts w:ascii="Times New Roman" w:hAnsi="Times New Roman"/>
          <w:noProof/>
          <w:sz w:val="24"/>
          <w:szCs w:val="24"/>
        </w:rPr>
        <w:t xml:space="preserve">) and that </w:t>
      </w:r>
      <w:r>
        <w:rPr>
          <w:rFonts w:ascii="Times New Roman" w:hAnsi="Times New Roman"/>
          <w:b/>
          <w:noProof/>
          <w:sz w:val="24"/>
          <w:szCs w:val="24"/>
        </w:rPr>
        <w:t>should be excluded from the analysis</w:t>
      </w:r>
      <w:r>
        <w:rPr>
          <w:rFonts w:ascii="Times New Roman" w:hAnsi="Times New Roman"/>
          <w:noProof/>
          <w:sz w:val="24"/>
          <w:szCs w:val="24"/>
        </w:rPr>
        <w:t xml:space="preserve">.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Step 5.</w:t>
      </w:r>
      <w:r>
        <w:rPr>
          <w:rFonts w:ascii="Times New Roman" w:hAnsi="Times New Roman"/>
          <w:noProof/>
          <w:sz w:val="24"/>
          <w:szCs w:val="24"/>
        </w:rPr>
        <w:t xml:space="preserve"> Identification of the NACE Divisions (DIGIT 2) and NACE group (DIGIT 3) for which harmonised pr</w:t>
      </w:r>
      <w:r>
        <w:rPr>
          <w:rFonts w:ascii="Times New Roman" w:hAnsi="Times New Roman"/>
          <w:noProof/>
          <w:sz w:val="24"/>
          <w:szCs w:val="24"/>
        </w:rPr>
        <w:t xml:space="preserve">oduct rules do not exist (i.e. </w:t>
      </w:r>
      <w:r>
        <w:rPr>
          <w:rFonts w:ascii="Times New Roman" w:hAnsi="Times New Roman"/>
          <w:i/>
          <w:noProof/>
          <w:sz w:val="24"/>
          <w:szCs w:val="24"/>
        </w:rPr>
        <w:t>non or partially harmonised sectors</w:t>
      </w:r>
      <w:r>
        <w:rPr>
          <w:rFonts w:ascii="Times New Roman" w:hAnsi="Times New Roman"/>
          <w:noProof/>
          <w:sz w:val="24"/>
          <w:szCs w:val="24"/>
        </w:rPr>
        <w:t xml:space="preserve">) and that </w:t>
      </w:r>
      <w:r>
        <w:rPr>
          <w:rFonts w:ascii="Times New Roman" w:hAnsi="Times New Roman"/>
          <w:b/>
          <w:noProof/>
          <w:sz w:val="24"/>
          <w:szCs w:val="24"/>
        </w:rPr>
        <w:t>should be included in the analysis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Step 6</w:t>
      </w:r>
      <w:r>
        <w:rPr>
          <w:rFonts w:ascii="Times New Roman" w:hAnsi="Times New Roman"/>
          <w:noProof/>
          <w:sz w:val="24"/>
          <w:szCs w:val="24"/>
        </w:rPr>
        <w:t xml:space="preserve">. Selection of the most appropriate products (NACE group – DIGIT 4) for which no harmonised product rules exist and that </w:t>
      </w:r>
      <w:r>
        <w:rPr>
          <w:rFonts w:ascii="Times New Roman" w:hAnsi="Times New Roman"/>
          <w:b/>
          <w:noProof/>
          <w:sz w:val="24"/>
          <w:szCs w:val="24"/>
        </w:rPr>
        <w:t>should be include</w:t>
      </w:r>
      <w:r>
        <w:rPr>
          <w:rFonts w:ascii="Times New Roman" w:hAnsi="Times New Roman"/>
          <w:b/>
          <w:noProof/>
          <w:sz w:val="24"/>
          <w:szCs w:val="24"/>
        </w:rPr>
        <w:t>d in the analysis.</w:t>
      </w: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1</w:t>
      </w:r>
      <w:r>
        <w:rPr>
          <w:noProof/>
          <w:szCs w:val="24"/>
        </w:rPr>
        <w:fldChar w:fldCharType="end"/>
      </w:r>
      <w:r>
        <w:rPr>
          <w:noProof/>
          <w:szCs w:val="24"/>
        </w:rPr>
        <w:t>: Methodological approach. Example for “medical devices”</w:t>
      </w:r>
    </w:p>
    <w:p w:rsidR="0037666B" w:rsidRDefault="00C627B8">
      <w:pPr>
        <w:pStyle w:val="Bulletpoint1"/>
        <w:spacing w:after="240"/>
        <w:rPr>
          <w:rFonts w:ascii="Times New Roman" w:hAnsi="Times New Roman"/>
          <w:noProof/>
          <w:sz w:val="24"/>
          <w:szCs w:val="24"/>
        </w:rPr>
      </w:pPr>
      <w:r>
        <w:rPr>
          <w:rFonts w:ascii="Times New Roman" w:hAnsi="Times New Roman"/>
          <w:noProof/>
          <w:sz w:val="24"/>
          <w:szCs w:val="24"/>
          <w:lang w:eastAsia="en-GB"/>
        </w:rPr>
        <w:drawing>
          <wp:inline distT="0" distB="0" distL="0" distR="0">
            <wp:extent cx="5472332" cy="3517700"/>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7625" cy="3527530"/>
                    </a:xfrm>
                    <a:prstGeom prst="rect">
                      <a:avLst/>
                    </a:prstGeom>
                    <a:noFill/>
                  </pic:spPr>
                </pic:pic>
              </a:graphicData>
            </a:graphic>
          </wp:inline>
        </w:drawing>
      </w:r>
    </w:p>
    <w:p w:rsidR="0037666B" w:rsidRDefault="00C627B8">
      <w:pPr>
        <w:pStyle w:val="BodyText"/>
        <w:spacing w:after="240"/>
        <w:rPr>
          <w:i w:val="0"/>
          <w:noProof/>
          <w:szCs w:val="24"/>
        </w:rPr>
      </w:pPr>
      <w:r>
        <w:rPr>
          <w:i w:val="0"/>
          <w:noProof/>
          <w:szCs w:val="24"/>
        </w:rPr>
        <w:t>Results from this exercise are presented in annex 5. In particular:</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Annex 5.1. presents the list of </w:t>
      </w:r>
      <w:r>
        <w:rPr>
          <w:rFonts w:ascii="Times New Roman" w:hAnsi="Times New Roman"/>
          <w:b/>
          <w:noProof/>
          <w:sz w:val="24"/>
          <w:szCs w:val="24"/>
        </w:rPr>
        <w:t xml:space="preserve">harmonised, non-harmonised and partially </w:t>
      </w:r>
      <w:r>
        <w:rPr>
          <w:rFonts w:ascii="Times New Roman" w:hAnsi="Times New Roman"/>
          <w:b/>
          <w:noProof/>
          <w:sz w:val="24"/>
          <w:szCs w:val="24"/>
        </w:rPr>
        <w:t>harmonised economic sectors</w:t>
      </w:r>
      <w:r>
        <w:rPr>
          <w:rFonts w:ascii="Times New Roman" w:hAnsi="Times New Roman"/>
          <w:noProof/>
          <w:sz w:val="24"/>
          <w:szCs w:val="24"/>
        </w:rPr>
        <w:t xml:space="preserve"> (as per NACE DIGIT-3 classification) that have been used for the analysis at sectorial level;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Annex 5.2.  presents the list of products (as per NACE DIGIT-4 classification) that have been considered as </w:t>
      </w:r>
      <w:r>
        <w:rPr>
          <w:rFonts w:ascii="Times New Roman" w:hAnsi="Times New Roman"/>
          <w:b/>
          <w:noProof/>
          <w:sz w:val="24"/>
          <w:szCs w:val="24"/>
        </w:rPr>
        <w:t>non</w:t>
      </w:r>
      <w:r>
        <w:rPr>
          <w:rFonts w:ascii="Times New Roman" w:hAnsi="Times New Roman"/>
          <w:noProof/>
          <w:sz w:val="24"/>
          <w:szCs w:val="24"/>
        </w:rPr>
        <w:t xml:space="preserve"> </w:t>
      </w:r>
      <w:r>
        <w:rPr>
          <w:rFonts w:ascii="Times New Roman" w:hAnsi="Times New Roman"/>
          <w:b/>
          <w:noProof/>
          <w:sz w:val="24"/>
          <w:szCs w:val="24"/>
        </w:rPr>
        <w:t>(or partially) harmon</w:t>
      </w:r>
      <w:r>
        <w:rPr>
          <w:rFonts w:ascii="Times New Roman" w:hAnsi="Times New Roman"/>
          <w:b/>
          <w:noProof/>
          <w:sz w:val="24"/>
          <w:szCs w:val="24"/>
        </w:rPr>
        <w:t xml:space="preserve">ised </w:t>
      </w:r>
      <w:r>
        <w:rPr>
          <w:rFonts w:ascii="Times New Roman" w:hAnsi="Times New Roman"/>
          <w:noProof/>
          <w:sz w:val="24"/>
          <w:szCs w:val="24"/>
        </w:rPr>
        <w:t>for the analysis at product level.</w:t>
      </w:r>
    </w:p>
    <w:p w:rsidR="0037666B" w:rsidRDefault="00C627B8">
      <w:pPr>
        <w:pStyle w:val="BodyText"/>
        <w:spacing w:after="240"/>
        <w:rPr>
          <w:i w:val="0"/>
          <w:noProof/>
          <w:szCs w:val="24"/>
        </w:rPr>
      </w:pPr>
      <w:r>
        <w:rPr>
          <w:i w:val="0"/>
          <w:noProof/>
          <w:szCs w:val="24"/>
        </w:rPr>
        <w:t>All the steps presented so far were needed to overcome the following issues: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There is not an updated list of non-harmonised and partially harmonised products/sectors;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Definitions of sectors/products in the regulation</w:t>
      </w:r>
      <w:r>
        <w:rPr>
          <w:rFonts w:ascii="Times New Roman" w:hAnsi="Times New Roman"/>
          <w:noProof/>
          <w:sz w:val="24"/>
          <w:szCs w:val="24"/>
        </w:rPr>
        <w:t xml:space="preserve"> are usually different from nomenclatures used within statistics;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Statistics at sectorial/product level use different nomenclatures (e.g. intra EU trade uses the Standard International Trade Classification [SITC], production values use the PRODuction COMmu</w:t>
      </w:r>
      <w:r>
        <w:rPr>
          <w:rFonts w:ascii="Times New Roman" w:hAnsi="Times New Roman"/>
          <w:noProof/>
          <w:sz w:val="24"/>
          <w:szCs w:val="24"/>
        </w:rPr>
        <w:t>nautaire [Prodcom] nomenclature, business demographics uses the Statistical Classification of Economic Activities in the European Community [NACE]);</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Difficulties in identifying non (or partially) harmonised products within sectors that are highly harmonise</w:t>
      </w:r>
      <w:r>
        <w:rPr>
          <w:rFonts w:ascii="Times New Roman" w:hAnsi="Times New Roman"/>
          <w:noProof/>
          <w:sz w:val="24"/>
          <w:szCs w:val="24"/>
        </w:rPr>
        <w:t>d. One of the most complicated cases is represented by the Food and Drink sector (see Box 1).</w:t>
      </w:r>
    </w:p>
    <w:p w:rsidR="0037666B" w:rsidRDefault="00C627B8">
      <w:pPr>
        <w:pStyle w:val="Caption"/>
        <w:spacing w:before="0" w:after="240"/>
        <w:rPr>
          <w:noProof/>
          <w:szCs w:val="24"/>
        </w:rPr>
      </w:pPr>
      <w:r>
        <w:rPr>
          <w:noProof/>
          <w:szCs w:val="24"/>
        </w:rPr>
        <w:t xml:space="preserve">Box </w:t>
      </w:r>
      <w:r>
        <w:rPr>
          <w:noProof/>
          <w:szCs w:val="24"/>
        </w:rPr>
        <w:fldChar w:fldCharType="begin"/>
      </w:r>
      <w:r>
        <w:rPr>
          <w:noProof/>
          <w:szCs w:val="24"/>
        </w:rPr>
        <w:instrText xml:space="preserve"> SEQ Box \* ARABIC </w:instrText>
      </w:r>
      <w:r>
        <w:rPr>
          <w:noProof/>
          <w:szCs w:val="24"/>
        </w:rPr>
        <w:fldChar w:fldCharType="separate"/>
      </w:r>
      <w:r>
        <w:rPr>
          <w:noProof/>
          <w:szCs w:val="24"/>
        </w:rPr>
        <w:t>1</w:t>
      </w:r>
      <w:r>
        <w:rPr>
          <w:noProof/>
          <w:szCs w:val="24"/>
        </w:rPr>
        <w:fldChar w:fldCharType="end"/>
      </w:r>
      <w:r>
        <w:rPr>
          <w:noProof/>
          <w:szCs w:val="24"/>
        </w:rPr>
        <w:t>: Food and drink products</w:t>
      </w:r>
    </w:p>
    <w:tbl>
      <w:tblPr>
        <w:tblStyle w:val="TableforEC"/>
        <w:tblW w:w="0" w:type="auto"/>
        <w:tblInd w:w="108" w:type="dxa"/>
        <w:tblLook w:val="04A0" w:firstRow="1" w:lastRow="0" w:firstColumn="1" w:lastColumn="0" w:noHBand="0" w:noVBand="1"/>
      </w:tblPr>
      <w:tblGrid>
        <w:gridCol w:w="8726"/>
      </w:tblGrid>
      <w:tr w:rsidR="0037666B" w:rsidTr="0037666B">
        <w:trPr>
          <w:cnfStyle w:val="100000000000" w:firstRow="1" w:lastRow="0" w:firstColumn="0" w:lastColumn="0" w:oddVBand="0" w:evenVBand="0" w:oddHBand="0" w:evenHBand="0" w:firstRowFirstColumn="0" w:firstRowLastColumn="0" w:lastRowFirstColumn="0" w:lastRowLastColumn="0"/>
          <w:tblHeader w:val="0"/>
        </w:trPr>
        <w:tc>
          <w:tcPr>
            <w:cnfStyle w:val="000000000100" w:firstRow="0" w:lastRow="0" w:firstColumn="0" w:lastColumn="0" w:oddVBand="0" w:evenVBand="0" w:oddHBand="0" w:evenHBand="0" w:firstRowFirstColumn="1" w:firstRowLastColumn="0" w:lastRowFirstColumn="0" w:lastRowLastColumn="0"/>
            <w:tcW w:w="8726" w:type="dxa"/>
            <w:shd w:val="clear" w:color="auto" w:fill="DBE5F1" w:themeFill="accent1" w:themeFillTint="33"/>
          </w:tcPr>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 xml:space="preserve">The food and drink industry is the EU's biggest manufacturing sector in terms of jobs and value added. It is </w:t>
            </w:r>
            <w:r>
              <w:rPr>
                <w:rFonts w:ascii="Times New Roman" w:hAnsi="Times New Roman"/>
                <w:noProof/>
                <w:szCs w:val="24"/>
                <w:lang w:val="en-GB"/>
              </w:rPr>
              <w:t>also an asset in trade with non-EU countries. The EU boasts an important trade surplus in trade in food and EU food specialities are well appreciated overseas. In the last 10 years, EU food and drink exports have doubled, reaching over €90 billion and cont</w:t>
            </w:r>
            <w:r>
              <w:rPr>
                <w:rFonts w:ascii="Times New Roman" w:hAnsi="Times New Roman"/>
                <w:noProof/>
                <w:szCs w:val="24"/>
                <w:lang w:val="en-GB"/>
              </w:rPr>
              <w:t>ributing to a positive balance of almost €30 billion.</w:t>
            </w:r>
          </w:p>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The EU food legislation is highly harmonised and the sector benefits significantly from the opportunities offered by the EU Single Market. At the same time, however, there are some EU legislative acts t</w:t>
            </w:r>
            <w:r>
              <w:rPr>
                <w:rFonts w:ascii="Times New Roman" w:hAnsi="Times New Roman"/>
                <w:noProof/>
                <w:szCs w:val="24"/>
                <w:lang w:val="en-GB"/>
              </w:rPr>
              <w:t>hat imply the application of the Mutual Recognition principle such as:</w:t>
            </w:r>
          </w:p>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Food contact materials (FCM) (Regulation (EC) No 1935/2004). Materials and articles intended to come in contact with food fall under a framework regulation that establishes the principl</w:t>
            </w:r>
            <w:r>
              <w:rPr>
                <w:rFonts w:ascii="Times New Roman" w:hAnsi="Times New Roman"/>
                <w:noProof/>
                <w:szCs w:val="24"/>
                <w:lang w:val="en-GB"/>
              </w:rPr>
              <w:t>es of safety assessment and management regarding the risk of transfer of chemicals from such materials into foods. While some materials are covered by EU-wide specific measures, others</w:t>
            </w:r>
            <w:r>
              <w:rPr>
                <w:rStyle w:val="FootnoteReference"/>
                <w:rFonts w:ascii="Times New Roman" w:hAnsi="Times New Roman"/>
                <w:noProof/>
                <w:szCs w:val="24"/>
              </w:rPr>
              <w:footnoteReference w:id="135"/>
            </w:r>
            <w:r>
              <w:rPr>
                <w:rFonts w:ascii="Times New Roman" w:hAnsi="Times New Roman"/>
                <w:noProof/>
                <w:szCs w:val="24"/>
                <w:lang w:val="en-GB"/>
              </w:rPr>
              <w:t xml:space="preserve"> remain overseen by national rules and depend on mutual recognition, ra</w:t>
            </w:r>
            <w:r>
              <w:rPr>
                <w:rFonts w:ascii="Times New Roman" w:hAnsi="Times New Roman"/>
                <w:noProof/>
                <w:szCs w:val="24"/>
                <w:lang w:val="en-GB"/>
              </w:rPr>
              <w:t xml:space="preserve">ising concerns that inconsistencies can affect safety and trade. </w:t>
            </w:r>
          </w:p>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Food supplements</w:t>
            </w:r>
            <w:r>
              <w:rPr>
                <w:rStyle w:val="FootnoteReference"/>
                <w:rFonts w:ascii="Times New Roman" w:hAnsi="Times New Roman"/>
                <w:noProof/>
                <w:szCs w:val="24"/>
              </w:rPr>
              <w:footnoteReference w:id="136"/>
            </w:r>
            <w:r>
              <w:rPr>
                <w:rFonts w:ascii="Times New Roman" w:hAnsi="Times New Roman"/>
                <w:noProof/>
                <w:szCs w:val="24"/>
                <w:lang w:val="en-GB"/>
              </w:rPr>
              <w:t xml:space="preserve"> (Directive 2002/46/EC) and labelling, presentation and advertising of foodstuffs (Directive 2000/13/E). Although the EU legislation harmonised various aspects (definition o</w:t>
            </w:r>
            <w:r>
              <w:rPr>
                <w:rFonts w:ascii="Times New Roman" w:hAnsi="Times New Roman"/>
                <w:noProof/>
                <w:szCs w:val="24"/>
                <w:lang w:val="en-GB"/>
              </w:rPr>
              <w:t>f food supplements, composition, specific labelling requirements, etc.) some non harmonised areas remained (for instance the maximum amounts of vitamins and minerals, other substances than vitamins and minerals, obligation for product registration at natio</w:t>
            </w:r>
            <w:r>
              <w:rPr>
                <w:rFonts w:ascii="Times New Roman" w:hAnsi="Times New Roman"/>
                <w:noProof/>
                <w:szCs w:val="24"/>
                <w:lang w:val="en-GB"/>
              </w:rPr>
              <w:t>nal level).</w:t>
            </w:r>
          </w:p>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 xml:space="preserve">Thus in the scope of the analysis: </w:t>
            </w:r>
          </w:p>
          <w:p w:rsidR="0037666B" w:rsidRDefault="00C627B8">
            <w:pPr>
              <w:pStyle w:val="Bulletpoint1"/>
              <w:numPr>
                <w:ilvl w:val="0"/>
                <w:numId w:val="22"/>
              </w:numPr>
              <w:spacing w:after="240"/>
              <w:ind w:left="601" w:hanging="567"/>
              <w:rPr>
                <w:rFonts w:ascii="Times New Roman" w:hAnsi="Times New Roman"/>
                <w:noProof/>
                <w:sz w:val="24"/>
                <w:szCs w:val="24"/>
                <w:lang w:val="en-GB"/>
              </w:rPr>
            </w:pPr>
            <w:r>
              <w:rPr>
                <w:rFonts w:ascii="Times New Roman" w:hAnsi="Times New Roman"/>
                <w:noProof/>
                <w:sz w:val="24"/>
                <w:szCs w:val="24"/>
                <w:lang w:val="en-GB"/>
              </w:rPr>
              <w:t xml:space="preserve">Concerning FCM some specific products have been identified within the following sectors </w:t>
            </w:r>
          </w:p>
          <w:p w:rsidR="0037666B" w:rsidRDefault="00C627B8">
            <w:pPr>
              <w:pStyle w:val="Bulletpoint1"/>
              <w:numPr>
                <w:ilvl w:val="0"/>
                <w:numId w:val="22"/>
              </w:numPr>
              <w:spacing w:after="240"/>
              <w:ind w:left="601" w:hanging="567"/>
              <w:rPr>
                <w:rFonts w:ascii="Times New Roman" w:hAnsi="Times New Roman"/>
                <w:noProof/>
                <w:sz w:val="24"/>
                <w:szCs w:val="24"/>
                <w:lang w:val="en-GB"/>
              </w:rPr>
            </w:pPr>
            <w:r>
              <w:rPr>
                <w:rFonts w:ascii="Times New Roman" w:hAnsi="Times New Roman"/>
                <w:noProof/>
                <w:sz w:val="24"/>
                <w:szCs w:val="24"/>
                <w:lang w:val="en-GB"/>
              </w:rPr>
              <w:t>Manufacture of paper and paper products;</w:t>
            </w:r>
          </w:p>
          <w:p w:rsidR="0037666B" w:rsidRDefault="00C627B8">
            <w:pPr>
              <w:pStyle w:val="Bulletpoint1"/>
              <w:numPr>
                <w:ilvl w:val="0"/>
                <w:numId w:val="22"/>
              </w:numPr>
              <w:spacing w:after="240"/>
              <w:ind w:left="601" w:hanging="567"/>
              <w:rPr>
                <w:rFonts w:ascii="Times New Roman" w:hAnsi="Times New Roman"/>
                <w:noProof/>
                <w:sz w:val="24"/>
                <w:szCs w:val="24"/>
                <w:lang w:val="en-GB"/>
              </w:rPr>
            </w:pPr>
            <w:r>
              <w:rPr>
                <w:rFonts w:ascii="Times New Roman" w:hAnsi="Times New Roman"/>
                <w:noProof/>
                <w:sz w:val="24"/>
                <w:szCs w:val="24"/>
                <w:lang w:val="en-GB"/>
              </w:rPr>
              <w:t>Manufacture of rubber and plastic product;</w:t>
            </w:r>
          </w:p>
          <w:p w:rsidR="0037666B" w:rsidRDefault="00C627B8">
            <w:pPr>
              <w:pStyle w:val="Bulletpoint1"/>
              <w:numPr>
                <w:ilvl w:val="0"/>
                <w:numId w:val="22"/>
              </w:numPr>
              <w:spacing w:after="240"/>
              <w:ind w:left="601" w:hanging="567"/>
              <w:rPr>
                <w:rFonts w:ascii="Times New Roman" w:hAnsi="Times New Roman"/>
                <w:noProof/>
                <w:sz w:val="24"/>
                <w:szCs w:val="24"/>
                <w:lang w:val="en-GB"/>
              </w:rPr>
            </w:pPr>
            <w:r>
              <w:rPr>
                <w:rFonts w:ascii="Times New Roman" w:hAnsi="Times New Roman"/>
                <w:noProof/>
                <w:sz w:val="24"/>
                <w:szCs w:val="24"/>
                <w:lang w:val="en-GB"/>
              </w:rPr>
              <w:t xml:space="preserve">Manufacture of other non-metallic </w:t>
            </w:r>
            <w:r>
              <w:rPr>
                <w:rFonts w:ascii="Times New Roman" w:hAnsi="Times New Roman"/>
                <w:noProof/>
                <w:sz w:val="24"/>
                <w:szCs w:val="24"/>
                <w:lang w:val="en-GB"/>
              </w:rPr>
              <w:t>mineral products.</w:t>
            </w:r>
          </w:p>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Concerning the food supplement and foodstuffs some specific products have been identifies within the sectors “Manufacture of other food products”</w:t>
            </w:r>
          </w:p>
          <w:p w:rsidR="0037666B" w:rsidRDefault="00C627B8">
            <w:pPr>
              <w:pStyle w:val="BodyText"/>
              <w:spacing w:after="240"/>
              <w:rPr>
                <w:rFonts w:ascii="Times New Roman" w:hAnsi="Times New Roman"/>
                <w:noProof/>
                <w:szCs w:val="24"/>
                <w:lang w:val="en-GB"/>
              </w:rPr>
            </w:pPr>
            <w:r>
              <w:rPr>
                <w:rFonts w:ascii="Times New Roman" w:hAnsi="Times New Roman"/>
                <w:noProof/>
                <w:szCs w:val="24"/>
                <w:lang w:val="en-GB"/>
              </w:rPr>
              <w:t>For the complete list of products that are considered as non (or partially harmonised) withi</w:t>
            </w:r>
            <w:r>
              <w:rPr>
                <w:rFonts w:ascii="Times New Roman" w:hAnsi="Times New Roman"/>
                <w:noProof/>
                <w:szCs w:val="24"/>
                <w:lang w:val="en-GB"/>
              </w:rPr>
              <w:t>n the scope of this study please refer to 2.</w:t>
            </w:r>
          </w:p>
        </w:tc>
      </w:tr>
    </w:tbl>
    <w:p w:rsidR="0037666B" w:rsidRDefault="00C627B8">
      <w:pPr>
        <w:pStyle w:val="Heading1"/>
        <w:keepNext w:val="0"/>
        <w:numPr>
          <w:ilvl w:val="0"/>
          <w:numId w:val="36"/>
        </w:numPr>
        <w:ind w:left="482" w:hanging="482"/>
        <w:rPr>
          <w:noProof/>
          <w:szCs w:val="24"/>
        </w:rPr>
      </w:pPr>
      <w:bookmarkStart w:id="88" w:name="_Toc473222580"/>
      <w:bookmarkStart w:id="89" w:name="_Toc476077434"/>
      <w:bookmarkStart w:id="90" w:name="_Toc476077720"/>
      <w:bookmarkStart w:id="91" w:name="_Toc483992770"/>
      <w:bookmarkStart w:id="92" w:name="_Ref473216082"/>
      <w:r>
        <w:rPr>
          <w:noProof/>
          <w:szCs w:val="24"/>
        </w:rPr>
        <w:t>Methodology for the estimation of the magnitude of the problem</w:t>
      </w:r>
      <w:bookmarkEnd w:id="88"/>
      <w:bookmarkEnd w:id="89"/>
      <w:bookmarkEnd w:id="90"/>
      <w:bookmarkEnd w:id="91"/>
      <w:r>
        <w:rPr>
          <w:noProof/>
          <w:szCs w:val="24"/>
        </w:rPr>
        <w:t xml:space="preserve"> </w:t>
      </w:r>
      <w:bookmarkEnd w:id="92"/>
    </w:p>
    <w:p w:rsidR="0037666B" w:rsidRDefault="00C627B8">
      <w:pPr>
        <w:pStyle w:val="BodyText"/>
        <w:spacing w:after="240"/>
        <w:rPr>
          <w:i w:val="0"/>
          <w:noProof/>
          <w:szCs w:val="24"/>
        </w:rPr>
      </w:pPr>
      <w:r>
        <w:rPr>
          <w:i w:val="0"/>
          <w:noProof/>
          <w:szCs w:val="24"/>
        </w:rPr>
        <w:t>The objective of the model is to distinguish the socio-economic costs of a sub-optimal functioning of the mutual recognition principle</w:t>
      </w:r>
      <w:r>
        <w:rPr>
          <w:noProof/>
          <w:szCs w:val="24"/>
        </w:rPr>
        <w:t xml:space="preserve"> </w:t>
      </w:r>
      <w:r>
        <w:rPr>
          <w:i w:val="0"/>
          <w:noProof/>
          <w:szCs w:val="24"/>
        </w:rPr>
        <w:t>by identify</w:t>
      </w:r>
      <w:r>
        <w:rPr>
          <w:i w:val="0"/>
          <w:noProof/>
          <w:szCs w:val="24"/>
        </w:rPr>
        <w:t xml:space="preserve">ing and investigating relevant socio-economic costs. </w:t>
      </w:r>
      <w:r>
        <w:rPr>
          <w:i w:val="0"/>
          <w:noProof/>
          <w:szCs w:val="24"/>
        </w:rPr>
        <w:fldChar w:fldCharType="begin"/>
      </w:r>
      <w:r>
        <w:rPr>
          <w:i w:val="0"/>
          <w:noProof/>
          <w:szCs w:val="24"/>
        </w:rPr>
        <w:instrText xml:space="preserve"> REF _Ref470703480 \h  \* MERGEFORMAT </w:instrText>
      </w:r>
      <w:r>
        <w:rPr>
          <w:i w:val="0"/>
          <w:noProof/>
          <w:szCs w:val="24"/>
        </w:rPr>
      </w:r>
      <w:r>
        <w:rPr>
          <w:i w:val="0"/>
          <w:noProof/>
          <w:szCs w:val="24"/>
        </w:rPr>
        <w:fldChar w:fldCharType="separate"/>
      </w:r>
      <w:r>
        <w:rPr>
          <w:i w:val="0"/>
          <w:noProof/>
          <w:szCs w:val="24"/>
        </w:rPr>
        <w:t>Figure A4-2</w:t>
      </w:r>
      <w:r>
        <w:rPr>
          <w:i w:val="0"/>
          <w:noProof/>
          <w:szCs w:val="24"/>
        </w:rPr>
        <w:fldChar w:fldCharType="end"/>
      </w:r>
      <w:r>
        <w:rPr>
          <w:i w:val="0"/>
          <w:noProof/>
          <w:szCs w:val="24"/>
        </w:rPr>
        <w:t xml:space="preserve"> provides an overview of the key components of the model to estimate the impact of sub</w:t>
      </w:r>
      <w:r>
        <w:rPr>
          <w:i w:val="0"/>
          <w:noProof/>
          <w:szCs w:val="24"/>
        </w:rPr>
        <w:t>-optimal functioning of the Mutual Recognition principle, henceforth called the SFMR model.</w:t>
      </w:r>
      <w:r>
        <w:rPr>
          <w:i w:val="0"/>
          <w:iCs w:val="0"/>
          <w:noProof/>
          <w:szCs w:val="24"/>
        </w:rPr>
        <w:t xml:space="preserve"> </w:t>
      </w:r>
      <w:r>
        <w:rPr>
          <w:i w:val="0"/>
          <w:noProof/>
          <w:szCs w:val="24"/>
        </w:rPr>
        <w:t xml:space="preserve">The model is underpinned by an enterprise decisions tree that considers routes to successful market entry and decisions not to export, further details are provided </w:t>
      </w:r>
      <w:r>
        <w:rPr>
          <w:i w:val="0"/>
          <w:noProof/>
          <w:szCs w:val="24"/>
        </w:rPr>
        <w:t xml:space="preserve">in chapter 4. </w:t>
      </w:r>
    </w:p>
    <w:p w:rsidR="0037666B" w:rsidRDefault="00C627B8">
      <w:pPr>
        <w:pStyle w:val="BodyText"/>
        <w:spacing w:after="240"/>
        <w:rPr>
          <w:i w:val="0"/>
          <w:noProof/>
          <w:szCs w:val="24"/>
        </w:rPr>
      </w:pPr>
      <w:r>
        <w:rPr>
          <w:i w:val="0"/>
          <w:noProof/>
          <w:szCs w:val="24"/>
        </w:rPr>
        <w:fldChar w:fldCharType="begin"/>
      </w:r>
      <w:r>
        <w:rPr>
          <w:i w:val="0"/>
          <w:noProof/>
          <w:szCs w:val="24"/>
        </w:rPr>
        <w:instrText xml:space="preserve"> REF _Ref470703480 \h  \* MERGEFORMAT </w:instrText>
      </w:r>
      <w:r>
        <w:rPr>
          <w:i w:val="0"/>
          <w:noProof/>
          <w:szCs w:val="24"/>
        </w:rPr>
      </w:r>
      <w:r>
        <w:rPr>
          <w:i w:val="0"/>
          <w:noProof/>
          <w:szCs w:val="24"/>
        </w:rPr>
        <w:fldChar w:fldCharType="separate"/>
      </w:r>
      <w:r>
        <w:rPr>
          <w:i w:val="0"/>
          <w:noProof/>
          <w:szCs w:val="24"/>
        </w:rPr>
        <w:t>Figure A4-2</w:t>
      </w:r>
      <w:r>
        <w:rPr>
          <w:i w:val="0"/>
          <w:noProof/>
          <w:szCs w:val="24"/>
        </w:rPr>
        <w:fldChar w:fldCharType="end"/>
      </w:r>
      <w:r>
        <w:rPr>
          <w:i w:val="0"/>
          <w:noProof/>
          <w:szCs w:val="24"/>
        </w:rPr>
        <w:t xml:space="preserve"> highlights that the model is comprised of seven components or stages. Calculations for components one, two and four were pr</w:t>
      </w:r>
      <w:r>
        <w:rPr>
          <w:i w:val="0"/>
          <w:noProof/>
          <w:szCs w:val="24"/>
        </w:rPr>
        <w:t>esented in the previous chapter. The model uses data from the value of intra-EU trade by EU Member States to calculate key cost elements associated with sub-optimal functioning of the Mutual Recognition principle. These include unnecessary compliance costs</w:t>
      </w:r>
      <w:r>
        <w:rPr>
          <w:i w:val="0"/>
          <w:noProof/>
          <w:szCs w:val="24"/>
        </w:rPr>
        <w:t xml:space="preserve"> and adjustment costs. </w:t>
      </w:r>
    </w:p>
    <w:p w:rsidR="0037666B" w:rsidRDefault="00C627B8">
      <w:pPr>
        <w:pStyle w:val="BodyText"/>
        <w:spacing w:after="240"/>
        <w:rPr>
          <w:i w:val="0"/>
          <w:noProof/>
          <w:szCs w:val="24"/>
        </w:rPr>
      </w:pPr>
      <w:r>
        <w:rPr>
          <w:i w:val="0"/>
          <w:noProof/>
          <w:szCs w:val="24"/>
        </w:rPr>
        <w:t>By estimating the number of enterprises entering new cross-border markets with non-harmonised products (stage three of the model), it is possible to apply an estimate of the</w:t>
      </w:r>
      <w:r>
        <w:rPr>
          <w:noProof/>
          <w:szCs w:val="24"/>
        </w:rPr>
        <w:t xml:space="preserve"> </w:t>
      </w:r>
      <w:r>
        <w:rPr>
          <w:i w:val="0"/>
          <w:noProof/>
          <w:szCs w:val="24"/>
        </w:rPr>
        <w:t>number of days work required by enterprises to overcome su</w:t>
      </w:r>
      <w:r>
        <w:rPr>
          <w:i w:val="0"/>
          <w:noProof/>
          <w:szCs w:val="24"/>
        </w:rPr>
        <w:t>b-optimal functioning (stage five). This element of the model provides details of transactions costs. The second component of the model (stage six - cost of delayed market entry) estimates the cost per week of enterprises note being able to trade.</w:t>
      </w:r>
    </w:p>
    <w:p w:rsidR="0037666B" w:rsidRDefault="00C627B8">
      <w:pPr>
        <w:pStyle w:val="BodyText"/>
        <w:spacing w:after="240"/>
        <w:rPr>
          <w:i w:val="0"/>
          <w:noProof/>
          <w:szCs w:val="24"/>
        </w:rPr>
      </w:pPr>
      <w:r>
        <w:rPr>
          <w:i w:val="0"/>
          <w:noProof/>
          <w:szCs w:val="24"/>
        </w:rPr>
        <w:t>Componen</w:t>
      </w:r>
      <w:r>
        <w:rPr>
          <w:i w:val="0"/>
          <w:noProof/>
          <w:szCs w:val="24"/>
        </w:rPr>
        <w:t>ts five and six can then be treated separately, or combined to give a total estimate of costs associated with sub-optimal functioning of the Mutual Recognition principle.</w:t>
      </w: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C627B8">
      <w:pPr>
        <w:pStyle w:val="Caption"/>
        <w:spacing w:before="0" w:after="240"/>
        <w:rPr>
          <w:noProof/>
          <w:szCs w:val="24"/>
        </w:rPr>
      </w:pPr>
      <w:bookmarkStart w:id="93" w:name="_Ref470703480"/>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2</w:t>
      </w:r>
      <w:r>
        <w:rPr>
          <w:noProof/>
          <w:szCs w:val="24"/>
        </w:rPr>
        <w:fldChar w:fldCharType="end"/>
      </w:r>
      <w:bookmarkEnd w:id="93"/>
      <w:r>
        <w:rPr>
          <w:noProof/>
          <w:szCs w:val="24"/>
        </w:rPr>
        <w:t xml:space="preserve">: Key components of the model to estimate </w:t>
      </w:r>
      <w:r>
        <w:rPr>
          <w:noProof/>
          <w:szCs w:val="24"/>
        </w:rPr>
        <w:t>the cost of sub-optimal functioning of the Mutual Recognition principle</w:t>
      </w:r>
    </w:p>
    <w:p w:rsidR="0037666B" w:rsidRDefault="00C627B8">
      <w:pPr>
        <w:jc w:val="center"/>
        <w:rPr>
          <w:noProof/>
          <w:szCs w:val="24"/>
        </w:rPr>
      </w:pPr>
      <w:r>
        <w:rPr>
          <w:noProof/>
          <w:szCs w:val="24"/>
          <w:lang w:eastAsia="en-GB"/>
        </w:rPr>
        <w:drawing>
          <wp:inline distT="0" distB="0" distL="0" distR="0">
            <wp:extent cx="5472430" cy="3398636"/>
            <wp:effectExtent l="19050" t="19050" r="13970" b="11430"/>
            <wp:docPr id="12" name="Picture 12" descr="Macintosh HD:Users:paulfoley:Desktop:Screen Shot 2017-03-07 at 10.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foley:Desktop:Screen Shot 2017-03-07 at 10.31.1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2430" cy="3398636"/>
                    </a:xfrm>
                    <a:prstGeom prst="rect">
                      <a:avLst/>
                    </a:prstGeom>
                    <a:noFill/>
                    <a:ln>
                      <a:solidFill>
                        <a:schemeClr val="tx1">
                          <a:lumMod val="50000"/>
                          <a:lumOff val="50000"/>
                        </a:schemeClr>
                      </a:solidFill>
                    </a:ln>
                  </pic:spPr>
                </pic:pic>
              </a:graphicData>
            </a:graphic>
          </wp:inline>
        </w:drawing>
      </w:r>
    </w:p>
    <w:p w:rsidR="0037666B" w:rsidRDefault="00C627B8">
      <w:pPr>
        <w:pStyle w:val="Sourcetablesandfigures"/>
        <w:spacing w:after="240"/>
        <w:jc w:val="both"/>
        <w:rPr>
          <w:rFonts w:ascii="Times New Roman Italic" w:hAnsi="Times New Roman Italic"/>
          <w:noProof/>
          <w:sz w:val="18"/>
          <w:szCs w:val="18"/>
        </w:rPr>
      </w:pPr>
      <w:bookmarkStart w:id="94" w:name="_Ref343862837"/>
      <w:r>
        <w:rPr>
          <w:rFonts w:ascii="Times New Roman Italic" w:hAnsi="Times New Roman Italic"/>
          <w:noProof/>
          <w:sz w:val="18"/>
          <w:szCs w:val="18"/>
        </w:rPr>
        <w:t>Note: Elements with asterisks can be changed in the model and/or updated when data from field research becomes available.</w:t>
      </w:r>
    </w:p>
    <w:bookmarkEnd w:id="94"/>
    <w:p w:rsidR="0037666B" w:rsidRDefault="00C627B8">
      <w:pPr>
        <w:pStyle w:val="BodyText"/>
        <w:spacing w:after="240"/>
        <w:rPr>
          <w:i w:val="0"/>
          <w:noProof/>
          <w:szCs w:val="24"/>
        </w:rPr>
      </w:pPr>
      <w:r>
        <w:rPr>
          <w:i w:val="0"/>
          <w:noProof/>
          <w:szCs w:val="24"/>
        </w:rPr>
        <w:t xml:space="preserve">As noted, the model is underpinned by clear and transparent </w:t>
      </w:r>
      <w:r>
        <w:rPr>
          <w:i w:val="0"/>
          <w:noProof/>
          <w:szCs w:val="24"/>
        </w:rPr>
        <w:t xml:space="preserve">assumptions that can be adjusted to enable sensitivity analysis in the model. </w:t>
      </w:r>
    </w:p>
    <w:p w:rsidR="0037666B" w:rsidRDefault="00C627B8">
      <w:pPr>
        <w:pStyle w:val="Heading1"/>
        <w:keepNext w:val="0"/>
        <w:numPr>
          <w:ilvl w:val="0"/>
          <w:numId w:val="36"/>
        </w:numPr>
        <w:spacing w:before="0"/>
        <w:rPr>
          <w:noProof/>
          <w:szCs w:val="24"/>
        </w:rPr>
      </w:pPr>
      <w:bookmarkStart w:id="95" w:name="_Toc473222581"/>
      <w:bookmarkStart w:id="96" w:name="_Toc476077435"/>
      <w:bookmarkStart w:id="97" w:name="_Toc476077721"/>
      <w:bookmarkStart w:id="98" w:name="_Toc483992771"/>
      <w:r>
        <w:rPr>
          <w:noProof/>
          <w:szCs w:val="24"/>
        </w:rPr>
        <w:t xml:space="preserve">Methodology for </w:t>
      </w:r>
      <w:bookmarkEnd w:id="95"/>
      <w:r>
        <w:rPr>
          <w:noProof/>
          <w:szCs w:val="24"/>
        </w:rPr>
        <w:t>case studies</w:t>
      </w:r>
      <w:bookmarkEnd w:id="96"/>
      <w:bookmarkEnd w:id="97"/>
      <w:bookmarkEnd w:id="98"/>
    </w:p>
    <w:p w:rsidR="0037666B" w:rsidRDefault="00C627B8">
      <w:pPr>
        <w:rPr>
          <w:noProof/>
          <w:szCs w:val="24"/>
        </w:rPr>
      </w:pPr>
      <w:r>
        <w:rPr>
          <w:noProof/>
          <w:szCs w:val="24"/>
        </w:rPr>
        <w:t>Five case studies were constructed and carried out in this project. Their objective is to allow us: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To ensure a higher level of detail, which would </w:t>
      </w:r>
      <w:r>
        <w:rPr>
          <w:rFonts w:ascii="Times New Roman" w:hAnsi="Times New Roman"/>
          <w:noProof/>
          <w:sz w:val="24"/>
          <w:szCs w:val="24"/>
        </w:rPr>
        <w:t>not be feasible to obtain only through desk research and online survey, on specific topics emerged throughout the study that can help to better understand the impacts of the problems that emerged in the application of the mutual recognition principle and o</w:t>
      </w:r>
      <w:r>
        <w:rPr>
          <w:rFonts w:ascii="Times New Roman" w:hAnsi="Times New Roman"/>
          <w:noProof/>
          <w:sz w:val="24"/>
          <w:szCs w:val="24"/>
        </w:rPr>
        <w:t>f the options envisioned;</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To provide enriched and more robust estimation of the cost and benefits of problems encountered in the application of the mutual recognition principle and of the options under analysis;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To illustrate in practical terms the implica</w:t>
      </w:r>
      <w:r>
        <w:rPr>
          <w:rFonts w:ascii="Times New Roman" w:hAnsi="Times New Roman"/>
          <w:noProof/>
          <w:sz w:val="24"/>
          <w:szCs w:val="24"/>
        </w:rPr>
        <w:t xml:space="preserve">tion and impacts of specific issues in the application of mutual recognition. </w:t>
      </w:r>
    </w:p>
    <w:p w:rsidR="0037666B" w:rsidRDefault="00C627B8">
      <w:pPr>
        <w:rPr>
          <w:noProof/>
          <w:szCs w:val="24"/>
        </w:rPr>
      </w:pPr>
      <w:r>
        <w:rPr>
          <w:noProof/>
          <w:szCs w:val="24"/>
        </w:rPr>
        <w:t>Based on the results of the desk and field research, the team identified possible case studies, approved by the Commission, considering products or categories of products that a</w:t>
      </w:r>
      <w:r>
        <w:rPr>
          <w:noProof/>
          <w:szCs w:val="24"/>
        </w:rPr>
        <w:t>ppear relevant to be explored in a more detailed analysis.</w:t>
      </w:r>
    </w:p>
    <w:p w:rsidR="0037666B" w:rsidRDefault="0037666B">
      <w:pPr>
        <w:pStyle w:val="BodyText"/>
        <w:spacing w:after="240"/>
        <w:rPr>
          <w:i w:val="0"/>
          <w:noProof/>
          <w:szCs w:val="24"/>
        </w:rPr>
      </w:pPr>
    </w:p>
    <w:p w:rsidR="0037666B" w:rsidRDefault="00C627B8">
      <w:pPr>
        <w:pStyle w:val="BodyText"/>
        <w:spacing w:after="240"/>
        <w:rPr>
          <w:i w:val="0"/>
          <w:noProof/>
          <w:szCs w:val="24"/>
        </w:rPr>
      </w:pPr>
      <w:r>
        <w:rPr>
          <w:i w:val="0"/>
          <w:noProof/>
          <w:szCs w:val="24"/>
        </w:rPr>
        <w:t>Case studies were carried out through:</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Brief desk research that provides an overview of the product and collecting economic data and information;</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Interviews to collect information on the current a</w:t>
      </w:r>
      <w:r>
        <w:rPr>
          <w:rFonts w:ascii="Times New Roman" w:hAnsi="Times New Roman"/>
          <w:noProof/>
          <w:sz w:val="24"/>
          <w:szCs w:val="24"/>
        </w:rPr>
        <w:t>ctual implementation of mutual recognition in the sector – and in specific Member States, main costs and potential benefits of the proposed policy options, involving both:</w:t>
      </w:r>
    </w:p>
    <w:p w:rsidR="0037666B" w:rsidRDefault="00C627B8">
      <w:pPr>
        <w:pStyle w:val="Bulletpoint1"/>
        <w:numPr>
          <w:ilvl w:val="1"/>
          <w:numId w:val="22"/>
        </w:numPr>
        <w:spacing w:after="240"/>
        <w:ind w:left="1134" w:hanging="567"/>
        <w:rPr>
          <w:rFonts w:ascii="Times New Roman" w:hAnsi="Times New Roman"/>
          <w:noProof/>
          <w:sz w:val="24"/>
          <w:szCs w:val="24"/>
        </w:rPr>
      </w:pPr>
      <w:r>
        <w:rPr>
          <w:rFonts w:ascii="Times New Roman" w:hAnsi="Times New Roman"/>
          <w:b/>
          <w:noProof/>
          <w:sz w:val="24"/>
          <w:szCs w:val="24"/>
        </w:rPr>
        <w:t>Relevant national authorities</w:t>
      </w:r>
      <w:r>
        <w:rPr>
          <w:rFonts w:ascii="Times New Roman" w:hAnsi="Times New Roman"/>
          <w:noProof/>
          <w:sz w:val="24"/>
          <w:szCs w:val="24"/>
        </w:rPr>
        <w:t>, to understand the actual implementation of the Regula</w:t>
      </w:r>
      <w:r>
        <w:rPr>
          <w:rFonts w:ascii="Times New Roman" w:hAnsi="Times New Roman"/>
          <w:noProof/>
          <w:sz w:val="24"/>
          <w:szCs w:val="24"/>
        </w:rPr>
        <w:t>tion, the main procedures in place and the possible revision that could be made in the light of the proposed options;</w:t>
      </w:r>
    </w:p>
    <w:p w:rsidR="0037666B" w:rsidRDefault="00C627B8">
      <w:pPr>
        <w:pStyle w:val="Bulletpoint1"/>
        <w:numPr>
          <w:ilvl w:val="1"/>
          <w:numId w:val="22"/>
        </w:numPr>
        <w:spacing w:after="240"/>
        <w:ind w:left="1134" w:hanging="567"/>
        <w:rPr>
          <w:rFonts w:ascii="Times New Roman" w:hAnsi="Times New Roman"/>
          <w:noProof/>
          <w:sz w:val="24"/>
          <w:szCs w:val="24"/>
        </w:rPr>
      </w:pPr>
      <w:r>
        <w:rPr>
          <w:rFonts w:ascii="Times New Roman" w:hAnsi="Times New Roman"/>
          <w:b/>
          <w:noProof/>
          <w:sz w:val="24"/>
          <w:szCs w:val="24"/>
        </w:rPr>
        <w:t>Economic operators</w:t>
      </w:r>
      <w:r>
        <w:rPr>
          <w:rFonts w:ascii="Times New Roman" w:hAnsi="Times New Roman"/>
          <w:noProof/>
          <w:sz w:val="24"/>
          <w:szCs w:val="24"/>
        </w:rPr>
        <w:t xml:space="preserve"> – both businesses and business associations – active in the relevant sector, to collect information on the actual probl</w:t>
      </w:r>
      <w:r>
        <w:rPr>
          <w:rFonts w:ascii="Times New Roman" w:hAnsi="Times New Roman"/>
          <w:noProof/>
          <w:sz w:val="24"/>
          <w:szCs w:val="24"/>
        </w:rPr>
        <w:t>ems/obstacles faced and costs incurred by companies trying to enter the relevant market, as well as understanding the impact the proposed policy options would have in addressing them.</w:t>
      </w:r>
    </w:p>
    <w:p w:rsidR="0037666B" w:rsidRDefault="00C627B8">
      <w:pPr>
        <w:pStyle w:val="BodyText"/>
        <w:spacing w:after="240"/>
        <w:rPr>
          <w:i w:val="0"/>
          <w:noProof/>
          <w:szCs w:val="24"/>
        </w:rPr>
      </w:pPr>
      <w:r>
        <w:rPr>
          <w:i w:val="0"/>
          <w:noProof/>
          <w:szCs w:val="24"/>
        </w:rPr>
        <w:t>Each case study is presented below, providing both an overview of the ca</w:t>
      </w:r>
      <w:r>
        <w:rPr>
          <w:i w:val="0"/>
          <w:noProof/>
          <w:szCs w:val="24"/>
        </w:rPr>
        <w:t>se and relevant product/sector, as well as the issue and the details based on desk and field research.</w:t>
      </w:r>
    </w:p>
    <w:p w:rsidR="0037666B" w:rsidRDefault="00C627B8">
      <w:pPr>
        <w:pStyle w:val="Heading1"/>
        <w:keepNext w:val="0"/>
        <w:numPr>
          <w:ilvl w:val="0"/>
          <w:numId w:val="36"/>
        </w:numPr>
        <w:spacing w:before="0"/>
        <w:ind w:left="431" w:hanging="431"/>
        <w:rPr>
          <w:noProof/>
          <w:szCs w:val="24"/>
        </w:rPr>
      </w:pPr>
      <w:bookmarkStart w:id="99" w:name="_Toc483992772"/>
      <w:bookmarkStart w:id="100" w:name="_Ref473206986"/>
      <w:bookmarkStart w:id="101" w:name="_Toc473222206"/>
      <w:bookmarkStart w:id="102" w:name="_Toc473222582"/>
      <w:r>
        <w:rPr>
          <w:noProof/>
          <w:szCs w:val="24"/>
        </w:rPr>
        <w:t>Estimation of the Market for Non-Harmonised products</w:t>
      </w:r>
      <w:bookmarkEnd w:id="99"/>
      <w:r>
        <w:rPr>
          <w:noProof/>
          <w:szCs w:val="24"/>
        </w:rPr>
        <w:t xml:space="preserve"> </w:t>
      </w:r>
      <w:bookmarkEnd w:id="100"/>
      <w:bookmarkEnd w:id="101"/>
      <w:bookmarkEnd w:id="102"/>
    </w:p>
    <w:p w:rsidR="0037666B" w:rsidRDefault="00C627B8">
      <w:pPr>
        <w:pStyle w:val="BodyText"/>
        <w:spacing w:after="240"/>
        <w:rPr>
          <w:i w:val="0"/>
          <w:noProof/>
          <w:szCs w:val="24"/>
        </w:rPr>
      </w:pPr>
      <w:r>
        <w:rPr>
          <w:i w:val="0"/>
          <w:noProof/>
          <w:szCs w:val="24"/>
        </w:rPr>
        <w:t xml:space="preserve">This section provides an estimate of the </w:t>
      </w:r>
      <w:r>
        <w:rPr>
          <w:b/>
          <w:i w:val="0"/>
          <w:noProof/>
          <w:szCs w:val="24"/>
        </w:rPr>
        <w:t>market value of current intra-EU trade in non-harmonised p</w:t>
      </w:r>
      <w:r>
        <w:rPr>
          <w:b/>
          <w:i w:val="0"/>
          <w:noProof/>
          <w:szCs w:val="24"/>
        </w:rPr>
        <w:t>roducts</w:t>
      </w:r>
      <w:r>
        <w:rPr>
          <w:i w:val="0"/>
          <w:noProof/>
          <w:szCs w:val="24"/>
        </w:rPr>
        <w:t xml:space="preserve"> falling under the mutual recognition principle, in order to understand the size of the EU market currently affected by the Regulation;</w:t>
      </w:r>
    </w:p>
    <w:p w:rsidR="0037666B" w:rsidRDefault="00C627B8">
      <w:pPr>
        <w:pStyle w:val="Heading2"/>
        <w:numPr>
          <w:ilvl w:val="1"/>
          <w:numId w:val="36"/>
        </w:numPr>
        <w:tabs>
          <w:tab w:val="clear" w:pos="1200"/>
          <w:tab w:val="num" w:pos="567"/>
        </w:tabs>
        <w:ind w:left="567" w:hanging="567"/>
        <w:rPr>
          <w:noProof/>
        </w:rPr>
      </w:pPr>
      <w:bookmarkStart w:id="103" w:name="_Toc467078326"/>
      <w:bookmarkStart w:id="104" w:name="_Toc467080476"/>
      <w:bookmarkStart w:id="105" w:name="_Toc467083198"/>
      <w:bookmarkStart w:id="106" w:name="_Toc467083225"/>
      <w:bookmarkStart w:id="107" w:name="_Toc467083260"/>
      <w:bookmarkStart w:id="108" w:name="_Toc467091660"/>
      <w:bookmarkStart w:id="109" w:name="_Toc467094743"/>
      <w:bookmarkStart w:id="110" w:name="_Ref470711742"/>
      <w:bookmarkStart w:id="111" w:name="_Toc471227579"/>
      <w:bookmarkStart w:id="112" w:name="_Toc471225791"/>
      <w:bookmarkStart w:id="113" w:name="_Ref473212175"/>
      <w:bookmarkStart w:id="114" w:name="_Toc473222583"/>
      <w:bookmarkStart w:id="115" w:name="_Toc476077437"/>
      <w:bookmarkStart w:id="116" w:name="_Toc476077723"/>
      <w:bookmarkStart w:id="117" w:name="_Toc483992773"/>
      <w:bookmarkEnd w:id="103"/>
      <w:bookmarkEnd w:id="104"/>
      <w:bookmarkEnd w:id="105"/>
      <w:bookmarkEnd w:id="106"/>
      <w:bookmarkEnd w:id="107"/>
      <w:bookmarkEnd w:id="108"/>
      <w:bookmarkEnd w:id="109"/>
      <w:r>
        <w:rPr>
          <w:noProof/>
        </w:rPr>
        <w:t xml:space="preserve">Estimate of the market value of current intra-EU trade in non-harmonised products falling under the mutual </w:t>
      </w:r>
      <w:r>
        <w:rPr>
          <w:noProof/>
        </w:rPr>
        <w:t>recognition principle</w:t>
      </w:r>
      <w:bookmarkEnd w:id="110"/>
      <w:bookmarkEnd w:id="111"/>
      <w:bookmarkEnd w:id="112"/>
      <w:bookmarkEnd w:id="113"/>
      <w:bookmarkEnd w:id="114"/>
      <w:bookmarkEnd w:id="115"/>
      <w:bookmarkEnd w:id="116"/>
      <w:bookmarkEnd w:id="117"/>
    </w:p>
    <w:p w:rsidR="0037666B" w:rsidRDefault="00C627B8">
      <w:pPr>
        <w:pStyle w:val="BodyText"/>
        <w:spacing w:after="240"/>
        <w:rPr>
          <w:i w:val="0"/>
          <w:noProof/>
          <w:szCs w:val="24"/>
        </w:rPr>
      </w:pPr>
      <w:r>
        <w:rPr>
          <w:i w:val="0"/>
          <w:noProof/>
          <w:szCs w:val="24"/>
        </w:rPr>
        <w:t xml:space="preserve">As described above, the market analysis follows a twofold approach.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An analysis at </w:t>
      </w:r>
      <w:r>
        <w:rPr>
          <w:rFonts w:ascii="Times New Roman" w:hAnsi="Times New Roman"/>
          <w:b/>
          <w:noProof/>
          <w:sz w:val="24"/>
          <w:szCs w:val="24"/>
        </w:rPr>
        <w:t>sectorial level</w:t>
      </w:r>
      <w:r>
        <w:rPr>
          <w:rFonts w:ascii="Times New Roman" w:hAnsi="Times New Roman"/>
          <w:noProof/>
          <w:sz w:val="24"/>
          <w:szCs w:val="24"/>
        </w:rPr>
        <w:t xml:space="preserve"> oriented towards the macro dimension of the market for non (or partially) harmonised products,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An analysis at </w:t>
      </w:r>
      <w:r>
        <w:rPr>
          <w:rFonts w:ascii="Times New Roman" w:hAnsi="Times New Roman"/>
          <w:b/>
          <w:noProof/>
          <w:sz w:val="24"/>
          <w:szCs w:val="24"/>
        </w:rPr>
        <w:t>product level</w:t>
      </w:r>
      <w:r>
        <w:rPr>
          <w:rFonts w:ascii="Times New Roman" w:hAnsi="Times New Roman"/>
          <w:noProof/>
          <w:sz w:val="24"/>
          <w:szCs w:val="24"/>
        </w:rPr>
        <w:t xml:space="preserve"> focused on the value of non-harmonised products that are traded within the EU Single Market.</w:t>
      </w:r>
    </w:p>
    <w:p w:rsidR="0037666B" w:rsidRDefault="00C627B8">
      <w:pPr>
        <w:pStyle w:val="BodyText"/>
        <w:spacing w:after="240"/>
        <w:rPr>
          <w:i w:val="0"/>
          <w:noProof/>
          <w:szCs w:val="24"/>
        </w:rPr>
      </w:pPr>
      <w:r>
        <w:rPr>
          <w:i w:val="0"/>
          <w:noProof/>
          <w:szCs w:val="24"/>
        </w:rPr>
        <w:t xml:space="preserve">The size of the market and of the value of traded goods for which the Mutual Recognition should apply to allow the research team to have figures for the estimate </w:t>
      </w:r>
      <w:r>
        <w:rPr>
          <w:i w:val="0"/>
          <w:noProof/>
          <w:szCs w:val="24"/>
        </w:rPr>
        <w:t>of the magnitude of the problem and for the next steps, with the assessment of the policy options.</w:t>
      </w:r>
    </w:p>
    <w:p w:rsidR="0037666B" w:rsidRDefault="00C627B8">
      <w:pPr>
        <w:pStyle w:val="Heading3"/>
        <w:numPr>
          <w:ilvl w:val="2"/>
          <w:numId w:val="36"/>
        </w:numPr>
        <w:rPr>
          <w:noProof/>
        </w:rPr>
      </w:pPr>
      <w:bookmarkStart w:id="118" w:name="_Toc469908055"/>
      <w:bookmarkStart w:id="119" w:name="_Toc483992774"/>
      <w:r>
        <w:rPr>
          <w:noProof/>
        </w:rPr>
        <w:t>Analysis at the sectorial level</w:t>
      </w:r>
      <w:bookmarkEnd w:id="118"/>
      <w:bookmarkEnd w:id="119"/>
    </w:p>
    <w:p w:rsidR="0037666B" w:rsidRDefault="00C627B8">
      <w:pPr>
        <w:pStyle w:val="BodyText"/>
        <w:spacing w:after="240"/>
        <w:rPr>
          <w:i w:val="0"/>
          <w:noProof/>
          <w:szCs w:val="24"/>
        </w:rPr>
      </w:pPr>
      <w:r>
        <w:rPr>
          <w:i w:val="0"/>
          <w:noProof/>
          <w:szCs w:val="24"/>
        </w:rPr>
        <w:t xml:space="preserve">For the analysis at </w:t>
      </w:r>
      <w:r>
        <w:rPr>
          <w:b/>
          <w:i w:val="0"/>
          <w:noProof/>
          <w:szCs w:val="24"/>
        </w:rPr>
        <w:t>sectorial level,</w:t>
      </w:r>
      <w:r>
        <w:rPr>
          <w:i w:val="0"/>
          <w:noProof/>
          <w:szCs w:val="24"/>
        </w:rPr>
        <w:t xml:space="preserve"> we extracted from SBS data related to the following dimensions: </w:t>
      </w:r>
    </w:p>
    <w:p w:rsidR="0037666B" w:rsidRDefault="00C627B8">
      <w:pPr>
        <w:pStyle w:val="Bulletpoint1"/>
        <w:numPr>
          <w:ilvl w:val="0"/>
          <w:numId w:val="22"/>
        </w:numPr>
        <w:tabs>
          <w:tab w:val="left" w:pos="567"/>
        </w:tabs>
        <w:spacing w:after="240"/>
        <w:ind w:left="567" w:hanging="567"/>
        <w:rPr>
          <w:rFonts w:ascii="Times New Roman" w:hAnsi="Times New Roman"/>
          <w:noProof/>
          <w:sz w:val="24"/>
          <w:szCs w:val="24"/>
        </w:rPr>
      </w:pPr>
      <w:r>
        <w:rPr>
          <w:rFonts w:ascii="Times New Roman" w:hAnsi="Times New Roman"/>
          <w:noProof/>
          <w:sz w:val="24"/>
          <w:szCs w:val="24"/>
        </w:rPr>
        <w:t>Business Demographic;</w:t>
      </w:r>
    </w:p>
    <w:p w:rsidR="0037666B" w:rsidRDefault="00C627B8">
      <w:pPr>
        <w:pStyle w:val="Bulletpoint1"/>
        <w:numPr>
          <w:ilvl w:val="0"/>
          <w:numId w:val="22"/>
        </w:numPr>
        <w:tabs>
          <w:tab w:val="left" w:pos="567"/>
        </w:tabs>
        <w:spacing w:after="240"/>
        <w:ind w:left="567" w:hanging="567"/>
        <w:rPr>
          <w:rFonts w:ascii="Times New Roman" w:hAnsi="Times New Roman"/>
          <w:noProof/>
          <w:sz w:val="24"/>
          <w:szCs w:val="24"/>
        </w:rPr>
      </w:pPr>
      <w:r>
        <w:rPr>
          <w:rFonts w:ascii="Times New Roman" w:hAnsi="Times New Roman"/>
          <w:noProof/>
          <w:sz w:val="24"/>
          <w:szCs w:val="24"/>
        </w:rPr>
        <w:t>I</w:t>
      </w:r>
      <w:r>
        <w:rPr>
          <w:rFonts w:ascii="Times New Roman" w:hAnsi="Times New Roman"/>
          <w:noProof/>
          <w:sz w:val="24"/>
          <w:szCs w:val="24"/>
        </w:rPr>
        <w:t>nput related;</w:t>
      </w:r>
    </w:p>
    <w:p w:rsidR="0037666B" w:rsidRDefault="00C627B8">
      <w:pPr>
        <w:pStyle w:val="Bulletpoint1"/>
        <w:numPr>
          <w:ilvl w:val="0"/>
          <w:numId w:val="22"/>
        </w:numPr>
        <w:tabs>
          <w:tab w:val="left" w:pos="567"/>
        </w:tabs>
        <w:spacing w:after="240"/>
        <w:ind w:left="567" w:hanging="567"/>
        <w:rPr>
          <w:rFonts w:ascii="Times New Roman" w:hAnsi="Times New Roman"/>
          <w:noProof/>
          <w:sz w:val="24"/>
          <w:szCs w:val="24"/>
        </w:rPr>
      </w:pPr>
      <w:r>
        <w:rPr>
          <w:rFonts w:ascii="Times New Roman" w:hAnsi="Times New Roman"/>
          <w:noProof/>
          <w:sz w:val="24"/>
          <w:szCs w:val="24"/>
        </w:rPr>
        <w:t>Output related.</w:t>
      </w:r>
    </w:p>
    <w:p w:rsidR="0037666B" w:rsidRDefault="00C627B8">
      <w:pPr>
        <w:pStyle w:val="BodyText"/>
        <w:tabs>
          <w:tab w:val="left" w:pos="567"/>
        </w:tabs>
        <w:spacing w:after="240"/>
        <w:ind w:left="567" w:hanging="567"/>
        <w:rPr>
          <w:i w:val="0"/>
          <w:noProof/>
          <w:szCs w:val="24"/>
        </w:rPr>
      </w:pPr>
      <w:r>
        <w:rPr>
          <w:i w:val="0"/>
          <w:noProof/>
          <w:szCs w:val="24"/>
        </w:rPr>
        <w:t xml:space="preserve">The analysis has been undertaken on the </w:t>
      </w:r>
      <w:r>
        <w:rPr>
          <w:b/>
          <w:i w:val="0"/>
          <w:noProof/>
          <w:szCs w:val="24"/>
        </w:rPr>
        <w:t>indicators</w:t>
      </w:r>
      <w:r>
        <w:rPr>
          <w:i w:val="0"/>
          <w:noProof/>
          <w:szCs w:val="24"/>
        </w:rPr>
        <w:t xml:space="preserve"> detailed in the following table.</w:t>
      </w:r>
    </w:p>
    <w:p w:rsidR="0037666B" w:rsidRDefault="00C627B8">
      <w:pPr>
        <w:pStyle w:val="Caption"/>
        <w:spacing w:before="0" w:after="240"/>
        <w:rPr>
          <w:noProof/>
          <w:szCs w:val="24"/>
        </w:rPr>
      </w:pPr>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1</w:t>
      </w:r>
      <w:r>
        <w:rPr>
          <w:noProof/>
          <w:szCs w:val="24"/>
        </w:rPr>
        <w:fldChar w:fldCharType="end"/>
      </w:r>
      <w:r>
        <w:rPr>
          <w:noProof/>
          <w:szCs w:val="24"/>
        </w:rPr>
        <w:t>: List of indicators for the sector-level analysis</w:t>
      </w:r>
    </w:p>
    <w:tbl>
      <w:tblPr>
        <w:tblStyle w:val="TableforEC1"/>
        <w:tblW w:w="0" w:type="auto"/>
        <w:tblLook w:val="04A0" w:firstRow="1" w:lastRow="0" w:firstColumn="1" w:lastColumn="0" w:noHBand="0" w:noVBand="1"/>
      </w:tblPr>
      <w:tblGrid>
        <w:gridCol w:w="1623"/>
        <w:gridCol w:w="1714"/>
        <w:gridCol w:w="5497"/>
      </w:tblGrid>
      <w:tr w:rsidR="0037666B" w:rsidTr="0037666B">
        <w:trPr>
          <w:cnfStyle w:val="100000000000" w:firstRow="1" w:lastRow="0" w:firstColumn="0" w:lastColumn="0" w:oddVBand="0" w:evenVBand="0" w:oddHBand="0" w:evenHBand="0" w:firstRowFirstColumn="0" w:firstRowLastColumn="0" w:lastRowFirstColumn="0" w:lastRowLastColumn="0"/>
          <w:trHeight w:val="170"/>
        </w:trPr>
        <w:tc>
          <w:tcPr>
            <w:cnfStyle w:val="000000000100" w:firstRow="0" w:lastRow="0" w:firstColumn="0" w:lastColumn="0" w:oddVBand="0" w:evenVBand="0" w:oddHBand="0" w:evenHBand="0" w:firstRowFirstColumn="1" w:firstRowLastColumn="0" w:lastRowFirstColumn="0" w:lastRowLastColumn="0"/>
            <w:tcW w:w="0" w:type="auto"/>
          </w:tcPr>
          <w:p w:rsidR="0037666B" w:rsidRDefault="00C627B8">
            <w:pPr>
              <w:pStyle w:val="table"/>
              <w:spacing w:line="240" w:lineRule="auto"/>
              <w:contextualSpacing w:val="0"/>
              <w:rPr>
                <w:rFonts w:ascii="Times New Roman" w:hAnsi="Times New Roman"/>
                <w:noProof/>
                <w:sz w:val="20"/>
                <w:szCs w:val="20"/>
                <w:lang w:val="en-GB"/>
              </w:rPr>
            </w:pPr>
            <w:r>
              <w:rPr>
                <w:rFonts w:ascii="Times New Roman" w:hAnsi="Times New Roman"/>
                <w:noProof/>
                <w:sz w:val="20"/>
                <w:szCs w:val="20"/>
                <w:lang w:val="en-GB"/>
              </w:rPr>
              <w:t>Dimension</w:t>
            </w:r>
          </w:p>
        </w:tc>
        <w:tc>
          <w:tcPr>
            <w:tcW w:w="0" w:type="auto"/>
          </w:tcPr>
          <w:p w:rsidR="0037666B" w:rsidRDefault="00C627B8">
            <w:pPr>
              <w:pStyle w:val="table"/>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Indicator</w:t>
            </w:r>
          </w:p>
        </w:tc>
        <w:tc>
          <w:tcPr>
            <w:tcW w:w="0" w:type="auto"/>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Definition</w:t>
            </w:r>
          </w:p>
        </w:tc>
      </w:tr>
      <w:tr w:rsidR="0037666B" w:rsidTr="0037666B">
        <w:trPr>
          <w:cnfStyle w:val="000000100000" w:firstRow="0" w:lastRow="0" w:firstColumn="0" w:lastColumn="0" w:oddVBand="0" w:evenVBand="0" w:oddHBand="1" w:evenHBand="0" w:firstRowFirstColumn="0" w:firstRowLastColumn="0" w:lastRowFirstColumn="0" w:lastRowLastColumn="0"/>
          <w:trHeight w:val="170"/>
        </w:trPr>
        <w:tc>
          <w:tcPr>
            <w:tcW w:w="0" w:type="auto"/>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Business demography</w:t>
            </w:r>
          </w:p>
        </w:tc>
        <w:tc>
          <w:tcPr>
            <w:tcW w:w="0" w:type="auto"/>
          </w:tcPr>
          <w:p w:rsidR="0037666B" w:rsidRDefault="00C627B8">
            <w:pPr>
              <w:pStyle w:val="table"/>
              <w:spacing w:line="240" w:lineRule="auto"/>
              <w:contextualSpacing w:val="0"/>
              <w:rPr>
                <w:rFonts w:ascii="Times New Roman" w:hAnsi="Times New Roman"/>
                <w:i/>
                <w:noProof/>
                <w:sz w:val="20"/>
                <w:szCs w:val="20"/>
                <w:lang w:val="en-GB"/>
              </w:rPr>
            </w:pPr>
            <w:r>
              <w:rPr>
                <w:rFonts w:ascii="Times New Roman" w:hAnsi="Times New Roman"/>
                <w:i/>
                <w:noProof/>
                <w:sz w:val="20"/>
                <w:szCs w:val="20"/>
                <w:lang w:val="en-GB"/>
              </w:rPr>
              <w:t>Number of enterprises</w:t>
            </w:r>
          </w:p>
        </w:tc>
        <w:tc>
          <w:tcPr>
            <w:tcW w:w="0" w:type="auto"/>
          </w:tcPr>
          <w:p w:rsidR="0037666B" w:rsidRDefault="00C627B8">
            <w:pPr>
              <w:pStyle w:val="table"/>
              <w:spacing w:line="240" w:lineRule="auto"/>
              <w:contextualSpacing w:val="0"/>
              <w:rPr>
                <w:rFonts w:ascii="Times New Roman" w:hAnsi="Times New Roman"/>
                <w:noProof/>
                <w:sz w:val="20"/>
                <w:szCs w:val="20"/>
                <w:lang w:val="en-GB"/>
              </w:rPr>
            </w:pPr>
            <w:r>
              <w:rPr>
                <w:rFonts w:ascii="Times New Roman" w:hAnsi="Times New Roman"/>
                <w:noProof/>
                <w:sz w:val="20"/>
                <w:szCs w:val="20"/>
                <w:lang w:val="en-GB"/>
              </w:rPr>
              <w:t>Number of active enterprises</w:t>
            </w:r>
          </w:p>
        </w:tc>
      </w:tr>
      <w:tr w:rsidR="0037666B" w:rsidTr="0037666B">
        <w:trPr>
          <w:trHeight w:val="170"/>
        </w:trPr>
        <w:tc>
          <w:tcPr>
            <w:tcW w:w="0" w:type="auto"/>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Input</w:t>
            </w:r>
          </w:p>
        </w:tc>
        <w:tc>
          <w:tcPr>
            <w:tcW w:w="0" w:type="auto"/>
          </w:tcPr>
          <w:p w:rsidR="0037666B" w:rsidRDefault="00C627B8">
            <w:pPr>
              <w:pStyle w:val="table"/>
              <w:spacing w:line="240" w:lineRule="auto"/>
              <w:contextualSpacing w:val="0"/>
              <w:rPr>
                <w:rFonts w:ascii="Times New Roman" w:hAnsi="Times New Roman"/>
                <w:i/>
                <w:noProof/>
                <w:sz w:val="20"/>
                <w:szCs w:val="20"/>
                <w:lang w:val="en-GB"/>
              </w:rPr>
            </w:pPr>
            <w:r>
              <w:rPr>
                <w:rFonts w:ascii="Times New Roman" w:hAnsi="Times New Roman"/>
                <w:i/>
                <w:noProof/>
                <w:sz w:val="20"/>
                <w:szCs w:val="20"/>
                <w:lang w:val="en-GB"/>
              </w:rPr>
              <w:t>Number of persons employed</w:t>
            </w:r>
          </w:p>
        </w:tc>
        <w:tc>
          <w:tcPr>
            <w:tcW w:w="0" w:type="auto"/>
          </w:tcPr>
          <w:p w:rsidR="0037666B" w:rsidRDefault="00C627B8">
            <w:pPr>
              <w:pStyle w:val="table"/>
              <w:spacing w:line="240" w:lineRule="auto"/>
              <w:contextualSpacing w:val="0"/>
              <w:rPr>
                <w:rFonts w:ascii="Times New Roman" w:hAnsi="Times New Roman"/>
                <w:noProof/>
                <w:sz w:val="20"/>
                <w:szCs w:val="20"/>
                <w:lang w:val="en-GB"/>
              </w:rPr>
            </w:pPr>
            <w:r>
              <w:rPr>
                <w:rFonts w:ascii="Times New Roman" w:hAnsi="Times New Roman"/>
                <w:noProof/>
                <w:sz w:val="20"/>
                <w:szCs w:val="20"/>
                <w:lang w:val="en-GB"/>
              </w:rPr>
              <w:t>Number of person aged 15 and over (or 16 and over in IE) who worked - even if just for one hour per week - for pay, profit or family gain.</w:t>
            </w:r>
          </w:p>
        </w:tc>
      </w:tr>
      <w:tr w:rsidR="0037666B" w:rsidTr="0037666B">
        <w:trPr>
          <w:cnfStyle w:val="000000100000" w:firstRow="0" w:lastRow="0" w:firstColumn="0" w:lastColumn="0" w:oddVBand="0" w:evenVBand="0" w:oddHBand="1" w:evenHBand="0" w:firstRowFirstColumn="0" w:firstRowLastColumn="0" w:lastRowFirstColumn="0" w:lastRowLastColumn="0"/>
          <w:trHeight w:val="170"/>
        </w:trPr>
        <w:tc>
          <w:tcPr>
            <w:tcW w:w="0" w:type="auto"/>
            <w:vMerge w:val="restart"/>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Output</w:t>
            </w:r>
          </w:p>
        </w:tc>
        <w:tc>
          <w:tcPr>
            <w:tcW w:w="0" w:type="auto"/>
          </w:tcPr>
          <w:p w:rsidR="0037666B" w:rsidRDefault="00C627B8">
            <w:pPr>
              <w:pStyle w:val="table"/>
              <w:spacing w:line="240" w:lineRule="auto"/>
              <w:contextualSpacing w:val="0"/>
              <w:rPr>
                <w:rFonts w:ascii="Times New Roman" w:hAnsi="Times New Roman"/>
                <w:i/>
                <w:noProof/>
                <w:sz w:val="20"/>
                <w:szCs w:val="20"/>
                <w:lang w:val="en-GB"/>
              </w:rPr>
            </w:pPr>
            <w:r>
              <w:rPr>
                <w:rFonts w:ascii="Times New Roman" w:hAnsi="Times New Roman"/>
                <w:i/>
                <w:noProof/>
                <w:sz w:val="20"/>
                <w:szCs w:val="20"/>
                <w:lang w:val="en-GB"/>
              </w:rPr>
              <w:t>Value added at factor co</w:t>
            </w:r>
            <w:r>
              <w:rPr>
                <w:rFonts w:ascii="Times New Roman" w:hAnsi="Times New Roman"/>
                <w:i/>
                <w:noProof/>
                <w:sz w:val="20"/>
                <w:szCs w:val="20"/>
                <w:lang w:val="en-GB"/>
              </w:rPr>
              <w:t>st</w:t>
            </w:r>
          </w:p>
        </w:tc>
        <w:tc>
          <w:tcPr>
            <w:tcW w:w="0" w:type="auto"/>
          </w:tcPr>
          <w:p w:rsidR="0037666B" w:rsidRDefault="00C627B8">
            <w:pPr>
              <w:pStyle w:val="table"/>
              <w:spacing w:line="240" w:lineRule="auto"/>
              <w:contextualSpacing w:val="0"/>
              <w:rPr>
                <w:rFonts w:ascii="Times New Roman" w:hAnsi="Times New Roman"/>
                <w:noProof/>
                <w:sz w:val="20"/>
                <w:szCs w:val="20"/>
                <w:lang w:val="en-GB"/>
              </w:rPr>
            </w:pPr>
            <w:r>
              <w:rPr>
                <w:rFonts w:ascii="Times New Roman" w:hAnsi="Times New Roman"/>
                <w:noProof/>
                <w:sz w:val="20"/>
                <w:szCs w:val="20"/>
                <w:lang w:val="en-GB"/>
              </w:rPr>
              <w:t>The value added at factor cost is the gross income from operating activities after adjusting for operating subsidies and indirect taxes.</w:t>
            </w:r>
          </w:p>
          <w:p w:rsidR="0037666B" w:rsidRDefault="00C627B8">
            <w:pPr>
              <w:pStyle w:val="table"/>
              <w:spacing w:line="240" w:lineRule="auto"/>
              <w:contextualSpacing w:val="0"/>
              <w:rPr>
                <w:rFonts w:ascii="Times New Roman" w:hAnsi="Times New Roman"/>
                <w:noProof/>
                <w:sz w:val="20"/>
                <w:szCs w:val="20"/>
                <w:lang w:val="en-GB"/>
              </w:rPr>
            </w:pPr>
            <w:r>
              <w:rPr>
                <w:rFonts w:ascii="Times New Roman" w:hAnsi="Times New Roman"/>
                <w:noProof/>
                <w:sz w:val="20"/>
                <w:szCs w:val="20"/>
                <w:lang w:val="en-GB"/>
              </w:rPr>
              <w:t>The value added at factor costs is calculated "gross" as value adjustments (such as depreciation) are not subtracted</w:t>
            </w:r>
            <w:r>
              <w:rPr>
                <w:rFonts w:ascii="Times New Roman" w:hAnsi="Times New Roman"/>
                <w:noProof/>
                <w:sz w:val="20"/>
                <w:szCs w:val="20"/>
                <w:lang w:val="en-GB"/>
              </w:rPr>
              <w:t>.</w:t>
            </w:r>
            <w:r>
              <w:rPr>
                <w:rStyle w:val="FootnoteReference"/>
                <w:rFonts w:ascii="Times New Roman" w:hAnsi="Times New Roman"/>
                <w:noProof/>
                <w:sz w:val="20"/>
                <w:szCs w:val="20"/>
                <w:lang w:val="en-GB"/>
              </w:rPr>
              <w:footnoteReference w:id="137"/>
            </w:r>
          </w:p>
        </w:tc>
      </w:tr>
      <w:tr w:rsidR="0037666B" w:rsidTr="0037666B">
        <w:trPr>
          <w:trHeight w:val="170"/>
        </w:trPr>
        <w:tc>
          <w:tcPr>
            <w:tcW w:w="0" w:type="auto"/>
            <w:vMerge/>
          </w:tcPr>
          <w:p w:rsidR="0037666B" w:rsidRDefault="0037666B">
            <w:pPr>
              <w:pStyle w:val="table"/>
              <w:spacing w:line="240" w:lineRule="auto"/>
              <w:contextualSpacing w:val="0"/>
              <w:rPr>
                <w:rFonts w:ascii="Times New Roman" w:hAnsi="Times New Roman"/>
                <w:b/>
                <w:noProof/>
                <w:sz w:val="20"/>
                <w:szCs w:val="20"/>
                <w:lang w:val="en-GB"/>
              </w:rPr>
            </w:pPr>
          </w:p>
        </w:tc>
        <w:tc>
          <w:tcPr>
            <w:tcW w:w="0" w:type="auto"/>
            <w:shd w:val="clear" w:color="auto" w:fill="F2F2F2" w:themeFill="background1" w:themeFillShade="F2"/>
          </w:tcPr>
          <w:p w:rsidR="0037666B" w:rsidRDefault="00C627B8">
            <w:pPr>
              <w:pStyle w:val="table"/>
              <w:spacing w:line="240" w:lineRule="auto"/>
              <w:contextualSpacing w:val="0"/>
              <w:rPr>
                <w:rFonts w:ascii="Times New Roman" w:hAnsi="Times New Roman"/>
                <w:i/>
                <w:noProof/>
                <w:sz w:val="20"/>
                <w:szCs w:val="20"/>
                <w:lang w:val="en-GB"/>
              </w:rPr>
            </w:pPr>
            <w:r>
              <w:rPr>
                <w:rFonts w:ascii="Times New Roman" w:hAnsi="Times New Roman"/>
                <w:i/>
                <w:noProof/>
                <w:sz w:val="20"/>
                <w:szCs w:val="20"/>
                <w:lang w:val="en-GB"/>
              </w:rPr>
              <w:t>Turnover</w:t>
            </w:r>
          </w:p>
        </w:tc>
        <w:tc>
          <w:tcPr>
            <w:tcW w:w="0" w:type="auto"/>
            <w:shd w:val="clear" w:color="auto" w:fill="F2F2F2" w:themeFill="background1" w:themeFillShade="F2"/>
          </w:tcPr>
          <w:p w:rsidR="0037666B" w:rsidRDefault="00C627B8">
            <w:pPr>
              <w:pStyle w:val="table"/>
              <w:spacing w:line="240" w:lineRule="auto"/>
              <w:contextualSpacing w:val="0"/>
              <w:rPr>
                <w:rFonts w:ascii="Times New Roman" w:hAnsi="Times New Roman"/>
                <w:noProof/>
                <w:sz w:val="20"/>
                <w:szCs w:val="20"/>
                <w:lang w:val="en-GB"/>
              </w:rPr>
            </w:pPr>
            <w:r>
              <w:rPr>
                <w:rFonts w:ascii="Times New Roman" w:hAnsi="Times New Roman"/>
                <w:noProof/>
                <w:sz w:val="20"/>
                <w:szCs w:val="20"/>
                <w:lang w:val="en-GB"/>
              </w:rPr>
              <w:t>“Turnover” comprises the totals invoiced and corresponds to market sales of goods supplied to third parties.</w:t>
            </w:r>
            <w:r>
              <w:rPr>
                <w:rStyle w:val="FootnoteReference"/>
                <w:rFonts w:ascii="Times New Roman" w:hAnsi="Times New Roman"/>
                <w:noProof/>
                <w:sz w:val="20"/>
                <w:szCs w:val="20"/>
                <w:lang w:val="en-GB"/>
              </w:rPr>
              <w:footnoteReference w:id="138"/>
            </w:r>
          </w:p>
        </w:tc>
      </w:tr>
    </w:tbl>
    <w:p w:rsidR="0037666B" w:rsidRDefault="00C627B8">
      <w:pPr>
        <w:pStyle w:val="BodyText"/>
        <w:spacing w:before="240" w:after="240"/>
        <w:rPr>
          <w:i w:val="0"/>
          <w:noProof/>
          <w:szCs w:val="24"/>
        </w:rPr>
      </w:pPr>
      <w:bookmarkStart w:id="120" w:name="_Toc469908056"/>
      <w:r>
        <w:rPr>
          <w:i w:val="0"/>
          <w:noProof/>
          <w:szCs w:val="24"/>
        </w:rPr>
        <w:t xml:space="preserve">We identified the economic sectors (i.e. sectors identified with a 3-digit NACE code) that are potentially impacted by Regulation (EC) No 764/2008 and for which the Mutual Recognition principle should be applied (see annex5). </w:t>
      </w:r>
    </w:p>
    <w:p w:rsidR="0037666B" w:rsidRDefault="00C627B8">
      <w:pPr>
        <w:pStyle w:val="BodyText"/>
        <w:spacing w:after="240"/>
        <w:rPr>
          <w:noProof/>
          <w:szCs w:val="24"/>
        </w:rPr>
      </w:pPr>
      <w:r>
        <w:rPr>
          <w:i w:val="0"/>
          <w:noProof/>
          <w:szCs w:val="24"/>
        </w:rPr>
        <w:t xml:space="preserve">As regards this </w:t>
      </w:r>
      <w:r>
        <w:rPr>
          <w:b/>
          <w:i w:val="0"/>
          <w:noProof/>
          <w:szCs w:val="24"/>
        </w:rPr>
        <w:t>sectorial ana</w:t>
      </w:r>
      <w:r>
        <w:rPr>
          <w:b/>
          <w:i w:val="0"/>
          <w:noProof/>
          <w:szCs w:val="24"/>
        </w:rPr>
        <w:t>lysis</w:t>
      </w:r>
      <w:r>
        <w:rPr>
          <w:i w:val="0"/>
          <w:noProof/>
          <w:szCs w:val="24"/>
        </w:rPr>
        <w:t xml:space="preserve"> it is important to</w:t>
      </w:r>
      <w:r>
        <w:rPr>
          <w:noProof/>
          <w:szCs w:val="24"/>
        </w:rPr>
        <w:t xml:space="preserve"> </w:t>
      </w:r>
      <w:r>
        <w:rPr>
          <w:i w:val="0"/>
          <w:noProof/>
          <w:szCs w:val="24"/>
        </w:rPr>
        <w:t>underline that</w:t>
      </w:r>
      <w:r>
        <w:rPr>
          <w:noProof/>
          <w:szCs w:val="24"/>
        </w:rPr>
        <w: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Data is available at NACE Digit 3 – level only for the period  2012 – 2014. Thus it is almost difficult to identify some trends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All </w:t>
      </w:r>
      <w:r>
        <w:rPr>
          <w:rFonts w:ascii="Times New Roman" w:hAnsi="Times New Roman"/>
          <w:b/>
          <w:noProof/>
          <w:sz w:val="24"/>
          <w:szCs w:val="24"/>
        </w:rPr>
        <w:t xml:space="preserve">results should be considered as an upper estimate </w:t>
      </w:r>
      <w:r>
        <w:rPr>
          <w:rFonts w:ascii="Times New Roman" w:hAnsi="Times New Roman"/>
          <w:noProof/>
          <w:sz w:val="24"/>
          <w:szCs w:val="24"/>
        </w:rPr>
        <w:t xml:space="preserve">because some economic sectors </w:t>
      </w:r>
      <w:r>
        <w:rPr>
          <w:rFonts w:ascii="Times New Roman" w:hAnsi="Times New Roman"/>
          <w:noProof/>
          <w:sz w:val="24"/>
          <w:szCs w:val="24"/>
        </w:rPr>
        <w:t>might contain one of more products for which harmonised product rules exist.</w:t>
      </w:r>
    </w:p>
    <w:p w:rsidR="0037666B" w:rsidRDefault="00C627B8">
      <w:pPr>
        <w:rPr>
          <w:noProof/>
          <w:color w:val="1F497D"/>
          <w:szCs w:val="24"/>
        </w:rPr>
      </w:pPr>
      <w:r>
        <w:rPr>
          <w:noProof/>
          <w:szCs w:val="24"/>
        </w:rPr>
        <w:t xml:space="preserve">As shown in </w:t>
      </w:r>
      <w:r>
        <w:rPr>
          <w:noProof/>
          <w:szCs w:val="24"/>
        </w:rPr>
        <w:fldChar w:fldCharType="begin"/>
      </w:r>
      <w:r>
        <w:rPr>
          <w:noProof/>
          <w:szCs w:val="24"/>
        </w:rPr>
        <w:instrText xml:space="preserve"> REF _Ref470710878 \h  \* MERGEFORMAT </w:instrText>
      </w:r>
      <w:r>
        <w:rPr>
          <w:noProof/>
          <w:szCs w:val="24"/>
        </w:rPr>
      </w:r>
      <w:r>
        <w:rPr>
          <w:noProof/>
          <w:szCs w:val="24"/>
        </w:rPr>
        <w:fldChar w:fldCharType="separate"/>
      </w:r>
      <w:r>
        <w:rPr>
          <w:noProof/>
          <w:szCs w:val="24"/>
        </w:rPr>
        <w:t>Figure A4-3</w:t>
      </w:r>
      <w:r>
        <w:rPr>
          <w:noProof/>
          <w:szCs w:val="24"/>
        </w:rPr>
        <w:fldChar w:fldCharType="end"/>
      </w:r>
      <w:r>
        <w:rPr>
          <w:noProof/>
          <w:szCs w:val="24"/>
        </w:rPr>
        <w:t xml:space="preserve">, over the period from 2012 and 2014, </w:t>
      </w:r>
      <w:r>
        <w:rPr>
          <w:b/>
          <w:noProof/>
          <w:szCs w:val="24"/>
        </w:rPr>
        <w:t xml:space="preserve">around 0.99 </w:t>
      </w:r>
      <w:r>
        <w:rPr>
          <w:b/>
          <w:noProof/>
          <w:szCs w:val="24"/>
        </w:rPr>
        <w:t>million enterprises were operating within non-harmonised sectors</w:t>
      </w:r>
      <w:r>
        <w:rPr>
          <w:noProof/>
          <w:szCs w:val="24"/>
        </w:rPr>
        <w:t>, representing more than 50% of the total number of active enterprises in the manufacturing economy (around 2 million active enterprises are operating under Section C of NACE classification na</w:t>
      </w:r>
      <w:r>
        <w:rPr>
          <w:noProof/>
          <w:szCs w:val="24"/>
        </w:rPr>
        <w:t>med Manufacturing). 1 presents the correspondence between the list of NACE DIGIT-3 codes and the way they have been considered in the analysis (i.e. harmonised or non/partially harmonised.</w:t>
      </w:r>
      <w:r>
        <w:rPr>
          <w:noProof/>
          <w:color w:val="1F497D"/>
          <w:szCs w:val="24"/>
        </w:rPr>
        <w:t xml:space="preserve"> </w:t>
      </w:r>
    </w:p>
    <w:p w:rsidR="0037666B" w:rsidRDefault="00C627B8">
      <w:pPr>
        <w:pStyle w:val="Caption"/>
        <w:spacing w:before="0" w:after="240"/>
        <w:rPr>
          <w:noProof/>
          <w:szCs w:val="24"/>
        </w:rPr>
      </w:pPr>
      <w:bookmarkStart w:id="121" w:name="_Ref470710878"/>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3</w:t>
      </w:r>
      <w:r>
        <w:rPr>
          <w:noProof/>
          <w:szCs w:val="24"/>
        </w:rPr>
        <w:fldChar w:fldCharType="end"/>
      </w:r>
      <w:bookmarkEnd w:id="121"/>
      <w:r>
        <w:rPr>
          <w:noProof/>
          <w:szCs w:val="24"/>
        </w:rPr>
        <w:t>: Number of active enterprises</w:t>
      </w:r>
      <w:r>
        <w:rPr>
          <w:noProof/>
          <w:szCs w:val="24"/>
        </w:rPr>
        <w:t>: non-harmonised sectors vs overall manufacturing sectors (EU28, 2012 – 2014), NACE Digit-3 level</w:t>
      </w:r>
    </w:p>
    <w:p w:rsidR="0037666B" w:rsidRDefault="00C627B8">
      <w:pPr>
        <w:pStyle w:val="BodyText"/>
        <w:spacing w:after="240"/>
        <w:jc w:val="center"/>
        <w:rPr>
          <w:noProof/>
          <w:szCs w:val="24"/>
        </w:rPr>
      </w:pPr>
      <w:r>
        <w:rPr>
          <w:noProof/>
          <w:szCs w:val="24"/>
          <w:lang w:eastAsia="en-GB"/>
        </w:rPr>
        <w:drawing>
          <wp:inline distT="0" distB="0" distL="0" distR="0">
            <wp:extent cx="4578350" cy="274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 xml:space="preserve">Source: Structural Business Statistics, Annual enterprise statistics by size class for special aggregates of activities (NACE Rev. 2) (sbs_sc_sca_r2), </w:t>
      </w:r>
      <w:r>
        <w:rPr>
          <w:rFonts w:ascii="Times New Roman" w:hAnsi="Times New Roman"/>
          <w:noProof/>
          <w:sz w:val="18"/>
          <w:szCs w:val="18"/>
        </w:rPr>
        <w:t>EUROSTAT (2016)</w:t>
      </w:r>
    </w:p>
    <w:p w:rsidR="0037666B" w:rsidRDefault="00C627B8">
      <w:pPr>
        <w:pStyle w:val="BodyText"/>
        <w:spacing w:after="240"/>
        <w:rPr>
          <w:i w:val="0"/>
          <w:noProof/>
          <w:szCs w:val="24"/>
        </w:rPr>
      </w:pPr>
      <w:r>
        <w:rPr>
          <w:i w:val="0"/>
          <w:noProof/>
          <w:szCs w:val="24"/>
        </w:rPr>
        <w:t xml:space="preserve">It is very important to underline that around </w:t>
      </w:r>
      <w:r>
        <w:rPr>
          <w:b/>
          <w:i w:val="0"/>
          <w:noProof/>
          <w:szCs w:val="24"/>
        </w:rPr>
        <w:t>87%</w:t>
      </w:r>
      <w:r>
        <w:rPr>
          <w:i w:val="0"/>
          <w:noProof/>
          <w:szCs w:val="24"/>
        </w:rPr>
        <w:t xml:space="preserve"> of the enterprises operating within the non (or partially) harmonised sectors </w:t>
      </w:r>
      <w:r>
        <w:rPr>
          <w:b/>
          <w:i w:val="0"/>
          <w:noProof/>
          <w:szCs w:val="24"/>
        </w:rPr>
        <w:t>are micro enterprises</w:t>
      </w:r>
      <w:r>
        <w:rPr>
          <w:i w:val="0"/>
          <w:noProof/>
          <w:szCs w:val="24"/>
        </w:rPr>
        <w:t xml:space="preserve"> (i.e. with less than 9 employees) and around </w:t>
      </w:r>
      <w:r>
        <w:rPr>
          <w:b/>
          <w:i w:val="0"/>
          <w:noProof/>
          <w:szCs w:val="24"/>
        </w:rPr>
        <w:t>11% are Small and Medium Enterprises</w:t>
      </w:r>
      <w:r>
        <w:rPr>
          <w:i w:val="0"/>
          <w:noProof/>
          <w:szCs w:val="24"/>
        </w:rPr>
        <w:t xml:space="preserve"> (i.e. with a number of employees between 10 and 250). If compared to harmonised sectors the relevance of micro enterprises is higher in non/partially harmonised sectors.</w:t>
      </w: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4</w:t>
      </w:r>
      <w:r>
        <w:rPr>
          <w:noProof/>
          <w:szCs w:val="24"/>
        </w:rPr>
        <w:fldChar w:fldCharType="end"/>
      </w:r>
      <w:r>
        <w:rPr>
          <w:noProof/>
          <w:szCs w:val="24"/>
        </w:rPr>
        <w:t xml:space="preserve">: Size of enterprises operating (2012 – 2014, EU </w:t>
      </w:r>
      <w:r>
        <w:rPr>
          <w:noProof/>
          <w:szCs w:val="24"/>
        </w:rPr>
        <w:t>28), NACE Digit-3 level</w:t>
      </w:r>
    </w:p>
    <w:p w:rsidR="0037666B" w:rsidRDefault="00C627B8">
      <w:pPr>
        <w:pStyle w:val="BodyText"/>
        <w:spacing w:after="240"/>
        <w:jc w:val="center"/>
        <w:rPr>
          <w:noProof/>
          <w:szCs w:val="24"/>
        </w:rPr>
      </w:pPr>
      <w:r>
        <w:rPr>
          <w:noProof/>
          <w:szCs w:val="24"/>
          <w:lang w:eastAsia="en-GB"/>
        </w:rPr>
        <w:drawing>
          <wp:inline distT="0" distB="0" distL="0" distR="0">
            <wp:extent cx="5400000" cy="236012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rcRect l="14090" r="10689"/>
                    <a:stretch/>
                  </pic:blipFill>
                  <pic:spPr bwMode="auto">
                    <a:xfrm>
                      <a:off x="0" y="0"/>
                      <a:ext cx="5400000" cy="2360121"/>
                    </a:xfrm>
                    <a:prstGeom prst="rect">
                      <a:avLst/>
                    </a:prstGeom>
                    <a:noFill/>
                    <a:ln>
                      <a:noFill/>
                    </a:ln>
                    <a:extLst>
                      <a:ext uri="{53640926-AAD7-44D8-BBD7-CCE9431645EC}">
                        <a14:shadowObscured xmlns:a14="http://schemas.microsoft.com/office/drawing/2010/main"/>
                      </a:ext>
                    </a:extLst>
                  </pic:spPr>
                </pic:pic>
              </a:graphicData>
            </a:graphic>
          </wp:inline>
        </w:drawing>
      </w:r>
    </w:p>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Source: Structural Business Statistics, Annual enterprise statistics by size class for special aggregates of activities (NACE Rev. 2) (sbs_sc_sca_r2), EUROSTAT (2016)</w:t>
      </w:r>
    </w:p>
    <w:p w:rsidR="0037666B" w:rsidRDefault="00C627B8">
      <w:pPr>
        <w:rPr>
          <w:noProof/>
          <w:szCs w:val="24"/>
        </w:rPr>
      </w:pPr>
      <w:r>
        <w:rPr>
          <w:noProof/>
          <w:szCs w:val="24"/>
        </w:rPr>
        <w:t xml:space="preserve">Furthermore, at EU28 level </w:t>
      </w:r>
      <w:r>
        <w:rPr>
          <w:b/>
          <w:noProof/>
          <w:szCs w:val="24"/>
        </w:rPr>
        <w:t>more than 8 million person are emplo</w:t>
      </w:r>
      <w:r>
        <w:rPr>
          <w:b/>
          <w:noProof/>
          <w:szCs w:val="24"/>
        </w:rPr>
        <w:t>yed</w:t>
      </w:r>
      <w:r>
        <w:rPr>
          <w:noProof/>
          <w:szCs w:val="24"/>
        </w:rPr>
        <w:t xml:space="preserve"> within the non (or partially) harmonised sectors (i.e. around 31% of all people employed in the manufacturing sectors), with no significant variation over the period considered.</w:t>
      </w: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5</w:t>
      </w:r>
      <w:r>
        <w:rPr>
          <w:noProof/>
          <w:szCs w:val="24"/>
        </w:rPr>
        <w:fldChar w:fldCharType="end"/>
      </w:r>
      <w:r>
        <w:rPr>
          <w:noProof/>
          <w:szCs w:val="24"/>
        </w:rPr>
        <w:t xml:space="preserve">: Number of persons employed: non (or </w:t>
      </w:r>
      <w:r>
        <w:rPr>
          <w:noProof/>
          <w:szCs w:val="24"/>
        </w:rPr>
        <w:t>partially) harmonised sectors vs overall manufacturing sectors (2012 – 2014, EU28, millions)</w:t>
      </w:r>
    </w:p>
    <w:p w:rsidR="0037666B" w:rsidRDefault="00C627B8">
      <w:pPr>
        <w:pStyle w:val="BodyText"/>
        <w:spacing w:after="240"/>
        <w:jc w:val="center"/>
        <w:rPr>
          <w:noProof/>
          <w:szCs w:val="24"/>
        </w:rPr>
      </w:pPr>
      <w:r>
        <w:rPr>
          <w:noProof/>
          <w:szCs w:val="24"/>
          <w:lang w:eastAsia="en-GB"/>
        </w:rPr>
        <w:drawing>
          <wp:inline distT="0" distB="0" distL="0" distR="0">
            <wp:extent cx="4968000" cy="2520000"/>
            <wp:effectExtent l="0" t="0" r="444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8000" cy="2520000"/>
                    </a:xfrm>
                    <a:prstGeom prst="rect">
                      <a:avLst/>
                    </a:prstGeom>
                    <a:noFill/>
                  </pic:spPr>
                </pic:pic>
              </a:graphicData>
            </a:graphic>
          </wp:inline>
        </w:drawing>
      </w:r>
    </w:p>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Source: Structural Business Statistics, Annual enterprise statistics by size class for special aggregates of activities (NACE Rev. 2) (sbs_sc_sca_r2), EUROSTAT (</w:t>
      </w:r>
      <w:r>
        <w:rPr>
          <w:rFonts w:ascii="Times New Roman" w:hAnsi="Times New Roman"/>
          <w:noProof/>
          <w:sz w:val="18"/>
          <w:szCs w:val="18"/>
        </w:rPr>
        <w:t>2016)</w:t>
      </w:r>
    </w:p>
    <w:p w:rsidR="0037666B" w:rsidRDefault="00C627B8">
      <w:pPr>
        <w:rPr>
          <w:noProof/>
          <w:szCs w:val="24"/>
        </w:rPr>
      </w:pPr>
      <w:r>
        <w:rPr>
          <w:noProof/>
          <w:szCs w:val="24"/>
        </w:rPr>
        <w:t xml:space="preserve">The magnitude of the non- (or partially) harmonised sectors can be also appreciated if wealth creation (i.e. added value and turnover) is considered. In particular, </w:t>
      </w:r>
      <w:r>
        <w:rPr>
          <w:b/>
          <w:noProof/>
          <w:szCs w:val="24"/>
        </w:rPr>
        <w:t>the value added produced in non (or partially) harmonised sectors decreased by 15% du</w:t>
      </w:r>
      <w:r>
        <w:rPr>
          <w:b/>
          <w:noProof/>
          <w:szCs w:val="24"/>
        </w:rPr>
        <w:t>ring the period 2012-2014</w:t>
      </w:r>
      <w:r>
        <w:rPr>
          <w:noProof/>
          <w:szCs w:val="24"/>
        </w:rPr>
        <w:t xml:space="preserve"> (i.e. passing from €360 to €305 billion) and its contribution to the overall value added of the manufacturing sectors passed from 24.4% in 2012 to 22.9% in 2014.</w:t>
      </w: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6</w:t>
      </w:r>
      <w:r>
        <w:rPr>
          <w:noProof/>
          <w:szCs w:val="24"/>
        </w:rPr>
        <w:fldChar w:fldCharType="end"/>
      </w:r>
      <w:r>
        <w:rPr>
          <w:noProof/>
          <w:szCs w:val="24"/>
        </w:rPr>
        <w:t>: Value added at factor cost: no</w:t>
      </w:r>
      <w:r>
        <w:rPr>
          <w:noProof/>
          <w:szCs w:val="24"/>
        </w:rPr>
        <w:t>n-harmonised sectors vs overall manufacturing sectors (2012 -2014, EU28), € billion</w:t>
      </w:r>
    </w:p>
    <w:p w:rsidR="0037666B" w:rsidRDefault="00C627B8">
      <w:pPr>
        <w:pStyle w:val="BodyText"/>
        <w:spacing w:after="240"/>
        <w:jc w:val="center"/>
        <w:rPr>
          <w:noProof/>
          <w:szCs w:val="24"/>
        </w:rPr>
      </w:pPr>
      <w:r>
        <w:rPr>
          <w:noProof/>
          <w:szCs w:val="24"/>
          <w:lang w:eastAsia="en-GB"/>
        </w:rPr>
        <w:drawing>
          <wp:inline distT="0" distB="0" distL="0" distR="0">
            <wp:extent cx="4478032"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8032" cy="2520000"/>
                    </a:xfrm>
                    <a:prstGeom prst="rect">
                      <a:avLst/>
                    </a:prstGeom>
                    <a:noFill/>
                  </pic:spPr>
                </pic:pic>
              </a:graphicData>
            </a:graphic>
          </wp:inline>
        </w:drawing>
      </w:r>
    </w:p>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Source: Structural Business Statistics, Annual enterprise statistics by size class for special aggregates of activities (NACE Rev. 2) (sbs_sc_sca_r2), EUROSTAT (2016)</w:t>
      </w:r>
    </w:p>
    <w:p w:rsidR="0037666B" w:rsidRDefault="00C627B8">
      <w:pPr>
        <w:pStyle w:val="BodyText"/>
        <w:spacing w:after="240"/>
        <w:rPr>
          <w:i w:val="0"/>
          <w:noProof/>
          <w:szCs w:val="24"/>
        </w:rPr>
      </w:pPr>
      <w:r>
        <w:rPr>
          <w:i w:val="0"/>
          <w:noProof/>
          <w:szCs w:val="24"/>
        </w:rPr>
        <w:t>Als</w:t>
      </w:r>
      <w:r>
        <w:rPr>
          <w:i w:val="0"/>
          <w:noProof/>
          <w:szCs w:val="24"/>
        </w:rPr>
        <w:t xml:space="preserve">o in this case, within the period 2012–2014, </w:t>
      </w:r>
      <w:r>
        <w:rPr>
          <w:b/>
          <w:i w:val="0"/>
          <w:noProof/>
          <w:szCs w:val="24"/>
        </w:rPr>
        <w:t xml:space="preserve">micro enterprises and SMEs contributed to the 59.5% of the value added produced operating in non-harmonised sectors </w:t>
      </w:r>
      <w:r>
        <w:rPr>
          <w:i w:val="0"/>
          <w:noProof/>
          <w:szCs w:val="24"/>
        </w:rPr>
        <w:t xml:space="preserve">(i.e. €200.2 billion out of €336.5 billion) that corresponds to the 14.1% of the overall added </w:t>
      </w:r>
      <w:r>
        <w:rPr>
          <w:i w:val="0"/>
          <w:noProof/>
          <w:szCs w:val="24"/>
        </w:rPr>
        <w:t>value produced in the manufacturing sectors (€ 1,417.2 billion).</w:t>
      </w:r>
    </w:p>
    <w:p w:rsidR="0037666B" w:rsidRDefault="00C627B8">
      <w:pPr>
        <w:pStyle w:val="Caption"/>
        <w:spacing w:before="0" w:after="240"/>
        <w:rPr>
          <w:noProof/>
          <w:szCs w:val="24"/>
        </w:rPr>
      </w:pPr>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2</w:t>
      </w:r>
      <w:r>
        <w:rPr>
          <w:noProof/>
          <w:szCs w:val="24"/>
        </w:rPr>
        <w:fldChar w:fldCharType="end"/>
      </w:r>
      <w:r>
        <w:rPr>
          <w:noProof/>
          <w:szCs w:val="24"/>
        </w:rPr>
        <w:t>: Value added at factor cost per size of enterprises: non-harmonised sectors vs overall manufacturing sectors (average 2012-2014, EU28), € billion</w:t>
      </w:r>
    </w:p>
    <w:tbl>
      <w:tblPr>
        <w:tblStyle w:val="TableforEC3"/>
        <w:tblW w:w="8668" w:type="dxa"/>
        <w:tblLayout w:type="fixed"/>
        <w:tblLook w:val="04A0" w:firstRow="1" w:lastRow="0" w:firstColumn="1" w:lastColumn="0" w:noHBand="0" w:noVBand="1"/>
      </w:tblPr>
      <w:tblGrid>
        <w:gridCol w:w="2113"/>
        <w:gridCol w:w="1387"/>
        <w:gridCol w:w="1017"/>
        <w:gridCol w:w="1344"/>
        <w:gridCol w:w="897"/>
        <w:gridCol w:w="1883"/>
        <w:gridCol w:w="27"/>
      </w:tblGrid>
      <w:tr w:rsidR="0037666B" w:rsidTr="0037666B">
        <w:trPr>
          <w:gridAfter w:val="1"/>
          <w:cnfStyle w:val="100000000000" w:firstRow="1" w:lastRow="0" w:firstColumn="0" w:lastColumn="0" w:oddVBand="0" w:evenVBand="0" w:oddHBand="0" w:evenHBand="0" w:firstRowFirstColumn="0" w:firstRowLastColumn="0" w:lastRowFirstColumn="0" w:lastRowLastColumn="0"/>
          <w:wAfter w:w="27" w:type="dxa"/>
        </w:trPr>
        <w:tc>
          <w:tcPr>
            <w:cnfStyle w:val="000000000100" w:firstRow="0" w:lastRow="0" w:firstColumn="0" w:lastColumn="0" w:oddVBand="0" w:evenVBand="0" w:oddHBand="0" w:evenHBand="0" w:firstRowFirstColumn="1" w:firstRowLastColumn="0" w:lastRowFirstColumn="0" w:lastRowLastColumn="0"/>
            <w:tcW w:w="2113" w:type="dxa"/>
            <w:vMerge w:val="restart"/>
            <w:noWrap/>
            <w:vAlign w:val="center"/>
            <w:hideMark/>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Size of en</w:t>
            </w:r>
            <w:r>
              <w:rPr>
                <w:rFonts w:ascii="Times New Roman" w:hAnsi="Times New Roman"/>
                <w:noProof/>
                <w:sz w:val="20"/>
                <w:szCs w:val="20"/>
                <w:lang w:val="en-GB"/>
              </w:rPr>
              <w:t>terprises</w:t>
            </w:r>
          </w:p>
        </w:tc>
        <w:tc>
          <w:tcPr>
            <w:tcW w:w="2404" w:type="dxa"/>
            <w:gridSpan w:val="2"/>
            <w:tcBorders>
              <w:bottom w:val="single" w:sz="2" w:space="0" w:color="FFFFFF" w:themeColor="background1"/>
              <w:right w:val="single" w:sz="2" w:space="0" w:color="FFFFFF" w:themeColor="background1"/>
            </w:tcBorders>
            <w:noWrap/>
            <w:vAlign w:val="center"/>
            <w:hideMark/>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Non-Harmonised</w:t>
            </w:r>
          </w:p>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Sectors</w:t>
            </w:r>
          </w:p>
        </w:tc>
        <w:tc>
          <w:tcPr>
            <w:tcW w:w="2241" w:type="dxa"/>
            <w:gridSpan w:val="2"/>
            <w:tcBorders>
              <w:left w:val="single" w:sz="2" w:space="0" w:color="FFFFFF" w:themeColor="background1"/>
              <w:bottom w:val="single" w:sz="2" w:space="0" w:color="FFFFFF" w:themeColor="background1"/>
              <w:right w:val="single" w:sz="2" w:space="0" w:color="FFFFFF" w:themeColor="background1"/>
            </w:tcBorders>
            <w:noWrap/>
            <w:vAlign w:val="center"/>
            <w:hideMark/>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Manufacturing</w:t>
            </w:r>
          </w:p>
        </w:tc>
        <w:tc>
          <w:tcPr>
            <w:tcW w:w="1883" w:type="dxa"/>
            <w:tcBorders>
              <w:left w:val="single" w:sz="2" w:space="0" w:color="FFFFFF" w:themeColor="background1"/>
              <w:bottom w:val="single" w:sz="2" w:space="0" w:color="FFFFFF" w:themeColor="background1"/>
            </w:tcBorders>
            <w:vAlign w:val="center"/>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Non-Harmonised S./</w:t>
            </w:r>
          </w:p>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Manufacturing</w:t>
            </w:r>
          </w:p>
        </w:tc>
      </w:tr>
      <w:tr w:rsidR="0037666B" w:rsidTr="0037666B">
        <w:trPr>
          <w:gridAfter w:val="1"/>
          <w:cnfStyle w:val="000000100000" w:firstRow="0" w:lastRow="0" w:firstColumn="0" w:lastColumn="0" w:oddVBand="0" w:evenVBand="0" w:oddHBand="1" w:evenHBand="0" w:firstRowFirstColumn="0" w:firstRowLastColumn="0" w:lastRowFirstColumn="0" w:lastRowLastColumn="0"/>
          <w:wAfter w:w="27" w:type="dxa"/>
        </w:trPr>
        <w:tc>
          <w:tcPr>
            <w:tcW w:w="2113" w:type="dxa"/>
            <w:vMerge/>
            <w:noWrap/>
          </w:tcPr>
          <w:p w:rsidR="0037666B" w:rsidRDefault="0037666B">
            <w:pPr>
              <w:pStyle w:val="table"/>
              <w:spacing w:line="240" w:lineRule="auto"/>
              <w:contextualSpacing w:val="0"/>
              <w:jc w:val="center"/>
              <w:rPr>
                <w:rFonts w:ascii="Times New Roman" w:hAnsi="Times New Roman"/>
                <w:noProof/>
                <w:sz w:val="20"/>
                <w:szCs w:val="20"/>
                <w:lang w:val="en-GB"/>
              </w:rPr>
            </w:pPr>
          </w:p>
        </w:tc>
        <w:tc>
          <w:tcPr>
            <w:tcW w:w="1387" w:type="dxa"/>
            <w:tcBorders>
              <w:top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Total</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 Million)</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(a)</w:t>
            </w:r>
          </w:p>
        </w:tc>
        <w:tc>
          <w:tcPr>
            <w:tcW w:w="1017" w:type="dxa"/>
            <w:tcBorders>
              <w:top w:val="single" w:sz="2" w:space="0" w:color="FFFFFF" w:themeColor="background1"/>
              <w:left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w:t>
            </w:r>
          </w:p>
        </w:tc>
        <w:tc>
          <w:tcPr>
            <w:tcW w:w="1344" w:type="dxa"/>
            <w:tcBorders>
              <w:top w:val="single" w:sz="2" w:space="0" w:color="FFFFFF" w:themeColor="background1"/>
              <w:left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Total</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 Million)</w:t>
            </w:r>
          </w:p>
        </w:tc>
        <w:tc>
          <w:tcPr>
            <w:tcW w:w="897" w:type="dxa"/>
            <w:tcBorders>
              <w:top w:val="single" w:sz="2" w:space="0" w:color="FFFFFF" w:themeColor="background1"/>
              <w:left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w:t>
            </w:r>
          </w:p>
        </w:tc>
        <w:tc>
          <w:tcPr>
            <w:tcW w:w="1883" w:type="dxa"/>
            <w:tcBorders>
              <w:top w:val="single" w:sz="2" w:space="0" w:color="FFFFFF" w:themeColor="background1"/>
              <w:left w:val="single" w:sz="2" w:space="0" w:color="FFFFFF" w:themeColor="background1"/>
            </w:tcBorders>
            <w:shd w:val="clear" w:color="auto" w:fill="000099"/>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(a)/(b)</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w:t>
            </w:r>
          </w:p>
        </w:tc>
      </w:tr>
      <w:tr w:rsidR="0037666B" w:rsidTr="0037666B">
        <w:trPr>
          <w:gridAfter w:val="1"/>
          <w:wAfter w:w="27" w:type="dxa"/>
        </w:trPr>
        <w:tc>
          <w:tcPr>
            <w:tcW w:w="2113"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Micro (&lt; 9 employees)</w:t>
            </w:r>
          </w:p>
        </w:tc>
        <w:tc>
          <w:tcPr>
            <w:tcW w:w="1387"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43.158</w:t>
            </w:r>
          </w:p>
        </w:tc>
        <w:tc>
          <w:tcPr>
            <w:tcW w:w="1017"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12.8%</w:t>
            </w:r>
          </w:p>
        </w:tc>
        <w:tc>
          <w:tcPr>
            <w:tcW w:w="1344"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104.026</w:t>
            </w:r>
          </w:p>
        </w:tc>
        <w:tc>
          <w:tcPr>
            <w:tcW w:w="89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7.3%</w:t>
            </w:r>
          </w:p>
        </w:tc>
        <w:tc>
          <w:tcPr>
            <w:tcW w:w="1883" w:type="dxa"/>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3.0%</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2113"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Small (between 10 and 49 employees)</w:t>
            </w:r>
          </w:p>
        </w:tc>
        <w:tc>
          <w:tcPr>
            <w:tcW w:w="1387"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70.528</w:t>
            </w:r>
          </w:p>
        </w:tc>
        <w:tc>
          <w:tcPr>
            <w:tcW w:w="1017"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21.0%</w:t>
            </w:r>
          </w:p>
        </w:tc>
        <w:tc>
          <w:tcPr>
            <w:tcW w:w="1344"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219.824</w:t>
            </w:r>
          </w:p>
        </w:tc>
        <w:tc>
          <w:tcPr>
            <w:tcW w:w="89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15.5%</w:t>
            </w:r>
          </w:p>
        </w:tc>
        <w:tc>
          <w:tcPr>
            <w:tcW w:w="1910" w:type="dxa"/>
            <w:gridSpan w:val="2"/>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5.0%</w:t>
            </w:r>
          </w:p>
        </w:tc>
      </w:tr>
      <w:tr w:rsidR="0037666B" w:rsidTr="0037666B">
        <w:trPr>
          <w:gridAfter w:val="1"/>
          <w:wAfter w:w="27" w:type="dxa"/>
        </w:trPr>
        <w:tc>
          <w:tcPr>
            <w:tcW w:w="2113"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Medium (between 50 and 249 employees)</w:t>
            </w:r>
          </w:p>
        </w:tc>
        <w:tc>
          <w:tcPr>
            <w:tcW w:w="1387"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86.528</w:t>
            </w:r>
          </w:p>
        </w:tc>
        <w:tc>
          <w:tcPr>
            <w:tcW w:w="1017"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25.7%</w:t>
            </w:r>
          </w:p>
        </w:tc>
        <w:tc>
          <w:tcPr>
            <w:tcW w:w="1344"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339.206</w:t>
            </w:r>
          </w:p>
        </w:tc>
        <w:tc>
          <w:tcPr>
            <w:tcW w:w="89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23.9%</w:t>
            </w:r>
          </w:p>
        </w:tc>
        <w:tc>
          <w:tcPr>
            <w:tcW w:w="1883" w:type="dxa"/>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6.1%</w:t>
            </w:r>
          </w:p>
        </w:tc>
      </w:tr>
      <w:tr w:rsidR="0037666B" w:rsidTr="0037666B">
        <w:trPr>
          <w:gridAfter w:val="1"/>
          <w:cnfStyle w:val="000000100000" w:firstRow="0" w:lastRow="0" w:firstColumn="0" w:lastColumn="0" w:oddVBand="0" w:evenVBand="0" w:oddHBand="1" w:evenHBand="0" w:firstRowFirstColumn="0" w:firstRowLastColumn="0" w:lastRowFirstColumn="0" w:lastRowLastColumn="0"/>
          <w:wAfter w:w="27" w:type="dxa"/>
        </w:trPr>
        <w:tc>
          <w:tcPr>
            <w:tcW w:w="2113" w:type="dxa"/>
            <w:noWrap/>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Large (&gt;250 employees)</w:t>
            </w:r>
          </w:p>
        </w:tc>
        <w:tc>
          <w:tcPr>
            <w:tcW w:w="138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136.272</w:t>
            </w:r>
          </w:p>
        </w:tc>
        <w:tc>
          <w:tcPr>
            <w:tcW w:w="101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40.5%</w:t>
            </w:r>
          </w:p>
        </w:tc>
        <w:tc>
          <w:tcPr>
            <w:tcW w:w="1344"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754.117</w:t>
            </w:r>
          </w:p>
        </w:tc>
        <w:tc>
          <w:tcPr>
            <w:tcW w:w="89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53.2%</w:t>
            </w:r>
          </w:p>
        </w:tc>
        <w:tc>
          <w:tcPr>
            <w:tcW w:w="1883" w:type="dxa"/>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9.6%</w:t>
            </w:r>
          </w:p>
        </w:tc>
      </w:tr>
      <w:tr w:rsidR="0037666B" w:rsidTr="0037666B">
        <w:trPr>
          <w:gridAfter w:val="1"/>
          <w:wAfter w:w="27" w:type="dxa"/>
        </w:trPr>
        <w:tc>
          <w:tcPr>
            <w:tcW w:w="2113"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color w:val="000000"/>
                <w:sz w:val="20"/>
                <w:szCs w:val="20"/>
                <w:lang w:val="en-GB"/>
              </w:rPr>
              <w:t>Total</w:t>
            </w:r>
          </w:p>
        </w:tc>
        <w:tc>
          <w:tcPr>
            <w:tcW w:w="138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336.485</w:t>
            </w:r>
          </w:p>
        </w:tc>
        <w:tc>
          <w:tcPr>
            <w:tcW w:w="101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100.0%</w:t>
            </w:r>
          </w:p>
        </w:tc>
        <w:tc>
          <w:tcPr>
            <w:tcW w:w="1344"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1,417.17 (b)</w:t>
            </w:r>
          </w:p>
        </w:tc>
        <w:tc>
          <w:tcPr>
            <w:tcW w:w="897"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100.0%</w:t>
            </w:r>
          </w:p>
        </w:tc>
        <w:tc>
          <w:tcPr>
            <w:tcW w:w="1883" w:type="dxa"/>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23.7%</w:t>
            </w:r>
          </w:p>
        </w:tc>
      </w:tr>
    </w:tbl>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 xml:space="preserve">Source: Structural Business Statistics, Annual enterprise statistics by </w:t>
      </w:r>
      <w:r>
        <w:rPr>
          <w:rFonts w:ascii="Times New Roman" w:hAnsi="Times New Roman"/>
          <w:noProof/>
          <w:sz w:val="18"/>
          <w:szCs w:val="18"/>
        </w:rPr>
        <w:t>size class for special aggregates of activities (NACE Rev. 2) (sbs_sc_sca_r2), EUROSTAT (2016)</w:t>
      </w:r>
    </w:p>
    <w:p w:rsidR="0037666B" w:rsidRDefault="00C627B8">
      <w:pPr>
        <w:pStyle w:val="BodyText"/>
        <w:spacing w:after="240"/>
        <w:rPr>
          <w:i w:val="0"/>
          <w:noProof/>
          <w:szCs w:val="24"/>
        </w:rPr>
      </w:pPr>
      <w:r>
        <w:rPr>
          <w:i w:val="0"/>
          <w:noProof/>
          <w:szCs w:val="24"/>
        </w:rPr>
        <w:t xml:space="preserve">Finally, relevant results emerged also considering the </w:t>
      </w:r>
      <w:r>
        <w:rPr>
          <w:b/>
          <w:i w:val="0"/>
          <w:noProof/>
          <w:szCs w:val="24"/>
        </w:rPr>
        <w:t>turnover</w:t>
      </w:r>
      <w:r>
        <w:rPr>
          <w:i w:val="0"/>
          <w:noProof/>
          <w:szCs w:val="24"/>
        </w:rPr>
        <w:t>. As shown in the figure below, enterprises operating within non (or partially) harmonised sectors</w:t>
      </w:r>
      <w:r>
        <w:rPr>
          <w:i w:val="0"/>
          <w:noProof/>
          <w:szCs w:val="24"/>
        </w:rPr>
        <w:t xml:space="preserve"> contribute to around 20% of the total value of market sales of manufacturing sectors (€1,158 billion out of €5,690 billion, corresponding to the overall turnover produced within the manufacturing sectors).</w:t>
      </w:r>
    </w:p>
    <w:p w:rsidR="0037666B" w:rsidRDefault="0037666B">
      <w:pPr>
        <w:pStyle w:val="Caption"/>
        <w:spacing w:before="0" w:after="240"/>
        <w:rPr>
          <w:noProof/>
          <w:szCs w:val="24"/>
        </w:rPr>
      </w:pPr>
    </w:p>
    <w:p w:rsidR="0037666B" w:rsidRDefault="0037666B">
      <w:pPr>
        <w:pStyle w:val="Caption"/>
        <w:spacing w:before="0" w:after="240"/>
        <w:rPr>
          <w:noProof/>
          <w:szCs w:val="24"/>
        </w:rPr>
      </w:pPr>
    </w:p>
    <w:p w:rsidR="0037666B" w:rsidRDefault="0037666B">
      <w:pPr>
        <w:pStyle w:val="Caption"/>
        <w:spacing w:before="0" w:after="240"/>
        <w:rPr>
          <w:noProof/>
          <w:szCs w:val="24"/>
        </w:rPr>
      </w:pPr>
    </w:p>
    <w:p w:rsidR="0037666B" w:rsidRDefault="0037666B">
      <w:pPr>
        <w:pStyle w:val="Caption"/>
        <w:spacing w:before="0" w:after="240"/>
        <w:rPr>
          <w:noProof/>
          <w:szCs w:val="24"/>
        </w:rPr>
      </w:pPr>
    </w:p>
    <w:p w:rsidR="0037666B" w:rsidRDefault="0037666B">
      <w:pPr>
        <w:pStyle w:val="Caption"/>
        <w:spacing w:before="0" w:after="240"/>
        <w:rPr>
          <w:noProof/>
          <w:szCs w:val="24"/>
        </w:rPr>
      </w:pPr>
    </w:p>
    <w:p w:rsidR="0037666B" w:rsidRDefault="0037666B">
      <w:pPr>
        <w:pStyle w:val="Caption"/>
        <w:spacing w:before="0" w:after="240"/>
        <w:rPr>
          <w:noProof/>
          <w:szCs w:val="24"/>
        </w:rPr>
      </w:pPr>
    </w:p>
    <w:p w:rsidR="0037666B" w:rsidRDefault="0037666B">
      <w:pPr>
        <w:pStyle w:val="Caption"/>
        <w:spacing w:before="0" w:after="240"/>
        <w:rPr>
          <w:noProof/>
          <w:szCs w:val="24"/>
        </w:rPr>
      </w:pP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7</w:t>
      </w:r>
      <w:r>
        <w:rPr>
          <w:noProof/>
          <w:szCs w:val="24"/>
        </w:rPr>
        <w:fldChar w:fldCharType="end"/>
      </w:r>
      <w:r>
        <w:rPr>
          <w:noProof/>
          <w:szCs w:val="24"/>
        </w:rPr>
        <w:t>: Turn</w:t>
      </w:r>
      <w:r>
        <w:rPr>
          <w:noProof/>
          <w:szCs w:val="24"/>
        </w:rPr>
        <w:t>over: Non-harmonised sectors vs overall manufacturing sectors (2012-2014, EU28), € billion</w:t>
      </w:r>
    </w:p>
    <w:p w:rsidR="0037666B" w:rsidRDefault="00C627B8">
      <w:pPr>
        <w:pStyle w:val="BodyText"/>
        <w:spacing w:after="0"/>
        <w:jc w:val="center"/>
        <w:rPr>
          <w:noProof/>
          <w:szCs w:val="24"/>
        </w:rPr>
      </w:pPr>
      <w:r>
        <w:rPr>
          <w:noProof/>
          <w:szCs w:val="24"/>
          <w:lang w:eastAsia="en-GB"/>
        </w:rPr>
        <w:drawing>
          <wp:inline distT="0" distB="0" distL="0" distR="0">
            <wp:extent cx="4080283" cy="216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0283" cy="2160000"/>
                    </a:xfrm>
                    <a:prstGeom prst="rect">
                      <a:avLst/>
                    </a:prstGeom>
                    <a:noFill/>
                  </pic:spPr>
                </pic:pic>
              </a:graphicData>
            </a:graphic>
          </wp:inline>
        </w:drawing>
      </w:r>
    </w:p>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 xml:space="preserve">Source: Structural Business Statistics, Annual enterprise statistics by size class for special aggregates of activities (NACE Rev. 2) (sbs_sc_sca_r2), EUROSTAT </w:t>
      </w:r>
      <w:r>
        <w:rPr>
          <w:rFonts w:ascii="Times New Roman" w:hAnsi="Times New Roman"/>
          <w:noProof/>
          <w:sz w:val="18"/>
          <w:szCs w:val="18"/>
        </w:rPr>
        <w:t>(2016)</w:t>
      </w:r>
    </w:p>
    <w:p w:rsidR="0037666B" w:rsidRDefault="00C627B8">
      <w:pPr>
        <w:pStyle w:val="BodyText"/>
        <w:spacing w:after="240"/>
        <w:rPr>
          <w:i w:val="0"/>
          <w:noProof/>
          <w:szCs w:val="24"/>
        </w:rPr>
      </w:pPr>
      <w:r>
        <w:rPr>
          <w:i w:val="0"/>
          <w:noProof/>
          <w:szCs w:val="24"/>
        </w:rPr>
        <w:t xml:space="preserve">If the size of enterprises is considered, </w:t>
      </w:r>
      <w:r>
        <w:rPr>
          <w:b/>
          <w:i w:val="0"/>
          <w:noProof/>
          <w:szCs w:val="24"/>
        </w:rPr>
        <w:t>micro enterprises and SMEs</w:t>
      </w:r>
      <w:r>
        <w:rPr>
          <w:i w:val="0"/>
          <w:noProof/>
          <w:szCs w:val="24"/>
        </w:rPr>
        <w:t xml:space="preserve"> that are doing business in non (or partially) harmonised sectors </w:t>
      </w:r>
      <w:r>
        <w:rPr>
          <w:b/>
          <w:i w:val="0"/>
          <w:noProof/>
          <w:szCs w:val="24"/>
        </w:rPr>
        <w:t>generated the 11.7% of the turnover generated within the entire manufacturing economy</w:t>
      </w:r>
      <w:r>
        <w:rPr>
          <w:i w:val="0"/>
          <w:noProof/>
          <w:szCs w:val="24"/>
        </w:rPr>
        <w:t xml:space="preserve"> (€662.2 billion out of €5,690</w:t>
      </w:r>
      <w:r>
        <w:rPr>
          <w:i w:val="0"/>
          <w:noProof/>
          <w:szCs w:val="24"/>
        </w:rPr>
        <w:t xml:space="preserve"> billion). </w:t>
      </w:r>
    </w:p>
    <w:p w:rsidR="0037666B" w:rsidRDefault="00C627B8">
      <w:pPr>
        <w:pStyle w:val="Caption"/>
        <w:spacing w:before="0" w:after="240"/>
        <w:rPr>
          <w:noProof/>
          <w:szCs w:val="24"/>
        </w:rPr>
      </w:pPr>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3</w:t>
      </w:r>
      <w:r>
        <w:rPr>
          <w:noProof/>
          <w:szCs w:val="24"/>
        </w:rPr>
        <w:fldChar w:fldCharType="end"/>
      </w:r>
      <w:r>
        <w:rPr>
          <w:noProof/>
          <w:szCs w:val="24"/>
        </w:rPr>
        <w:t>: Turnover per size of enterprise: non-harmonised sectors vs overall manufacturing sectors (average 2012-2014, EU28), € Billion</w:t>
      </w:r>
    </w:p>
    <w:tbl>
      <w:tblPr>
        <w:tblStyle w:val="TableforEC3"/>
        <w:tblW w:w="8755" w:type="dxa"/>
        <w:tblLayout w:type="fixed"/>
        <w:tblLook w:val="04A0" w:firstRow="1" w:lastRow="0" w:firstColumn="1" w:lastColumn="0" w:noHBand="0" w:noVBand="1"/>
      </w:tblPr>
      <w:tblGrid>
        <w:gridCol w:w="1951"/>
        <w:gridCol w:w="1275"/>
        <w:gridCol w:w="1276"/>
        <w:gridCol w:w="1276"/>
        <w:gridCol w:w="1276"/>
        <w:gridCol w:w="1701"/>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51" w:type="dxa"/>
            <w:vMerge w:val="restart"/>
            <w:noWrap/>
            <w:vAlign w:val="center"/>
            <w:hideMark/>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Size of enterprises</w:t>
            </w:r>
          </w:p>
        </w:tc>
        <w:tc>
          <w:tcPr>
            <w:tcW w:w="2551" w:type="dxa"/>
            <w:gridSpan w:val="2"/>
            <w:tcBorders>
              <w:bottom w:val="single" w:sz="2" w:space="0" w:color="FFFFFF" w:themeColor="background1"/>
              <w:right w:val="single" w:sz="2" w:space="0" w:color="FFFFFF" w:themeColor="background1"/>
            </w:tcBorders>
            <w:noWrap/>
            <w:vAlign w:val="center"/>
            <w:hideMark/>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Non-Harmonised</w:t>
            </w:r>
          </w:p>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Sectors</w:t>
            </w:r>
          </w:p>
        </w:tc>
        <w:tc>
          <w:tcPr>
            <w:tcW w:w="2552" w:type="dxa"/>
            <w:gridSpan w:val="2"/>
            <w:tcBorders>
              <w:left w:val="single" w:sz="2" w:space="0" w:color="FFFFFF" w:themeColor="background1"/>
              <w:bottom w:val="single" w:sz="2" w:space="0" w:color="FFFFFF" w:themeColor="background1"/>
              <w:right w:val="single" w:sz="2" w:space="0" w:color="FFFFFF" w:themeColor="background1"/>
            </w:tcBorders>
            <w:noWrap/>
            <w:vAlign w:val="center"/>
            <w:hideMark/>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Manufacturing</w:t>
            </w:r>
          </w:p>
        </w:tc>
        <w:tc>
          <w:tcPr>
            <w:tcW w:w="1701" w:type="dxa"/>
            <w:tcBorders>
              <w:left w:val="single" w:sz="2" w:space="0" w:color="FFFFFF" w:themeColor="background1"/>
              <w:bottom w:val="single" w:sz="2" w:space="0" w:color="FFFFFF" w:themeColor="background1"/>
            </w:tcBorders>
            <w:vAlign w:val="center"/>
          </w:tcPr>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Non-Harmonised S./</w:t>
            </w:r>
          </w:p>
          <w:p w:rsidR="0037666B" w:rsidRDefault="00C627B8">
            <w:pPr>
              <w:pStyle w:val="table"/>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Manufacturing</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1951" w:type="dxa"/>
            <w:vMerge/>
            <w:noWrap/>
            <w:vAlign w:val="center"/>
          </w:tcPr>
          <w:p w:rsidR="0037666B" w:rsidRDefault="0037666B">
            <w:pPr>
              <w:pStyle w:val="table"/>
              <w:spacing w:line="240" w:lineRule="auto"/>
              <w:contextualSpacing w:val="0"/>
              <w:jc w:val="center"/>
              <w:rPr>
                <w:rFonts w:ascii="Times New Roman" w:hAnsi="Times New Roman"/>
                <w:noProof/>
                <w:sz w:val="20"/>
                <w:szCs w:val="20"/>
                <w:lang w:val="en-GB"/>
              </w:rPr>
            </w:pPr>
          </w:p>
        </w:tc>
        <w:tc>
          <w:tcPr>
            <w:tcW w:w="1275" w:type="dxa"/>
            <w:tcBorders>
              <w:top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Total</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 Million)</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(a)</w:t>
            </w:r>
          </w:p>
        </w:tc>
        <w:tc>
          <w:tcPr>
            <w:tcW w:w="1276" w:type="dxa"/>
            <w:tcBorders>
              <w:top w:val="single" w:sz="2" w:space="0" w:color="FFFFFF" w:themeColor="background1"/>
              <w:left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w:t>
            </w:r>
          </w:p>
        </w:tc>
        <w:tc>
          <w:tcPr>
            <w:tcW w:w="1276" w:type="dxa"/>
            <w:tcBorders>
              <w:top w:val="single" w:sz="2" w:space="0" w:color="FFFFFF" w:themeColor="background1"/>
              <w:left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Total</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 Million)</w:t>
            </w:r>
          </w:p>
        </w:tc>
        <w:tc>
          <w:tcPr>
            <w:tcW w:w="1276" w:type="dxa"/>
            <w:tcBorders>
              <w:top w:val="single" w:sz="2" w:space="0" w:color="FFFFFF" w:themeColor="background1"/>
              <w:left w:val="single" w:sz="2" w:space="0" w:color="FFFFFF" w:themeColor="background1"/>
              <w:right w:val="single" w:sz="2" w:space="0" w:color="FFFFFF" w:themeColor="background1"/>
            </w:tcBorders>
            <w:shd w:val="clear" w:color="auto" w:fill="000099"/>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w:t>
            </w:r>
          </w:p>
        </w:tc>
        <w:tc>
          <w:tcPr>
            <w:tcW w:w="1701" w:type="dxa"/>
            <w:tcBorders>
              <w:top w:val="single" w:sz="2" w:space="0" w:color="FFFFFF" w:themeColor="background1"/>
              <w:left w:val="single" w:sz="2" w:space="0" w:color="FFFFFF" w:themeColor="background1"/>
            </w:tcBorders>
            <w:shd w:val="clear" w:color="auto" w:fill="000099"/>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(a)/(b)</w:t>
            </w:r>
          </w:p>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w:t>
            </w:r>
          </w:p>
        </w:tc>
      </w:tr>
      <w:tr w:rsidR="0037666B" w:rsidTr="0037666B">
        <w:tc>
          <w:tcPr>
            <w:tcW w:w="1951"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Micro (&lt; 9 employees)</w:t>
            </w:r>
          </w:p>
        </w:tc>
        <w:tc>
          <w:tcPr>
            <w:tcW w:w="1275"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128,872</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11.1%</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319,955</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5.6%</w:t>
            </w:r>
          </w:p>
        </w:tc>
        <w:tc>
          <w:tcPr>
            <w:tcW w:w="1701" w:type="dxa"/>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2.3%</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1951"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Small (between 10 and 49 employees)</w:t>
            </w:r>
          </w:p>
        </w:tc>
        <w:tc>
          <w:tcPr>
            <w:tcW w:w="1275"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222,107</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19.2%</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725,176</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12.7%</w:t>
            </w:r>
          </w:p>
        </w:tc>
        <w:tc>
          <w:tcPr>
            <w:tcW w:w="1701" w:type="dxa"/>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3.9%</w:t>
            </w:r>
          </w:p>
        </w:tc>
      </w:tr>
      <w:tr w:rsidR="0037666B" w:rsidTr="0037666B">
        <w:tc>
          <w:tcPr>
            <w:tcW w:w="1951"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Medium (between 50 and 249 employees)</w:t>
            </w:r>
          </w:p>
        </w:tc>
        <w:tc>
          <w:tcPr>
            <w:tcW w:w="1275" w:type="dxa"/>
            <w:noWrap/>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311,212</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26.9%</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1,300,562</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22.9%</w:t>
            </w:r>
          </w:p>
        </w:tc>
        <w:tc>
          <w:tcPr>
            <w:tcW w:w="1701" w:type="dxa"/>
            <w:vAlign w:val="center"/>
          </w:tcPr>
          <w:p w:rsidR="0037666B" w:rsidRDefault="00C627B8">
            <w:pPr>
              <w:pStyle w:val="table"/>
              <w:spacing w:line="240" w:lineRule="auto"/>
              <w:contextualSpacing w:val="0"/>
              <w:jc w:val="center"/>
              <w:rPr>
                <w:rFonts w:ascii="Times New Roman" w:hAnsi="Times New Roman"/>
                <w:b/>
                <w:noProof/>
                <w:sz w:val="20"/>
                <w:szCs w:val="20"/>
                <w:lang w:val="en-GB"/>
              </w:rPr>
            </w:pPr>
            <w:r>
              <w:rPr>
                <w:rFonts w:ascii="Times New Roman" w:hAnsi="Times New Roman"/>
                <w:b/>
                <w:noProof/>
                <w:sz w:val="20"/>
                <w:szCs w:val="20"/>
                <w:lang w:val="en-GB"/>
              </w:rPr>
              <w:t>5.5%</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1951" w:type="dxa"/>
            <w:noWrap/>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sz w:val="20"/>
                <w:szCs w:val="20"/>
                <w:lang w:val="en-GB"/>
              </w:rPr>
              <w:t>Large (&gt;250 employees)</w:t>
            </w:r>
          </w:p>
        </w:tc>
        <w:tc>
          <w:tcPr>
            <w:tcW w:w="1275"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495,825</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42.8%</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3,344,326</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58.8%</w:t>
            </w:r>
          </w:p>
        </w:tc>
        <w:tc>
          <w:tcPr>
            <w:tcW w:w="1701" w:type="dxa"/>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8.7%</w:t>
            </w:r>
          </w:p>
        </w:tc>
      </w:tr>
      <w:tr w:rsidR="0037666B" w:rsidTr="0037666B">
        <w:tc>
          <w:tcPr>
            <w:tcW w:w="1951" w:type="dxa"/>
            <w:noWrap/>
            <w:vAlign w:val="center"/>
          </w:tcPr>
          <w:p w:rsidR="0037666B" w:rsidRDefault="00C627B8">
            <w:pPr>
              <w:pStyle w:val="table"/>
              <w:spacing w:line="240" w:lineRule="auto"/>
              <w:contextualSpacing w:val="0"/>
              <w:rPr>
                <w:rFonts w:ascii="Times New Roman" w:hAnsi="Times New Roman"/>
                <w:b/>
                <w:noProof/>
                <w:sz w:val="20"/>
                <w:szCs w:val="20"/>
                <w:lang w:val="en-GB"/>
              </w:rPr>
            </w:pPr>
            <w:r>
              <w:rPr>
                <w:rFonts w:ascii="Times New Roman" w:hAnsi="Times New Roman"/>
                <w:b/>
                <w:noProof/>
                <w:color w:val="000000"/>
                <w:sz w:val="20"/>
                <w:szCs w:val="20"/>
                <w:lang w:val="en-GB"/>
              </w:rPr>
              <w:t>Total</w:t>
            </w:r>
          </w:p>
        </w:tc>
        <w:tc>
          <w:tcPr>
            <w:tcW w:w="1275"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1,158,016</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100.0%</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5,690,019</w:t>
            </w:r>
          </w:p>
        </w:tc>
        <w:tc>
          <w:tcPr>
            <w:tcW w:w="1276" w:type="dxa"/>
            <w:noWrap/>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100.0%</w:t>
            </w:r>
          </w:p>
        </w:tc>
        <w:tc>
          <w:tcPr>
            <w:tcW w:w="1701" w:type="dxa"/>
            <w:vAlign w:val="center"/>
          </w:tcPr>
          <w:p w:rsidR="0037666B" w:rsidRDefault="00C627B8">
            <w:pPr>
              <w:pStyle w:val="table"/>
              <w:spacing w:line="240" w:lineRule="auto"/>
              <w:contextualSpacing w:val="0"/>
              <w:jc w:val="center"/>
              <w:rPr>
                <w:rFonts w:ascii="Times New Roman" w:hAnsi="Times New Roman"/>
                <w:noProof/>
                <w:sz w:val="20"/>
                <w:szCs w:val="20"/>
                <w:lang w:val="en-GB"/>
              </w:rPr>
            </w:pPr>
            <w:r>
              <w:rPr>
                <w:rFonts w:ascii="Times New Roman" w:hAnsi="Times New Roman"/>
                <w:noProof/>
                <w:sz w:val="20"/>
                <w:szCs w:val="20"/>
                <w:lang w:val="en-GB"/>
              </w:rPr>
              <w:t>20.4%</w:t>
            </w:r>
          </w:p>
        </w:tc>
      </w:tr>
    </w:tbl>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 xml:space="preserve">Source: Structural Business Statistics, Annual enterprise statistics by size class for special aggregates of activities (NACE </w:t>
      </w:r>
      <w:r>
        <w:rPr>
          <w:rFonts w:ascii="Times New Roman" w:hAnsi="Times New Roman"/>
          <w:noProof/>
          <w:sz w:val="18"/>
          <w:szCs w:val="18"/>
        </w:rPr>
        <w:t>Rev. 2) (sbs_sc_sca_r2), EUROSTAT (2016)</w:t>
      </w:r>
    </w:p>
    <w:p w:rsidR="0037666B" w:rsidRDefault="00C627B8">
      <w:pPr>
        <w:pStyle w:val="Heading3"/>
        <w:numPr>
          <w:ilvl w:val="2"/>
          <w:numId w:val="36"/>
        </w:numPr>
        <w:rPr>
          <w:noProof/>
        </w:rPr>
      </w:pPr>
      <w:bookmarkStart w:id="122" w:name="_Toc483992775"/>
      <w:r>
        <w:rPr>
          <w:noProof/>
        </w:rPr>
        <w:t>Analysis at product level</w:t>
      </w:r>
      <w:bookmarkEnd w:id="120"/>
      <w:bookmarkEnd w:id="122"/>
    </w:p>
    <w:p w:rsidR="0037666B" w:rsidRDefault="00C627B8">
      <w:pPr>
        <w:rPr>
          <w:noProof/>
          <w:szCs w:val="24"/>
        </w:rPr>
      </w:pPr>
      <w:r>
        <w:rPr>
          <w:noProof/>
          <w:szCs w:val="24"/>
        </w:rPr>
        <w:t xml:space="preserve">The second type of analysis, at </w:t>
      </w:r>
      <w:r>
        <w:rPr>
          <w:b/>
          <w:noProof/>
          <w:szCs w:val="24"/>
        </w:rPr>
        <w:t>product</w:t>
      </w:r>
      <w:r>
        <w:rPr>
          <w:noProof/>
          <w:szCs w:val="24"/>
        </w:rPr>
        <w:t xml:space="preserve"> </w:t>
      </w:r>
      <w:r>
        <w:rPr>
          <w:b/>
          <w:noProof/>
          <w:szCs w:val="24"/>
        </w:rPr>
        <w:t>level</w:t>
      </w:r>
      <w:r>
        <w:rPr>
          <w:noProof/>
          <w:szCs w:val="24"/>
        </w:rPr>
        <w:t>, is aimed at understanding the market value of all traded products for which EU harmonised product rules do not exist.</w:t>
      </w:r>
      <w:r>
        <w:rPr>
          <w:rStyle w:val="FootnoteReference"/>
          <w:noProof/>
          <w:szCs w:val="24"/>
        </w:rPr>
        <w:footnoteReference w:id="139"/>
      </w:r>
      <w:r>
        <w:rPr>
          <w:noProof/>
          <w:szCs w:val="24"/>
        </w:rPr>
        <w:t xml:space="preserve"> </w:t>
      </w:r>
    </w:p>
    <w:p w:rsidR="0037666B" w:rsidRDefault="00C627B8">
      <w:pPr>
        <w:rPr>
          <w:noProof/>
          <w:szCs w:val="24"/>
        </w:rPr>
      </w:pPr>
      <w:r>
        <w:rPr>
          <w:noProof/>
          <w:szCs w:val="24"/>
        </w:rPr>
        <w:t xml:space="preserve">The </w:t>
      </w:r>
      <w:r>
        <w:rPr>
          <w:b/>
          <w:noProof/>
          <w:szCs w:val="24"/>
        </w:rPr>
        <w:t>indicators</w:t>
      </w:r>
      <w:r>
        <w:rPr>
          <w:noProof/>
          <w:szCs w:val="24"/>
        </w:rPr>
        <w:t xml:space="preserve"> conside</w:t>
      </w:r>
      <w:r>
        <w:rPr>
          <w:noProof/>
          <w:szCs w:val="24"/>
        </w:rPr>
        <w:t>red in the analysis have been also extracted from Eurostat statistics currently available and are presented in the following table.</w:t>
      </w:r>
    </w:p>
    <w:p w:rsidR="0037666B" w:rsidRDefault="00C627B8">
      <w:pPr>
        <w:pStyle w:val="Caption"/>
        <w:spacing w:before="0" w:after="240"/>
        <w:rPr>
          <w:noProof/>
          <w:szCs w:val="24"/>
        </w:rPr>
      </w:pPr>
      <w:bookmarkStart w:id="123" w:name="_Toc463288356"/>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4</w:t>
      </w:r>
      <w:r>
        <w:rPr>
          <w:noProof/>
          <w:szCs w:val="24"/>
        </w:rPr>
        <w:fldChar w:fldCharType="end"/>
      </w:r>
      <w:r>
        <w:rPr>
          <w:noProof/>
          <w:szCs w:val="24"/>
        </w:rPr>
        <w:t>: Indicators computed for the analysis at product level</w:t>
      </w:r>
      <w:bookmarkEnd w:id="123"/>
    </w:p>
    <w:tbl>
      <w:tblPr>
        <w:tblStyle w:val="TableforEC21"/>
        <w:tblW w:w="0" w:type="auto"/>
        <w:tblLook w:val="04A0" w:firstRow="1" w:lastRow="0" w:firstColumn="1" w:lastColumn="0" w:noHBand="0" w:noVBand="1"/>
      </w:tblPr>
      <w:tblGrid>
        <w:gridCol w:w="2327"/>
        <w:gridCol w:w="2811"/>
        <w:gridCol w:w="1407"/>
        <w:gridCol w:w="1116"/>
        <w:gridCol w:w="1173"/>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rsidR="0037666B" w:rsidRDefault="00C627B8">
            <w:pPr>
              <w:spacing w:before="120" w:after="120"/>
              <w:rPr>
                <w:rFonts w:ascii="Times New Roman" w:hAnsi="Times New Roman"/>
                <w:noProof/>
                <w:sz w:val="20"/>
                <w:szCs w:val="20"/>
              </w:rPr>
            </w:pPr>
            <w:r>
              <w:rPr>
                <w:rFonts w:ascii="Times New Roman" w:hAnsi="Times New Roman"/>
                <w:noProof/>
                <w:sz w:val="20"/>
                <w:szCs w:val="20"/>
              </w:rPr>
              <w:t>Indicator</w:t>
            </w:r>
          </w:p>
        </w:tc>
        <w:tc>
          <w:tcPr>
            <w:tcW w:w="0" w:type="auto"/>
          </w:tcPr>
          <w:p w:rsidR="0037666B" w:rsidRDefault="00C627B8">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Definition</w:t>
            </w:r>
          </w:p>
        </w:tc>
        <w:tc>
          <w:tcPr>
            <w:tcW w:w="0" w:type="auto"/>
          </w:tcPr>
          <w:p w:rsidR="0037666B" w:rsidRDefault="00C627B8">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 xml:space="preserve">Geographical </w:t>
            </w:r>
            <w:r>
              <w:rPr>
                <w:rFonts w:ascii="Times New Roman" w:hAnsi="Times New Roman"/>
                <w:noProof/>
                <w:sz w:val="20"/>
                <w:szCs w:val="20"/>
              </w:rPr>
              <w:t>coverage</w:t>
            </w:r>
          </w:p>
        </w:tc>
        <w:tc>
          <w:tcPr>
            <w:tcW w:w="0" w:type="auto"/>
          </w:tcPr>
          <w:p w:rsidR="0037666B" w:rsidRDefault="00C627B8">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Timeframe</w:t>
            </w:r>
          </w:p>
        </w:tc>
        <w:tc>
          <w:tcPr>
            <w:tcW w:w="0" w:type="auto"/>
          </w:tcPr>
          <w:p w:rsidR="0037666B" w:rsidRDefault="00C627B8">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Source</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0" w:type="auto"/>
          </w:tcPr>
          <w:p w:rsidR="0037666B" w:rsidRDefault="00C627B8">
            <w:pPr>
              <w:spacing w:before="120" w:after="120"/>
              <w:jc w:val="center"/>
              <w:rPr>
                <w:rFonts w:ascii="Times New Roman" w:hAnsi="Times New Roman"/>
                <w:b/>
                <w:noProof/>
                <w:sz w:val="20"/>
                <w:szCs w:val="20"/>
                <w:lang w:val="en-GB"/>
              </w:rPr>
            </w:pPr>
            <w:r>
              <w:rPr>
                <w:rFonts w:ascii="Times New Roman" w:hAnsi="Times New Roman"/>
                <w:b/>
                <w:noProof/>
                <w:sz w:val="20"/>
                <w:szCs w:val="20"/>
                <w:lang w:val="en-GB"/>
              </w:rPr>
              <w:t>Value of intra EU exports for manufacturing products</w:t>
            </w:r>
          </w:p>
        </w:tc>
        <w:tc>
          <w:tcPr>
            <w:tcW w:w="0" w:type="auto"/>
          </w:tcPr>
          <w:p w:rsidR="0037666B" w:rsidRDefault="00C627B8">
            <w:pPr>
              <w:spacing w:before="120" w:after="120"/>
              <w:jc w:val="center"/>
              <w:rPr>
                <w:rFonts w:ascii="Times New Roman" w:hAnsi="Times New Roman"/>
                <w:noProof/>
                <w:sz w:val="20"/>
                <w:szCs w:val="20"/>
                <w:lang w:val="en-GB"/>
              </w:rPr>
            </w:pPr>
            <w:r>
              <w:rPr>
                <w:rFonts w:ascii="Times New Roman" w:hAnsi="Times New Roman"/>
                <w:noProof/>
                <w:sz w:val="20"/>
                <w:szCs w:val="20"/>
                <w:lang w:val="en-GB"/>
              </w:rPr>
              <w:t>This indicator provides the monetary value of exported manufactured products from all EU countries to other EU countries</w:t>
            </w:r>
          </w:p>
        </w:tc>
        <w:tc>
          <w:tcPr>
            <w:tcW w:w="0" w:type="auto"/>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EU-28</w:t>
            </w:r>
          </w:p>
        </w:tc>
        <w:tc>
          <w:tcPr>
            <w:tcW w:w="0" w:type="auto"/>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2008 - 2015</w:t>
            </w:r>
          </w:p>
        </w:tc>
        <w:tc>
          <w:tcPr>
            <w:tcW w:w="0" w:type="auto"/>
          </w:tcPr>
          <w:p w:rsidR="0037666B" w:rsidRDefault="00C627B8">
            <w:pPr>
              <w:spacing w:before="120" w:after="120"/>
              <w:jc w:val="center"/>
              <w:rPr>
                <w:rFonts w:ascii="Times New Roman" w:hAnsi="Times New Roman"/>
                <w:b/>
                <w:noProof/>
                <w:sz w:val="20"/>
                <w:szCs w:val="20"/>
                <w:lang w:val="en-GB"/>
              </w:rPr>
            </w:pPr>
            <w:r>
              <w:rPr>
                <w:rFonts w:ascii="Times New Roman" w:hAnsi="Times New Roman"/>
                <w:b/>
                <w:noProof/>
                <w:sz w:val="20"/>
                <w:szCs w:val="20"/>
                <w:lang w:val="en-GB"/>
              </w:rPr>
              <w:t>EU trade since 1998 by SITC</w:t>
            </w:r>
            <w:r>
              <w:rPr>
                <w:rFonts w:ascii="Times New Roman" w:hAnsi="Times New Roman"/>
                <w:noProof/>
                <w:color w:val="000000"/>
                <w:sz w:val="20"/>
                <w:szCs w:val="20"/>
                <w:vertAlign w:val="superscript"/>
              </w:rPr>
              <w:footnoteReference w:id="140"/>
            </w:r>
          </w:p>
        </w:tc>
      </w:tr>
      <w:tr w:rsidR="0037666B" w:rsidTr="0037666B">
        <w:tc>
          <w:tcPr>
            <w:tcW w:w="0" w:type="auto"/>
          </w:tcPr>
          <w:p w:rsidR="0037666B" w:rsidRDefault="00C627B8">
            <w:pPr>
              <w:spacing w:before="120" w:after="120"/>
              <w:jc w:val="center"/>
              <w:rPr>
                <w:rFonts w:ascii="Times New Roman" w:hAnsi="Times New Roman"/>
                <w:b/>
                <w:noProof/>
                <w:sz w:val="20"/>
                <w:szCs w:val="20"/>
                <w:lang w:val="en-GB"/>
              </w:rPr>
            </w:pPr>
            <w:r>
              <w:rPr>
                <w:rFonts w:ascii="Times New Roman" w:hAnsi="Times New Roman"/>
                <w:b/>
                <w:noProof/>
                <w:sz w:val="20"/>
                <w:szCs w:val="20"/>
                <w:lang w:val="en-GB"/>
              </w:rPr>
              <w:t xml:space="preserve">Value </w:t>
            </w:r>
            <w:r>
              <w:rPr>
                <w:rFonts w:ascii="Times New Roman" w:hAnsi="Times New Roman"/>
                <w:b/>
                <w:noProof/>
                <w:sz w:val="20"/>
                <w:szCs w:val="20"/>
                <w:lang w:val="en-GB"/>
              </w:rPr>
              <w:t>of intra EU exports for non-harmonised and partially harmonised products</w:t>
            </w:r>
          </w:p>
        </w:tc>
        <w:tc>
          <w:tcPr>
            <w:tcW w:w="0" w:type="auto"/>
          </w:tcPr>
          <w:p w:rsidR="0037666B" w:rsidRDefault="00C627B8">
            <w:pPr>
              <w:spacing w:before="120" w:after="120"/>
              <w:jc w:val="center"/>
              <w:rPr>
                <w:rFonts w:ascii="Times New Roman" w:hAnsi="Times New Roman"/>
                <w:noProof/>
                <w:sz w:val="20"/>
                <w:szCs w:val="20"/>
                <w:lang w:val="en-GB"/>
              </w:rPr>
            </w:pPr>
            <w:r>
              <w:rPr>
                <w:rFonts w:ascii="Times New Roman" w:hAnsi="Times New Roman"/>
                <w:noProof/>
                <w:sz w:val="20"/>
                <w:szCs w:val="20"/>
                <w:lang w:val="en-GB"/>
              </w:rPr>
              <w:t>This indicator provides the monetary value of non-harmonised and partially harmonised products from all EU countries to other EU countries</w:t>
            </w:r>
          </w:p>
        </w:tc>
        <w:tc>
          <w:tcPr>
            <w:tcW w:w="0" w:type="auto"/>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EU-28</w:t>
            </w:r>
          </w:p>
        </w:tc>
        <w:tc>
          <w:tcPr>
            <w:tcW w:w="0" w:type="auto"/>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2008 - 2015</w:t>
            </w:r>
          </w:p>
        </w:tc>
        <w:tc>
          <w:tcPr>
            <w:tcW w:w="0" w:type="auto"/>
          </w:tcPr>
          <w:p w:rsidR="0037666B" w:rsidRDefault="00C627B8">
            <w:pPr>
              <w:spacing w:before="120" w:after="120"/>
              <w:jc w:val="center"/>
              <w:rPr>
                <w:rFonts w:ascii="Times New Roman" w:hAnsi="Times New Roman"/>
                <w:b/>
                <w:noProof/>
                <w:sz w:val="20"/>
                <w:szCs w:val="20"/>
                <w:lang w:val="en-GB"/>
              </w:rPr>
            </w:pPr>
            <w:r>
              <w:rPr>
                <w:rFonts w:ascii="Times New Roman" w:hAnsi="Times New Roman"/>
                <w:b/>
                <w:noProof/>
                <w:sz w:val="20"/>
                <w:szCs w:val="20"/>
                <w:lang w:val="en-GB"/>
              </w:rPr>
              <w:t>EU trade since 1998 by SIT</w:t>
            </w:r>
            <w:r>
              <w:rPr>
                <w:rFonts w:ascii="Times New Roman" w:hAnsi="Times New Roman"/>
                <w:b/>
                <w:noProof/>
                <w:sz w:val="20"/>
                <w:szCs w:val="20"/>
                <w:lang w:val="en-GB"/>
              </w:rPr>
              <w:t>C</w:t>
            </w:r>
          </w:p>
        </w:tc>
      </w:tr>
    </w:tbl>
    <w:p w:rsidR="0037666B" w:rsidRDefault="00C627B8">
      <w:pPr>
        <w:pStyle w:val="BodyText"/>
        <w:spacing w:before="240" w:after="240"/>
        <w:rPr>
          <w:i w:val="0"/>
          <w:noProof/>
          <w:szCs w:val="24"/>
        </w:rPr>
      </w:pPr>
      <w:r>
        <w:rPr>
          <w:b/>
          <w:i w:val="0"/>
          <w:noProof/>
          <w:szCs w:val="24"/>
        </w:rPr>
        <w:t>All EU-28 Member States</w:t>
      </w:r>
      <w:r>
        <w:rPr>
          <w:i w:val="0"/>
          <w:noProof/>
          <w:szCs w:val="24"/>
        </w:rPr>
        <w:t xml:space="preserve"> have been considered and the time period covered by data is 2008-2015. In terms of sectors, the manufacturing sectors listed in the following table have been included in the analysis. In particular the NACE codes used in the anal</w:t>
      </w:r>
      <w:r>
        <w:rPr>
          <w:i w:val="0"/>
          <w:noProof/>
          <w:szCs w:val="24"/>
        </w:rPr>
        <w:t>ysis have been grouped using the International Standard Industrial Classification of All Economic Activities (ISIC)</w:t>
      </w:r>
      <w:r>
        <w:rPr>
          <w:rStyle w:val="FootnoteReference"/>
          <w:i w:val="0"/>
          <w:noProof/>
          <w:szCs w:val="24"/>
        </w:rPr>
        <w:footnoteReference w:id="141"/>
      </w:r>
      <w:r>
        <w:rPr>
          <w:i w:val="0"/>
          <w:noProof/>
          <w:szCs w:val="24"/>
        </w:rPr>
        <w:t xml:space="preserve">. Each sector contains both harmonised and non or partially harmonised products. </w:t>
      </w:r>
      <w:r>
        <w:rPr>
          <w:b/>
          <w:i w:val="0"/>
          <w:noProof/>
          <w:szCs w:val="24"/>
        </w:rPr>
        <w:t xml:space="preserve">Annex 5 lists all non or partially harmonised products per </w:t>
      </w:r>
      <w:r>
        <w:rPr>
          <w:b/>
          <w:i w:val="0"/>
          <w:noProof/>
          <w:szCs w:val="24"/>
        </w:rPr>
        <w:t>each sector that have been used for the analysis at product level</w:t>
      </w:r>
      <w:r>
        <w:rPr>
          <w:i w:val="0"/>
          <w:noProof/>
          <w:szCs w:val="24"/>
        </w:rPr>
        <w:t>.</w:t>
      </w:r>
    </w:p>
    <w:p w:rsidR="0037666B" w:rsidRDefault="00C627B8">
      <w:pPr>
        <w:pStyle w:val="Caption"/>
        <w:spacing w:before="0" w:after="240"/>
        <w:rPr>
          <w:noProof/>
          <w:szCs w:val="24"/>
        </w:rPr>
      </w:pPr>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5</w:t>
      </w:r>
      <w:r>
        <w:rPr>
          <w:noProof/>
          <w:szCs w:val="24"/>
        </w:rPr>
        <w:fldChar w:fldCharType="end"/>
      </w:r>
      <w:r>
        <w:rPr>
          <w:noProof/>
          <w:szCs w:val="24"/>
        </w:rPr>
        <w:t>: Manufacturing Sectors included in the analysis at product level</w:t>
      </w:r>
    </w:p>
    <w:tbl>
      <w:tblPr>
        <w:tblStyle w:val="TableforEC22"/>
        <w:tblW w:w="0" w:type="auto"/>
        <w:tblLook w:val="04A0" w:firstRow="1" w:lastRow="0" w:firstColumn="1" w:lastColumn="0" w:noHBand="0" w:noVBand="1"/>
      </w:tblPr>
      <w:tblGrid>
        <w:gridCol w:w="7065"/>
        <w:gridCol w:w="1690"/>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65"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Sectors</w:t>
            </w:r>
          </w:p>
        </w:tc>
        <w:tc>
          <w:tcPr>
            <w:tcW w:w="1690" w:type="dxa"/>
          </w:tcPr>
          <w:p w:rsidR="0037666B" w:rsidRDefault="00C627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NACE DIVISION</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food products, beverages and tobacco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10 to</w:t>
            </w:r>
            <w:r>
              <w:rPr>
                <w:rFonts w:ascii="Times New Roman" w:hAnsi="Times New Roman"/>
                <w:noProof/>
                <w:sz w:val="20"/>
                <w:szCs w:val="20"/>
              </w:rPr>
              <w:t xml:space="preserve"> 12</w:t>
            </w:r>
          </w:p>
        </w:tc>
      </w:tr>
      <w:tr w:rsidR="0037666B" w:rsidTr="0037666B">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textiles, apparel, leather and related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13 to 15</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wood and paper products, and printing</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16 to 18</w:t>
            </w:r>
          </w:p>
        </w:tc>
      </w:tr>
      <w:tr w:rsidR="0037666B" w:rsidTr="0037666B">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coke, and refined petroleum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19</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chemicals and chemical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20</w:t>
            </w:r>
          </w:p>
        </w:tc>
      </w:tr>
      <w:tr w:rsidR="0037666B" w:rsidTr="0037666B">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pharmaceuticals, medicinal chemical and botanical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21</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rubber and plastics products, and other non-metallic mineral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22-23</w:t>
            </w:r>
          </w:p>
        </w:tc>
      </w:tr>
      <w:tr w:rsidR="0037666B" w:rsidTr="0037666B">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basic metals and fabricated metal products, except machinery and equipm</w:t>
            </w:r>
            <w:r>
              <w:rPr>
                <w:rFonts w:ascii="Times New Roman" w:hAnsi="Times New Roman"/>
                <w:noProof/>
                <w:sz w:val="20"/>
                <w:szCs w:val="20"/>
                <w:lang w:val="en-GB"/>
              </w:rPr>
              <w:t>ent</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24-25</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computer, electronic and optical products</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26</w:t>
            </w:r>
          </w:p>
        </w:tc>
      </w:tr>
      <w:tr w:rsidR="0037666B" w:rsidTr="0037666B">
        <w:tc>
          <w:tcPr>
            <w:tcW w:w="7065" w:type="dxa"/>
          </w:tcPr>
          <w:p w:rsidR="0037666B" w:rsidRDefault="00C627B8">
            <w:pPr>
              <w:spacing w:before="120" w:after="120"/>
              <w:rPr>
                <w:rFonts w:ascii="Times New Roman" w:hAnsi="Times New Roman"/>
                <w:noProof/>
                <w:sz w:val="20"/>
                <w:szCs w:val="20"/>
              </w:rPr>
            </w:pPr>
            <w:r>
              <w:rPr>
                <w:rFonts w:ascii="Times New Roman" w:hAnsi="Times New Roman"/>
                <w:noProof/>
                <w:sz w:val="20"/>
                <w:szCs w:val="20"/>
              </w:rPr>
              <w:t>Manufacture of electrical equipment</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27</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Manufacture of machinery and equipment n.e.c.</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28</w:t>
            </w:r>
          </w:p>
        </w:tc>
      </w:tr>
      <w:tr w:rsidR="0037666B" w:rsidTr="0037666B">
        <w:tc>
          <w:tcPr>
            <w:tcW w:w="7065" w:type="dxa"/>
          </w:tcPr>
          <w:p w:rsidR="0037666B" w:rsidRDefault="00C627B8">
            <w:pPr>
              <w:spacing w:before="120" w:after="120"/>
              <w:rPr>
                <w:rFonts w:ascii="Times New Roman" w:hAnsi="Times New Roman"/>
                <w:noProof/>
                <w:sz w:val="20"/>
                <w:szCs w:val="20"/>
              </w:rPr>
            </w:pPr>
            <w:r>
              <w:rPr>
                <w:rFonts w:ascii="Times New Roman" w:hAnsi="Times New Roman"/>
                <w:noProof/>
                <w:sz w:val="20"/>
                <w:szCs w:val="20"/>
              </w:rPr>
              <w:t>Manufacture of transport equipment</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29-30</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tcW w:w="7065" w:type="dxa"/>
          </w:tcPr>
          <w:p w:rsidR="0037666B" w:rsidRDefault="00C627B8">
            <w:pPr>
              <w:spacing w:before="120" w:after="120"/>
              <w:rPr>
                <w:rFonts w:ascii="Times New Roman" w:hAnsi="Times New Roman"/>
                <w:noProof/>
                <w:sz w:val="20"/>
                <w:szCs w:val="20"/>
                <w:lang w:val="en-GB"/>
              </w:rPr>
            </w:pPr>
            <w:r>
              <w:rPr>
                <w:rFonts w:ascii="Times New Roman" w:hAnsi="Times New Roman"/>
                <w:noProof/>
                <w:sz w:val="20"/>
                <w:szCs w:val="20"/>
                <w:lang w:val="en-GB"/>
              </w:rPr>
              <w:t xml:space="preserve">Other manufacturing, and repair and installation of </w:t>
            </w:r>
            <w:r>
              <w:rPr>
                <w:rFonts w:ascii="Times New Roman" w:hAnsi="Times New Roman"/>
                <w:noProof/>
                <w:sz w:val="20"/>
                <w:szCs w:val="20"/>
                <w:lang w:val="en-GB"/>
              </w:rPr>
              <w:t>machinery and equipment</w:t>
            </w:r>
          </w:p>
        </w:tc>
        <w:tc>
          <w:tcPr>
            <w:tcW w:w="1690" w:type="dxa"/>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31 to 33</w:t>
            </w:r>
          </w:p>
        </w:tc>
      </w:tr>
    </w:tbl>
    <w:p w:rsidR="0037666B" w:rsidRDefault="00C627B8">
      <w:pPr>
        <w:pStyle w:val="BodyText"/>
        <w:spacing w:before="120"/>
        <w:rPr>
          <w:i w:val="0"/>
          <w:noProof/>
          <w:szCs w:val="24"/>
        </w:rPr>
      </w:pPr>
      <w:r>
        <w:rPr>
          <w:i w:val="0"/>
          <w:noProof/>
          <w:szCs w:val="24"/>
        </w:rPr>
        <w:t xml:space="preserve">While the analysis at sectorial level provided an estimate of the number of economic operators that are potentially impacted by a sub optimal functioning of the Mutual Recognition and how they are contributing to the EU </w:t>
      </w:r>
      <w:r>
        <w:rPr>
          <w:i w:val="0"/>
          <w:noProof/>
          <w:szCs w:val="24"/>
        </w:rPr>
        <w:t>economy, the analysis at product level provides an assessment of the value of traded goods that should comply with the existing harmonised product rules.</w:t>
      </w:r>
    </w:p>
    <w:p w:rsidR="0037666B" w:rsidRDefault="00C627B8">
      <w:pPr>
        <w:rPr>
          <w:noProof/>
          <w:szCs w:val="24"/>
        </w:rPr>
      </w:pPr>
      <w:r>
        <w:rPr>
          <w:noProof/>
          <w:szCs w:val="24"/>
        </w:rPr>
        <w:t>The value of non (or partially) harmonised products has been estimated by considering the value of int</w:t>
      </w:r>
      <w:r>
        <w:rPr>
          <w:noProof/>
          <w:szCs w:val="24"/>
        </w:rPr>
        <w:t>ra EU exports for these types of product. The 2 presents the list of products (as per NACE DIGIT-4 classification) that have been considered as being non (or partially) harmonised.</w:t>
      </w:r>
    </w:p>
    <w:p w:rsidR="0037666B" w:rsidRDefault="00C627B8">
      <w:pPr>
        <w:rPr>
          <w:noProof/>
          <w:szCs w:val="24"/>
        </w:rPr>
      </w:pPr>
      <w:r>
        <w:rPr>
          <w:noProof/>
          <w:szCs w:val="24"/>
        </w:rPr>
        <w:t>In particular, considering the period 2008 - 2015:</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 xml:space="preserve">The (average) annual </w:t>
      </w:r>
      <w:r>
        <w:rPr>
          <w:rFonts w:ascii="Times New Roman" w:hAnsi="Times New Roman"/>
          <w:noProof/>
          <w:sz w:val="24"/>
          <w:szCs w:val="24"/>
        </w:rPr>
        <w:t>value of intra EU exports of non (or partially) harmonised products has been equal to €335 billion (</w:t>
      </w:r>
      <w:r>
        <w:rPr>
          <w:rFonts w:ascii="Times New Roman" w:hAnsi="Times New Roman"/>
          <w:noProof/>
          <w:sz w:val="24"/>
          <w:szCs w:val="24"/>
        </w:rPr>
        <w:fldChar w:fldCharType="begin"/>
      </w:r>
      <w:r>
        <w:rPr>
          <w:rFonts w:ascii="Times New Roman" w:hAnsi="Times New Roman"/>
          <w:noProof/>
          <w:sz w:val="24"/>
          <w:szCs w:val="24"/>
        </w:rPr>
        <w:instrText xml:space="preserve"> REF _Ref473218773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A4-8</w:t>
      </w:r>
      <w:r>
        <w:rPr>
          <w:rFonts w:ascii="Times New Roman" w:hAnsi="Times New Roman"/>
          <w:noProof/>
          <w:sz w:val="24"/>
          <w:szCs w:val="24"/>
        </w:rPr>
        <w:fldChar w:fldCharType="end"/>
      </w:r>
      <w:r>
        <w:rPr>
          <w:rFonts w:ascii="Times New Roman" w:hAnsi="Times New Roman"/>
          <w:noProof/>
          <w:sz w:val="24"/>
          <w:szCs w:val="24"/>
        </w:rPr>
        <w: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The value on intra EU exports of non-</w:t>
      </w:r>
      <w:r>
        <w:rPr>
          <w:rFonts w:ascii="Times New Roman" w:hAnsi="Times New Roman"/>
          <w:noProof/>
          <w:sz w:val="24"/>
          <w:szCs w:val="24"/>
        </w:rPr>
        <w:t>harmonised products represented the 18% of the value of intra EU exports (</w:t>
      </w:r>
      <w:r>
        <w:rPr>
          <w:rFonts w:ascii="Times New Roman" w:hAnsi="Times New Roman"/>
          <w:noProof/>
          <w:sz w:val="24"/>
          <w:szCs w:val="24"/>
        </w:rPr>
        <w:fldChar w:fldCharType="begin"/>
      </w:r>
      <w:r>
        <w:rPr>
          <w:rFonts w:ascii="Times New Roman" w:hAnsi="Times New Roman"/>
          <w:noProof/>
          <w:sz w:val="24"/>
          <w:szCs w:val="24"/>
        </w:rPr>
        <w:instrText xml:space="preserve"> REF _Ref473218773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A4-8</w:t>
      </w:r>
      <w:r>
        <w:rPr>
          <w:rFonts w:ascii="Times New Roman" w:hAnsi="Times New Roman"/>
          <w:noProof/>
          <w:sz w:val="24"/>
          <w:szCs w:val="24"/>
        </w:rPr>
        <w:fldChar w:fldCharType="end"/>
      </w:r>
      <w:r>
        <w:rPr>
          <w:rFonts w:ascii="Times New Roman" w:hAnsi="Times New Roman"/>
          <w:noProof/>
          <w:sz w:val="24"/>
          <w:szCs w:val="24"/>
        </w:rPr>
        <w: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The value of intra EU exports of non or partially harmonised go</w:t>
      </w:r>
      <w:r>
        <w:rPr>
          <w:rFonts w:ascii="Times New Roman" w:hAnsi="Times New Roman"/>
          <w:noProof/>
          <w:sz w:val="24"/>
          <w:szCs w:val="24"/>
        </w:rPr>
        <w:t>ods increased by 14.2% (i.e. passing from € 338 to € 386 billion), the same variation can be observed for harmonised good (i.e. the value passing from € 1,513 to € 1,725 billion).</w:t>
      </w:r>
    </w:p>
    <w:p w:rsidR="0037666B" w:rsidRDefault="0037666B">
      <w:pPr>
        <w:pStyle w:val="Bulletpoint1"/>
        <w:spacing w:after="240"/>
        <w:rPr>
          <w:rFonts w:ascii="Times New Roman" w:hAnsi="Times New Roman"/>
          <w:noProof/>
          <w:sz w:val="24"/>
          <w:szCs w:val="24"/>
        </w:rPr>
      </w:pPr>
    </w:p>
    <w:p w:rsidR="0037666B" w:rsidRDefault="0037666B">
      <w:pPr>
        <w:pStyle w:val="Bulletpoint1"/>
        <w:spacing w:after="240"/>
        <w:rPr>
          <w:rFonts w:ascii="Times New Roman" w:hAnsi="Times New Roman"/>
          <w:noProof/>
          <w:sz w:val="24"/>
          <w:szCs w:val="24"/>
        </w:rPr>
      </w:pPr>
    </w:p>
    <w:p w:rsidR="0037666B" w:rsidRDefault="0037666B">
      <w:pPr>
        <w:pStyle w:val="Bulletpoint1"/>
        <w:spacing w:after="240"/>
        <w:rPr>
          <w:rFonts w:ascii="Times New Roman" w:hAnsi="Times New Roman"/>
          <w:noProof/>
          <w:sz w:val="24"/>
          <w:szCs w:val="24"/>
        </w:rPr>
      </w:pPr>
    </w:p>
    <w:p w:rsidR="0037666B" w:rsidRDefault="00C627B8">
      <w:pPr>
        <w:pStyle w:val="Caption"/>
        <w:spacing w:before="0" w:after="240"/>
        <w:rPr>
          <w:noProof/>
          <w:szCs w:val="24"/>
        </w:rPr>
      </w:pPr>
      <w:bookmarkStart w:id="124" w:name="_Ref473218773"/>
      <w:bookmarkStart w:id="125" w:name="_Ref473218759"/>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8</w:t>
      </w:r>
      <w:r>
        <w:rPr>
          <w:noProof/>
          <w:szCs w:val="24"/>
        </w:rPr>
        <w:fldChar w:fldCharType="end"/>
      </w:r>
      <w:bookmarkEnd w:id="124"/>
      <w:r>
        <w:rPr>
          <w:noProof/>
          <w:szCs w:val="24"/>
        </w:rPr>
        <w:t>: Value on non (or partially) harmoni</w:t>
      </w:r>
      <w:r>
        <w:rPr>
          <w:noProof/>
          <w:szCs w:val="24"/>
        </w:rPr>
        <w:t>sed products. Intra EU Exports, € billions, 2008 -2015</w:t>
      </w:r>
      <w:bookmarkEnd w:id="125"/>
      <w:r>
        <w:rPr>
          <w:noProof/>
          <w:szCs w:val="24"/>
        </w:rPr>
        <w:t xml:space="preserve"> </w:t>
      </w:r>
    </w:p>
    <w:p w:rsidR="0037666B" w:rsidRDefault="00C627B8">
      <w:pPr>
        <w:pStyle w:val="BodyText"/>
        <w:spacing w:after="240"/>
        <w:rPr>
          <w:noProof/>
          <w:szCs w:val="24"/>
        </w:rPr>
      </w:pPr>
      <w:r>
        <w:rPr>
          <w:noProof/>
          <w:szCs w:val="24"/>
          <w:lang w:eastAsia="en-GB"/>
        </w:rPr>
        <w:drawing>
          <wp:inline distT="0" distB="0" distL="0" distR="0">
            <wp:extent cx="5228823" cy="27240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579" cy="2724493"/>
                    </a:xfrm>
                    <a:prstGeom prst="rect">
                      <a:avLst/>
                    </a:prstGeom>
                    <a:noFill/>
                  </pic:spPr>
                </pic:pic>
              </a:graphicData>
            </a:graphic>
          </wp:inline>
        </w:drawing>
      </w:r>
    </w:p>
    <w:p w:rsidR="0037666B" w:rsidRDefault="00C627B8">
      <w:pPr>
        <w:rPr>
          <w:noProof/>
          <w:szCs w:val="24"/>
        </w:rPr>
      </w:pPr>
      <w:r>
        <w:rPr>
          <w:noProof/>
          <w:szCs w:val="24"/>
        </w:rPr>
        <w:t>The following table shows the average value of intra EU exports for non-harmonised and partially harmonised products for each sector, where the 83% (around €515 billion out of €681 billion) of produ</w:t>
      </w:r>
      <w:r>
        <w:rPr>
          <w:noProof/>
          <w:szCs w:val="24"/>
        </w:rPr>
        <w:t xml:space="preserve">cts are manufactured by: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Manufacture of basic metals and fabricated metal products, except machinery and equipment;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Manufacture of textiles, apparel, leather and related products basic metals and fabricated metal products;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Manufacture of transport equipme</w:t>
      </w:r>
      <w:r>
        <w:rPr>
          <w:rFonts w:ascii="Times New Roman" w:hAnsi="Times New Roman"/>
          <w:noProof/>
          <w:sz w:val="24"/>
          <w:szCs w:val="24"/>
        </w:rPr>
        <w:t>nt;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Manufacture of wood and paper products, and printing.</w:t>
      </w:r>
    </w:p>
    <w:p w:rsidR="0037666B" w:rsidRDefault="00C627B8">
      <w:pPr>
        <w:pStyle w:val="BodyText"/>
        <w:spacing w:after="240"/>
        <w:rPr>
          <w:i w:val="0"/>
          <w:noProof/>
          <w:szCs w:val="24"/>
        </w:rPr>
      </w:pPr>
      <w:r>
        <w:rPr>
          <w:i w:val="0"/>
          <w:noProof/>
          <w:szCs w:val="24"/>
        </w:rPr>
        <w:t>Please refer to Annex 5 for the list of products that have been classified as non or partially harmonised for each sector.</w:t>
      </w:r>
    </w:p>
    <w:p w:rsidR="0037666B" w:rsidRDefault="00C627B8">
      <w:pPr>
        <w:pStyle w:val="Caption"/>
        <w:spacing w:before="0" w:after="240"/>
        <w:rPr>
          <w:noProof/>
          <w:szCs w:val="24"/>
        </w:rPr>
      </w:pPr>
      <w:bookmarkStart w:id="126" w:name="_Ref473217261"/>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6</w:t>
      </w:r>
      <w:r>
        <w:rPr>
          <w:noProof/>
          <w:szCs w:val="24"/>
        </w:rPr>
        <w:fldChar w:fldCharType="end"/>
      </w:r>
      <w:bookmarkEnd w:id="126"/>
      <w:r>
        <w:rPr>
          <w:noProof/>
          <w:szCs w:val="24"/>
        </w:rPr>
        <w:t>: Value of non-harmonised products per se</w:t>
      </w:r>
      <w:r>
        <w:rPr>
          <w:noProof/>
          <w:szCs w:val="24"/>
        </w:rPr>
        <w:t>ctor (Intra EU trade, average 2008 – 2015, € billions)</w:t>
      </w:r>
    </w:p>
    <w:tbl>
      <w:tblPr>
        <w:tblStyle w:val="TableforEC4"/>
        <w:tblW w:w="8739" w:type="dxa"/>
        <w:jc w:val="center"/>
        <w:tblInd w:w="468" w:type="dxa"/>
        <w:tblLayout w:type="fixed"/>
        <w:tblLook w:val="04A0" w:firstRow="1" w:lastRow="0" w:firstColumn="1" w:lastColumn="0" w:noHBand="0" w:noVBand="1"/>
      </w:tblPr>
      <w:tblGrid>
        <w:gridCol w:w="6912"/>
        <w:gridCol w:w="990"/>
        <w:gridCol w:w="837"/>
      </w:tblGrid>
      <w:tr w:rsidR="0037666B" w:rsidTr="0037666B">
        <w:trPr>
          <w:cnfStyle w:val="100000000000" w:firstRow="1" w:lastRow="0" w:firstColumn="0" w:lastColumn="0" w:oddVBand="0" w:evenVBand="0" w:oddHBand="0" w:evenHBand="0" w:firstRowFirstColumn="0" w:firstRowLastColumn="0" w:lastRowFirstColumn="0" w:lastRowLastColumn="0"/>
          <w:trHeight w:val="20"/>
          <w:jc w:val="center"/>
        </w:trPr>
        <w:tc>
          <w:tcPr>
            <w:cnfStyle w:val="000000000100" w:firstRow="0" w:lastRow="0" w:firstColumn="0" w:lastColumn="0" w:oddVBand="0" w:evenVBand="0" w:oddHBand="0" w:evenHBand="0" w:firstRowFirstColumn="1" w:firstRowLastColumn="0" w:lastRowFirstColumn="0" w:lastRowLastColumn="0"/>
            <w:tcW w:w="6912" w:type="dxa"/>
            <w:noWrap/>
            <w:vAlign w:val="center"/>
            <w:hideMark/>
          </w:tcPr>
          <w:p w:rsidR="0037666B" w:rsidRDefault="0037666B">
            <w:pPr>
              <w:spacing w:before="120" w:after="120"/>
              <w:jc w:val="left"/>
              <w:rPr>
                <w:rFonts w:ascii="Times New Roman" w:hAnsi="Times New Roman"/>
                <w:noProof/>
                <w:sz w:val="20"/>
                <w:szCs w:val="20"/>
                <w:lang w:val="en-GB"/>
              </w:rPr>
            </w:pPr>
          </w:p>
        </w:tc>
        <w:tc>
          <w:tcPr>
            <w:tcW w:w="990" w:type="dxa"/>
            <w:vAlign w:val="center"/>
            <w:hideMark/>
          </w:tcPr>
          <w:p w:rsidR="0037666B" w:rsidRDefault="00C627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Average Annual value</w:t>
            </w:r>
          </w:p>
        </w:tc>
        <w:tc>
          <w:tcPr>
            <w:tcW w:w="837" w:type="dxa"/>
            <w:noWrap/>
            <w:vAlign w:val="center"/>
            <w:hideMark/>
          </w:tcPr>
          <w:p w:rsidR="0037666B" w:rsidRDefault="00C627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US"/>
              </w:rPr>
            </w:pPr>
            <w:r>
              <w:rPr>
                <w:rFonts w:ascii="Times New Roman" w:hAnsi="Times New Roman"/>
                <w:noProof/>
                <w:color w:val="000000"/>
                <w:sz w:val="20"/>
                <w:szCs w:val="20"/>
                <w:lang w:val="en-GB"/>
              </w:rPr>
              <w:t xml:space="preserve"> Manufacture of basic metals and fabricated metal products, except machinery and equipment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41.81</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12%</w:t>
            </w:r>
          </w:p>
        </w:tc>
      </w:tr>
      <w:tr w:rsidR="0037666B" w:rsidTr="0037666B">
        <w:trPr>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Manufacture of coke, and refined petroleum products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0.05</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0%</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Manufacture of computer, electronic and optical products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15.69</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5%</w:t>
            </w:r>
          </w:p>
        </w:tc>
      </w:tr>
      <w:tr w:rsidR="0037666B" w:rsidTr="0037666B">
        <w:trPr>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rPr>
            </w:pPr>
            <w:r>
              <w:rPr>
                <w:rFonts w:ascii="Times New Roman" w:hAnsi="Times New Roman"/>
                <w:noProof/>
                <w:color w:val="000000"/>
                <w:sz w:val="20"/>
                <w:szCs w:val="20"/>
              </w:rPr>
              <w:t xml:space="preserve"> Manufacture of electrical equipment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2.90</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1%</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Manufacture of food products, beverages and tobacco products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3.37</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1%</w:t>
            </w:r>
          </w:p>
        </w:tc>
      </w:tr>
      <w:tr w:rsidR="0037666B" w:rsidTr="0037666B">
        <w:trPr>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Manufacture of rubber and plastics products, and other non-metallic mineral products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12.41</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4%</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Manufacture of textiles, apparel, leather and related products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55.91</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17%</w:t>
            </w:r>
          </w:p>
        </w:tc>
      </w:tr>
      <w:tr w:rsidR="0037666B" w:rsidTr="0037666B">
        <w:trPr>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rPr>
            </w:pPr>
            <w:r>
              <w:rPr>
                <w:rFonts w:ascii="Times New Roman" w:hAnsi="Times New Roman"/>
                <w:noProof/>
                <w:color w:val="000000"/>
                <w:sz w:val="20"/>
                <w:szCs w:val="20"/>
              </w:rPr>
              <w:t xml:space="preserve"> Manufacture of transport equipment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104.01</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31%</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Manufacture of wood and paper products, and printing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76.40</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23%</w:t>
            </w:r>
          </w:p>
        </w:tc>
      </w:tr>
      <w:tr w:rsidR="0037666B" w:rsidTr="0037666B">
        <w:trPr>
          <w:trHeight w:val="20"/>
          <w:jc w:val="center"/>
        </w:trPr>
        <w:tc>
          <w:tcPr>
            <w:tcW w:w="6912" w:type="dxa"/>
            <w:noWrap/>
            <w:vAlign w:val="bottom"/>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color w:val="000000"/>
                <w:sz w:val="20"/>
                <w:szCs w:val="20"/>
                <w:lang w:val="en-GB"/>
              </w:rPr>
              <w:t xml:space="preserve"> Other manufacturing, and repair and installation of machinery and equipment </w:t>
            </w:r>
          </w:p>
        </w:tc>
        <w:tc>
          <w:tcPr>
            <w:tcW w:w="990" w:type="dxa"/>
            <w:noWrap/>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22.66</w:t>
            </w:r>
          </w:p>
        </w:tc>
        <w:tc>
          <w:tcPr>
            <w:tcW w:w="837" w:type="dxa"/>
            <w:noWrap/>
          </w:tcPr>
          <w:p w:rsidR="0037666B" w:rsidRDefault="00C627B8">
            <w:pPr>
              <w:spacing w:before="120" w:after="120"/>
              <w:jc w:val="center"/>
              <w:rPr>
                <w:rFonts w:ascii="Times New Roman" w:hAnsi="Times New Roman"/>
                <w:noProof/>
                <w:color w:val="000000"/>
                <w:sz w:val="20"/>
                <w:szCs w:val="20"/>
              </w:rPr>
            </w:pPr>
            <w:r>
              <w:rPr>
                <w:rFonts w:ascii="Times New Roman" w:hAnsi="Times New Roman"/>
                <w:noProof/>
                <w:sz w:val="20"/>
                <w:szCs w:val="20"/>
              </w:rPr>
              <w:t>7%</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6912" w:type="dxa"/>
            <w:noWrap/>
            <w:vAlign w:val="center"/>
          </w:tcPr>
          <w:p w:rsidR="0037666B" w:rsidRDefault="00C627B8">
            <w:pPr>
              <w:spacing w:before="120" w:after="120"/>
              <w:jc w:val="left"/>
              <w:rPr>
                <w:rFonts w:ascii="Times New Roman" w:hAnsi="Times New Roman"/>
                <w:b/>
                <w:noProof/>
                <w:sz w:val="20"/>
                <w:szCs w:val="20"/>
              </w:rPr>
            </w:pPr>
            <w:r>
              <w:rPr>
                <w:rFonts w:ascii="Times New Roman" w:hAnsi="Times New Roman"/>
                <w:b/>
                <w:noProof/>
                <w:sz w:val="20"/>
                <w:szCs w:val="20"/>
              </w:rPr>
              <w:t>Total</w:t>
            </w:r>
          </w:p>
        </w:tc>
        <w:tc>
          <w:tcPr>
            <w:tcW w:w="990" w:type="dxa"/>
            <w:noWrap/>
            <w:vAlign w:val="center"/>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335.22</w:t>
            </w:r>
          </w:p>
        </w:tc>
        <w:tc>
          <w:tcPr>
            <w:tcW w:w="837" w:type="dxa"/>
            <w:noWrap/>
            <w:vAlign w:val="center"/>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100%</w:t>
            </w:r>
          </w:p>
        </w:tc>
      </w:tr>
    </w:tbl>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Source: EU trade since 1998 by SITC, EUROSTAT (2016)</w:t>
      </w:r>
    </w:p>
    <w:p w:rsidR="0037666B" w:rsidRDefault="00C627B8">
      <w:pPr>
        <w:pStyle w:val="BodyText"/>
        <w:spacing w:after="240"/>
        <w:rPr>
          <w:i w:val="0"/>
          <w:noProof/>
          <w:szCs w:val="24"/>
        </w:rPr>
      </w:pPr>
      <w:r>
        <w:rPr>
          <w:i w:val="0"/>
          <w:noProof/>
          <w:szCs w:val="24"/>
        </w:rPr>
        <w:t xml:space="preserve">Another interesting element </w:t>
      </w:r>
      <w:r>
        <w:rPr>
          <w:i w:val="0"/>
          <w:noProof/>
          <w:szCs w:val="24"/>
        </w:rPr>
        <w:t>emerged if the value of the intra EU Exports is compared with the domestic consumption (i.e.</w:t>
      </w:r>
      <w:r>
        <w:rPr>
          <w:b/>
          <w:i w:val="0"/>
          <w:noProof/>
          <w:szCs w:val="24"/>
        </w:rPr>
        <w:t xml:space="preserve"> value of production – value of extra EU exports + value of extra EU imports</w:t>
      </w:r>
      <w:r>
        <w:rPr>
          <w:i w:val="0"/>
          <w:noProof/>
          <w:szCs w:val="24"/>
        </w:rPr>
        <w:t>): while for harmonised products the value of Intra EU exports is 55% of the domestic co</w:t>
      </w:r>
      <w:r>
        <w:rPr>
          <w:i w:val="0"/>
          <w:noProof/>
          <w:szCs w:val="24"/>
        </w:rPr>
        <w:t>nsumption, for non or partially harmonised products the Intra EU exports represent only 35% of the domestic consumption. This might be a sign of a suboptimal functioning of the Mutual Recognition that leads to potential barriers for intra EU trade in the c</w:t>
      </w:r>
      <w:r>
        <w:rPr>
          <w:i w:val="0"/>
          <w:noProof/>
          <w:szCs w:val="24"/>
        </w:rPr>
        <w:t>ase of non- or partially harmonised products.</w:t>
      </w: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9</w:t>
      </w:r>
      <w:r>
        <w:rPr>
          <w:noProof/>
          <w:szCs w:val="24"/>
        </w:rPr>
        <w:fldChar w:fldCharType="end"/>
      </w:r>
      <w:r>
        <w:rPr>
          <w:noProof/>
          <w:szCs w:val="24"/>
        </w:rPr>
        <w:t>: Intra EU trades (exports) as % of the domestic consumption: Harmonised vs non or partially harmonised products, 2008-2015</w:t>
      </w:r>
    </w:p>
    <w:p w:rsidR="0037666B" w:rsidRDefault="00C627B8">
      <w:pPr>
        <w:pStyle w:val="BodyText"/>
        <w:spacing w:after="240"/>
        <w:rPr>
          <w:noProof/>
          <w:szCs w:val="24"/>
        </w:rPr>
      </w:pPr>
      <w:r>
        <w:rPr>
          <w:noProof/>
          <w:lang w:eastAsia="en-GB"/>
        </w:rPr>
        <w:drawing>
          <wp:inline distT="0" distB="0" distL="0" distR="0">
            <wp:extent cx="5280338" cy="3258355"/>
            <wp:effectExtent l="0" t="0" r="15875" b="184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Source: PRODCOM statistics, EUROSTAT (2016)</w:t>
      </w:r>
    </w:p>
    <w:p w:rsidR="0037666B" w:rsidRDefault="00C627B8">
      <w:pPr>
        <w:rPr>
          <w:noProof/>
          <w:szCs w:val="24"/>
        </w:rPr>
      </w:pPr>
      <w:r>
        <w:rPr>
          <w:noProof/>
          <w:szCs w:val="24"/>
        </w:rPr>
        <w:t xml:space="preserve">The </w:t>
      </w:r>
      <w:r>
        <w:rPr>
          <w:noProof/>
          <w:szCs w:val="24"/>
        </w:rPr>
        <w:t>results presented so far, as already mentioned, should be considered as an upper estimate of the market value for non-harmonised and partially harmonised products, due to the degree of sectoral aggregation. Even if, as showed in 2, we used up to 4 digits s</w:t>
      </w:r>
      <w:r>
        <w:rPr>
          <w:noProof/>
          <w:szCs w:val="24"/>
        </w:rPr>
        <w:t>tatistics, the estimated value cannot indicate itself if the MR is working or not. The implementation of the MR principle might be optimal in many subsectors, even if non-harmonised. This can be related to the fact that there is little regulation anyway or</w:t>
      </w:r>
      <w:r>
        <w:rPr>
          <w:noProof/>
          <w:szCs w:val="24"/>
        </w:rPr>
        <w:t xml:space="preserve"> that, may be, countries rely on the same (European) standards, or that MR problems are more sector specific.</w:t>
      </w:r>
    </w:p>
    <w:p w:rsidR="0037666B" w:rsidRDefault="00C627B8">
      <w:pPr>
        <w:pStyle w:val="BodyText"/>
        <w:spacing w:after="240"/>
        <w:rPr>
          <w:i w:val="0"/>
          <w:noProof/>
          <w:szCs w:val="24"/>
        </w:rPr>
      </w:pPr>
      <w:r>
        <w:rPr>
          <w:i w:val="0"/>
          <w:noProof/>
          <w:szCs w:val="24"/>
        </w:rPr>
        <w:t>This chapter presents the revised model for the estimation of the magnitude of the problem arising from sub-optimal functioning of the Mutual Reco</w:t>
      </w:r>
      <w:r>
        <w:rPr>
          <w:i w:val="0"/>
          <w:noProof/>
          <w:szCs w:val="24"/>
        </w:rPr>
        <w:t xml:space="preserve">gnition principle. </w:t>
      </w:r>
    </w:p>
    <w:p w:rsidR="0037666B" w:rsidRDefault="00C627B8">
      <w:pPr>
        <w:pStyle w:val="Heading2"/>
        <w:numPr>
          <w:ilvl w:val="1"/>
          <w:numId w:val="36"/>
        </w:numPr>
        <w:tabs>
          <w:tab w:val="clear" w:pos="1200"/>
          <w:tab w:val="num" w:pos="-5670"/>
        </w:tabs>
        <w:ind w:left="567" w:hanging="567"/>
        <w:rPr>
          <w:noProof/>
        </w:rPr>
      </w:pPr>
      <w:bookmarkStart w:id="127" w:name="_Ref473204447"/>
      <w:bookmarkStart w:id="128" w:name="_Toc473222587"/>
      <w:bookmarkStart w:id="129" w:name="_Toc476077439"/>
      <w:bookmarkStart w:id="130" w:name="_Toc476077725"/>
      <w:bookmarkStart w:id="131" w:name="_Toc483992776"/>
      <w:bookmarkStart w:id="132" w:name="_Toc473144008"/>
      <w:bookmarkStart w:id="133" w:name="_Toc473145256"/>
      <w:bookmarkStart w:id="134" w:name="_Toc473195905"/>
      <w:bookmarkStart w:id="135" w:name="_Ref473210413"/>
      <w:bookmarkStart w:id="136" w:name="_Ref473218353"/>
      <w:bookmarkStart w:id="137" w:name="_Ref473218369"/>
      <w:bookmarkStart w:id="138" w:name="_Ref473218990"/>
      <w:bookmarkStart w:id="139" w:name="_Ref473219012"/>
      <w:bookmarkStart w:id="140" w:name="_Ref473219174"/>
      <w:bookmarkStart w:id="141" w:name="_Ref473219215"/>
      <w:r>
        <w:rPr>
          <w:noProof/>
        </w:rPr>
        <w:t>Estimating the magnitude of the problem triggered by suboptimal functioning of the mutual recognition principle</w:t>
      </w:r>
      <w:bookmarkEnd w:id="127"/>
      <w:bookmarkEnd w:id="128"/>
      <w:bookmarkEnd w:id="129"/>
      <w:bookmarkEnd w:id="130"/>
      <w:bookmarkEnd w:id="131"/>
      <w:r>
        <w:rPr>
          <w:noProof/>
        </w:rPr>
        <w:t xml:space="preserve"> </w:t>
      </w:r>
      <w:bookmarkEnd w:id="132"/>
      <w:bookmarkEnd w:id="133"/>
      <w:bookmarkEnd w:id="134"/>
      <w:bookmarkEnd w:id="135"/>
      <w:bookmarkEnd w:id="136"/>
      <w:bookmarkEnd w:id="137"/>
      <w:bookmarkEnd w:id="138"/>
      <w:bookmarkEnd w:id="139"/>
      <w:bookmarkEnd w:id="140"/>
      <w:bookmarkEnd w:id="141"/>
    </w:p>
    <w:p w:rsidR="0037666B" w:rsidRDefault="00C627B8">
      <w:pPr>
        <w:pStyle w:val="Heading3"/>
        <w:numPr>
          <w:ilvl w:val="2"/>
          <w:numId w:val="36"/>
        </w:numPr>
        <w:tabs>
          <w:tab w:val="clear" w:pos="720"/>
          <w:tab w:val="num" w:pos="567"/>
        </w:tabs>
        <w:ind w:left="567" w:hanging="567"/>
        <w:rPr>
          <w:noProof/>
        </w:rPr>
      </w:pPr>
      <w:bookmarkStart w:id="142" w:name="_Ref349574005"/>
      <w:bookmarkStart w:id="143" w:name="_Toc483992777"/>
      <w:r>
        <w:rPr>
          <w:noProof/>
        </w:rPr>
        <w:t>Introduction and exporting decision tree</w:t>
      </w:r>
      <w:bookmarkEnd w:id="142"/>
      <w:bookmarkEnd w:id="143"/>
      <w:r>
        <w:rPr>
          <w:noProof/>
        </w:rPr>
        <w:t xml:space="preserve"> </w:t>
      </w:r>
    </w:p>
    <w:p w:rsidR="0037666B" w:rsidRDefault="00C627B8">
      <w:pPr>
        <w:pStyle w:val="BodyText"/>
        <w:spacing w:after="240"/>
        <w:rPr>
          <w:i w:val="0"/>
          <w:noProof/>
          <w:szCs w:val="24"/>
        </w:rPr>
      </w:pPr>
      <w:r>
        <w:rPr>
          <w:i w:val="0"/>
          <w:noProof/>
          <w:szCs w:val="24"/>
        </w:rPr>
        <w:t>This section presents a model for estimating the costs associated with the curren</w:t>
      </w:r>
      <w:r>
        <w:rPr>
          <w:i w:val="0"/>
          <w:noProof/>
          <w:szCs w:val="24"/>
        </w:rPr>
        <w:t xml:space="preserve">t sub-optimal functioning of the Mutual Recognition principle. </w:t>
      </w:r>
    </w:p>
    <w:p w:rsidR="0037666B" w:rsidRDefault="00C627B8">
      <w:pPr>
        <w:pStyle w:val="BodyText"/>
        <w:spacing w:after="240"/>
        <w:rPr>
          <w:i w:val="0"/>
          <w:noProof/>
          <w:szCs w:val="24"/>
        </w:rPr>
      </w:pPr>
      <w:r>
        <w:rPr>
          <w:i w:val="0"/>
          <w:noProof/>
          <w:szCs w:val="24"/>
        </w:rPr>
        <w:t>The approach adopted is innovative. No previous studies could be found that model or calculate costs arising from the current sub-optimal functioning of the Mutual Recognition principle</w:t>
      </w:r>
      <w:r>
        <w:rPr>
          <w:i w:val="0"/>
          <w:noProof/>
          <w:szCs w:val="24"/>
          <w:vertAlign w:val="superscript"/>
        </w:rPr>
        <w:t xml:space="preserve"> </w:t>
      </w:r>
      <w:r>
        <w:rPr>
          <w:i w:val="0"/>
          <w:noProof/>
          <w:szCs w:val="24"/>
          <w:vertAlign w:val="superscript"/>
        </w:rPr>
        <w:footnoteReference w:id="142"/>
      </w:r>
      <w:r>
        <w:rPr>
          <w:i w:val="0"/>
          <w:noProof/>
          <w:szCs w:val="24"/>
        </w:rPr>
        <w:t xml:space="preserve">. In </w:t>
      </w:r>
      <w:r>
        <w:rPr>
          <w:i w:val="0"/>
          <w:noProof/>
          <w:szCs w:val="24"/>
        </w:rPr>
        <w:t>2003 Pelkmans</w:t>
      </w:r>
      <w:r>
        <w:rPr>
          <w:i w:val="0"/>
          <w:noProof/>
          <w:szCs w:val="24"/>
          <w:vertAlign w:val="superscript"/>
        </w:rPr>
        <w:footnoteReference w:id="143"/>
      </w:r>
      <w:r>
        <w:rPr>
          <w:i w:val="0"/>
          <w:noProof/>
          <w:szCs w:val="24"/>
        </w:rPr>
        <w:t xml:space="preserve"> identified three core costs – information, transaction and compliance.  These elements are utilised and further developed in this study. Pelkmans also identified that there will also be waiting costs associated with the ‘</w:t>
      </w:r>
      <w:r>
        <w:rPr>
          <w:i w:val="0"/>
          <w:noProof/>
          <w:szCs w:val="24"/>
          <w:lang w:val="en-US"/>
        </w:rPr>
        <w:t>number of products w</w:t>
      </w:r>
      <w:r>
        <w:rPr>
          <w:i w:val="0"/>
          <w:noProof/>
          <w:szCs w:val="24"/>
          <w:lang w:val="en-US"/>
        </w:rPr>
        <w:t>aiting for EU regulation before free movement could become a reality for business’</w:t>
      </w:r>
      <w:r>
        <w:rPr>
          <w:i w:val="0"/>
          <w:noProof/>
          <w:szCs w:val="24"/>
          <w:vertAlign w:val="superscript"/>
          <w:lang w:val="en-US"/>
        </w:rPr>
        <w:footnoteReference w:id="144"/>
      </w:r>
      <w:r>
        <w:rPr>
          <w:i w:val="0"/>
          <w:noProof/>
          <w:szCs w:val="24"/>
          <w:lang w:val="en-US"/>
        </w:rPr>
        <w:t>.  These are included in the model as ‘Costs of delayed market entry’. Discussions with Pelkmans have identified that these elements are as relevant now as they were when hi</w:t>
      </w:r>
      <w:r>
        <w:rPr>
          <w:i w:val="0"/>
          <w:noProof/>
          <w:szCs w:val="24"/>
          <w:lang w:val="en-US"/>
        </w:rPr>
        <w:t>s conceptual study was completed in 2003.</w:t>
      </w:r>
    </w:p>
    <w:p w:rsidR="0037666B" w:rsidRDefault="00C627B8">
      <w:pPr>
        <w:pStyle w:val="BodyText"/>
        <w:spacing w:after="240"/>
        <w:rPr>
          <w:i w:val="0"/>
          <w:noProof/>
          <w:szCs w:val="24"/>
        </w:rPr>
      </w:pPr>
      <w:r>
        <w:rPr>
          <w:i w:val="0"/>
          <w:noProof/>
          <w:szCs w:val="24"/>
        </w:rPr>
        <w:t>The previous section presented a number of options for enterprises to follow in order to export products.  Figure A4-10 provides a decision tree diagram to represent the route that enterprises can follow when decid</w:t>
      </w:r>
      <w:r>
        <w:rPr>
          <w:i w:val="0"/>
          <w:noProof/>
          <w:szCs w:val="24"/>
        </w:rPr>
        <w:t>ing not to export or when entering another EU Member State market with a product not covered by the Mutual Recognition principle.</w:t>
      </w: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C627B8">
      <w:pPr>
        <w:pStyle w:val="Caption"/>
        <w:spacing w:before="0" w:after="240"/>
        <w:rPr>
          <w:noProof/>
          <w:szCs w:val="24"/>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10</w:t>
      </w:r>
      <w:r>
        <w:rPr>
          <w:noProof/>
          <w:szCs w:val="24"/>
        </w:rPr>
        <w:fldChar w:fldCharType="end"/>
      </w:r>
      <w:r>
        <w:rPr>
          <w:noProof/>
          <w:szCs w:val="24"/>
        </w:rPr>
        <w:t>. Decision tree diagram for export decisions associated with products not covered by</w:t>
      </w:r>
      <w:r>
        <w:rPr>
          <w:noProof/>
          <w:szCs w:val="24"/>
        </w:rPr>
        <w:t xml:space="preserve"> the Mutual Recognition principle</w:t>
      </w:r>
    </w:p>
    <w:p w:rsidR="0037666B" w:rsidRDefault="00C627B8">
      <w:pPr>
        <w:pStyle w:val="BodyText"/>
        <w:spacing w:after="240"/>
        <w:jc w:val="center"/>
        <w:rPr>
          <w:i w:val="0"/>
          <w:noProof/>
          <w:szCs w:val="24"/>
        </w:rPr>
      </w:pPr>
      <w:r>
        <w:rPr>
          <w:i w:val="0"/>
          <w:noProof/>
          <w:szCs w:val="24"/>
          <w:lang w:eastAsia="en-GB"/>
        </w:rPr>
        <w:drawing>
          <wp:inline distT="0" distB="0" distL="0" distR="0">
            <wp:extent cx="5325143" cy="3743960"/>
            <wp:effectExtent l="25400" t="25400" r="34290" b="15240"/>
            <wp:docPr id="3" name="Picture 3" descr="Macintosh HD:Users:pdfoley:Desktop:Screen Shot 2017-02-24 at 10.2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dfoley:Desktop:Screen Shot 2017-02-24 at 10.27.2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7486" cy="3745607"/>
                    </a:xfrm>
                    <a:prstGeom prst="rect">
                      <a:avLst/>
                    </a:prstGeom>
                    <a:noFill/>
                    <a:ln>
                      <a:solidFill>
                        <a:schemeClr val="tx1">
                          <a:lumMod val="50000"/>
                          <a:lumOff val="50000"/>
                        </a:schemeClr>
                      </a:solidFill>
                    </a:ln>
                  </pic:spPr>
                </pic:pic>
              </a:graphicData>
            </a:graphic>
          </wp:inline>
        </w:drawing>
      </w:r>
    </w:p>
    <w:p w:rsidR="0037666B" w:rsidRDefault="00C627B8">
      <w:pPr>
        <w:pStyle w:val="BodyText"/>
        <w:spacing w:after="240"/>
        <w:rPr>
          <w:i w:val="0"/>
          <w:noProof/>
          <w:szCs w:val="24"/>
        </w:rPr>
      </w:pPr>
      <w:r>
        <w:rPr>
          <w:i w:val="0"/>
          <w:noProof/>
          <w:szCs w:val="24"/>
        </w:rPr>
        <w:t>The decision tree captures the three main options (and subsequent steps) that an enterprise undertaking intra-EU exports of partial or non-harmonised products needs to consider.  These key options are incorporated in the</w:t>
      </w:r>
      <w:r>
        <w:rPr>
          <w:i w:val="0"/>
          <w:noProof/>
          <w:szCs w:val="24"/>
        </w:rPr>
        <w:t xml:space="preserve"> model developed within this section.  The model provides a representation for an enterprise considering intra-EU exporting of one product in one EU Member State</w:t>
      </w:r>
      <w:r>
        <w:rPr>
          <w:rStyle w:val="FootnoteReference"/>
          <w:i w:val="0"/>
          <w:noProof/>
          <w:szCs w:val="24"/>
        </w:rPr>
        <w:footnoteReference w:id="145"/>
      </w:r>
      <w:r>
        <w:rPr>
          <w:i w:val="0"/>
          <w:noProof/>
          <w:szCs w:val="24"/>
        </w:rPr>
        <w:t>, this includes: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Market entry decision</w:t>
      </w:r>
      <w:r>
        <w:rPr>
          <w:rFonts w:ascii="Times New Roman" w:hAnsi="Times New Roman"/>
          <w:noProof/>
          <w:sz w:val="24"/>
          <w:szCs w:val="24"/>
        </w:rPr>
        <w:t xml:space="preserve"> – The starting point for figure A4-10 is the considerat</w:t>
      </w:r>
      <w:r>
        <w:rPr>
          <w:rFonts w:ascii="Times New Roman" w:hAnsi="Times New Roman"/>
          <w:noProof/>
          <w:sz w:val="24"/>
          <w:szCs w:val="24"/>
        </w:rPr>
        <w:t>ion by an enterprise to export.  At that point they can decide to proceed and incur time and other costs before entering a market.  Alternatively, they can decide not to attempt to export, these decisions will generally be underpinned by economic rationale</w:t>
      </w:r>
      <w:r>
        <w:rPr>
          <w:rFonts w:ascii="Times New Roman" w:hAnsi="Times New Roman"/>
          <w:noProof/>
          <w:sz w:val="24"/>
          <w:szCs w:val="24"/>
        </w:rPr>
        <w:t xml:space="preserve"> (e.g. the perceived costs of exporting do not offer sufficient rewards) or enterprise staff may not welcome the risk or other pressures of exporting.  </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If an enterprise decides to export they can follow one of two routes.  Adjust their products to meet th</w:t>
      </w:r>
      <w:r>
        <w:rPr>
          <w:rFonts w:ascii="Times New Roman" w:hAnsi="Times New Roman"/>
          <w:noProof/>
          <w:sz w:val="24"/>
          <w:szCs w:val="24"/>
        </w:rPr>
        <w:t>e requirements of the Member State markets they want to enter.  Even if this strategy is followed the enterprise will have to demonstrate to national authorities that their product does meet the requirements of the Member State targeted for exporting.</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Demo</w:t>
      </w:r>
      <w:r>
        <w:rPr>
          <w:rFonts w:ascii="Times New Roman" w:hAnsi="Times New Roman"/>
          <w:b/>
          <w:noProof/>
          <w:sz w:val="24"/>
          <w:szCs w:val="24"/>
        </w:rPr>
        <w:t>nstrating meeting regulatory requirements</w:t>
      </w:r>
      <w:r>
        <w:rPr>
          <w:rFonts w:ascii="Times New Roman" w:hAnsi="Times New Roman"/>
          <w:noProof/>
          <w:sz w:val="24"/>
          <w:szCs w:val="24"/>
        </w:rPr>
        <w:t xml:space="preserve"> (action 2 in decision tree graphic) – Interviews are ongoing with enterprises to provide insight on how they meet regulatory requirements. As noted previously Pelkmans identified three components to this action.  A</w:t>
      </w:r>
      <w:r>
        <w:rPr>
          <w:rFonts w:ascii="Times New Roman" w:hAnsi="Times New Roman"/>
          <w:noProof/>
          <w:sz w:val="24"/>
          <w:szCs w:val="24"/>
        </w:rPr>
        <w:t xml:space="preserve"> two-stage process is usually evident.  Firstly, this option requires an assessment of information about Mutual Recognition principles for their product and the requirements for the target Market State (Pelkmans described these as ‘information costs’).  Th</w:t>
      </w:r>
      <w:r>
        <w:rPr>
          <w:rFonts w:ascii="Times New Roman" w:hAnsi="Times New Roman"/>
          <w:noProof/>
          <w:sz w:val="24"/>
          <w:szCs w:val="24"/>
        </w:rPr>
        <w:t>ere was a relatively high level of agreement amongst those interviewed that this, on average, takes between 10 and 30 hours for a single product. However, some larger businesses with many products reported undertaking continual monitoring of relevant infor</w:t>
      </w:r>
      <w:r>
        <w:rPr>
          <w:rFonts w:ascii="Times New Roman" w:hAnsi="Times New Roman"/>
          <w:noProof/>
          <w:sz w:val="24"/>
          <w:szCs w:val="24"/>
        </w:rPr>
        <w:t>mation.</w:t>
      </w:r>
    </w:p>
    <w:p w:rsidR="0037666B" w:rsidRDefault="00C627B8">
      <w:pPr>
        <w:pStyle w:val="Bulletpoint1"/>
        <w:spacing w:after="240"/>
        <w:ind w:left="567"/>
        <w:rPr>
          <w:rFonts w:ascii="Times New Roman" w:hAnsi="Times New Roman"/>
          <w:noProof/>
          <w:sz w:val="24"/>
          <w:szCs w:val="24"/>
        </w:rPr>
      </w:pPr>
      <w:r>
        <w:rPr>
          <w:rFonts w:ascii="Times New Roman" w:hAnsi="Times New Roman"/>
          <w:noProof/>
          <w:sz w:val="24"/>
          <w:szCs w:val="24"/>
        </w:rPr>
        <w:t>The second step is demonstrating to relevant authorities that the product can be sold lawfully in another Member State – Pelkmans described these as ‘transaction costs’.  Interviewees suggested that this took between 30 and 50 hours.  Pelkmans note</w:t>
      </w:r>
      <w:r>
        <w:rPr>
          <w:rFonts w:ascii="Times New Roman" w:hAnsi="Times New Roman"/>
          <w:noProof/>
          <w:sz w:val="24"/>
          <w:szCs w:val="24"/>
        </w:rPr>
        <w:t>d that undertaking these two activities should usually ensure that the third component identified – compliance costs; associated with judicial presentation or review – should be avoided.  None of the businesses interviewed in connection with the decision t</w:t>
      </w:r>
      <w:r>
        <w:rPr>
          <w:rFonts w:ascii="Times New Roman" w:hAnsi="Times New Roman"/>
          <w:noProof/>
          <w:sz w:val="24"/>
          <w:szCs w:val="24"/>
        </w:rPr>
        <w:t>ree model had incurred judicial costs.  Since these judicial costs can usually be avoided by incurring ‘information’ and ‘transaction’ costs these are not included in the model.</w:t>
      </w:r>
    </w:p>
    <w:p w:rsidR="0037666B" w:rsidRDefault="00C627B8">
      <w:pPr>
        <w:pStyle w:val="Bulletpoint1"/>
        <w:spacing w:after="240"/>
        <w:ind w:left="567"/>
        <w:rPr>
          <w:rFonts w:ascii="Times New Roman" w:hAnsi="Times New Roman"/>
          <w:noProof/>
          <w:sz w:val="24"/>
          <w:szCs w:val="24"/>
        </w:rPr>
      </w:pPr>
      <w:r>
        <w:rPr>
          <w:rFonts w:ascii="Times New Roman" w:hAnsi="Times New Roman"/>
          <w:noProof/>
          <w:sz w:val="24"/>
          <w:szCs w:val="24"/>
        </w:rPr>
        <w:t>At the average personnel costs quoted by enterprises (€60 per hour) the maximu</w:t>
      </w:r>
      <w:r>
        <w:rPr>
          <w:rFonts w:ascii="Times New Roman" w:hAnsi="Times New Roman"/>
          <w:noProof/>
          <w:sz w:val="24"/>
          <w:szCs w:val="24"/>
        </w:rPr>
        <w:t>m time period of 80 hours (30 hours for information costs and 50 hours for transaction costs) equates to a cost of €4,800 per enterprise (per product per Member State). In the model this value can be adjusted, the default value is €4,800.</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Adjusting the pro</w:t>
      </w:r>
      <w:r>
        <w:rPr>
          <w:rFonts w:ascii="Times New Roman" w:hAnsi="Times New Roman"/>
          <w:b/>
          <w:noProof/>
          <w:sz w:val="24"/>
          <w:szCs w:val="24"/>
        </w:rPr>
        <w:t>duct to meet market requirements</w:t>
      </w:r>
      <w:r>
        <w:rPr>
          <w:rFonts w:ascii="Times New Roman" w:hAnsi="Times New Roman"/>
          <w:noProof/>
          <w:sz w:val="24"/>
          <w:szCs w:val="24"/>
        </w:rPr>
        <w:t xml:space="preserve"> (action 3 in decision tree graphic) –  As noted above interviews are ongoing with enterprises to provide an insight to how many adjust products and the cost of adjusting products.  Interviewees found it difficult to provide</w:t>
      </w:r>
      <w:r>
        <w:rPr>
          <w:rFonts w:ascii="Times New Roman" w:hAnsi="Times New Roman"/>
          <w:noProof/>
          <w:sz w:val="24"/>
          <w:szCs w:val="24"/>
        </w:rPr>
        <w:t xml:space="preserve"> a precise cost for adjusting products due to different circumstances and the adjustments required.  But the average estimate was two per cent of production costs.  In the model this value can be adjusted, the default value is €16,800</w:t>
      </w:r>
      <w:r>
        <w:rPr>
          <w:rStyle w:val="FootnoteReference"/>
          <w:rFonts w:ascii="Times New Roman" w:hAnsi="Times New Roman"/>
          <w:noProof/>
          <w:sz w:val="24"/>
          <w:szCs w:val="24"/>
        </w:rPr>
        <w:footnoteReference w:id="146"/>
      </w:r>
      <w:r>
        <w:rPr>
          <w:rFonts w:ascii="Times New Roman" w:hAnsi="Times New Roman"/>
          <w:noProof/>
          <w:sz w:val="24"/>
          <w:szCs w:val="24"/>
        </w:rPr>
        <w:t>.</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noProof/>
          <w:sz w:val="24"/>
          <w:szCs w:val="24"/>
        </w:rPr>
        <w:t>After adjusting the</w:t>
      </w:r>
      <w:r>
        <w:rPr>
          <w:rFonts w:ascii="Times New Roman" w:hAnsi="Times New Roman"/>
          <w:noProof/>
          <w:sz w:val="24"/>
          <w:szCs w:val="24"/>
        </w:rPr>
        <w:t xml:space="preserve"> product an enterprise would still need to demonstrate to relevant authorities that the product can be sold lawfully in another Member State (hence the arrow ‘feeding back’ to the preceding element (demonstrating meetings regulatory requirements) of the de</w:t>
      </w:r>
      <w:r>
        <w:rPr>
          <w:rFonts w:ascii="Times New Roman" w:hAnsi="Times New Roman"/>
          <w:noProof/>
          <w:sz w:val="24"/>
          <w:szCs w:val="24"/>
        </w:rPr>
        <w:t xml:space="preserve">cision tree in figure A4-10. </w:t>
      </w:r>
    </w:p>
    <w:p w:rsidR="0037666B" w:rsidRDefault="00C627B8">
      <w:pPr>
        <w:pStyle w:val="BodyText"/>
        <w:spacing w:after="240"/>
        <w:rPr>
          <w:i w:val="0"/>
          <w:noProof/>
          <w:szCs w:val="24"/>
        </w:rPr>
      </w:pPr>
      <w:r>
        <w:rPr>
          <w:i w:val="0"/>
          <w:noProof/>
          <w:szCs w:val="24"/>
        </w:rPr>
        <w:t>However, it is possible that after undertaking product adjustments that the enterprise may decide not to continue.  Hence the vertical ‘no’ arrow in figure A4-10 which indicates a ‘lost opportunity’</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Cost of delayed market entr</w:t>
      </w:r>
      <w:r>
        <w:rPr>
          <w:rFonts w:ascii="Times New Roman" w:hAnsi="Times New Roman"/>
          <w:b/>
          <w:noProof/>
          <w:sz w:val="24"/>
          <w:szCs w:val="24"/>
        </w:rPr>
        <w:t>y</w:t>
      </w:r>
      <w:r>
        <w:rPr>
          <w:rFonts w:ascii="Times New Roman" w:hAnsi="Times New Roman"/>
          <w:noProof/>
          <w:sz w:val="24"/>
          <w:szCs w:val="24"/>
        </w:rPr>
        <w:t xml:space="preserve"> (action 4 in decision tree graphic) – The preceding elements take time and prevent immediate entry to the market.  Enterprises suggest the average length of delay is about a month.  They also report that the average cost of delay is between one and ten p</w:t>
      </w:r>
      <w:r>
        <w:rPr>
          <w:rFonts w:ascii="Times New Roman" w:hAnsi="Times New Roman"/>
          <w:noProof/>
          <w:sz w:val="24"/>
          <w:szCs w:val="24"/>
        </w:rPr>
        <w:t>er cent of turnover, the average value is four per cent.  In the model this value can be adjusted, the default value is €8,600</w:t>
      </w:r>
      <w:r>
        <w:rPr>
          <w:rStyle w:val="FootnoteReference"/>
          <w:rFonts w:ascii="Times New Roman" w:hAnsi="Times New Roman"/>
          <w:noProof/>
          <w:sz w:val="24"/>
          <w:szCs w:val="24"/>
        </w:rPr>
        <w:footnoteReference w:id="147"/>
      </w:r>
      <w:r>
        <w:rPr>
          <w:rFonts w:ascii="Times New Roman" w:hAnsi="Times New Roman"/>
          <w:noProof/>
          <w:sz w:val="24"/>
          <w:szCs w:val="24"/>
        </w:rPr>
        <w:t>.</w:t>
      </w:r>
    </w:p>
    <w:p w:rsidR="0037666B" w:rsidRDefault="00C627B8">
      <w:pPr>
        <w:pStyle w:val="Bulletpoint1"/>
        <w:spacing w:after="240"/>
        <w:rPr>
          <w:rFonts w:ascii="Times New Roman" w:hAnsi="Times New Roman"/>
          <w:noProof/>
          <w:sz w:val="24"/>
          <w:szCs w:val="24"/>
        </w:rPr>
      </w:pPr>
      <w:r>
        <w:rPr>
          <w:rFonts w:ascii="Times New Roman" w:hAnsi="Times New Roman"/>
          <w:noProof/>
          <w:sz w:val="24"/>
          <w:szCs w:val="24"/>
        </w:rPr>
        <w:t>The preceding elements of the decision tree model have focused on the costs for businesses that decide to try and enter a marke</w:t>
      </w:r>
      <w:r>
        <w:rPr>
          <w:rFonts w:ascii="Times New Roman" w:hAnsi="Times New Roman"/>
          <w:noProof/>
          <w:sz w:val="24"/>
          <w:szCs w:val="24"/>
        </w:rPr>
        <w:t xml:space="preserve">t.  Fairly robust insights to these costs have been obtained from businesses.  </w:t>
      </w:r>
    </w:p>
    <w:p w:rsidR="0037666B" w:rsidRDefault="00C627B8">
      <w:pPr>
        <w:pStyle w:val="Bulletpoint1"/>
        <w:spacing w:after="240"/>
        <w:rPr>
          <w:rFonts w:ascii="Times New Roman" w:hAnsi="Times New Roman"/>
          <w:noProof/>
          <w:sz w:val="24"/>
          <w:szCs w:val="24"/>
        </w:rPr>
      </w:pPr>
      <w:r>
        <w:rPr>
          <w:rFonts w:ascii="Times New Roman" w:hAnsi="Times New Roman"/>
          <w:noProof/>
          <w:sz w:val="24"/>
          <w:szCs w:val="24"/>
        </w:rPr>
        <w:t>A further significant element that needs to be considered is the potential lost opportunity to those businesses that decide not to try and enter markets.  These costs (from a l</w:t>
      </w:r>
      <w:r>
        <w:rPr>
          <w:rFonts w:ascii="Times New Roman" w:hAnsi="Times New Roman"/>
          <w:noProof/>
          <w:sz w:val="24"/>
          <w:szCs w:val="24"/>
        </w:rPr>
        <w:t>ost opportunity) are independent from those of the business that do export and should regarded separately.</w:t>
      </w:r>
    </w:p>
    <w:p w:rsidR="0037666B" w:rsidRDefault="00C627B8">
      <w:pPr>
        <w:pStyle w:val="Bulletpoint1"/>
        <w:spacing w:after="240"/>
        <w:rPr>
          <w:rFonts w:ascii="Times New Roman" w:hAnsi="Times New Roman"/>
          <w:noProof/>
          <w:sz w:val="24"/>
          <w:szCs w:val="24"/>
        </w:rPr>
      </w:pPr>
      <w:r>
        <w:rPr>
          <w:rFonts w:ascii="Times New Roman" w:hAnsi="Times New Roman"/>
          <w:noProof/>
          <w:sz w:val="24"/>
          <w:szCs w:val="24"/>
        </w:rPr>
        <w:t>Lost opportunity costs are much harder to estimate.  The majority of businesses in most sectors do not export for a wide variety of reasons.  The pro</w:t>
      </w:r>
      <w:r>
        <w:rPr>
          <w:rFonts w:ascii="Times New Roman" w:hAnsi="Times New Roman"/>
          <w:noProof/>
          <w:sz w:val="24"/>
          <w:szCs w:val="24"/>
        </w:rPr>
        <w:t>portion of businesses deciding not to export due to one reason - the sub-optimal functioning of the Mutual Recognition principle - is very difficult to estimate.  Nonetheless, for completeness this study provides a transparent estimate of the possible numb</w:t>
      </w:r>
      <w:r>
        <w:rPr>
          <w:rFonts w:ascii="Times New Roman" w:hAnsi="Times New Roman"/>
          <w:noProof/>
          <w:sz w:val="24"/>
          <w:szCs w:val="24"/>
        </w:rPr>
        <w:t>er of businesses and the value of lost trade.  These subjective assumptions are explicitly presented below and the spread sheet model enables relevant values to be adjusted to enable sensitivity analysis.</w:t>
      </w:r>
    </w:p>
    <w:p w:rsidR="0037666B" w:rsidRDefault="00C627B8">
      <w:pPr>
        <w:pStyle w:val="Bulletpoint1"/>
        <w:numPr>
          <w:ilvl w:val="0"/>
          <w:numId w:val="22"/>
        </w:numPr>
        <w:spacing w:after="240"/>
        <w:ind w:left="567" w:hanging="567"/>
        <w:rPr>
          <w:rFonts w:ascii="Times New Roman" w:hAnsi="Times New Roman"/>
          <w:noProof/>
          <w:sz w:val="24"/>
          <w:szCs w:val="24"/>
        </w:rPr>
      </w:pPr>
      <w:r>
        <w:rPr>
          <w:rFonts w:ascii="Times New Roman" w:hAnsi="Times New Roman"/>
          <w:b/>
          <w:noProof/>
          <w:sz w:val="24"/>
          <w:szCs w:val="24"/>
        </w:rPr>
        <w:t>Lost opportunity</w:t>
      </w:r>
      <w:r>
        <w:rPr>
          <w:rFonts w:ascii="Times New Roman" w:hAnsi="Times New Roman"/>
          <w:noProof/>
          <w:sz w:val="24"/>
          <w:szCs w:val="24"/>
        </w:rPr>
        <w:t xml:space="preserve"> (action 1 in decision tree graphic</w:t>
      </w:r>
      <w:r>
        <w:rPr>
          <w:rFonts w:ascii="Times New Roman" w:hAnsi="Times New Roman"/>
          <w:noProof/>
          <w:sz w:val="24"/>
          <w:szCs w:val="24"/>
        </w:rPr>
        <w:t>) – Lost opportunity is difficult to investigate because it represents the outcome of a ‘do nothing’ option.  However, logic would dictate that if rewards were high enough all enterprises would do something.  Therefore the enterprises that ‘do nothing’ are</w:t>
      </w:r>
      <w:r>
        <w:rPr>
          <w:rFonts w:ascii="Times New Roman" w:hAnsi="Times New Roman"/>
          <w:noProof/>
          <w:sz w:val="24"/>
          <w:szCs w:val="24"/>
        </w:rPr>
        <w:t xml:space="preserve"> probably those that predict that perceived costs of the preceding elements (actions 2 and 3) will be greater than the benefits they might receive, plus a small ‘premium for the risk’ of ‘doing something’.  </w:t>
      </w:r>
    </w:p>
    <w:p w:rsidR="0037666B" w:rsidRDefault="00C627B8">
      <w:pPr>
        <w:pStyle w:val="BodyText"/>
        <w:spacing w:after="240"/>
        <w:rPr>
          <w:i w:val="0"/>
          <w:noProof/>
          <w:szCs w:val="24"/>
        </w:rPr>
      </w:pPr>
      <w:r>
        <w:rPr>
          <w:i w:val="0"/>
          <w:noProof/>
          <w:szCs w:val="24"/>
        </w:rPr>
        <w:t>Enterprises suggest their estimate of lost oppor</w:t>
      </w:r>
      <w:r>
        <w:rPr>
          <w:i w:val="0"/>
          <w:noProof/>
          <w:szCs w:val="24"/>
        </w:rPr>
        <w:t xml:space="preserve">tunities was between one and ten per cent of turnover, with an average value of 3.5 per cent of turnover.  This represents an average value for of intra-EU exporting enterprises of €7,525 per annum.  </w:t>
      </w:r>
    </w:p>
    <w:p w:rsidR="0037666B" w:rsidRDefault="00C627B8">
      <w:pPr>
        <w:pStyle w:val="BodyText"/>
        <w:spacing w:after="240"/>
        <w:rPr>
          <w:i w:val="0"/>
          <w:noProof/>
          <w:szCs w:val="24"/>
        </w:rPr>
      </w:pPr>
      <w:r>
        <w:rPr>
          <w:i w:val="0"/>
          <w:noProof/>
          <w:szCs w:val="24"/>
        </w:rPr>
        <w:t>The other difficulty concerning ‘lost opportunities’ is</w:t>
      </w:r>
      <w:r>
        <w:rPr>
          <w:i w:val="0"/>
          <w:noProof/>
          <w:szCs w:val="24"/>
        </w:rPr>
        <w:t xml:space="preserve"> the number of enterprises that might have seriously considered exporting.  The average number of enterprises undertaking intra-EU exporting of non-harmonised products is 14.7 per cent (262,940 enterprises).  Clearly it would not be reasonable to assume th</w:t>
      </w:r>
      <w:r>
        <w:rPr>
          <w:i w:val="0"/>
          <w:noProof/>
          <w:szCs w:val="24"/>
        </w:rPr>
        <w:t>at the remaining 85.3 per cent (approx. 1,520,000) of enterprises producing non-harmonised products but not exporting should be included in ‘lost opportunity’ calculations.  Interviews with enterprises did not provide an insight to their perceptions of los</w:t>
      </w:r>
      <w:r>
        <w:rPr>
          <w:i w:val="0"/>
          <w:noProof/>
          <w:szCs w:val="24"/>
        </w:rPr>
        <w:t>t opportunity because those willing to respond were all exporters.  The model therefore assumes that the number of enterprises seriously considering intra-EU exporting, but deciding not to go ahead, will be twice the number that actually do export.  In the</w:t>
      </w:r>
      <w:r>
        <w:rPr>
          <w:i w:val="0"/>
          <w:noProof/>
          <w:szCs w:val="24"/>
        </w:rPr>
        <w:t xml:space="preserve"> model the number of enterprises that incur a ‘lost opportunity’ is set at 29 per cent (twice the 14.7 per cent that export; 441,000 enterprises) of non-harmonised producing enterprises that do not export, this value can be adjusted in the model.     </w:t>
      </w:r>
    </w:p>
    <w:p w:rsidR="0037666B" w:rsidRDefault="00C627B8">
      <w:pPr>
        <w:pStyle w:val="BodyText"/>
        <w:spacing w:after="240"/>
        <w:rPr>
          <w:i w:val="0"/>
          <w:noProof/>
          <w:szCs w:val="24"/>
          <w:lang w:val="en-US"/>
        </w:rPr>
      </w:pPr>
      <w:r>
        <w:rPr>
          <w:i w:val="0"/>
          <w:noProof/>
          <w:szCs w:val="24"/>
        </w:rPr>
        <w:t xml:space="preserve">The </w:t>
      </w:r>
      <w:r>
        <w:rPr>
          <w:i w:val="0"/>
          <w:noProof/>
          <w:szCs w:val="24"/>
        </w:rPr>
        <w:t>decision tree has been developed into a model that can be adjusted (for the key components documented above, in a manner similar to sensitivity analysis), to estimate the costs of sub-optimal functioning of the Mutual Recognition principle.  The methodolog</w:t>
      </w:r>
      <w:r>
        <w:rPr>
          <w:i w:val="0"/>
          <w:noProof/>
          <w:szCs w:val="24"/>
        </w:rPr>
        <w:t xml:space="preserve">y is founded on the analysis of the value of intra EU exports (in non-harmonised products) presented in the preceding chapter.  Previous analysis in this study focused on the </w:t>
      </w:r>
      <w:r>
        <w:rPr>
          <w:i w:val="0"/>
          <w:noProof/>
          <w:szCs w:val="24"/>
          <w:lang w:val="en-US"/>
        </w:rPr>
        <w:t>Standard International Trade Classification (a classification of goods used to cl</w:t>
      </w:r>
      <w:r>
        <w:rPr>
          <w:i w:val="0"/>
          <w:noProof/>
          <w:szCs w:val="24"/>
          <w:lang w:val="en-US"/>
        </w:rPr>
        <w:t xml:space="preserve">assify the exports and imports - SITC).  Data related to this classification did not provide an accurate insight into the number of enterprises in the sectors or the proportion undertaking Intra-EU exporting.  </w:t>
      </w:r>
    </w:p>
    <w:p w:rsidR="0037666B" w:rsidRDefault="00C627B8">
      <w:pPr>
        <w:pStyle w:val="BodyText"/>
        <w:spacing w:after="240"/>
        <w:rPr>
          <w:i w:val="0"/>
          <w:noProof/>
          <w:szCs w:val="24"/>
          <w:lang w:val="en-US"/>
        </w:rPr>
      </w:pPr>
      <w:r>
        <w:rPr>
          <w:i w:val="0"/>
          <w:noProof/>
          <w:szCs w:val="24"/>
          <w:lang w:val="en-US"/>
        </w:rPr>
        <w:t>The decision tree has been developed into a m</w:t>
      </w:r>
      <w:r>
        <w:rPr>
          <w:i w:val="0"/>
          <w:noProof/>
          <w:szCs w:val="24"/>
          <w:lang w:val="en-US"/>
        </w:rPr>
        <w:t>odel that can be adjusted (for the key components documented above, in a manner similar to sensitivity analysis), to estimate the cost of sub-optimal functioning of the Mutual Recognition principle.  The methodology is founded on analysis of the value of i</w:t>
      </w:r>
      <w:r>
        <w:rPr>
          <w:i w:val="0"/>
          <w:noProof/>
          <w:szCs w:val="24"/>
          <w:lang w:val="en-US"/>
        </w:rPr>
        <w:t>ntra EU exports (in non-harmonised products) presented in the preceding chapter.  Previous analysis in this study (submitted in December 2016) focused on the Standard International Trade Classification (a classification of goods used to classify the export</w:t>
      </w:r>
      <w:r>
        <w:rPr>
          <w:i w:val="0"/>
          <w:noProof/>
          <w:szCs w:val="24"/>
          <w:lang w:val="en-US"/>
        </w:rPr>
        <w:t>s and imports - SITC).  Data related to this classification did not provide an accurate insight into the number of enterprises in the sectors or the proportion undertaking Intra-EU exporting.</w:t>
      </w:r>
    </w:p>
    <w:p w:rsidR="0037666B" w:rsidRDefault="00C627B8">
      <w:pPr>
        <w:pStyle w:val="BodyText"/>
        <w:spacing w:after="240"/>
        <w:rPr>
          <w:i w:val="0"/>
          <w:noProof/>
          <w:szCs w:val="24"/>
          <w:lang w:val="en-US"/>
        </w:rPr>
      </w:pPr>
      <w:r>
        <w:rPr>
          <w:i w:val="0"/>
          <w:noProof/>
          <w:szCs w:val="24"/>
          <w:lang w:val="en-US"/>
        </w:rPr>
        <w:t>The current approach therefore uses the s</w:t>
      </w:r>
      <w:r>
        <w:rPr>
          <w:bCs/>
          <w:i w:val="0"/>
          <w:noProof/>
          <w:szCs w:val="24"/>
          <w:lang w:val="en-US"/>
        </w:rPr>
        <w:t>tatistical classificati</w:t>
      </w:r>
      <w:r>
        <w:rPr>
          <w:bCs/>
          <w:i w:val="0"/>
          <w:noProof/>
          <w:szCs w:val="24"/>
          <w:lang w:val="en-US"/>
        </w:rPr>
        <w:t>on of economic activities in the European Community</w:t>
      </w:r>
      <w:r>
        <w:rPr>
          <w:i w:val="0"/>
          <w:noProof/>
          <w:szCs w:val="24"/>
          <w:lang w:val="en-US"/>
        </w:rPr>
        <w:t xml:space="preserve">, abbreviated as </w:t>
      </w:r>
      <w:r>
        <w:rPr>
          <w:bCs/>
          <w:i w:val="0"/>
          <w:noProof/>
          <w:szCs w:val="24"/>
          <w:lang w:val="en-US"/>
        </w:rPr>
        <w:t>NACE</w:t>
      </w:r>
      <w:r>
        <w:rPr>
          <w:rStyle w:val="FootnoteReference"/>
          <w:bCs/>
          <w:i w:val="0"/>
          <w:noProof/>
          <w:szCs w:val="24"/>
          <w:lang w:val="en-US"/>
        </w:rPr>
        <w:footnoteReference w:id="148"/>
      </w:r>
      <w:r>
        <w:rPr>
          <w:i w:val="0"/>
          <w:noProof/>
          <w:szCs w:val="24"/>
          <w:lang w:val="en-US"/>
        </w:rPr>
        <w:t xml:space="preserve">.  This approach provides more granular insights and importantly detailed insights into the number of enterprises in sectors and exporting.  Enterprise level data enables ‘real-world’ insights from interviews with enterprises, undertaken during the study, </w:t>
      </w:r>
      <w:r>
        <w:rPr>
          <w:i w:val="0"/>
          <w:noProof/>
          <w:szCs w:val="24"/>
          <w:lang w:val="en-US"/>
        </w:rPr>
        <w:t>to be introduced into the model.  This overcomes the shortcoming earlier in the study (due to a lack of information about the number of enterprises with SITC data) of making assumptions about enterprise exports and the number of companies undertaking intra</w:t>
      </w:r>
      <w:r>
        <w:rPr>
          <w:i w:val="0"/>
          <w:noProof/>
          <w:szCs w:val="24"/>
          <w:lang w:val="en-US"/>
        </w:rPr>
        <w:t xml:space="preserve">-EU exports. </w:t>
      </w:r>
    </w:p>
    <w:p w:rsidR="0037666B" w:rsidRDefault="00C627B8">
      <w:pPr>
        <w:pStyle w:val="Heading3"/>
        <w:numPr>
          <w:ilvl w:val="2"/>
          <w:numId w:val="36"/>
        </w:numPr>
        <w:rPr>
          <w:noProof/>
        </w:rPr>
      </w:pPr>
      <w:bookmarkStart w:id="144" w:name="_Toc483992778"/>
      <w:r>
        <w:rPr>
          <w:noProof/>
        </w:rPr>
        <w:t>The Sub-optimal Functioning of the Mutual Recognition model</w:t>
      </w:r>
      <w:bookmarkEnd w:id="144"/>
    </w:p>
    <w:p w:rsidR="0037666B" w:rsidRDefault="00C627B8">
      <w:pPr>
        <w:pStyle w:val="BodyText"/>
        <w:spacing w:after="240"/>
        <w:rPr>
          <w:i w:val="0"/>
          <w:noProof/>
          <w:szCs w:val="24"/>
        </w:rPr>
      </w:pPr>
      <w:r>
        <w:rPr>
          <w:i w:val="0"/>
          <w:noProof/>
          <w:szCs w:val="24"/>
        </w:rPr>
        <w:t>Like any model the Sub-optimal Functioning of the Mutual Recognition model (henceforth called the SFMR model) is a simplified framework designed to illustrate complex processes, usin</w:t>
      </w:r>
      <w:r>
        <w:rPr>
          <w:i w:val="0"/>
          <w:noProof/>
          <w:szCs w:val="24"/>
        </w:rPr>
        <w:t>g mathematical techniques. The model establishes an argumentative framework for applying logic and mathematics that can be independently discussed and tested and that can be applied in various instances. The model does not pretend to be a theoretical repre</w:t>
      </w:r>
      <w:r>
        <w:rPr>
          <w:i w:val="0"/>
          <w:noProof/>
          <w:szCs w:val="24"/>
        </w:rPr>
        <w:t>sentation (such theories do not exist).  Instead, it</w:t>
      </w:r>
      <w:r>
        <w:rPr>
          <w:i w:val="0"/>
          <w:iCs w:val="0"/>
          <w:noProof/>
          <w:szCs w:val="24"/>
        </w:rPr>
        <w:t xml:space="preserve"> </w:t>
      </w:r>
      <w:r>
        <w:rPr>
          <w:i w:val="0"/>
          <w:noProof/>
          <w:szCs w:val="24"/>
        </w:rPr>
        <w:t xml:space="preserve">builds on previous conceptual studies and provides the basis for discussing key parameters and drawing conclusions from a model that is an approximate representation of economic facts. Feedback from the </w:t>
      </w:r>
      <w:r>
        <w:rPr>
          <w:i w:val="0"/>
          <w:noProof/>
          <w:szCs w:val="24"/>
        </w:rPr>
        <w:t>Commission has been beneficial in further refining the model and its underlying assumptions.</w:t>
      </w:r>
    </w:p>
    <w:p w:rsidR="0037666B" w:rsidRDefault="00C627B8">
      <w:pPr>
        <w:rPr>
          <w:noProof/>
          <w:szCs w:val="24"/>
        </w:rPr>
      </w:pPr>
      <w:r>
        <w:rPr>
          <w:noProof/>
          <w:szCs w:val="24"/>
        </w:rPr>
        <w:t xml:space="preserve">As noted above the model is a representation of reality.  However, the values presented in the various components of the new model are founded on feedback from </w:t>
      </w:r>
      <w:r>
        <w:rPr>
          <w:noProof/>
          <w:szCs w:val="24"/>
        </w:rPr>
        <w:t>enterprises</w:t>
      </w:r>
      <w:r>
        <w:rPr>
          <w:rStyle w:val="FootnoteReference"/>
          <w:noProof/>
          <w:szCs w:val="24"/>
        </w:rPr>
        <w:footnoteReference w:id="149"/>
      </w:r>
      <w:r>
        <w:rPr>
          <w:noProof/>
          <w:szCs w:val="24"/>
        </w:rPr>
        <w:t>.  The default values, described earlier, are based on input from nine enterprises that took part in the first round of interviews.  As more interviews with enterprises are completed the values presented in the various components of the model c</w:t>
      </w:r>
      <w:r>
        <w:rPr>
          <w:noProof/>
          <w:szCs w:val="24"/>
        </w:rPr>
        <w:t>an be further refined.  But it is not expected that values will change very much.</w:t>
      </w:r>
    </w:p>
    <w:p w:rsidR="0037666B" w:rsidRDefault="00C627B8">
      <w:pPr>
        <w:rPr>
          <w:noProof/>
          <w:szCs w:val="24"/>
        </w:rPr>
      </w:pPr>
      <w:r>
        <w:rPr>
          <w:noProof/>
          <w:szCs w:val="24"/>
        </w:rPr>
        <w:t>The model provides estimates of costs. It will probably be most useful in providing an insight to the relative differences of costs in different parts of the model and the di</w:t>
      </w:r>
      <w:r>
        <w:rPr>
          <w:noProof/>
          <w:szCs w:val="24"/>
        </w:rPr>
        <w:t>fferent non-harmonised sectors.  This should help policymakers to focus activities in the areas or sectors that offer the highest level of returns.</w:t>
      </w:r>
    </w:p>
    <w:p w:rsidR="0037666B" w:rsidRDefault="00C627B8">
      <w:pPr>
        <w:pStyle w:val="Heading3"/>
        <w:numPr>
          <w:ilvl w:val="2"/>
          <w:numId w:val="36"/>
        </w:numPr>
        <w:rPr>
          <w:noProof/>
        </w:rPr>
      </w:pPr>
      <w:bookmarkStart w:id="145" w:name="_Ref343865455"/>
      <w:bookmarkStart w:id="146" w:name="_Toc483992779"/>
      <w:bookmarkEnd w:id="145"/>
      <w:r>
        <w:rPr>
          <w:noProof/>
        </w:rPr>
        <w:t>Number of enterprises undertaking non-harmonised trade</w:t>
      </w:r>
      <w:bookmarkEnd w:id="146"/>
    </w:p>
    <w:p w:rsidR="0037666B" w:rsidRDefault="00C627B8">
      <w:pPr>
        <w:pStyle w:val="BodyText"/>
        <w:spacing w:after="240"/>
        <w:rPr>
          <w:i w:val="0"/>
          <w:iCs w:val="0"/>
          <w:noProof/>
          <w:szCs w:val="24"/>
        </w:rPr>
      </w:pPr>
      <w:r>
        <w:rPr>
          <w:i w:val="0"/>
          <w:iCs w:val="0"/>
          <w:noProof/>
          <w:szCs w:val="24"/>
        </w:rPr>
        <w:t>The research team have developed an approach that con</w:t>
      </w:r>
      <w:r>
        <w:rPr>
          <w:i w:val="0"/>
          <w:iCs w:val="0"/>
          <w:noProof/>
          <w:szCs w:val="24"/>
        </w:rPr>
        <w:t xml:space="preserve">verts SITC Trade volume (€) to NACE codes whilst aligning non-harmonised NACE categories. This can then be reliably cross-tabulated with Eurostat data on the number of enterprises exporting. EC studies have also investigated worldwide exports and intra-EU </w:t>
      </w:r>
      <w:r>
        <w:rPr>
          <w:i w:val="0"/>
          <w:iCs w:val="0"/>
          <w:noProof/>
          <w:szCs w:val="24"/>
        </w:rPr>
        <w:t>exporting at enterprise level. We have thus found a method to robustly estimate (from Eurostat data) the number of enterprises at EU28 level undertaking intra-EU exports.</w:t>
      </w:r>
    </w:p>
    <w:p w:rsidR="0037666B" w:rsidRDefault="00C627B8">
      <w:pPr>
        <w:pStyle w:val="BodyText"/>
        <w:spacing w:after="240"/>
        <w:rPr>
          <w:i w:val="0"/>
          <w:iCs w:val="0"/>
          <w:noProof/>
          <w:szCs w:val="24"/>
        </w:rPr>
      </w:pPr>
      <w:r>
        <w:rPr>
          <w:i w:val="0"/>
          <w:iCs w:val="0"/>
          <w:noProof/>
          <w:szCs w:val="24"/>
        </w:rPr>
        <w:t>Table A-4-7 provides an overview of trade volumes and the number of enterprises produ</w:t>
      </w:r>
      <w:r>
        <w:rPr>
          <w:i w:val="0"/>
          <w:iCs w:val="0"/>
          <w:noProof/>
          <w:szCs w:val="24"/>
        </w:rPr>
        <w:t>cing and intra-EU exporting non-harmonised products.  The average number of enterprises intra-EU exporting is 14.7 per cent of enterprises (262,940) in the non-harmonised sectors.  However, as the table indicates there is considerable variation between sec</w:t>
      </w:r>
      <w:r>
        <w:rPr>
          <w:i w:val="0"/>
          <w:iCs w:val="0"/>
          <w:noProof/>
          <w:szCs w:val="24"/>
        </w:rPr>
        <w:t>tors – ranging from 10.6 per cent of enterprises in the ‘Other manufacturing, and repair and installation of machinery and equipment’ (but this still represents 65,227 enterprises) to 35.2 per cent in the ‘Manufacture of computer, electronic and optical pr</w:t>
      </w:r>
      <w:r>
        <w:rPr>
          <w:i w:val="0"/>
          <w:iCs w:val="0"/>
          <w:noProof/>
          <w:szCs w:val="24"/>
        </w:rPr>
        <w:t>oducts’ sector, despite the relatively high percentage figure the number of enterprises intra-EU exporting is only 1,766.</w:t>
      </w:r>
    </w:p>
    <w:p w:rsidR="0037666B" w:rsidRDefault="00C627B8">
      <w:pPr>
        <w:pStyle w:val="BodyText"/>
        <w:spacing w:after="240"/>
        <w:rPr>
          <w:i w:val="0"/>
          <w:iCs w:val="0"/>
          <w:noProof/>
          <w:szCs w:val="24"/>
        </w:rPr>
      </w:pPr>
      <w:r>
        <w:rPr>
          <w:i w:val="0"/>
          <w:iCs w:val="0"/>
          <w:noProof/>
          <w:szCs w:val="24"/>
        </w:rPr>
        <w:t>If policymakers decided to focus improvements on the sectors with the highest number of enterprises they should select the ‘Manufactur</w:t>
      </w:r>
      <w:r>
        <w:rPr>
          <w:i w:val="0"/>
          <w:iCs w:val="0"/>
          <w:noProof/>
          <w:szCs w:val="24"/>
        </w:rPr>
        <w:t>e of wood and paper products, and printing’ (71,706) intra-EU exporting enterprises) and ‘Other manufacturing, and repair and installation of machinery and equipment’ (65,227).  These two sectors comprise 136,933 enterprises or 52 per cent of intra-EU expo</w:t>
      </w:r>
      <w:r>
        <w:rPr>
          <w:i w:val="0"/>
          <w:iCs w:val="0"/>
          <w:noProof/>
          <w:szCs w:val="24"/>
        </w:rPr>
        <w:t>rting enterprises.</w:t>
      </w:r>
    </w:p>
    <w:p w:rsidR="0037666B" w:rsidRDefault="00C627B8">
      <w:pPr>
        <w:pStyle w:val="BodyText"/>
        <w:spacing w:after="240"/>
        <w:rPr>
          <w:i w:val="0"/>
          <w:noProof/>
          <w:szCs w:val="24"/>
        </w:rPr>
      </w:pPr>
      <w:r>
        <w:rPr>
          <w:i w:val="0"/>
          <w:iCs w:val="0"/>
          <w:noProof/>
          <w:szCs w:val="24"/>
        </w:rPr>
        <w:t>Interestingly these two sectors also comprise the enterprises with some of the lowest average turnover in the nine non-harmonised sectors examined in this analysis (wood €156,000 per enterprise per annum, other manufacturing €44,000).  T</w:t>
      </w:r>
      <w:r>
        <w:rPr>
          <w:i w:val="0"/>
          <w:iCs w:val="0"/>
          <w:noProof/>
          <w:szCs w:val="24"/>
        </w:rPr>
        <w:t>hese relatively small sized/turnover enterprises are probably the least able to afford costs associated with meeting or demonstrating market requirements in other EU Member States (estimated at €9073 for enterprises adjusting products and demonstrating mar</w:t>
      </w:r>
      <w:r>
        <w:rPr>
          <w:i w:val="0"/>
          <w:iCs w:val="0"/>
          <w:noProof/>
          <w:szCs w:val="24"/>
        </w:rPr>
        <w:t xml:space="preserve">ket compliance).  It must be highlighted that these observations relate to average enterprises sizes, larger and smaller enterprises will obviously operate in the markets.  </w:t>
      </w:r>
      <w:r>
        <w:rPr>
          <w:i w:val="0"/>
          <w:noProof/>
          <w:szCs w:val="24"/>
        </w:rPr>
        <w:t xml:space="preserve"> </w:t>
      </w:r>
    </w:p>
    <w:p w:rsidR="0037666B" w:rsidRDefault="00C627B8">
      <w:pPr>
        <w:pStyle w:val="BodyText"/>
        <w:spacing w:after="240"/>
        <w:rPr>
          <w:b/>
          <w:i w:val="0"/>
          <w:noProof/>
          <w:szCs w:val="24"/>
        </w:rPr>
      </w:pPr>
      <w:bookmarkStart w:id="147" w:name="_Ref349570368"/>
      <w:bookmarkStart w:id="148" w:name="_Ref349570362"/>
      <w:r>
        <w:rPr>
          <w:b/>
          <w:i w:val="0"/>
          <w:noProof/>
          <w:szCs w:val="24"/>
        </w:rPr>
        <w:t>Table A4-</w:t>
      </w:r>
      <w:r>
        <w:rPr>
          <w:b/>
          <w:i w:val="0"/>
          <w:noProof/>
          <w:szCs w:val="24"/>
        </w:rPr>
        <w:fldChar w:fldCharType="begin"/>
      </w:r>
      <w:r>
        <w:rPr>
          <w:b/>
          <w:i w:val="0"/>
          <w:noProof/>
          <w:szCs w:val="24"/>
        </w:rPr>
        <w:instrText xml:space="preserve"> SEQ Table \* ARABIC </w:instrText>
      </w:r>
      <w:r>
        <w:rPr>
          <w:b/>
          <w:i w:val="0"/>
          <w:noProof/>
          <w:szCs w:val="24"/>
        </w:rPr>
        <w:fldChar w:fldCharType="separate"/>
      </w:r>
      <w:r>
        <w:rPr>
          <w:b/>
          <w:i w:val="0"/>
          <w:noProof/>
          <w:szCs w:val="24"/>
        </w:rPr>
        <w:t>7</w:t>
      </w:r>
      <w:r>
        <w:rPr>
          <w:b/>
          <w:i w:val="0"/>
          <w:noProof/>
          <w:szCs w:val="24"/>
        </w:rPr>
        <w:fldChar w:fldCharType="end"/>
      </w:r>
      <w:bookmarkEnd w:id="147"/>
      <w:r>
        <w:rPr>
          <w:b/>
          <w:i w:val="0"/>
          <w:noProof/>
          <w:szCs w:val="24"/>
        </w:rPr>
        <w:t>: Trade volume and enterprises undertaking non-</w:t>
      </w:r>
      <w:r>
        <w:rPr>
          <w:b/>
          <w:i w:val="0"/>
          <w:noProof/>
          <w:szCs w:val="24"/>
        </w:rPr>
        <w:t>harmonised intra-EU exporting</w:t>
      </w:r>
      <w:bookmarkEnd w:id="148"/>
    </w:p>
    <w:tbl>
      <w:tblPr>
        <w:tblStyle w:val="TableforEC4"/>
        <w:tblW w:w="8794" w:type="dxa"/>
        <w:jc w:val="center"/>
        <w:tblInd w:w="1304" w:type="dxa"/>
        <w:tblLayout w:type="fixed"/>
        <w:tblLook w:val="04A0" w:firstRow="1" w:lastRow="0" w:firstColumn="1" w:lastColumn="0" w:noHBand="0" w:noVBand="1"/>
      </w:tblPr>
      <w:tblGrid>
        <w:gridCol w:w="1927"/>
        <w:gridCol w:w="1832"/>
        <w:gridCol w:w="1336"/>
        <w:gridCol w:w="1273"/>
        <w:gridCol w:w="1233"/>
        <w:gridCol w:w="1193"/>
      </w:tblGrid>
      <w:tr w:rsidR="0037666B" w:rsidTr="0037666B">
        <w:trPr>
          <w:cnfStyle w:val="100000000000" w:firstRow="1" w:lastRow="0" w:firstColumn="0" w:lastColumn="0" w:oddVBand="0" w:evenVBand="0" w:oddHBand="0" w:evenHBand="0" w:firstRowFirstColumn="0" w:firstRowLastColumn="0" w:lastRowFirstColumn="0" w:lastRowLastColumn="0"/>
          <w:trHeight w:val="22"/>
          <w:jc w:val="center"/>
        </w:trPr>
        <w:tc>
          <w:tcPr>
            <w:cnfStyle w:val="000000000100" w:firstRow="0" w:lastRow="0" w:firstColumn="0" w:lastColumn="0" w:oddVBand="0" w:evenVBand="0" w:oddHBand="0" w:evenHBand="0" w:firstRowFirstColumn="1" w:firstRowLastColumn="0" w:lastRowFirstColumn="0" w:lastRowLastColumn="0"/>
            <w:tcW w:w="1927" w:type="dxa"/>
            <w:noWrap/>
            <w:vAlign w:val="center"/>
            <w:hideMark/>
          </w:tcPr>
          <w:p w:rsidR="0037666B" w:rsidRDefault="0037666B">
            <w:pPr>
              <w:spacing w:after="0"/>
              <w:jc w:val="left"/>
              <w:rPr>
                <w:rFonts w:ascii="Times New Roman" w:hAnsi="Times New Roman"/>
                <w:noProof/>
                <w:sz w:val="20"/>
                <w:szCs w:val="20"/>
                <w:lang w:val="en-GB"/>
              </w:rPr>
            </w:pPr>
          </w:p>
        </w:tc>
        <w:tc>
          <w:tcPr>
            <w:tcW w:w="1832" w:type="dxa"/>
            <w:vAlign w:val="center"/>
            <w:hideMark/>
          </w:tcPr>
          <w:p w:rsidR="0037666B" w:rsidRDefault="00C627B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Non-harmonised intra-EU trade</w:t>
            </w:r>
            <w:r>
              <w:rPr>
                <w:rFonts w:ascii="Times New Roman" w:hAnsi="Times New Roman"/>
                <w:noProof/>
                <w:sz w:val="20"/>
                <w:szCs w:val="20"/>
              </w:rPr>
              <w:br/>
              <w:t xml:space="preserve"> (€ million)</w:t>
            </w:r>
          </w:p>
        </w:tc>
        <w:tc>
          <w:tcPr>
            <w:tcW w:w="1336" w:type="dxa"/>
            <w:noWrap/>
            <w:vAlign w:val="center"/>
            <w:hideMark/>
          </w:tcPr>
          <w:p w:rsidR="0037666B" w:rsidRDefault="00C627B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Non harmonised enterprises</w:t>
            </w:r>
          </w:p>
        </w:tc>
        <w:tc>
          <w:tcPr>
            <w:tcW w:w="1273" w:type="dxa"/>
            <w:vAlign w:val="center"/>
          </w:tcPr>
          <w:p w:rsidR="0037666B" w:rsidRDefault="00C627B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 Intra-EU exporting enterprises</w:t>
            </w:r>
          </w:p>
        </w:tc>
        <w:tc>
          <w:tcPr>
            <w:tcW w:w="1233" w:type="dxa"/>
            <w:vAlign w:val="center"/>
          </w:tcPr>
          <w:p w:rsidR="0037666B" w:rsidRDefault="00C627B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Intra-EU exporting enterprises</w:t>
            </w:r>
          </w:p>
        </w:tc>
        <w:tc>
          <w:tcPr>
            <w:tcW w:w="1193" w:type="dxa"/>
            <w:vAlign w:val="center"/>
          </w:tcPr>
          <w:p w:rsidR="0037666B" w:rsidRDefault="00C627B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rPr>
              <w:t>Avg, Non harmonised enterprise turnover (€m)</w:t>
            </w:r>
          </w:p>
        </w:tc>
      </w:tr>
      <w:tr w:rsidR="0037666B" w:rsidTr="0037666B">
        <w:trPr>
          <w:cnfStyle w:val="000000100000" w:firstRow="0" w:lastRow="0" w:firstColumn="0" w:lastColumn="0" w:oddVBand="0" w:evenVBand="0" w:oddHBand="1" w:evenHBand="0" w:firstRowFirstColumn="0" w:firstRowLastColumn="0" w:lastRowFirstColumn="0" w:lastRowLastColumn="0"/>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 xml:space="preserve">Manufacture of basic metals and fabricated metal products, except machinery and equipment </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46,370</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105,361</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16.6</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17,490</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0.440</w:t>
            </w:r>
          </w:p>
        </w:tc>
      </w:tr>
      <w:tr w:rsidR="0037666B" w:rsidTr="0037666B">
        <w:trPr>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Manufacture of coke, and refined petroleum products</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17</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101</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33.0</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33</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0.168</w:t>
            </w:r>
          </w:p>
        </w:tc>
      </w:tr>
      <w:tr w:rsidR="0037666B" w:rsidTr="0037666B">
        <w:trPr>
          <w:cnfStyle w:val="000000100000" w:firstRow="0" w:lastRow="0" w:firstColumn="0" w:lastColumn="0" w:oddVBand="0" w:evenVBand="0" w:oddHBand="1" w:evenHBand="0" w:firstRowFirstColumn="0" w:firstRowLastColumn="0" w:lastRowFirstColumn="0" w:lastRowLastColumn="0"/>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Manufacture of computer, electronic and optical products</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16,019</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5,017</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35.2</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1,766</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3.193</w:t>
            </w:r>
          </w:p>
        </w:tc>
      </w:tr>
      <w:tr w:rsidR="0037666B" w:rsidTr="0037666B">
        <w:trPr>
          <w:trHeight w:val="22"/>
          <w:jc w:val="center"/>
        </w:trPr>
        <w:tc>
          <w:tcPr>
            <w:tcW w:w="1927" w:type="dxa"/>
            <w:noWrap/>
            <w:vAlign w:val="center"/>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 xml:space="preserve">Manufacture of food products, beverages and tobacco products </w:t>
            </w:r>
          </w:p>
        </w:tc>
        <w:tc>
          <w:tcPr>
            <w:tcW w:w="1832" w:type="dxa"/>
            <w:noWrap/>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4,187</w:t>
            </w:r>
          </w:p>
        </w:tc>
        <w:tc>
          <w:tcPr>
            <w:tcW w:w="1336" w:type="dxa"/>
            <w:noWrap/>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42,976</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12.0</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5,157</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0.097</w:t>
            </w:r>
          </w:p>
        </w:tc>
      </w:tr>
      <w:tr w:rsidR="0037666B" w:rsidTr="0037666B">
        <w:trPr>
          <w:cnfStyle w:val="000000100000" w:firstRow="0" w:lastRow="0" w:firstColumn="0" w:lastColumn="0" w:oddVBand="0" w:evenVBand="0" w:oddHBand="1" w:evenHBand="0" w:firstRowFirstColumn="0" w:firstRowLastColumn="0" w:lastRowFirstColumn="0" w:lastRowLastColumn="0"/>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Manufacture of rubber and plastics products, and other non-metallic products</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13,834</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110,615</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32.5</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35,950</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0.125</w:t>
            </w:r>
          </w:p>
        </w:tc>
      </w:tr>
      <w:tr w:rsidR="0037666B" w:rsidTr="0037666B">
        <w:trPr>
          <w:trHeight w:val="22"/>
          <w:jc w:val="center"/>
        </w:trPr>
        <w:tc>
          <w:tcPr>
            <w:tcW w:w="1927" w:type="dxa"/>
            <w:noWrap/>
            <w:vAlign w:val="center"/>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 xml:space="preserve">Manufacture of textiles, apparel, leather and related products </w:t>
            </w:r>
          </w:p>
        </w:tc>
        <w:tc>
          <w:tcPr>
            <w:tcW w:w="1832" w:type="dxa"/>
            <w:noWrap/>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66,094</w:t>
            </w:r>
          </w:p>
        </w:tc>
        <w:tc>
          <w:tcPr>
            <w:tcW w:w="1336" w:type="dxa"/>
            <w:noWrap/>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368,439</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17.0</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62,635</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0.179</w:t>
            </w:r>
          </w:p>
        </w:tc>
      </w:tr>
      <w:tr w:rsidR="0037666B" w:rsidTr="0037666B">
        <w:trPr>
          <w:cnfStyle w:val="000000100000" w:firstRow="0" w:lastRow="0" w:firstColumn="0" w:lastColumn="0" w:oddVBand="0" w:evenVBand="0" w:oddHBand="1" w:evenHBand="0" w:firstRowFirstColumn="0" w:firstRowLastColumn="0" w:lastRowFirstColumn="0" w:lastRowLastColumn="0"/>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rPr>
            </w:pPr>
            <w:r>
              <w:rPr>
                <w:rFonts w:ascii="Times New Roman" w:hAnsi="Times New Roman"/>
                <w:noProof/>
                <w:sz w:val="20"/>
                <w:szCs w:val="20"/>
              </w:rPr>
              <w:t xml:space="preserve">Manufacture of transport equipment </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127,466</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8,728</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34.1</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2,976</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14.604</w:t>
            </w:r>
          </w:p>
        </w:tc>
      </w:tr>
      <w:tr w:rsidR="0037666B" w:rsidTr="0037666B">
        <w:trPr>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 xml:space="preserve">Manufacture of wood and paper products, and printing </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82,438</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527,248</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13.6</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71,706</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0.156</w:t>
            </w:r>
          </w:p>
        </w:tc>
      </w:tr>
      <w:tr w:rsidR="0037666B" w:rsidTr="0037666B">
        <w:trPr>
          <w:cnfStyle w:val="000000100000" w:firstRow="0" w:lastRow="0" w:firstColumn="0" w:lastColumn="0" w:oddVBand="0" w:evenVBand="0" w:oddHBand="1" w:evenHBand="0" w:firstRowFirstColumn="0" w:firstRowLastColumn="0" w:lastRowFirstColumn="0" w:lastRowLastColumn="0"/>
          <w:trHeight w:val="22"/>
          <w:jc w:val="center"/>
        </w:trPr>
        <w:tc>
          <w:tcPr>
            <w:tcW w:w="1927" w:type="dxa"/>
            <w:noWrap/>
            <w:vAlign w:val="center"/>
            <w:hideMark/>
          </w:tcPr>
          <w:p w:rsidR="0037666B" w:rsidRDefault="00C627B8">
            <w:pPr>
              <w:spacing w:before="120" w:after="120"/>
              <w:jc w:val="left"/>
              <w:rPr>
                <w:rFonts w:ascii="Times New Roman" w:hAnsi="Times New Roman"/>
                <w:noProof/>
                <w:sz w:val="20"/>
                <w:szCs w:val="20"/>
                <w:lang w:val="en-GB"/>
              </w:rPr>
            </w:pPr>
            <w:r>
              <w:rPr>
                <w:rFonts w:ascii="Times New Roman" w:hAnsi="Times New Roman"/>
                <w:noProof/>
                <w:sz w:val="20"/>
                <w:szCs w:val="20"/>
                <w:lang w:val="en-GB"/>
              </w:rPr>
              <w:t xml:space="preserve">Other manufacturing, and repair and installation of machinery and equipment </w:t>
            </w:r>
          </w:p>
        </w:tc>
        <w:tc>
          <w:tcPr>
            <w:tcW w:w="1832"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26,927</w:t>
            </w:r>
          </w:p>
        </w:tc>
        <w:tc>
          <w:tcPr>
            <w:tcW w:w="1336" w:type="dxa"/>
            <w:noWrap/>
            <w:vAlign w:val="center"/>
            <w:hideMark/>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615,353</w:t>
            </w:r>
          </w:p>
        </w:tc>
        <w:tc>
          <w:tcPr>
            <w:tcW w:w="127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10.6</w:t>
            </w:r>
          </w:p>
        </w:tc>
        <w:tc>
          <w:tcPr>
            <w:tcW w:w="123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65,227</w:t>
            </w:r>
          </w:p>
        </w:tc>
        <w:tc>
          <w:tcPr>
            <w:tcW w:w="1193" w:type="dxa"/>
            <w:vAlign w:val="center"/>
          </w:tcPr>
          <w:p w:rsidR="0037666B" w:rsidRDefault="00C627B8">
            <w:pPr>
              <w:spacing w:before="120" w:after="120"/>
              <w:jc w:val="center"/>
              <w:rPr>
                <w:rFonts w:ascii="Times New Roman" w:hAnsi="Times New Roman"/>
                <w:noProof/>
                <w:sz w:val="20"/>
                <w:szCs w:val="20"/>
              </w:rPr>
            </w:pPr>
            <w:r>
              <w:rPr>
                <w:rFonts w:ascii="Times New Roman" w:hAnsi="Times New Roman"/>
                <w:noProof/>
                <w:sz w:val="20"/>
                <w:szCs w:val="20"/>
              </w:rPr>
              <w:t>0.044</w:t>
            </w:r>
          </w:p>
        </w:tc>
      </w:tr>
      <w:tr w:rsidR="0037666B" w:rsidTr="0037666B">
        <w:trPr>
          <w:trHeight w:val="22"/>
          <w:jc w:val="center"/>
        </w:trPr>
        <w:tc>
          <w:tcPr>
            <w:tcW w:w="1927" w:type="dxa"/>
            <w:noWrap/>
            <w:vAlign w:val="center"/>
            <w:hideMark/>
          </w:tcPr>
          <w:p w:rsidR="0037666B" w:rsidRDefault="00C627B8">
            <w:pPr>
              <w:spacing w:before="120" w:after="120"/>
              <w:jc w:val="left"/>
              <w:rPr>
                <w:rFonts w:ascii="Times New Roman" w:hAnsi="Times New Roman"/>
                <w:b/>
                <w:noProof/>
                <w:sz w:val="20"/>
                <w:szCs w:val="20"/>
              </w:rPr>
            </w:pPr>
            <w:r>
              <w:rPr>
                <w:rFonts w:ascii="Times New Roman" w:hAnsi="Times New Roman"/>
                <w:b/>
                <w:noProof/>
                <w:sz w:val="20"/>
                <w:szCs w:val="20"/>
              </w:rPr>
              <w:t xml:space="preserve"> Total </w:t>
            </w:r>
          </w:p>
        </w:tc>
        <w:tc>
          <w:tcPr>
            <w:tcW w:w="1832" w:type="dxa"/>
            <w:noWrap/>
            <w:vAlign w:val="center"/>
            <w:hideMark/>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€383,352</w:t>
            </w:r>
          </w:p>
        </w:tc>
        <w:tc>
          <w:tcPr>
            <w:tcW w:w="1336" w:type="dxa"/>
            <w:noWrap/>
            <w:vAlign w:val="center"/>
            <w:hideMark/>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1,783,838</w:t>
            </w:r>
          </w:p>
        </w:tc>
        <w:tc>
          <w:tcPr>
            <w:tcW w:w="1273" w:type="dxa"/>
            <w:vAlign w:val="center"/>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14.7%</w:t>
            </w:r>
          </w:p>
        </w:tc>
        <w:tc>
          <w:tcPr>
            <w:tcW w:w="1233" w:type="dxa"/>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262,940</w:t>
            </w:r>
          </w:p>
        </w:tc>
        <w:tc>
          <w:tcPr>
            <w:tcW w:w="1193" w:type="dxa"/>
            <w:vAlign w:val="center"/>
          </w:tcPr>
          <w:p w:rsidR="0037666B" w:rsidRDefault="00C627B8">
            <w:pPr>
              <w:spacing w:before="120" w:after="120"/>
              <w:jc w:val="center"/>
              <w:rPr>
                <w:rFonts w:ascii="Times New Roman" w:hAnsi="Times New Roman"/>
                <w:b/>
                <w:noProof/>
                <w:sz w:val="20"/>
                <w:szCs w:val="20"/>
              </w:rPr>
            </w:pPr>
            <w:r>
              <w:rPr>
                <w:rFonts w:ascii="Times New Roman" w:hAnsi="Times New Roman"/>
                <w:b/>
                <w:noProof/>
                <w:sz w:val="20"/>
                <w:szCs w:val="20"/>
              </w:rPr>
              <w:t>€0.215m</w:t>
            </w:r>
          </w:p>
        </w:tc>
      </w:tr>
    </w:tbl>
    <w:p w:rsidR="0037666B" w:rsidRDefault="00C627B8">
      <w:pPr>
        <w:pStyle w:val="source"/>
        <w:spacing w:after="240"/>
        <w:rPr>
          <w:rFonts w:ascii="Times New Roman" w:hAnsi="Times New Roman"/>
          <w:noProof/>
          <w:sz w:val="18"/>
          <w:szCs w:val="18"/>
        </w:rPr>
      </w:pPr>
      <w:r>
        <w:rPr>
          <w:rFonts w:ascii="Times New Roman" w:hAnsi="Times New Roman"/>
          <w:noProof/>
          <w:sz w:val="18"/>
          <w:szCs w:val="18"/>
        </w:rPr>
        <w:t>Source: Structural Business Statistics</w:t>
      </w:r>
    </w:p>
    <w:p w:rsidR="0037666B" w:rsidRDefault="00C627B8">
      <w:pPr>
        <w:pStyle w:val="BodyText"/>
        <w:spacing w:after="240"/>
        <w:rPr>
          <w:i w:val="0"/>
          <w:noProof/>
          <w:szCs w:val="24"/>
          <w:u w:val="single"/>
        </w:rPr>
      </w:pPr>
      <w:r>
        <w:rPr>
          <w:i w:val="0"/>
          <w:noProof/>
          <w:szCs w:val="24"/>
          <w:u w:val="single"/>
        </w:rPr>
        <w:t>Costs associated with the decision tree model</w:t>
      </w:r>
    </w:p>
    <w:p w:rsidR="0037666B" w:rsidRDefault="00C627B8">
      <w:pPr>
        <w:pStyle w:val="BodyText"/>
        <w:spacing w:after="240"/>
        <w:rPr>
          <w:i w:val="0"/>
          <w:noProof/>
          <w:szCs w:val="24"/>
        </w:rPr>
      </w:pPr>
      <w:r>
        <w:rPr>
          <w:i w:val="0"/>
          <w:noProof/>
          <w:szCs w:val="24"/>
        </w:rPr>
        <w:t>Table A4-8</w:t>
      </w:r>
      <w:r>
        <w:rPr>
          <w:i w:val="0"/>
          <w:noProof/>
          <w:szCs w:val="24"/>
        </w:rPr>
        <w:t xml:space="preserve"> uses the evidence based default values presented in section 4.2.1 to provide an overview of costs associated with market entry for non-harmonised products.</w:t>
      </w: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37666B">
      <w:pPr>
        <w:pStyle w:val="BodyText"/>
        <w:spacing w:after="240"/>
        <w:rPr>
          <w:i w:val="0"/>
          <w:noProof/>
          <w:szCs w:val="24"/>
        </w:rPr>
      </w:pPr>
    </w:p>
    <w:p w:rsidR="0037666B" w:rsidRDefault="00C627B8">
      <w:pPr>
        <w:pStyle w:val="Caption"/>
        <w:spacing w:before="0" w:after="240"/>
        <w:rPr>
          <w:noProof/>
          <w:szCs w:val="24"/>
        </w:rPr>
      </w:pPr>
      <w:bookmarkStart w:id="149" w:name="_Ref349573777"/>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8</w:t>
      </w:r>
      <w:r>
        <w:rPr>
          <w:noProof/>
          <w:szCs w:val="24"/>
        </w:rPr>
        <w:fldChar w:fldCharType="end"/>
      </w:r>
      <w:bookmarkEnd w:id="149"/>
      <w:r>
        <w:rPr>
          <w:noProof/>
          <w:szCs w:val="24"/>
        </w:rPr>
        <w:t>: Enterprise costs associated with market entry for non-harmon</w:t>
      </w:r>
      <w:r>
        <w:rPr>
          <w:noProof/>
          <w:szCs w:val="24"/>
        </w:rPr>
        <w:t>ised products</w:t>
      </w:r>
    </w:p>
    <w:tbl>
      <w:tblPr>
        <w:tblStyle w:val="TableforEC4"/>
        <w:tblW w:w="8767" w:type="dxa"/>
        <w:jc w:val="center"/>
        <w:tblInd w:w="1017" w:type="dxa"/>
        <w:tblLayout w:type="fixed"/>
        <w:tblLook w:val="04A0" w:firstRow="1" w:lastRow="0" w:firstColumn="1" w:lastColumn="0" w:noHBand="0" w:noVBand="1"/>
      </w:tblPr>
      <w:tblGrid>
        <w:gridCol w:w="2013"/>
        <w:gridCol w:w="2041"/>
        <w:gridCol w:w="1701"/>
        <w:gridCol w:w="1843"/>
        <w:gridCol w:w="1169"/>
      </w:tblGrid>
      <w:tr w:rsidR="0037666B" w:rsidTr="0037666B">
        <w:trPr>
          <w:cnfStyle w:val="100000000000" w:firstRow="1" w:lastRow="0" w:firstColumn="0" w:lastColumn="0" w:oddVBand="0" w:evenVBand="0" w:oddHBand="0" w:evenHBand="0" w:firstRowFirstColumn="0" w:firstRowLastColumn="0" w:lastRowFirstColumn="0" w:lastRowLastColumn="0"/>
          <w:trHeight w:val="20"/>
          <w:jc w:val="center"/>
        </w:trPr>
        <w:tc>
          <w:tcPr>
            <w:cnfStyle w:val="000000000100" w:firstRow="0" w:lastRow="0" w:firstColumn="0" w:lastColumn="0" w:oddVBand="0" w:evenVBand="0" w:oddHBand="0" w:evenHBand="0" w:firstRowFirstColumn="1" w:firstRowLastColumn="0" w:lastRowFirstColumn="0" w:lastRowLastColumn="0"/>
            <w:tcW w:w="2013" w:type="dxa"/>
            <w:noWrap/>
            <w:vAlign w:val="center"/>
            <w:hideMark/>
          </w:tcPr>
          <w:p w:rsidR="0037666B" w:rsidRDefault="0037666B">
            <w:pPr>
              <w:spacing w:after="0"/>
              <w:contextualSpacing/>
              <w:jc w:val="left"/>
              <w:rPr>
                <w:rFonts w:ascii="Times New Roman" w:hAnsi="Times New Roman"/>
                <w:noProof/>
                <w:sz w:val="20"/>
                <w:szCs w:val="20"/>
                <w:lang w:val="en-GB"/>
              </w:rPr>
            </w:pPr>
          </w:p>
        </w:tc>
        <w:tc>
          <w:tcPr>
            <w:tcW w:w="2041" w:type="dxa"/>
            <w:vAlign w:val="center"/>
            <w:hideMark/>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 xml:space="preserve">Demonstrating regulatory requirements </w:t>
            </w:r>
            <w:r>
              <w:rPr>
                <w:rFonts w:ascii="Times New Roman" w:hAnsi="Times New Roman"/>
                <w:noProof/>
                <w:sz w:val="20"/>
                <w:szCs w:val="20"/>
                <w:lang w:val="en-GB"/>
              </w:rPr>
              <w:br/>
              <w:t xml:space="preserve">(Model Action 2) </w:t>
            </w:r>
            <w:r>
              <w:rPr>
                <w:rFonts w:ascii="Times New Roman" w:hAnsi="Times New Roman"/>
                <w:noProof/>
                <w:sz w:val="20"/>
                <w:szCs w:val="20"/>
                <w:lang w:val="en-GB"/>
              </w:rPr>
              <w:br/>
              <w:t>(€m)</w:t>
            </w:r>
          </w:p>
        </w:tc>
        <w:tc>
          <w:tcPr>
            <w:tcW w:w="1701" w:type="dxa"/>
            <w:noWrap/>
            <w:vAlign w:val="center"/>
            <w:hideMark/>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Product adjustment and demonstrating requirements</w:t>
            </w:r>
            <w:r>
              <w:rPr>
                <w:rFonts w:ascii="Times New Roman" w:hAnsi="Times New Roman"/>
                <w:noProof/>
                <w:sz w:val="20"/>
                <w:szCs w:val="20"/>
                <w:lang w:val="en-GB"/>
              </w:rPr>
              <w:br/>
              <w:t>(Actions 2 &amp; 3)</w:t>
            </w:r>
          </w:p>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Pr>
                <w:rFonts w:ascii="Times New Roman" w:hAnsi="Times New Roman"/>
                <w:noProof/>
                <w:sz w:val="20"/>
                <w:szCs w:val="20"/>
                <w:lang w:val="en-GB"/>
              </w:rPr>
              <w:t xml:space="preserve"> </w:t>
            </w:r>
            <w:r>
              <w:rPr>
                <w:rFonts w:ascii="Times New Roman" w:hAnsi="Times New Roman"/>
                <w:noProof/>
                <w:sz w:val="20"/>
                <w:szCs w:val="20"/>
              </w:rPr>
              <w:t>(€m)</w:t>
            </w:r>
          </w:p>
        </w:tc>
        <w:tc>
          <w:tcPr>
            <w:tcW w:w="1843" w:type="dxa"/>
            <w:vAlign w:val="center"/>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Cost of delayed market entry</w:t>
            </w:r>
            <w:r>
              <w:rPr>
                <w:rFonts w:ascii="Times New Roman" w:hAnsi="Times New Roman"/>
                <w:noProof/>
                <w:sz w:val="20"/>
                <w:szCs w:val="20"/>
                <w:lang w:val="en-GB"/>
              </w:rPr>
              <w:br/>
              <w:t xml:space="preserve">(Action 4) </w:t>
            </w:r>
            <w:r>
              <w:rPr>
                <w:rFonts w:ascii="Times New Roman" w:hAnsi="Times New Roman"/>
                <w:noProof/>
                <w:sz w:val="20"/>
                <w:szCs w:val="20"/>
                <w:lang w:val="en-GB"/>
              </w:rPr>
              <w:br/>
              <w:t>(€m)</w:t>
            </w:r>
          </w:p>
        </w:tc>
        <w:tc>
          <w:tcPr>
            <w:tcW w:w="1169" w:type="dxa"/>
            <w:vAlign w:val="center"/>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sz w:val="20"/>
                <w:szCs w:val="20"/>
              </w:rPr>
            </w:pPr>
            <w:r>
              <w:rPr>
                <w:rFonts w:ascii="Times New Roman" w:hAnsi="Times New Roman"/>
                <w:b/>
                <w:noProof/>
                <w:sz w:val="20"/>
                <w:szCs w:val="20"/>
              </w:rPr>
              <w:t xml:space="preserve">Total Cost  </w:t>
            </w:r>
          </w:p>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sz w:val="20"/>
                <w:szCs w:val="20"/>
              </w:rPr>
            </w:pPr>
            <w:r>
              <w:rPr>
                <w:rFonts w:ascii="Times New Roman" w:hAnsi="Times New Roman"/>
                <w:b/>
                <w:noProof/>
                <w:sz w:val="20"/>
                <w:szCs w:val="20"/>
              </w:rPr>
              <w:t>(€m)</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13" w:type="dxa"/>
            <w:noWrap/>
            <w:vAlign w:val="center"/>
            <w:hideMark/>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basic metals and fabricated metal products, except machinery and equipment </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41.8</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79.3</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308</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429</w:t>
            </w:r>
          </w:p>
        </w:tc>
      </w:tr>
      <w:tr w:rsidR="0037666B" w:rsidTr="0037666B">
        <w:trPr>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Manufacture of coke, and refined petroleum products</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0.1</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0.2</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0.2</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0.5</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Manufacture of computer, electronic and optical products</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4.2</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8.0</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226</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238</w:t>
            </w:r>
          </w:p>
        </w:tc>
      </w:tr>
      <w:tr w:rsidR="0037666B" w:rsidTr="0037666B">
        <w:trPr>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food products, beverages and tobacco products </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12.3</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23.4</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20</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56</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Manufacture of rubber and plastics products, and other non-metallic products</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85.8</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163.1</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180</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429</w:t>
            </w:r>
          </w:p>
        </w:tc>
      </w:tr>
      <w:tr w:rsidR="0037666B" w:rsidTr="0037666B">
        <w:trPr>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textiles, apparel, leather and related products </w:t>
            </w:r>
          </w:p>
        </w:tc>
        <w:tc>
          <w:tcPr>
            <w:tcW w:w="2041" w:type="dxa"/>
            <w:noWrap/>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149.5</w:t>
            </w:r>
          </w:p>
        </w:tc>
        <w:tc>
          <w:tcPr>
            <w:tcW w:w="1701" w:type="dxa"/>
            <w:noWrap/>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284.2</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449</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883</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rPr>
            </w:pPr>
            <w:r>
              <w:rPr>
                <w:rFonts w:ascii="Times New Roman" w:hAnsi="Times New Roman"/>
                <w:noProof/>
                <w:sz w:val="20"/>
                <w:szCs w:val="20"/>
              </w:rPr>
              <w:t xml:space="preserve">Manufacture of transport equipment </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7.1</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13.5</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1,739</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1,759</w:t>
            </w:r>
          </w:p>
        </w:tc>
      </w:tr>
      <w:tr w:rsidR="0037666B" w:rsidTr="0037666B">
        <w:trPr>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wood and paper products, and printing </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171.2</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325.3</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448</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945</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13"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Other manufacturing, and repair and installation of machinery and equipment </w:t>
            </w:r>
          </w:p>
        </w:tc>
        <w:tc>
          <w:tcPr>
            <w:tcW w:w="204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155.7</w:t>
            </w:r>
          </w:p>
        </w:tc>
        <w:tc>
          <w:tcPr>
            <w:tcW w:w="1701"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295.9</w:t>
            </w:r>
          </w:p>
        </w:tc>
        <w:tc>
          <w:tcPr>
            <w:tcW w:w="1843" w:type="dxa"/>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114</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566</w:t>
            </w:r>
          </w:p>
        </w:tc>
      </w:tr>
      <w:tr w:rsidR="0037666B" w:rsidTr="0037666B">
        <w:trPr>
          <w:trHeight w:val="343"/>
          <w:jc w:val="center"/>
        </w:trPr>
        <w:tc>
          <w:tcPr>
            <w:tcW w:w="2013" w:type="dxa"/>
            <w:noWrap/>
            <w:vAlign w:val="center"/>
          </w:tcPr>
          <w:p w:rsidR="0037666B" w:rsidRDefault="00C627B8">
            <w:pPr>
              <w:spacing w:after="0"/>
              <w:contextualSpacing/>
              <w:jc w:val="left"/>
              <w:rPr>
                <w:rFonts w:ascii="Times New Roman" w:hAnsi="Times New Roman"/>
                <w:b/>
                <w:noProof/>
                <w:sz w:val="20"/>
                <w:szCs w:val="20"/>
              </w:rPr>
            </w:pPr>
            <w:r>
              <w:rPr>
                <w:rFonts w:ascii="Times New Roman" w:hAnsi="Times New Roman"/>
                <w:b/>
                <w:noProof/>
                <w:sz w:val="20"/>
                <w:szCs w:val="20"/>
              </w:rPr>
              <w:t>Total</w:t>
            </w:r>
          </w:p>
        </w:tc>
        <w:tc>
          <w:tcPr>
            <w:tcW w:w="2041" w:type="dxa"/>
            <w:noWrap/>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€628m</w:t>
            </w:r>
          </w:p>
        </w:tc>
        <w:tc>
          <w:tcPr>
            <w:tcW w:w="1701" w:type="dxa"/>
            <w:noWrap/>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€1,193m</w:t>
            </w:r>
          </w:p>
        </w:tc>
        <w:tc>
          <w:tcPr>
            <w:tcW w:w="1843"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bCs/>
                <w:noProof/>
                <w:sz w:val="20"/>
                <w:szCs w:val="20"/>
              </w:rPr>
              <w:t>€3,484m</w:t>
            </w:r>
          </w:p>
        </w:tc>
        <w:tc>
          <w:tcPr>
            <w:tcW w:w="1169" w:type="dxa"/>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€5,305m</w:t>
            </w:r>
          </w:p>
        </w:tc>
      </w:tr>
      <w:tr w:rsidR="0037666B" w:rsidTr="0037666B">
        <w:trPr>
          <w:cnfStyle w:val="000000100000" w:firstRow="0" w:lastRow="0" w:firstColumn="0" w:lastColumn="0" w:oddVBand="0" w:evenVBand="0" w:oddHBand="1" w:evenHBand="0" w:firstRowFirstColumn="0" w:firstRowLastColumn="0" w:lastRowFirstColumn="0" w:lastRowLastColumn="0"/>
          <w:trHeight w:val="305"/>
          <w:jc w:val="center"/>
        </w:trPr>
        <w:tc>
          <w:tcPr>
            <w:tcW w:w="2013" w:type="dxa"/>
            <w:noWrap/>
            <w:vAlign w:val="center"/>
            <w:hideMark/>
          </w:tcPr>
          <w:p w:rsidR="0037666B" w:rsidRDefault="00C627B8">
            <w:pPr>
              <w:spacing w:after="0"/>
              <w:contextualSpacing/>
              <w:jc w:val="left"/>
              <w:rPr>
                <w:rFonts w:ascii="Times New Roman" w:hAnsi="Times New Roman"/>
                <w:b/>
                <w:noProof/>
                <w:sz w:val="20"/>
                <w:szCs w:val="20"/>
              </w:rPr>
            </w:pPr>
            <w:r>
              <w:rPr>
                <w:rFonts w:ascii="Times New Roman" w:hAnsi="Times New Roman"/>
                <w:b/>
                <w:noProof/>
                <w:sz w:val="20"/>
                <w:szCs w:val="20"/>
              </w:rPr>
              <w:t>Average per enterprise</w:t>
            </w:r>
          </w:p>
        </w:tc>
        <w:tc>
          <w:tcPr>
            <w:tcW w:w="2041" w:type="dxa"/>
            <w:noWrap/>
            <w:vAlign w:val="center"/>
            <w:hideMark/>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€4,775</w:t>
            </w:r>
          </w:p>
        </w:tc>
        <w:tc>
          <w:tcPr>
            <w:tcW w:w="1701" w:type="dxa"/>
            <w:noWrap/>
            <w:vAlign w:val="center"/>
            <w:hideMark/>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€9,073</w:t>
            </w:r>
          </w:p>
        </w:tc>
        <w:tc>
          <w:tcPr>
            <w:tcW w:w="1843" w:type="dxa"/>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€8,596</w:t>
            </w:r>
          </w:p>
        </w:tc>
        <w:tc>
          <w:tcPr>
            <w:tcW w:w="1169" w:type="dxa"/>
            <w:vAlign w:val="center"/>
          </w:tcPr>
          <w:p w:rsidR="0037666B" w:rsidRDefault="0037666B">
            <w:pPr>
              <w:spacing w:after="0"/>
              <w:contextualSpacing/>
              <w:jc w:val="center"/>
              <w:rPr>
                <w:rFonts w:ascii="Times New Roman" w:hAnsi="Times New Roman"/>
                <w:b/>
                <w:noProof/>
                <w:sz w:val="20"/>
                <w:szCs w:val="20"/>
              </w:rPr>
            </w:pPr>
          </w:p>
        </w:tc>
      </w:tr>
    </w:tbl>
    <w:p w:rsidR="0037666B" w:rsidRDefault="00C627B8">
      <w:pPr>
        <w:pStyle w:val="BodyText"/>
        <w:spacing w:before="240" w:after="240"/>
        <w:rPr>
          <w:i w:val="0"/>
          <w:noProof/>
          <w:szCs w:val="24"/>
        </w:rPr>
      </w:pPr>
      <w:r>
        <w:rPr>
          <w:i w:val="0"/>
          <w:noProof/>
          <w:szCs w:val="24"/>
        </w:rPr>
        <w:fldChar w:fldCharType="begin"/>
      </w:r>
      <w:r>
        <w:rPr>
          <w:i w:val="0"/>
          <w:noProof/>
          <w:szCs w:val="24"/>
        </w:rPr>
        <w:instrText xml:space="preserve"> REF _Ref349573777 \h  \* MERGEFORMAT </w:instrText>
      </w:r>
      <w:r>
        <w:rPr>
          <w:i w:val="0"/>
          <w:noProof/>
          <w:szCs w:val="24"/>
        </w:rPr>
      </w:r>
      <w:r>
        <w:rPr>
          <w:i w:val="0"/>
          <w:noProof/>
          <w:szCs w:val="24"/>
        </w:rPr>
        <w:fldChar w:fldCharType="separate"/>
      </w:r>
      <w:r>
        <w:rPr>
          <w:i w:val="0"/>
          <w:noProof/>
          <w:szCs w:val="24"/>
        </w:rPr>
        <w:t>Table A4-8</w:t>
      </w:r>
      <w:r>
        <w:rPr>
          <w:i w:val="0"/>
          <w:noProof/>
          <w:szCs w:val="24"/>
        </w:rPr>
        <w:fldChar w:fldCharType="end"/>
      </w:r>
      <w:r>
        <w:rPr>
          <w:i w:val="0"/>
          <w:noProof/>
          <w:szCs w:val="24"/>
        </w:rPr>
        <w:t xml:space="preserve"> provides an overview of the costs of getting one non-harmonised product into a single EU Member State.  The table shows that in nearly all sectors the lowest proportion of costs (average €4,7</w:t>
      </w:r>
      <w:r>
        <w:rPr>
          <w:i w:val="0"/>
          <w:noProof/>
          <w:szCs w:val="24"/>
        </w:rPr>
        <w:t xml:space="preserve">75 per enterprise) is associated with demonstrating meeting regulatory requirements.  Section 4.2.1 noted that on average these represented only 80 hours of time per enterprise.  </w:t>
      </w:r>
    </w:p>
    <w:p w:rsidR="0037666B" w:rsidRDefault="00C627B8">
      <w:pPr>
        <w:pStyle w:val="BodyText"/>
        <w:spacing w:after="240"/>
        <w:rPr>
          <w:i w:val="0"/>
          <w:noProof/>
          <w:szCs w:val="24"/>
        </w:rPr>
      </w:pPr>
      <w:r>
        <w:rPr>
          <w:i w:val="0"/>
          <w:noProof/>
          <w:szCs w:val="24"/>
        </w:rPr>
        <w:t>Costs are obviously increased for enterprises that incur this regulatory cos</w:t>
      </w:r>
      <w:r>
        <w:rPr>
          <w:i w:val="0"/>
          <w:noProof/>
          <w:szCs w:val="24"/>
        </w:rPr>
        <w:t>t and undertake product adjustments, on average these costs are €9,073 per enterprise undertaking this route to intra-EU exporting.</w:t>
      </w:r>
    </w:p>
    <w:p w:rsidR="0037666B" w:rsidRDefault="00C627B8">
      <w:pPr>
        <w:pStyle w:val="BodyText"/>
        <w:spacing w:after="240"/>
        <w:rPr>
          <w:i w:val="0"/>
          <w:noProof/>
          <w:szCs w:val="24"/>
        </w:rPr>
      </w:pPr>
      <w:r>
        <w:rPr>
          <w:i w:val="0"/>
          <w:noProof/>
          <w:szCs w:val="24"/>
        </w:rPr>
        <w:t>The largest costs are associated with a delay in market entry, this was estimated to cost four per cent of turnover or appro</w:t>
      </w:r>
      <w:r>
        <w:rPr>
          <w:i w:val="0"/>
          <w:noProof/>
          <w:szCs w:val="24"/>
        </w:rPr>
        <w:t>ximately €8,596 per enterprise.</w:t>
      </w:r>
    </w:p>
    <w:p w:rsidR="0037666B" w:rsidRDefault="00C627B8">
      <w:pPr>
        <w:pStyle w:val="Heading3"/>
        <w:numPr>
          <w:ilvl w:val="2"/>
          <w:numId w:val="36"/>
        </w:numPr>
        <w:rPr>
          <w:noProof/>
        </w:rPr>
      </w:pPr>
      <w:bookmarkStart w:id="150" w:name="_Toc483992780"/>
      <w:r>
        <w:rPr>
          <w:noProof/>
        </w:rPr>
        <w:t>Lost Opportunity</w:t>
      </w:r>
      <w:bookmarkEnd w:id="150"/>
      <w:r>
        <w:rPr>
          <w:noProof/>
        </w:rPr>
        <w:t xml:space="preserve"> </w:t>
      </w:r>
    </w:p>
    <w:p w:rsidR="0037666B" w:rsidRDefault="00C627B8">
      <w:pPr>
        <w:pStyle w:val="BodyText"/>
        <w:spacing w:after="240"/>
        <w:rPr>
          <w:i w:val="0"/>
          <w:noProof/>
          <w:szCs w:val="24"/>
        </w:rPr>
      </w:pPr>
      <w:r>
        <w:rPr>
          <w:i w:val="0"/>
          <w:noProof/>
          <w:szCs w:val="24"/>
        </w:rPr>
        <w:fldChar w:fldCharType="begin"/>
      </w:r>
      <w:r>
        <w:rPr>
          <w:i w:val="0"/>
          <w:noProof/>
          <w:szCs w:val="24"/>
        </w:rPr>
        <w:instrText xml:space="preserve"> REF _Ref349577800 \h  \* MERGEFORMAT </w:instrText>
      </w:r>
      <w:r>
        <w:rPr>
          <w:i w:val="0"/>
          <w:noProof/>
          <w:szCs w:val="24"/>
        </w:rPr>
      </w:r>
      <w:r>
        <w:rPr>
          <w:i w:val="0"/>
          <w:noProof/>
          <w:szCs w:val="24"/>
        </w:rPr>
        <w:fldChar w:fldCharType="separate"/>
      </w:r>
      <w:r>
        <w:rPr>
          <w:i w:val="0"/>
          <w:noProof/>
          <w:szCs w:val="24"/>
        </w:rPr>
        <w:t xml:space="preserve">The estimate presented in </w:t>
      </w:r>
      <w:r>
        <w:rPr>
          <w:b/>
          <w:bCs/>
          <w:i w:val="0"/>
          <w:noProof/>
          <w:szCs w:val="24"/>
          <w:lang w:val="en-US"/>
        </w:rPr>
        <w:t>Error! Not a valid bookmark self-reference.</w:t>
      </w:r>
      <w:r>
        <w:rPr>
          <w:i w:val="0"/>
          <w:noProof/>
          <w:szCs w:val="24"/>
        </w:rPr>
        <w:t xml:space="preserve"> uses a multiplicand of 441,000 enterprises (previously described in section 4.1 as the number suff</w:t>
      </w:r>
      <w:r>
        <w:rPr>
          <w:i w:val="0"/>
          <w:noProof/>
          <w:szCs w:val="24"/>
        </w:rPr>
        <w:t xml:space="preserve">ering a lost opportunity at twice the number that actually do export, this equates to 29 per cent of non-harmonised non-exporting enterprises).  This provides an average value for intra-EU exporting enterprises of €7,525 per annum.   </w:t>
      </w:r>
    </w:p>
    <w:p w:rsidR="0037666B" w:rsidRDefault="00C627B8">
      <w:pPr>
        <w:pStyle w:val="BodyText"/>
        <w:spacing w:after="240"/>
        <w:rPr>
          <w:i w:val="0"/>
          <w:noProof/>
          <w:szCs w:val="24"/>
        </w:rPr>
      </w:pPr>
      <w:r>
        <w:rPr>
          <w:i w:val="0"/>
          <w:noProof/>
          <w:szCs w:val="24"/>
        </w:rPr>
        <w:t>Table A4-9</w:t>
      </w:r>
      <w:r>
        <w:rPr>
          <w:i w:val="0"/>
          <w:noProof/>
          <w:szCs w:val="24"/>
        </w:rPr>
        <w:fldChar w:fldCharType="end"/>
      </w:r>
      <w:r>
        <w:rPr>
          <w:i w:val="0"/>
          <w:noProof/>
          <w:szCs w:val="24"/>
        </w:rPr>
        <w:t xml:space="preserve"> provides an overview of the level and cost of lost opportunities in the sectors examined.  Section 4.2.1 noted that this element of the model is more subjective and enterprises choose not export for </w:t>
      </w:r>
      <w:r>
        <w:rPr>
          <w:i w:val="0"/>
          <w:noProof/>
          <w:szCs w:val="24"/>
        </w:rPr>
        <w:t>a wide variety of reasons.  The proportion of enterprises not exporting due to the sub-optimal functioning of the Mutual Recognition principle is very difficult to estimate.  The model assumes that the number of enterprises seriously considering intra-EU e</w:t>
      </w:r>
      <w:r>
        <w:rPr>
          <w:i w:val="0"/>
          <w:noProof/>
          <w:szCs w:val="24"/>
        </w:rPr>
        <w:t>xporting, but deciding not to go ahead, will be twice the number that actually do export. The number of enterprises that incur a ‘lost opportunity’ is set at 27 per cent in the model (twice the 14.7 per cent that do export of non-harmonised products), this</w:t>
      </w:r>
      <w:r>
        <w:rPr>
          <w:i w:val="0"/>
          <w:noProof/>
          <w:szCs w:val="24"/>
        </w:rPr>
        <w:t xml:space="preserve"> value can be adjusted in the model. Section 4.2.1 also highlighted that enterprises estimated lost opportunities averaged a value of 3.5 per cent of turnover. </w:t>
      </w:r>
      <w:bookmarkStart w:id="151" w:name="_Ref349577800"/>
      <w:r>
        <w:rPr>
          <w:i w:val="0"/>
          <w:noProof/>
          <w:szCs w:val="24"/>
        </w:rPr>
        <w:t xml:space="preserve">The estimate presented in </w:t>
      </w:r>
      <w:r>
        <w:rPr>
          <w:i w:val="0"/>
          <w:noProof/>
          <w:szCs w:val="24"/>
        </w:rPr>
        <w:fldChar w:fldCharType="begin"/>
      </w:r>
      <w:r>
        <w:rPr>
          <w:i w:val="0"/>
          <w:noProof/>
          <w:szCs w:val="24"/>
        </w:rPr>
        <w:instrText xml:space="preserve"> REF _Ref349577800 \h  \* MERGEFORMAT </w:instrText>
      </w:r>
      <w:r>
        <w:rPr>
          <w:i w:val="0"/>
          <w:noProof/>
          <w:szCs w:val="24"/>
        </w:rPr>
      </w:r>
      <w:r>
        <w:rPr>
          <w:i w:val="0"/>
          <w:noProof/>
          <w:szCs w:val="24"/>
        </w:rPr>
        <w:fldChar w:fldCharType="separate"/>
      </w:r>
      <w:r>
        <w:rPr>
          <w:b/>
          <w:bCs/>
          <w:i w:val="0"/>
          <w:noProof/>
          <w:szCs w:val="24"/>
          <w:lang w:val="en-US"/>
        </w:rPr>
        <w:t>Error! Not a valid bookmark self</w:t>
      </w:r>
      <w:r>
        <w:rPr>
          <w:b/>
          <w:bCs/>
          <w:i w:val="0"/>
          <w:noProof/>
          <w:szCs w:val="24"/>
          <w:lang w:val="en-US"/>
        </w:rPr>
        <w:t>-reference.</w:t>
      </w:r>
      <w:r>
        <w:rPr>
          <w:i w:val="0"/>
          <w:noProof/>
          <w:szCs w:val="24"/>
        </w:rPr>
        <w:fldChar w:fldCharType="end"/>
      </w:r>
      <w:r>
        <w:rPr>
          <w:i w:val="0"/>
          <w:noProof/>
          <w:szCs w:val="24"/>
        </w:rPr>
        <w:t xml:space="preserve"> uses a multiplicand of 441,000 enterprises (previously described in section 4.1 as the number suffering a lost opportunity at twice the number that actually do export, this equa</w:t>
      </w:r>
      <w:r>
        <w:rPr>
          <w:i w:val="0"/>
          <w:noProof/>
          <w:szCs w:val="24"/>
        </w:rPr>
        <w:t xml:space="preserve">tes to 29 per cent of non-harmonised non-exporting enterprises).  This provides an average value for intra-EU exporting enterprises of €7,525 per annum.   </w:t>
      </w:r>
    </w:p>
    <w:p w:rsidR="0037666B" w:rsidRDefault="00C627B8">
      <w:pPr>
        <w:pStyle w:val="BodyText"/>
        <w:spacing w:after="240"/>
        <w:rPr>
          <w:i w:val="0"/>
          <w:noProof/>
          <w:szCs w:val="24"/>
        </w:rPr>
      </w:pPr>
      <w:r>
        <w:rPr>
          <w:i w:val="0"/>
          <w:noProof/>
          <w:szCs w:val="24"/>
        </w:rPr>
        <w:t>Table A4-</w:t>
      </w:r>
      <w:r>
        <w:rPr>
          <w:i w:val="0"/>
          <w:noProof/>
          <w:szCs w:val="24"/>
        </w:rPr>
        <w:fldChar w:fldCharType="begin"/>
      </w:r>
      <w:r>
        <w:rPr>
          <w:i w:val="0"/>
          <w:noProof/>
          <w:szCs w:val="24"/>
        </w:rPr>
        <w:instrText xml:space="preserve"> SEQ Table \* ARABIC </w:instrText>
      </w:r>
      <w:r>
        <w:rPr>
          <w:i w:val="0"/>
          <w:noProof/>
          <w:szCs w:val="24"/>
        </w:rPr>
        <w:fldChar w:fldCharType="separate"/>
      </w:r>
      <w:r>
        <w:rPr>
          <w:i w:val="0"/>
          <w:noProof/>
          <w:szCs w:val="24"/>
        </w:rPr>
        <w:t>9</w:t>
      </w:r>
      <w:r>
        <w:rPr>
          <w:i w:val="0"/>
          <w:noProof/>
          <w:szCs w:val="24"/>
        </w:rPr>
        <w:fldChar w:fldCharType="end"/>
      </w:r>
      <w:bookmarkEnd w:id="151"/>
      <w:r>
        <w:rPr>
          <w:i w:val="0"/>
          <w:noProof/>
          <w:szCs w:val="24"/>
        </w:rPr>
        <w:t>: Enterprise costs associated with lost opportunities for intra-EU</w:t>
      </w:r>
      <w:r>
        <w:rPr>
          <w:i w:val="0"/>
          <w:noProof/>
          <w:szCs w:val="24"/>
        </w:rPr>
        <w:t xml:space="preserve"> exporting</w:t>
      </w:r>
    </w:p>
    <w:tbl>
      <w:tblPr>
        <w:tblStyle w:val="TableforEC4"/>
        <w:tblW w:w="8755" w:type="dxa"/>
        <w:tblLayout w:type="fixed"/>
        <w:tblLook w:val="04A0" w:firstRow="1" w:lastRow="0" w:firstColumn="1" w:lastColumn="0" w:noHBand="0" w:noVBand="1"/>
      </w:tblPr>
      <w:tblGrid>
        <w:gridCol w:w="5346"/>
        <w:gridCol w:w="3409"/>
      </w:tblGrid>
      <w:tr w:rsidR="0037666B" w:rsidTr="0037666B">
        <w:trPr>
          <w:cnfStyle w:val="100000000000" w:firstRow="1" w:lastRow="0" w:firstColumn="0" w:lastColumn="0" w:oddVBand="0" w:evenVBand="0" w:oddHBand="0" w:evenHBand="0" w:firstRowFirstColumn="0" w:firstRowLastColumn="0" w:lastRowFirstColumn="0" w:lastRowLastColumn="0"/>
          <w:trHeight w:val="20"/>
        </w:trPr>
        <w:tc>
          <w:tcPr>
            <w:cnfStyle w:val="000000000100" w:firstRow="0" w:lastRow="0" w:firstColumn="0" w:lastColumn="0" w:oddVBand="0" w:evenVBand="0" w:oddHBand="0" w:evenHBand="0" w:firstRowFirstColumn="1" w:firstRowLastColumn="0" w:lastRowFirstColumn="0" w:lastRowLastColumn="0"/>
            <w:tcW w:w="5346" w:type="dxa"/>
            <w:noWrap/>
            <w:vAlign w:val="center"/>
            <w:hideMark/>
          </w:tcPr>
          <w:p w:rsidR="0037666B" w:rsidRDefault="0037666B">
            <w:pPr>
              <w:spacing w:after="0"/>
              <w:contextualSpacing/>
              <w:jc w:val="left"/>
              <w:rPr>
                <w:rFonts w:ascii="Times New Roman" w:hAnsi="Times New Roman"/>
                <w:noProof/>
                <w:sz w:val="20"/>
                <w:szCs w:val="20"/>
                <w:lang w:val="en-GB"/>
              </w:rPr>
            </w:pPr>
          </w:p>
        </w:tc>
        <w:tc>
          <w:tcPr>
            <w:tcW w:w="3409" w:type="dxa"/>
            <w:vAlign w:val="center"/>
            <w:hideMark/>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en-GB"/>
              </w:rPr>
            </w:pPr>
            <w:r>
              <w:rPr>
                <w:rFonts w:ascii="Times New Roman" w:hAnsi="Times New Roman"/>
                <w:noProof/>
                <w:sz w:val="20"/>
                <w:szCs w:val="20"/>
                <w:lang w:val="en-GB"/>
              </w:rPr>
              <w:t>Estimate of lost opportunity</w:t>
            </w:r>
            <w:r>
              <w:rPr>
                <w:rFonts w:ascii="Times New Roman" w:hAnsi="Times New Roman"/>
                <w:noProof/>
                <w:sz w:val="20"/>
                <w:szCs w:val="20"/>
                <w:lang w:val="en-GB"/>
              </w:rPr>
              <w:br/>
              <w:t>(€m)</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tcW w:w="5346" w:type="dxa"/>
            <w:noWrap/>
            <w:vAlign w:val="center"/>
            <w:hideMark/>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basic metals and fabricated metal products, except machinery and equipment </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393</w:t>
            </w:r>
          </w:p>
        </w:tc>
      </w:tr>
      <w:tr w:rsidR="0037666B" w:rsidTr="0037666B">
        <w:trPr>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Manufacture of coke, and refined petroleum products</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0.1</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Manufacture of computer, electronic and optical products</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105</w:t>
            </w:r>
          </w:p>
        </w:tc>
      </w:tr>
      <w:tr w:rsidR="0037666B" w:rsidTr="0037666B">
        <w:trPr>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food products, beverages and tobacco products </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37</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Manufacture of rubber and plastics products, and other non-metallic products</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95</w:t>
            </w:r>
          </w:p>
        </w:tc>
      </w:tr>
      <w:tr w:rsidR="0037666B" w:rsidTr="0037666B">
        <w:trPr>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textiles, apparel, leather and related products </w:t>
            </w:r>
          </w:p>
        </w:tc>
        <w:tc>
          <w:tcPr>
            <w:tcW w:w="3409" w:type="dxa"/>
            <w:noWrap/>
            <w:vAlign w:val="center"/>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557</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tcW w:w="5346" w:type="dxa"/>
            <w:noWrap/>
            <w:vAlign w:val="center"/>
          </w:tcPr>
          <w:p w:rsidR="0037666B" w:rsidRDefault="00C627B8">
            <w:pPr>
              <w:spacing w:after="0"/>
              <w:contextualSpacing/>
              <w:jc w:val="left"/>
              <w:rPr>
                <w:rFonts w:ascii="Times New Roman" w:hAnsi="Times New Roman"/>
                <w:noProof/>
                <w:sz w:val="20"/>
                <w:szCs w:val="20"/>
              </w:rPr>
            </w:pPr>
            <w:r>
              <w:rPr>
                <w:rFonts w:ascii="Times New Roman" w:hAnsi="Times New Roman"/>
                <w:noProof/>
                <w:sz w:val="20"/>
                <w:szCs w:val="20"/>
              </w:rPr>
              <w:t xml:space="preserve">Manufacture of transport equipment </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853</w:t>
            </w:r>
          </w:p>
        </w:tc>
      </w:tr>
      <w:tr w:rsidR="0037666B" w:rsidTr="0037666B">
        <w:trPr>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Manufacture of wood and paper products, and printing </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723</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trPr>
        <w:tc>
          <w:tcPr>
            <w:tcW w:w="5346" w:type="dxa"/>
            <w:noWrap/>
            <w:vAlign w:val="center"/>
          </w:tcPr>
          <w:p w:rsidR="0037666B" w:rsidRDefault="00C627B8">
            <w:pPr>
              <w:spacing w:after="0"/>
              <w:contextualSpacing/>
              <w:jc w:val="left"/>
              <w:rPr>
                <w:rFonts w:ascii="Times New Roman" w:hAnsi="Times New Roman"/>
                <w:noProof/>
                <w:sz w:val="20"/>
                <w:szCs w:val="20"/>
                <w:lang w:val="en-GB"/>
              </w:rPr>
            </w:pPr>
            <w:r>
              <w:rPr>
                <w:rFonts w:ascii="Times New Roman" w:hAnsi="Times New Roman"/>
                <w:noProof/>
                <w:sz w:val="20"/>
                <w:szCs w:val="20"/>
                <w:lang w:val="en-GB"/>
              </w:rPr>
              <w:t xml:space="preserve">Other manufacturing, and repair and installation of machinery and equipment </w:t>
            </w:r>
          </w:p>
        </w:tc>
        <w:tc>
          <w:tcPr>
            <w:tcW w:w="3409" w:type="dxa"/>
            <w:noWrap/>
            <w:vAlign w:val="center"/>
            <w:hideMark/>
          </w:tcPr>
          <w:p w:rsidR="0037666B" w:rsidRDefault="00C627B8">
            <w:pPr>
              <w:spacing w:after="0"/>
              <w:contextualSpacing/>
              <w:jc w:val="center"/>
              <w:rPr>
                <w:rFonts w:ascii="Times New Roman" w:hAnsi="Times New Roman"/>
                <w:noProof/>
                <w:sz w:val="20"/>
                <w:szCs w:val="20"/>
              </w:rPr>
            </w:pPr>
            <w:r>
              <w:rPr>
                <w:rFonts w:ascii="Times New Roman" w:hAnsi="Times New Roman"/>
                <w:noProof/>
                <w:sz w:val="20"/>
                <w:szCs w:val="20"/>
              </w:rPr>
              <w:t>244</w:t>
            </w:r>
          </w:p>
        </w:tc>
      </w:tr>
      <w:tr w:rsidR="0037666B" w:rsidTr="0037666B">
        <w:trPr>
          <w:trHeight w:val="343"/>
        </w:trPr>
        <w:tc>
          <w:tcPr>
            <w:tcW w:w="5346" w:type="dxa"/>
            <w:noWrap/>
            <w:vAlign w:val="center"/>
          </w:tcPr>
          <w:p w:rsidR="0037666B" w:rsidRDefault="00C627B8">
            <w:pPr>
              <w:spacing w:after="0"/>
              <w:contextualSpacing/>
              <w:jc w:val="left"/>
              <w:rPr>
                <w:rFonts w:ascii="Times New Roman" w:hAnsi="Times New Roman"/>
                <w:b/>
                <w:noProof/>
                <w:sz w:val="20"/>
                <w:szCs w:val="20"/>
              </w:rPr>
            </w:pPr>
            <w:r>
              <w:rPr>
                <w:rFonts w:ascii="Times New Roman" w:hAnsi="Times New Roman"/>
                <w:b/>
                <w:noProof/>
                <w:sz w:val="20"/>
                <w:szCs w:val="20"/>
              </w:rPr>
              <w:t>Total</w:t>
            </w:r>
          </w:p>
        </w:tc>
        <w:tc>
          <w:tcPr>
            <w:tcW w:w="3409" w:type="dxa"/>
            <w:noWrap/>
            <w:vAlign w:val="center"/>
          </w:tcPr>
          <w:p w:rsidR="0037666B" w:rsidRDefault="00C627B8">
            <w:pPr>
              <w:spacing w:after="0"/>
              <w:contextualSpacing/>
              <w:jc w:val="center"/>
              <w:rPr>
                <w:rFonts w:ascii="Times New Roman" w:hAnsi="Times New Roman"/>
                <w:b/>
                <w:noProof/>
                <w:sz w:val="20"/>
                <w:szCs w:val="20"/>
              </w:rPr>
            </w:pPr>
            <w:r>
              <w:rPr>
                <w:rFonts w:ascii="Times New Roman" w:hAnsi="Times New Roman"/>
                <w:b/>
                <w:bCs/>
                <w:noProof/>
                <w:sz w:val="20"/>
                <w:szCs w:val="20"/>
              </w:rPr>
              <w:t>€3,007m</w:t>
            </w:r>
          </w:p>
        </w:tc>
      </w:tr>
      <w:tr w:rsidR="0037666B" w:rsidTr="0037666B">
        <w:trPr>
          <w:cnfStyle w:val="000000100000" w:firstRow="0" w:lastRow="0" w:firstColumn="0" w:lastColumn="0" w:oddVBand="0" w:evenVBand="0" w:oddHBand="1" w:evenHBand="0" w:firstRowFirstColumn="0" w:firstRowLastColumn="0" w:lastRowFirstColumn="0" w:lastRowLastColumn="0"/>
          <w:trHeight w:val="305"/>
        </w:trPr>
        <w:tc>
          <w:tcPr>
            <w:tcW w:w="5346" w:type="dxa"/>
            <w:noWrap/>
            <w:vAlign w:val="center"/>
            <w:hideMark/>
          </w:tcPr>
          <w:p w:rsidR="0037666B" w:rsidRDefault="00C627B8">
            <w:pPr>
              <w:spacing w:after="0"/>
              <w:contextualSpacing/>
              <w:jc w:val="left"/>
              <w:rPr>
                <w:rFonts w:ascii="Times New Roman" w:hAnsi="Times New Roman"/>
                <w:b/>
                <w:noProof/>
                <w:sz w:val="20"/>
                <w:szCs w:val="20"/>
              </w:rPr>
            </w:pPr>
            <w:r>
              <w:rPr>
                <w:rFonts w:ascii="Times New Roman" w:hAnsi="Times New Roman"/>
                <w:b/>
                <w:noProof/>
                <w:sz w:val="20"/>
                <w:szCs w:val="20"/>
              </w:rPr>
              <w:t>Average per enterprise</w:t>
            </w:r>
          </w:p>
        </w:tc>
        <w:tc>
          <w:tcPr>
            <w:tcW w:w="3409" w:type="dxa"/>
            <w:noWrap/>
            <w:vAlign w:val="center"/>
            <w:hideMark/>
          </w:tcPr>
          <w:p w:rsidR="0037666B" w:rsidRDefault="00C627B8">
            <w:pPr>
              <w:spacing w:after="0"/>
              <w:contextualSpacing/>
              <w:jc w:val="center"/>
              <w:rPr>
                <w:rFonts w:ascii="Times New Roman" w:hAnsi="Times New Roman"/>
                <w:b/>
                <w:noProof/>
                <w:sz w:val="20"/>
                <w:szCs w:val="20"/>
              </w:rPr>
            </w:pPr>
            <w:r>
              <w:rPr>
                <w:rFonts w:ascii="Times New Roman" w:hAnsi="Times New Roman"/>
                <w:b/>
                <w:noProof/>
                <w:sz w:val="20"/>
                <w:szCs w:val="20"/>
              </w:rPr>
              <w:t>€7,525</w:t>
            </w:r>
          </w:p>
        </w:tc>
      </w:tr>
    </w:tbl>
    <w:p w:rsidR="0037666B" w:rsidRDefault="0037666B">
      <w:pPr>
        <w:rPr>
          <w:noProof/>
          <w:szCs w:val="24"/>
        </w:rPr>
      </w:pPr>
    </w:p>
    <w:p w:rsidR="0037666B" w:rsidRDefault="00C627B8">
      <w:pPr>
        <w:pStyle w:val="Heading3"/>
        <w:numPr>
          <w:ilvl w:val="2"/>
          <w:numId w:val="36"/>
        </w:numPr>
        <w:rPr>
          <w:noProof/>
        </w:rPr>
      </w:pPr>
      <w:bookmarkStart w:id="152" w:name="_Toc483992781"/>
      <w:r>
        <w:rPr>
          <w:noProof/>
        </w:rPr>
        <w:t>The Sub-optimal Functioning</w:t>
      </w:r>
      <w:r>
        <w:rPr>
          <w:noProof/>
        </w:rPr>
        <w:t xml:space="preserve"> of the Mutual Recognition (SFMR) model</w:t>
      </w:r>
      <w:bookmarkEnd w:id="152"/>
    </w:p>
    <w:p w:rsidR="0037666B" w:rsidRDefault="00C627B8">
      <w:pPr>
        <w:pStyle w:val="BodyText"/>
        <w:spacing w:after="240"/>
        <w:rPr>
          <w:i w:val="0"/>
          <w:noProof/>
          <w:szCs w:val="24"/>
        </w:rPr>
      </w:pPr>
      <w:r>
        <w:rPr>
          <w:i w:val="0"/>
          <w:noProof/>
          <w:szCs w:val="24"/>
        </w:rPr>
        <w:t>Figure A4-11 provides an overview of the key components of the model to estimate the costs of sub-optimal functioning of the Mutual Recognition principle. Preceding sections have described each component of the model</w:t>
      </w:r>
      <w:r>
        <w:rPr>
          <w:i w:val="0"/>
          <w:noProof/>
          <w:szCs w:val="24"/>
        </w:rPr>
        <w:t xml:space="preserve"> and the assumptions used in calculations. As noted earlier, it is important to stress that the model provides costs associated with an enterprise introducing one product into one EU Member State.  </w:t>
      </w:r>
    </w:p>
    <w:p w:rsidR="0037666B" w:rsidRDefault="0037666B">
      <w:pPr>
        <w:pStyle w:val="BodyText"/>
        <w:spacing w:after="240"/>
        <w:rPr>
          <w:i w:val="0"/>
          <w:noProof/>
          <w:szCs w:val="24"/>
        </w:rPr>
      </w:pPr>
    </w:p>
    <w:p w:rsidR="0037666B" w:rsidRDefault="00C627B8">
      <w:pPr>
        <w:pStyle w:val="Caption"/>
        <w:rPr>
          <w:noProof/>
        </w:rPr>
      </w:pPr>
      <w:r>
        <w:rPr>
          <w:noProof/>
          <w:szCs w:val="24"/>
        </w:rPr>
        <w:t>Figure A4-</w:t>
      </w:r>
      <w:r>
        <w:rPr>
          <w:noProof/>
          <w:szCs w:val="24"/>
        </w:rPr>
        <w:fldChar w:fldCharType="begin"/>
      </w:r>
      <w:r>
        <w:rPr>
          <w:noProof/>
          <w:szCs w:val="24"/>
        </w:rPr>
        <w:instrText xml:space="preserve"> SEQ Figure \* ARABIC </w:instrText>
      </w:r>
      <w:r>
        <w:rPr>
          <w:noProof/>
          <w:szCs w:val="24"/>
        </w:rPr>
        <w:fldChar w:fldCharType="separate"/>
      </w:r>
      <w:r>
        <w:rPr>
          <w:noProof/>
          <w:szCs w:val="24"/>
        </w:rPr>
        <w:t>11</w:t>
      </w:r>
      <w:r>
        <w:rPr>
          <w:noProof/>
          <w:szCs w:val="24"/>
        </w:rPr>
        <w:fldChar w:fldCharType="end"/>
      </w:r>
      <w:r>
        <w:rPr>
          <w:noProof/>
          <w:szCs w:val="24"/>
        </w:rPr>
        <w:t xml:space="preserve">: </w:t>
      </w:r>
      <w:r>
        <w:rPr>
          <w:noProof/>
        </w:rPr>
        <w:t xml:space="preserve">Costs and lost </w:t>
      </w:r>
      <w:r>
        <w:rPr>
          <w:noProof/>
        </w:rPr>
        <w:t>opportunity calculations associated with the decision tree diagram for export decisions associated with products not covered by the Mutual Recognition principle</w:t>
      </w:r>
    </w:p>
    <w:p w:rsidR="0037666B" w:rsidRDefault="00C627B8">
      <w:pPr>
        <w:pStyle w:val="BodyText"/>
        <w:spacing w:after="240"/>
        <w:rPr>
          <w:i w:val="0"/>
          <w:noProof/>
          <w:szCs w:val="24"/>
        </w:rPr>
      </w:pPr>
      <w:r>
        <w:rPr>
          <w:noProof/>
          <w:lang w:eastAsia="en-GB"/>
        </w:rPr>
        <w:drawing>
          <wp:inline distT="0" distB="0" distL="0" distR="0">
            <wp:extent cx="5367655" cy="4072271"/>
            <wp:effectExtent l="25400" t="25400" r="17145" b="171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8357" cy="4072804"/>
                    </a:xfrm>
                    <a:prstGeom prst="rect">
                      <a:avLst/>
                    </a:prstGeom>
                    <a:noFill/>
                    <a:ln>
                      <a:solidFill>
                        <a:schemeClr val="tx1">
                          <a:lumMod val="50000"/>
                          <a:lumOff val="50000"/>
                        </a:schemeClr>
                      </a:solidFill>
                    </a:ln>
                  </pic:spPr>
                </pic:pic>
              </a:graphicData>
            </a:graphic>
          </wp:inline>
        </w:drawing>
      </w:r>
    </w:p>
    <w:p w:rsidR="0037666B" w:rsidRDefault="00C627B8">
      <w:pPr>
        <w:pStyle w:val="BodyText"/>
        <w:spacing w:after="240"/>
        <w:rPr>
          <w:i w:val="0"/>
          <w:noProof/>
          <w:szCs w:val="24"/>
        </w:rPr>
      </w:pPr>
      <w:r>
        <w:rPr>
          <w:i w:val="0"/>
          <w:noProof/>
          <w:szCs w:val="24"/>
        </w:rPr>
        <w:t>As noted earlier The SFMR model has been developed as an MS excel spreadsheet.  It enables us</w:t>
      </w:r>
      <w:r>
        <w:rPr>
          <w:i w:val="0"/>
          <w:noProof/>
          <w:szCs w:val="24"/>
        </w:rPr>
        <w:t xml:space="preserve">ers to change the values of all the key assumptions. </w:t>
      </w:r>
    </w:p>
    <w:p w:rsidR="0037666B" w:rsidRDefault="00C627B8">
      <w:pPr>
        <w:pStyle w:val="BodyText"/>
        <w:spacing w:after="240"/>
        <w:rPr>
          <w:i w:val="0"/>
          <w:noProof/>
          <w:szCs w:val="24"/>
        </w:rPr>
      </w:pPr>
      <w:r>
        <w:rPr>
          <w:i w:val="0"/>
          <w:noProof/>
          <w:szCs w:val="24"/>
        </w:rPr>
        <w:t>The final component of the model enables users to enter values for enterprises introducing more than one product into more than one EU Member States per annum. The model does not take account of whether</w:t>
      </w:r>
      <w:r>
        <w:rPr>
          <w:i w:val="0"/>
          <w:noProof/>
          <w:szCs w:val="24"/>
        </w:rPr>
        <w:t xml:space="preserve"> exporting enterprises will continue to export in later years, nor does it examine any further costs associated with the sub-optimal functioning of the Mutual Recognition principle.</w:t>
      </w:r>
    </w:p>
    <w:p w:rsidR="0037666B" w:rsidRDefault="00C627B8">
      <w:pPr>
        <w:pStyle w:val="Caption"/>
        <w:spacing w:before="0" w:after="240"/>
        <w:rPr>
          <w:noProof/>
          <w:szCs w:val="24"/>
        </w:rPr>
      </w:pPr>
      <w:bookmarkStart w:id="153" w:name="_Ref349580465"/>
      <w:r>
        <w:rPr>
          <w:noProof/>
          <w:szCs w:val="24"/>
        </w:rPr>
        <w:t>Table A4-</w:t>
      </w:r>
      <w:r>
        <w:rPr>
          <w:noProof/>
          <w:szCs w:val="24"/>
        </w:rPr>
        <w:fldChar w:fldCharType="begin"/>
      </w:r>
      <w:r>
        <w:rPr>
          <w:noProof/>
          <w:szCs w:val="24"/>
        </w:rPr>
        <w:instrText xml:space="preserve"> SEQ Table \* ARABIC </w:instrText>
      </w:r>
      <w:r>
        <w:rPr>
          <w:noProof/>
          <w:szCs w:val="24"/>
        </w:rPr>
        <w:fldChar w:fldCharType="separate"/>
      </w:r>
      <w:r>
        <w:rPr>
          <w:noProof/>
          <w:szCs w:val="24"/>
        </w:rPr>
        <w:t>10</w:t>
      </w:r>
      <w:r>
        <w:rPr>
          <w:noProof/>
          <w:szCs w:val="24"/>
        </w:rPr>
        <w:fldChar w:fldCharType="end"/>
      </w:r>
      <w:bookmarkEnd w:id="153"/>
      <w:r>
        <w:rPr>
          <w:noProof/>
          <w:szCs w:val="24"/>
        </w:rPr>
        <w:t>:  Results of sensitivity analysis exam</w:t>
      </w:r>
      <w:r>
        <w:rPr>
          <w:noProof/>
          <w:szCs w:val="24"/>
        </w:rPr>
        <w:t>ining different numbers of products and Member States targeted by exporters per annum</w:t>
      </w:r>
    </w:p>
    <w:tbl>
      <w:tblPr>
        <w:tblStyle w:val="TableforEC4"/>
        <w:tblW w:w="8989" w:type="dxa"/>
        <w:jc w:val="center"/>
        <w:tblInd w:w="371" w:type="dxa"/>
        <w:tblLayout w:type="fixed"/>
        <w:tblLook w:val="04A0" w:firstRow="1" w:lastRow="0" w:firstColumn="1" w:lastColumn="0" w:noHBand="0" w:noVBand="1"/>
      </w:tblPr>
      <w:tblGrid>
        <w:gridCol w:w="2080"/>
        <w:gridCol w:w="1381"/>
        <w:gridCol w:w="1382"/>
        <w:gridCol w:w="1382"/>
        <w:gridCol w:w="1382"/>
        <w:gridCol w:w="1382"/>
      </w:tblGrid>
      <w:tr w:rsidR="0037666B" w:rsidTr="0037666B">
        <w:trPr>
          <w:cnfStyle w:val="100000000000" w:firstRow="1" w:lastRow="0" w:firstColumn="0" w:lastColumn="0" w:oddVBand="0" w:evenVBand="0" w:oddHBand="0" w:evenHBand="0" w:firstRowFirstColumn="0" w:firstRowLastColumn="0" w:lastRowFirstColumn="0" w:lastRowLastColumn="0"/>
          <w:trHeight w:val="20"/>
          <w:jc w:val="center"/>
        </w:trPr>
        <w:tc>
          <w:tcPr>
            <w:cnfStyle w:val="000000000100" w:firstRow="0" w:lastRow="0" w:firstColumn="0" w:lastColumn="0" w:oddVBand="0" w:evenVBand="0" w:oddHBand="0" w:evenHBand="0" w:firstRowFirstColumn="1" w:firstRowLastColumn="0" w:lastRowFirstColumn="0" w:lastRowLastColumn="0"/>
            <w:tcW w:w="2080" w:type="dxa"/>
            <w:noWrap/>
            <w:vAlign w:val="center"/>
            <w:hideMark/>
          </w:tcPr>
          <w:p w:rsidR="0037666B" w:rsidRDefault="0037666B">
            <w:pPr>
              <w:spacing w:after="0"/>
              <w:contextualSpacing/>
              <w:jc w:val="left"/>
              <w:rPr>
                <w:rFonts w:ascii="Times New Roman" w:hAnsi="Times New Roman"/>
                <w:noProof/>
                <w:sz w:val="18"/>
                <w:szCs w:val="18"/>
                <w:lang w:val="en-GB"/>
              </w:rPr>
            </w:pPr>
          </w:p>
        </w:tc>
        <w:tc>
          <w:tcPr>
            <w:tcW w:w="1381" w:type="dxa"/>
            <w:vAlign w:val="center"/>
            <w:hideMark/>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8"/>
                <w:szCs w:val="18"/>
              </w:rPr>
            </w:pPr>
            <w:r>
              <w:rPr>
                <w:rFonts w:ascii="Times New Roman" w:hAnsi="Times New Roman"/>
                <w:noProof/>
                <w:sz w:val="18"/>
                <w:szCs w:val="18"/>
              </w:rPr>
              <w:t xml:space="preserve">Demonstrating regulatory requirements </w:t>
            </w:r>
            <w:r>
              <w:rPr>
                <w:rFonts w:ascii="Times New Roman" w:hAnsi="Times New Roman"/>
                <w:noProof/>
                <w:sz w:val="18"/>
                <w:szCs w:val="18"/>
              </w:rPr>
              <w:br/>
              <w:t>(€m)</w:t>
            </w:r>
          </w:p>
        </w:tc>
        <w:tc>
          <w:tcPr>
            <w:tcW w:w="1382" w:type="dxa"/>
            <w:noWrap/>
            <w:vAlign w:val="center"/>
            <w:hideMark/>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8"/>
                <w:szCs w:val="18"/>
                <w:lang w:val="en-GB"/>
              </w:rPr>
            </w:pPr>
            <w:r>
              <w:rPr>
                <w:rFonts w:ascii="Times New Roman" w:hAnsi="Times New Roman"/>
                <w:noProof/>
                <w:sz w:val="18"/>
                <w:szCs w:val="18"/>
                <w:lang w:val="en-GB"/>
              </w:rPr>
              <w:t>Product adjustment and demonstrating requirements (€m)</w:t>
            </w:r>
          </w:p>
        </w:tc>
        <w:tc>
          <w:tcPr>
            <w:tcW w:w="1382" w:type="dxa"/>
            <w:vAlign w:val="center"/>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8"/>
                <w:szCs w:val="18"/>
                <w:lang w:val="en-GB"/>
              </w:rPr>
            </w:pPr>
            <w:r>
              <w:rPr>
                <w:rFonts w:ascii="Times New Roman" w:hAnsi="Times New Roman"/>
                <w:noProof/>
                <w:sz w:val="18"/>
                <w:szCs w:val="18"/>
                <w:lang w:val="en-GB"/>
              </w:rPr>
              <w:t xml:space="preserve">Cost of delayed market entry </w:t>
            </w:r>
            <w:r>
              <w:rPr>
                <w:rFonts w:ascii="Times New Roman" w:hAnsi="Times New Roman"/>
                <w:noProof/>
                <w:sz w:val="18"/>
                <w:szCs w:val="18"/>
                <w:lang w:val="en-GB"/>
              </w:rPr>
              <w:br/>
              <w:t>(€m)</w:t>
            </w:r>
          </w:p>
        </w:tc>
        <w:tc>
          <w:tcPr>
            <w:tcW w:w="1382" w:type="dxa"/>
            <w:vAlign w:val="center"/>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sz w:val="18"/>
                <w:szCs w:val="18"/>
              </w:rPr>
            </w:pPr>
            <w:r>
              <w:rPr>
                <w:rFonts w:ascii="Times New Roman" w:hAnsi="Times New Roman"/>
                <w:b/>
                <w:noProof/>
                <w:sz w:val="18"/>
                <w:szCs w:val="18"/>
              </w:rPr>
              <w:t>Total Cost</w:t>
            </w:r>
          </w:p>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sz w:val="18"/>
                <w:szCs w:val="18"/>
              </w:rPr>
            </w:pPr>
            <w:r>
              <w:rPr>
                <w:rFonts w:ascii="Times New Roman" w:hAnsi="Times New Roman"/>
                <w:b/>
                <w:noProof/>
                <w:sz w:val="18"/>
                <w:szCs w:val="18"/>
              </w:rPr>
              <w:t>(€m)</w:t>
            </w:r>
          </w:p>
        </w:tc>
        <w:tc>
          <w:tcPr>
            <w:tcW w:w="1382" w:type="dxa"/>
            <w:vAlign w:val="center"/>
          </w:tcPr>
          <w:p w:rsidR="0037666B" w:rsidRDefault="00C627B8">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noProof/>
                <w:sz w:val="18"/>
                <w:szCs w:val="18"/>
              </w:rPr>
            </w:pPr>
            <w:r>
              <w:rPr>
                <w:rFonts w:ascii="Times New Roman" w:hAnsi="Times New Roman"/>
                <w:b/>
                <w:noProof/>
                <w:sz w:val="18"/>
                <w:szCs w:val="18"/>
              </w:rPr>
              <w:t>Avg. per enterprise</w:t>
            </w:r>
            <w:r>
              <w:rPr>
                <w:rFonts w:ascii="Times New Roman" w:hAnsi="Times New Roman"/>
                <w:b/>
                <w:noProof/>
                <w:sz w:val="18"/>
                <w:szCs w:val="18"/>
              </w:rPr>
              <w:br/>
              <w:t>(€)</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80" w:type="dxa"/>
            <w:noWrap/>
            <w:vAlign w:val="center"/>
            <w:hideMark/>
          </w:tcPr>
          <w:p w:rsidR="0037666B" w:rsidRDefault="00C627B8">
            <w:pPr>
              <w:spacing w:after="0"/>
              <w:contextualSpacing/>
              <w:jc w:val="left"/>
              <w:rPr>
                <w:rFonts w:ascii="Times New Roman" w:hAnsi="Times New Roman"/>
                <w:noProof/>
                <w:sz w:val="18"/>
                <w:szCs w:val="18"/>
                <w:lang w:val="en-GB"/>
              </w:rPr>
            </w:pPr>
            <w:r>
              <w:rPr>
                <w:rFonts w:ascii="Times New Roman" w:hAnsi="Times New Roman"/>
                <w:noProof/>
                <w:sz w:val="18"/>
                <w:szCs w:val="18"/>
                <w:lang w:val="en-GB"/>
              </w:rPr>
              <w:t>One product in one EU Member State</w:t>
            </w:r>
          </w:p>
        </w:tc>
        <w:tc>
          <w:tcPr>
            <w:tcW w:w="1381"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628</w:t>
            </w:r>
          </w:p>
        </w:tc>
        <w:tc>
          <w:tcPr>
            <w:tcW w:w="1382"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1,193</w:t>
            </w:r>
          </w:p>
        </w:tc>
        <w:tc>
          <w:tcPr>
            <w:tcW w:w="1382" w:type="dxa"/>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3,484</w:t>
            </w:r>
          </w:p>
        </w:tc>
        <w:tc>
          <w:tcPr>
            <w:tcW w:w="1382" w:type="dxa"/>
            <w:vAlign w:val="center"/>
          </w:tcPr>
          <w:p w:rsidR="0037666B" w:rsidRDefault="00C627B8">
            <w:pPr>
              <w:spacing w:after="0"/>
              <w:contextualSpacing/>
              <w:jc w:val="center"/>
              <w:rPr>
                <w:rFonts w:ascii="Times New Roman" w:hAnsi="Times New Roman"/>
                <w:b/>
                <w:noProof/>
                <w:sz w:val="18"/>
                <w:szCs w:val="18"/>
              </w:rPr>
            </w:pPr>
            <w:r>
              <w:rPr>
                <w:b/>
                <w:noProof/>
                <w:sz w:val="18"/>
                <w:szCs w:val="18"/>
              </w:rPr>
              <w:fldChar w:fldCharType="begin"/>
            </w:r>
            <w:r>
              <w:rPr>
                <w:rFonts w:ascii="Times New Roman" w:hAnsi="Times New Roman"/>
                <w:b/>
                <w:noProof/>
                <w:sz w:val="18"/>
                <w:szCs w:val="18"/>
              </w:rPr>
              <w:instrText xml:space="preserve"> =SUM(LEFT) </w:instrText>
            </w:r>
            <w:r>
              <w:rPr>
                <w:b/>
                <w:noProof/>
                <w:sz w:val="18"/>
                <w:szCs w:val="18"/>
              </w:rPr>
              <w:fldChar w:fldCharType="separate"/>
            </w:r>
            <w:r>
              <w:rPr>
                <w:rFonts w:ascii="Times New Roman" w:hAnsi="Times New Roman"/>
                <w:b/>
                <w:noProof/>
                <w:sz w:val="18"/>
                <w:szCs w:val="18"/>
              </w:rPr>
              <w:t>5,305</w:t>
            </w:r>
            <w:r>
              <w:rPr>
                <w:b/>
                <w:noProof/>
                <w:sz w:val="18"/>
                <w:szCs w:val="18"/>
              </w:rPr>
              <w:fldChar w:fldCharType="end"/>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€20,175</w:t>
            </w:r>
          </w:p>
        </w:tc>
      </w:tr>
      <w:tr w:rsidR="0037666B" w:rsidTr="0037666B">
        <w:trPr>
          <w:trHeight w:val="20"/>
          <w:jc w:val="center"/>
        </w:trPr>
        <w:tc>
          <w:tcPr>
            <w:tcW w:w="2080" w:type="dxa"/>
            <w:noWrap/>
            <w:vAlign w:val="center"/>
          </w:tcPr>
          <w:p w:rsidR="0037666B" w:rsidRDefault="00C627B8">
            <w:pPr>
              <w:spacing w:after="0"/>
              <w:contextualSpacing/>
              <w:jc w:val="left"/>
              <w:rPr>
                <w:rFonts w:ascii="Times New Roman" w:hAnsi="Times New Roman"/>
                <w:noProof/>
                <w:sz w:val="18"/>
                <w:szCs w:val="18"/>
                <w:lang w:val="en-GB"/>
              </w:rPr>
            </w:pPr>
            <w:r>
              <w:rPr>
                <w:rFonts w:ascii="Times New Roman" w:hAnsi="Times New Roman"/>
                <w:noProof/>
                <w:sz w:val="18"/>
                <w:szCs w:val="18"/>
                <w:lang w:val="en-GB"/>
              </w:rPr>
              <w:t>One product in 14 EU Member States</w:t>
            </w:r>
          </w:p>
        </w:tc>
        <w:tc>
          <w:tcPr>
            <w:tcW w:w="1381"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8,789</w:t>
            </w:r>
          </w:p>
        </w:tc>
        <w:tc>
          <w:tcPr>
            <w:tcW w:w="1382"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16,700</w:t>
            </w:r>
          </w:p>
        </w:tc>
        <w:tc>
          <w:tcPr>
            <w:tcW w:w="1382" w:type="dxa"/>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48,780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74,270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€282,460</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80" w:type="dxa"/>
            <w:noWrap/>
            <w:vAlign w:val="center"/>
          </w:tcPr>
          <w:p w:rsidR="0037666B" w:rsidRDefault="00C627B8">
            <w:pPr>
              <w:spacing w:after="0"/>
              <w:contextualSpacing/>
              <w:jc w:val="left"/>
              <w:rPr>
                <w:rFonts w:ascii="Times New Roman" w:hAnsi="Times New Roman"/>
                <w:noProof/>
                <w:sz w:val="18"/>
                <w:szCs w:val="18"/>
                <w:lang w:val="en-GB"/>
              </w:rPr>
            </w:pPr>
            <w:r>
              <w:rPr>
                <w:rFonts w:ascii="Times New Roman" w:hAnsi="Times New Roman"/>
                <w:noProof/>
                <w:sz w:val="18"/>
                <w:szCs w:val="18"/>
                <w:lang w:val="en-GB"/>
              </w:rPr>
              <w:t>One product in 28 EU Member States</w:t>
            </w:r>
          </w:p>
        </w:tc>
        <w:tc>
          <w:tcPr>
            <w:tcW w:w="1381" w:type="dxa"/>
            <w:noWrap/>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17,579</w:t>
            </w:r>
          </w:p>
        </w:tc>
        <w:tc>
          <w:tcPr>
            <w:tcW w:w="1382" w:type="dxa"/>
            <w:noWrap/>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33,400</w:t>
            </w:r>
          </w:p>
        </w:tc>
        <w:tc>
          <w:tcPr>
            <w:tcW w:w="1382" w:type="dxa"/>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97,561</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148,540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€564,919</w:t>
            </w:r>
          </w:p>
        </w:tc>
      </w:tr>
      <w:tr w:rsidR="0037666B" w:rsidTr="0037666B">
        <w:trPr>
          <w:trHeight w:val="20"/>
          <w:jc w:val="center"/>
        </w:trPr>
        <w:tc>
          <w:tcPr>
            <w:tcW w:w="2080" w:type="dxa"/>
            <w:noWrap/>
            <w:vAlign w:val="center"/>
          </w:tcPr>
          <w:p w:rsidR="0037666B" w:rsidRDefault="00C627B8">
            <w:pPr>
              <w:spacing w:after="0"/>
              <w:contextualSpacing/>
              <w:jc w:val="left"/>
              <w:rPr>
                <w:rFonts w:ascii="Times New Roman" w:hAnsi="Times New Roman"/>
                <w:noProof/>
                <w:sz w:val="18"/>
                <w:szCs w:val="18"/>
                <w:lang w:val="en-GB"/>
              </w:rPr>
            </w:pPr>
            <w:r>
              <w:rPr>
                <w:rFonts w:ascii="Times New Roman" w:hAnsi="Times New Roman"/>
                <w:noProof/>
                <w:sz w:val="18"/>
                <w:szCs w:val="18"/>
                <w:lang w:val="en-GB"/>
              </w:rPr>
              <w:t>Five products in one EU</w:t>
            </w:r>
            <w:r>
              <w:rPr>
                <w:rFonts w:ascii="Times New Roman" w:hAnsi="Times New Roman"/>
                <w:noProof/>
                <w:sz w:val="18"/>
                <w:szCs w:val="18"/>
                <w:lang w:val="en-GB"/>
              </w:rPr>
              <w:t xml:space="preserve"> Member State</w:t>
            </w:r>
          </w:p>
        </w:tc>
        <w:tc>
          <w:tcPr>
            <w:tcW w:w="1381"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3,140</w:t>
            </w:r>
          </w:p>
        </w:tc>
        <w:tc>
          <w:tcPr>
            <w:tcW w:w="1382"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5,960</w:t>
            </w:r>
          </w:p>
        </w:tc>
        <w:tc>
          <w:tcPr>
            <w:tcW w:w="1382" w:type="dxa"/>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17,420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26,525</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€100,879</w:t>
            </w:r>
          </w:p>
        </w:tc>
      </w:tr>
      <w:tr w:rsidR="0037666B" w:rsidTr="0037666B">
        <w:trPr>
          <w:cnfStyle w:val="000000100000" w:firstRow="0" w:lastRow="0" w:firstColumn="0" w:lastColumn="0" w:oddVBand="0" w:evenVBand="0" w:oddHBand="1" w:evenHBand="0" w:firstRowFirstColumn="0" w:firstRowLastColumn="0" w:lastRowFirstColumn="0" w:lastRowLastColumn="0"/>
          <w:trHeight w:val="20"/>
          <w:jc w:val="center"/>
        </w:trPr>
        <w:tc>
          <w:tcPr>
            <w:tcW w:w="2080" w:type="dxa"/>
            <w:noWrap/>
            <w:vAlign w:val="center"/>
          </w:tcPr>
          <w:p w:rsidR="0037666B" w:rsidRDefault="00C627B8">
            <w:pPr>
              <w:spacing w:after="0"/>
              <w:contextualSpacing/>
              <w:jc w:val="left"/>
              <w:rPr>
                <w:rFonts w:ascii="Times New Roman" w:hAnsi="Times New Roman"/>
                <w:noProof/>
                <w:sz w:val="18"/>
                <w:szCs w:val="18"/>
                <w:lang w:val="en-GB"/>
              </w:rPr>
            </w:pPr>
            <w:r>
              <w:rPr>
                <w:rFonts w:ascii="Times New Roman" w:hAnsi="Times New Roman"/>
                <w:noProof/>
                <w:sz w:val="18"/>
                <w:szCs w:val="18"/>
                <w:lang w:val="en-GB"/>
              </w:rPr>
              <w:t>Five products in 14 EU Member State</w:t>
            </w:r>
          </w:p>
        </w:tc>
        <w:tc>
          <w:tcPr>
            <w:tcW w:w="1381"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43,946</w:t>
            </w:r>
          </w:p>
        </w:tc>
        <w:tc>
          <w:tcPr>
            <w:tcW w:w="1382"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83,501</w:t>
            </w:r>
          </w:p>
        </w:tc>
        <w:tc>
          <w:tcPr>
            <w:tcW w:w="1382" w:type="dxa"/>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243,902</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371,350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€1,412,299</w:t>
            </w:r>
          </w:p>
        </w:tc>
      </w:tr>
      <w:tr w:rsidR="0037666B" w:rsidTr="0037666B">
        <w:trPr>
          <w:trHeight w:val="20"/>
          <w:jc w:val="center"/>
        </w:trPr>
        <w:tc>
          <w:tcPr>
            <w:tcW w:w="2080" w:type="dxa"/>
            <w:noWrap/>
            <w:vAlign w:val="center"/>
          </w:tcPr>
          <w:p w:rsidR="0037666B" w:rsidRDefault="00C627B8">
            <w:pPr>
              <w:spacing w:after="0"/>
              <w:contextualSpacing/>
              <w:jc w:val="left"/>
              <w:rPr>
                <w:rFonts w:ascii="Times New Roman" w:hAnsi="Times New Roman"/>
                <w:noProof/>
                <w:sz w:val="18"/>
                <w:szCs w:val="18"/>
                <w:lang w:val="en-GB"/>
              </w:rPr>
            </w:pPr>
            <w:r>
              <w:rPr>
                <w:rFonts w:ascii="Times New Roman" w:hAnsi="Times New Roman"/>
                <w:noProof/>
                <w:sz w:val="18"/>
                <w:szCs w:val="18"/>
                <w:lang w:val="en-GB"/>
              </w:rPr>
              <w:t>Five products in 28 EU Member State</w:t>
            </w:r>
          </w:p>
        </w:tc>
        <w:tc>
          <w:tcPr>
            <w:tcW w:w="1381"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87,900</w:t>
            </w:r>
          </w:p>
        </w:tc>
        <w:tc>
          <w:tcPr>
            <w:tcW w:w="1382" w:type="dxa"/>
            <w:noWrap/>
            <w:vAlign w:val="center"/>
            <w:hideMark/>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167,000</w:t>
            </w:r>
          </w:p>
        </w:tc>
        <w:tc>
          <w:tcPr>
            <w:tcW w:w="1382" w:type="dxa"/>
            <w:vAlign w:val="center"/>
          </w:tcPr>
          <w:p w:rsidR="0037666B" w:rsidRDefault="00C627B8">
            <w:pPr>
              <w:spacing w:after="0"/>
              <w:contextualSpacing/>
              <w:jc w:val="center"/>
              <w:rPr>
                <w:rFonts w:ascii="Times New Roman" w:hAnsi="Times New Roman"/>
                <w:noProof/>
                <w:sz w:val="18"/>
                <w:szCs w:val="18"/>
              </w:rPr>
            </w:pPr>
            <w:r>
              <w:rPr>
                <w:rFonts w:ascii="Times New Roman" w:hAnsi="Times New Roman"/>
                <w:noProof/>
                <w:sz w:val="18"/>
                <w:szCs w:val="18"/>
              </w:rPr>
              <w:t>487,800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742,700</w:t>
            </w:r>
          </w:p>
        </w:tc>
        <w:tc>
          <w:tcPr>
            <w:tcW w:w="1382" w:type="dxa"/>
            <w:vAlign w:val="center"/>
          </w:tcPr>
          <w:p w:rsidR="0037666B" w:rsidRDefault="00C627B8">
            <w:pPr>
              <w:spacing w:after="0"/>
              <w:contextualSpacing/>
              <w:jc w:val="center"/>
              <w:rPr>
                <w:rFonts w:ascii="Times New Roman" w:hAnsi="Times New Roman"/>
                <w:b/>
                <w:noProof/>
                <w:sz w:val="18"/>
                <w:szCs w:val="18"/>
              </w:rPr>
            </w:pPr>
            <w:r>
              <w:rPr>
                <w:rFonts w:ascii="Times New Roman" w:hAnsi="Times New Roman"/>
                <w:b/>
                <w:noProof/>
                <w:sz w:val="18"/>
                <w:szCs w:val="18"/>
              </w:rPr>
              <w:t>€2,824,598</w:t>
            </w:r>
          </w:p>
        </w:tc>
      </w:tr>
    </w:tbl>
    <w:p w:rsidR="0037666B" w:rsidRDefault="00C627B8">
      <w:pPr>
        <w:pStyle w:val="BodyText"/>
        <w:spacing w:before="240" w:after="240"/>
        <w:rPr>
          <w:i w:val="0"/>
          <w:noProof/>
          <w:szCs w:val="24"/>
        </w:rPr>
      </w:pPr>
      <w:r>
        <w:rPr>
          <w:i w:val="0"/>
          <w:noProof/>
          <w:szCs w:val="24"/>
        </w:rPr>
        <w:fldChar w:fldCharType="begin"/>
      </w:r>
      <w:r>
        <w:rPr>
          <w:i w:val="0"/>
          <w:noProof/>
          <w:szCs w:val="24"/>
        </w:rPr>
        <w:instrText xml:space="preserve"> REF _Ref349580465 \h  \* MERGEFORMAT </w:instrText>
      </w:r>
      <w:r>
        <w:rPr>
          <w:i w:val="0"/>
          <w:noProof/>
          <w:szCs w:val="24"/>
        </w:rPr>
      </w:r>
      <w:r>
        <w:rPr>
          <w:i w:val="0"/>
          <w:noProof/>
          <w:szCs w:val="24"/>
        </w:rPr>
        <w:fldChar w:fldCharType="separate"/>
      </w:r>
      <w:r>
        <w:rPr>
          <w:i w:val="0"/>
          <w:noProof/>
          <w:szCs w:val="24"/>
        </w:rPr>
        <w:t>Table A4-10</w:t>
      </w:r>
      <w:r>
        <w:rPr>
          <w:i w:val="0"/>
          <w:noProof/>
          <w:szCs w:val="24"/>
        </w:rPr>
        <w:fldChar w:fldCharType="end"/>
      </w:r>
      <w:r>
        <w:rPr>
          <w:i w:val="0"/>
          <w:noProof/>
          <w:szCs w:val="24"/>
        </w:rPr>
        <w:t xml:space="preserve"> provides an overview of costs associated with different numbers of products and different numbers of Member States targeted for exporting. </w:t>
      </w:r>
    </w:p>
    <w:p w:rsidR="0037666B" w:rsidRDefault="00C627B8">
      <w:pPr>
        <w:pStyle w:val="BodyText"/>
        <w:spacing w:after="240"/>
        <w:rPr>
          <w:i w:val="0"/>
          <w:noProof/>
          <w:szCs w:val="24"/>
        </w:rPr>
      </w:pPr>
      <w:r>
        <w:rPr>
          <w:i w:val="0"/>
          <w:noProof/>
          <w:szCs w:val="24"/>
        </w:rPr>
        <w:fldChar w:fldCharType="begin"/>
      </w:r>
      <w:r>
        <w:rPr>
          <w:i w:val="0"/>
          <w:noProof/>
          <w:szCs w:val="24"/>
        </w:rPr>
        <w:instrText xml:space="preserve"> REF _Ref349570368 \h  \* MERGEFORMAT </w:instrText>
      </w:r>
      <w:r>
        <w:rPr>
          <w:i w:val="0"/>
          <w:noProof/>
          <w:szCs w:val="24"/>
        </w:rPr>
      </w:r>
      <w:r>
        <w:rPr>
          <w:i w:val="0"/>
          <w:noProof/>
          <w:szCs w:val="24"/>
        </w:rPr>
        <w:fldChar w:fldCharType="separate"/>
      </w:r>
      <w:r>
        <w:rPr>
          <w:i w:val="0"/>
          <w:noProof/>
          <w:szCs w:val="24"/>
        </w:rPr>
        <w:t>Table A4-</w:t>
      </w:r>
      <w:r>
        <w:rPr>
          <w:i w:val="0"/>
          <w:noProof/>
          <w:szCs w:val="24"/>
        </w:rPr>
        <w:t>7</w:t>
      </w:r>
      <w:r>
        <w:rPr>
          <w:i w:val="0"/>
          <w:noProof/>
          <w:szCs w:val="24"/>
        </w:rPr>
        <w:fldChar w:fldCharType="end"/>
      </w:r>
      <w:r>
        <w:rPr>
          <w:i w:val="0"/>
          <w:noProof/>
          <w:szCs w:val="24"/>
        </w:rPr>
        <w:t xml:space="preserve"> highlighted that the value of intra-EU exporting is €383 billion and the average turnover per intra-EU exporting enterprise is €215,000.  Many of the scenarios presented in </w:t>
      </w:r>
      <w:r>
        <w:rPr>
          <w:i w:val="0"/>
          <w:noProof/>
          <w:szCs w:val="24"/>
        </w:rPr>
        <w:fldChar w:fldCharType="begin"/>
      </w:r>
      <w:r>
        <w:rPr>
          <w:i w:val="0"/>
          <w:noProof/>
          <w:szCs w:val="24"/>
        </w:rPr>
        <w:instrText xml:space="preserve"> REF _Ref34958</w:instrText>
      </w:r>
      <w:r>
        <w:rPr>
          <w:i w:val="0"/>
          <w:noProof/>
          <w:szCs w:val="24"/>
        </w:rPr>
        <w:instrText xml:space="preserve">0465 \h  \* MERGEFORMAT </w:instrText>
      </w:r>
      <w:r>
        <w:rPr>
          <w:i w:val="0"/>
          <w:noProof/>
          <w:szCs w:val="24"/>
        </w:rPr>
      </w:r>
      <w:r>
        <w:rPr>
          <w:i w:val="0"/>
          <w:noProof/>
          <w:szCs w:val="24"/>
        </w:rPr>
        <w:fldChar w:fldCharType="separate"/>
      </w:r>
      <w:r>
        <w:rPr>
          <w:i w:val="0"/>
          <w:noProof/>
          <w:szCs w:val="24"/>
        </w:rPr>
        <w:t>Table A4-10</w:t>
      </w:r>
      <w:r>
        <w:rPr>
          <w:i w:val="0"/>
          <w:noProof/>
          <w:szCs w:val="24"/>
        </w:rPr>
        <w:fldChar w:fldCharType="end"/>
      </w:r>
      <w:r>
        <w:rPr>
          <w:i w:val="0"/>
          <w:noProof/>
          <w:szCs w:val="24"/>
        </w:rPr>
        <w:t xml:space="preserve"> would therefore appear to be unrealistic.  Most enterprises would not be able to afford the costs associated with multiple products or markets (for many of the scenarios in </w:t>
      </w:r>
      <w:r>
        <w:rPr>
          <w:i w:val="0"/>
          <w:noProof/>
          <w:szCs w:val="24"/>
        </w:rPr>
        <w:fldChar w:fldCharType="begin"/>
      </w:r>
      <w:r>
        <w:rPr>
          <w:i w:val="0"/>
          <w:noProof/>
          <w:szCs w:val="24"/>
        </w:rPr>
        <w:instrText xml:space="preserve"> REF _Ref349580465 \h  \* MERGEFORMAT </w:instrText>
      </w:r>
      <w:r>
        <w:rPr>
          <w:i w:val="0"/>
          <w:noProof/>
          <w:szCs w:val="24"/>
        </w:rPr>
      </w:r>
      <w:r>
        <w:rPr>
          <w:i w:val="0"/>
          <w:noProof/>
          <w:szCs w:val="24"/>
        </w:rPr>
        <w:fldChar w:fldCharType="separate"/>
      </w:r>
      <w:r>
        <w:rPr>
          <w:i w:val="0"/>
          <w:noProof/>
          <w:szCs w:val="24"/>
        </w:rPr>
        <w:t>Table A4-10</w:t>
      </w:r>
      <w:r>
        <w:rPr>
          <w:i w:val="0"/>
          <w:noProof/>
          <w:szCs w:val="24"/>
        </w:rPr>
        <w:fldChar w:fldCharType="end"/>
      </w:r>
      <w:r>
        <w:rPr>
          <w:i w:val="0"/>
          <w:noProof/>
          <w:szCs w:val="24"/>
        </w:rPr>
        <w:t xml:space="preserve"> costs per enterprise are above the average enterprise turnover).  Equally, it is unrealistic to assume that costs associated with market entry would come close to or exceed the total size of the market (see the two final </w:t>
      </w:r>
      <w:r>
        <w:rPr>
          <w:i w:val="0"/>
          <w:noProof/>
          <w:szCs w:val="24"/>
        </w:rPr>
        <w:t xml:space="preserve">scenarios in </w:t>
      </w:r>
      <w:r>
        <w:rPr>
          <w:i w:val="0"/>
          <w:noProof/>
          <w:szCs w:val="24"/>
        </w:rPr>
        <w:fldChar w:fldCharType="begin"/>
      </w:r>
      <w:r>
        <w:rPr>
          <w:i w:val="0"/>
          <w:noProof/>
          <w:szCs w:val="24"/>
        </w:rPr>
        <w:instrText xml:space="preserve"> REF _Ref349580465 \h  \* MERGEFORMAT </w:instrText>
      </w:r>
      <w:r>
        <w:rPr>
          <w:i w:val="0"/>
          <w:noProof/>
          <w:szCs w:val="24"/>
        </w:rPr>
      </w:r>
      <w:r>
        <w:rPr>
          <w:i w:val="0"/>
          <w:noProof/>
          <w:szCs w:val="24"/>
        </w:rPr>
        <w:fldChar w:fldCharType="separate"/>
      </w:r>
      <w:r>
        <w:rPr>
          <w:i w:val="0"/>
          <w:noProof/>
          <w:szCs w:val="24"/>
        </w:rPr>
        <w:t>Table A4-10</w:t>
      </w:r>
      <w:r>
        <w:rPr>
          <w:i w:val="0"/>
          <w:noProof/>
          <w:szCs w:val="24"/>
        </w:rPr>
        <w:fldChar w:fldCharType="end"/>
      </w:r>
      <w:r>
        <w:rPr>
          <w:i w:val="0"/>
          <w:noProof/>
          <w:szCs w:val="24"/>
        </w:rPr>
        <w:t>; in relation to the value of intra-EU exporting [€383 billion].</w:t>
      </w:r>
    </w:p>
    <w:p w:rsidR="0037666B" w:rsidRDefault="00C627B8">
      <w:pPr>
        <w:pStyle w:val="BodyText"/>
        <w:spacing w:after="240"/>
        <w:rPr>
          <w:i w:val="0"/>
          <w:noProof/>
          <w:szCs w:val="24"/>
        </w:rPr>
      </w:pPr>
      <w:r>
        <w:rPr>
          <w:i w:val="0"/>
          <w:noProof/>
          <w:szCs w:val="24"/>
        </w:rPr>
        <w:t>This observation about the number of products being developed</w:t>
      </w:r>
      <w:r>
        <w:rPr>
          <w:i w:val="0"/>
          <w:noProof/>
          <w:szCs w:val="24"/>
        </w:rPr>
        <w:t xml:space="preserve"> matches the results from the enterprises.  Only one claimed to be developing more than one product a year for EU exports.  This company, with 48 employees, was also the only one providing an insight to the number of EU countries targeted for new products </w:t>
      </w:r>
      <w:r>
        <w:rPr>
          <w:i w:val="0"/>
          <w:noProof/>
          <w:szCs w:val="24"/>
        </w:rPr>
        <w:t>– it was targeting only two Member States.</w:t>
      </w:r>
    </w:p>
    <w:p w:rsidR="0037666B" w:rsidRDefault="00C627B8">
      <w:pPr>
        <w:pStyle w:val="Heading3"/>
        <w:numPr>
          <w:ilvl w:val="2"/>
          <w:numId w:val="36"/>
        </w:numPr>
        <w:rPr>
          <w:noProof/>
        </w:rPr>
      </w:pPr>
      <w:bookmarkStart w:id="154" w:name="_Toc483992782"/>
      <w:r>
        <w:rPr>
          <w:noProof/>
        </w:rPr>
        <w:t>Conclusion</w:t>
      </w:r>
      <w:bookmarkEnd w:id="154"/>
    </w:p>
    <w:p w:rsidR="0037666B" w:rsidRDefault="00C627B8">
      <w:pPr>
        <w:pStyle w:val="BodyText"/>
        <w:spacing w:after="240"/>
        <w:rPr>
          <w:i w:val="0"/>
          <w:noProof/>
          <w:szCs w:val="24"/>
        </w:rPr>
      </w:pPr>
      <w:r>
        <w:rPr>
          <w:i w:val="0"/>
          <w:noProof/>
          <w:szCs w:val="24"/>
        </w:rPr>
        <w:t>The SFMR presents a model to estimate the magnitude of the problem. It should be possible to make revisions to the model when additional feedback from enterprises is derived from the case study componen</w:t>
      </w:r>
      <w:r>
        <w:rPr>
          <w:i w:val="0"/>
          <w:noProof/>
          <w:szCs w:val="24"/>
        </w:rPr>
        <w:t>t of the research.</w:t>
      </w:r>
    </w:p>
    <w:p w:rsidR="0037666B" w:rsidRDefault="00C627B8">
      <w:pPr>
        <w:pStyle w:val="BodyText"/>
        <w:spacing w:after="240"/>
        <w:rPr>
          <w:i w:val="0"/>
          <w:noProof/>
          <w:szCs w:val="24"/>
        </w:rPr>
      </w:pPr>
      <w:r>
        <w:rPr>
          <w:i w:val="0"/>
          <w:noProof/>
          <w:szCs w:val="24"/>
        </w:rPr>
        <w:t>Due to the nature of the problem and complexities and costs that would be associated with a detailed evaluation it is not possible to undertake a complete evaluation of the problem. The model therefore contains assumptions that have been</w:t>
      </w:r>
      <w:r>
        <w:rPr>
          <w:i w:val="0"/>
          <w:noProof/>
          <w:szCs w:val="24"/>
        </w:rPr>
        <w:t xml:space="preserve"> fully explained in preceding sections. Assumptions in the model are based on feedback from exporting enterprises</w:t>
      </w:r>
      <w:r>
        <w:rPr>
          <w:rStyle w:val="FootnoteReference"/>
          <w:i w:val="0"/>
          <w:noProof/>
          <w:szCs w:val="24"/>
        </w:rPr>
        <w:footnoteReference w:id="150"/>
      </w:r>
      <w:r>
        <w:rPr>
          <w:i w:val="0"/>
          <w:noProof/>
          <w:szCs w:val="24"/>
        </w:rPr>
        <w:t>. Commentators and observers might have different views concerning some of the assumptions. Without further evidence no single viewpoint shoul</w:t>
      </w:r>
      <w:r>
        <w:rPr>
          <w:i w:val="0"/>
          <w:noProof/>
          <w:szCs w:val="24"/>
        </w:rPr>
        <w:t>d be regarded as ‘correct’. For this reason values associated with assumptions in the model can be changed. And changes (to ‘default’ values) can be made when field research is complete.</w:t>
      </w:r>
    </w:p>
    <w:p w:rsidR="0037666B" w:rsidRDefault="00C627B8">
      <w:pPr>
        <w:pStyle w:val="BodyText"/>
        <w:spacing w:after="240"/>
        <w:rPr>
          <w:b/>
          <w:smallCaps/>
          <w:noProof/>
          <w:szCs w:val="24"/>
        </w:rPr>
      </w:pPr>
      <w:r>
        <w:rPr>
          <w:i w:val="0"/>
          <w:noProof/>
          <w:szCs w:val="24"/>
        </w:rPr>
        <w:t>Nonetheless, the model still has provided an estimate of costs associ</w:t>
      </w:r>
      <w:r>
        <w:rPr>
          <w:i w:val="0"/>
          <w:noProof/>
          <w:szCs w:val="24"/>
        </w:rPr>
        <w:t xml:space="preserve">ated with the sub-optimal functioning of the Mutual Recognition principle. Table A4-8 provides an overview of the assumptions (in brackets) and key results described in preceding sections. </w:t>
      </w:r>
      <w:r>
        <w:rPr>
          <w:noProof/>
          <w:szCs w:val="24"/>
        </w:rPr>
        <w:br w:type="page"/>
      </w:r>
    </w:p>
    <w:p w:rsidR="0037666B" w:rsidRDefault="00C627B8">
      <w:pPr>
        <w:pStyle w:val="Heading1"/>
        <w:keepNext w:val="0"/>
        <w:numPr>
          <w:ilvl w:val="0"/>
          <w:numId w:val="0"/>
        </w:numPr>
        <w:spacing w:before="0"/>
        <w:rPr>
          <w:noProof/>
          <w:szCs w:val="24"/>
        </w:rPr>
      </w:pPr>
      <w:bookmarkStart w:id="155" w:name="_Toc483992783"/>
      <w:r>
        <w:rPr>
          <w:noProof/>
          <w:szCs w:val="24"/>
        </w:rPr>
        <w:t>Annex 5 harmonised non-harmonised and partially harmonised produc</w:t>
      </w:r>
      <w:r>
        <w:rPr>
          <w:noProof/>
          <w:szCs w:val="24"/>
        </w:rPr>
        <w:t>ts- sector and product level analysis</w:t>
      </w:r>
      <w:bookmarkEnd w:id="155"/>
      <w:r>
        <w:rPr>
          <w:noProof/>
          <w:szCs w:val="24"/>
        </w:rPr>
        <w:t xml:space="preserve"> </w:t>
      </w:r>
    </w:p>
    <w:p w:rsidR="0037666B" w:rsidRDefault="00C627B8">
      <w:pPr>
        <w:pStyle w:val="Heading1"/>
        <w:keepNext w:val="0"/>
        <w:numPr>
          <w:ilvl w:val="0"/>
          <w:numId w:val="41"/>
        </w:numPr>
        <w:spacing w:before="0"/>
        <w:rPr>
          <w:noProof/>
          <w:szCs w:val="24"/>
        </w:rPr>
      </w:pPr>
      <w:bookmarkStart w:id="156" w:name="_Ref473140524"/>
      <w:bookmarkStart w:id="157" w:name="_Toc483992784"/>
      <w:bookmarkStart w:id="158" w:name="_Ref470711848"/>
      <w:bookmarkStart w:id="159" w:name="_Ref470713293"/>
      <w:r>
        <w:rPr>
          <w:noProof/>
          <w:szCs w:val="24"/>
        </w:rPr>
        <w:t>Harmonised, Non-Harmonised and partially harmonised sectors - Classification used in the market analysis (Sectorial Level)</w:t>
      </w:r>
      <w:r>
        <w:rPr>
          <w:noProof/>
          <w:szCs w:val="24"/>
          <w:vertAlign w:val="superscript"/>
        </w:rPr>
        <w:footnoteReference w:id="151"/>
      </w:r>
      <w:bookmarkEnd w:id="156"/>
      <w:bookmarkEnd w:id="157"/>
    </w:p>
    <w:tbl>
      <w:tblPr>
        <w:tblStyle w:val="TableforEC5"/>
        <w:tblW w:w="8755" w:type="dxa"/>
        <w:tblLook w:val="04A0" w:firstRow="1" w:lastRow="0" w:firstColumn="1" w:lastColumn="0" w:noHBand="0" w:noVBand="1"/>
      </w:tblPr>
      <w:tblGrid>
        <w:gridCol w:w="870"/>
        <w:gridCol w:w="6468"/>
        <w:gridCol w:w="1417"/>
      </w:tblGrid>
      <w:tr w:rsidR="0037666B" w:rsidTr="0037666B">
        <w:trPr>
          <w:cnfStyle w:val="100000000000" w:firstRow="1" w:lastRow="0" w:firstColumn="0" w:lastColumn="0" w:oddVBand="0" w:evenVBand="0" w:oddHBand="0" w:evenHBand="0" w:firstRowFirstColumn="0" w:firstRowLastColumn="0" w:lastRowFirstColumn="0" w:lastRowLastColumn="0"/>
          <w:trHeight w:val="276"/>
        </w:trPr>
        <w:tc>
          <w:tcPr>
            <w:cnfStyle w:val="000000000100" w:firstRow="0" w:lastRow="0" w:firstColumn="0" w:lastColumn="0" w:oddVBand="0" w:evenVBand="0" w:oddHBand="0" w:evenHBand="0" w:firstRowFirstColumn="1" w:firstRowLastColumn="0" w:lastRowFirstColumn="0" w:lastRowLastColumn="0"/>
            <w:tcW w:w="870" w:type="dxa"/>
            <w:noWrap/>
            <w:hideMark/>
          </w:tcPr>
          <w:bookmarkEnd w:id="158"/>
          <w:bookmarkEnd w:id="159"/>
          <w:p w:rsidR="0037666B" w:rsidRDefault="00C627B8">
            <w:pPr>
              <w:spacing w:before="120" w:after="120"/>
              <w:jc w:val="left"/>
              <w:rPr>
                <w:rFonts w:ascii="Times New Roman" w:hAnsi="Times New Roman"/>
                <w:noProof/>
                <w:color w:val="FFFFFF" w:themeColor="background1"/>
                <w:sz w:val="20"/>
                <w:szCs w:val="20"/>
              </w:rPr>
            </w:pPr>
            <w:r>
              <w:rPr>
                <w:rFonts w:ascii="Times New Roman" w:hAnsi="Times New Roman"/>
                <w:noProof/>
                <w:color w:val="FFFFFF" w:themeColor="background1"/>
                <w:sz w:val="20"/>
                <w:szCs w:val="20"/>
              </w:rPr>
              <w:t>NACE Group</w:t>
            </w:r>
          </w:p>
        </w:tc>
        <w:tc>
          <w:tcPr>
            <w:tcW w:w="6468" w:type="dxa"/>
            <w:noWrap/>
            <w:hideMark/>
          </w:tcPr>
          <w:p w:rsidR="0037666B" w:rsidRDefault="00C627B8">
            <w:pPr>
              <w:spacing w:before="120" w:after="120"/>
              <w:jc w:val="lef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Pr>
                <w:rFonts w:ascii="Times New Roman" w:hAnsi="Times New Roman"/>
                <w:noProof/>
                <w:color w:val="FFFFFF" w:themeColor="background1"/>
                <w:sz w:val="20"/>
                <w:szCs w:val="20"/>
              </w:rPr>
              <w:t>Description</w:t>
            </w:r>
          </w:p>
        </w:tc>
        <w:tc>
          <w:tcPr>
            <w:tcW w:w="1417" w:type="dxa"/>
            <w:noWrap/>
            <w:hideMark/>
          </w:tcPr>
          <w:p w:rsidR="0037666B" w:rsidRDefault="00C627B8">
            <w:pPr>
              <w:spacing w:before="120" w:after="120"/>
              <w:jc w:val="left"/>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z w:val="20"/>
                <w:szCs w:val="20"/>
              </w:rPr>
            </w:pPr>
            <w:r>
              <w:rPr>
                <w:rFonts w:ascii="Times New Roman" w:hAnsi="Times New Roman"/>
                <w:noProof/>
                <w:color w:val="FFFFFF" w:themeColor="background1"/>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Processing and preserving of meat and production of </w:t>
            </w:r>
            <w:r>
              <w:rPr>
                <w:rFonts w:ascii="Times New Roman" w:hAnsi="Times New Roman"/>
                <w:noProof/>
                <w:color w:val="000000"/>
                <w:sz w:val="20"/>
                <w:szCs w:val="20"/>
                <w:lang w:val="en-GB"/>
              </w:rPr>
              <w:t>meat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Processing and preserving of fish, crustaceans and molluscs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Processing and preserving of fruit and vegetables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vegetable and animal oils and fats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C105</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w:t>
            </w:r>
            <w:r>
              <w:rPr>
                <w:rFonts w:ascii="Times New Roman" w:hAnsi="Times New Roman"/>
                <w:noProof/>
                <w:color w:val="000000"/>
                <w:sz w:val="20"/>
                <w:szCs w:val="20"/>
              </w:rPr>
              <w:t xml:space="preserve"> dairy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C106</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grain mill products, starches and starch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C107</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bakery and farinaceous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C108</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food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C109</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prepared</w:t>
            </w:r>
            <w:r>
              <w:rPr>
                <w:rFonts w:ascii="Times New Roman" w:hAnsi="Times New Roman"/>
                <w:noProof/>
                <w:color w:val="000000"/>
                <w:sz w:val="20"/>
                <w:szCs w:val="20"/>
                <w:lang w:val="en-GB"/>
              </w:rPr>
              <w:t xml:space="preserve"> animal feeds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C110</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beverages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C120</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tobacco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C131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Preparation and spinning of textile fibres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C132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Weaving of textiles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C133</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Finishing of textiles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C139</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other textiles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C141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wearing apparel, except fur apparel</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C142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articles of fur</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C143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knitted and crocheted apparel</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C151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Tanning </w:t>
            </w:r>
            <w:r>
              <w:rPr>
                <w:rFonts w:ascii="Times New Roman" w:hAnsi="Times New Roman"/>
                <w:noProof/>
                <w:color w:val="000000"/>
                <w:sz w:val="20"/>
                <w:szCs w:val="20"/>
                <w:lang w:val="en-GB"/>
              </w:rPr>
              <w:t>and dressing of leather; manufacture of luggage, handbags, saddlery and harness; dressing and dyeing of fur</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C152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footwear</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C161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Sawmilling and planning of wood</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C162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products of wood, cork</w:t>
            </w:r>
            <w:r>
              <w:rPr>
                <w:rFonts w:ascii="Times New Roman" w:hAnsi="Times New Roman"/>
                <w:noProof/>
                <w:color w:val="000000"/>
                <w:sz w:val="20"/>
                <w:szCs w:val="20"/>
                <w:lang w:val="en-GB"/>
              </w:rPr>
              <w:t>, straw and plaiting materials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C171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pulp, paper and paperboard</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C172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articles of paper and paperboard</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C181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Printing and service activities related to printing</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C182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Reproduction of recorded media</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C191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coke oven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C192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refined petroleum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C201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basic chemicals, fertilisers and nitrogen compounds, plastics and synthetic </w:t>
            </w:r>
            <w:r>
              <w:rPr>
                <w:rFonts w:ascii="Times New Roman" w:hAnsi="Times New Roman"/>
                <w:noProof/>
                <w:color w:val="000000"/>
                <w:sz w:val="20"/>
                <w:szCs w:val="20"/>
                <w:lang w:val="en-GB"/>
              </w:rPr>
              <w:t>rubber in primary forms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C202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pesticides and other agrochemical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C203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paints, varnishes and similar coatings, printing ink and mastics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C204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soap and detergents, </w:t>
            </w:r>
            <w:r>
              <w:rPr>
                <w:rFonts w:ascii="Times New Roman" w:hAnsi="Times New Roman"/>
                <w:noProof/>
                <w:color w:val="000000"/>
                <w:sz w:val="20"/>
                <w:szCs w:val="20"/>
                <w:lang w:val="en-GB"/>
              </w:rPr>
              <w:t>cleaning and polishing preparations, perfumes and toilet preparations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C205</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chemical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C206</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man-made fibres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C211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basic pharmaceutical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C212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pharmaceutical preparations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C221</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rubber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C222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plastics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glass and glass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refractory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clay building materials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porcelain and ceramic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C235</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cement, lime and plaster</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C236</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articles of concrete, cement and </w:t>
            </w:r>
            <w:r>
              <w:rPr>
                <w:rFonts w:ascii="Times New Roman" w:hAnsi="Times New Roman"/>
                <w:noProof/>
                <w:color w:val="000000"/>
                <w:sz w:val="20"/>
                <w:szCs w:val="20"/>
                <w:lang w:val="en-GB"/>
              </w:rPr>
              <w:t>plaster</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C237</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Cutting, shaping and finishing of stone</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C239</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abrasive products and non-metallic mineral products n.e.c.</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C241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basic iron and steel and of ferro-alloys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C242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tubes, pipes, hollow profiles and related fittings, of steel</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C243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products of first processing of steel</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C244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basic precious and other non-ferrous metals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C245</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Casting</w:t>
            </w:r>
            <w:r>
              <w:rPr>
                <w:rFonts w:ascii="Times New Roman" w:hAnsi="Times New Roman"/>
                <w:noProof/>
                <w:color w:val="000000"/>
                <w:sz w:val="20"/>
                <w:szCs w:val="20"/>
              </w:rPr>
              <w:t xml:space="preserve"> of metals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structural metal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tanks, reservoirs and containers of metal</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steam generators, except central heating hot water boilers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w:t>
            </w:r>
            <w:r>
              <w:rPr>
                <w:rFonts w:ascii="Times New Roman" w:hAnsi="Times New Roman"/>
                <w:noProof/>
                <w:color w:val="000000"/>
                <w:sz w:val="20"/>
                <w:szCs w:val="20"/>
                <w:lang w:val="en-GB"/>
              </w:rPr>
              <w:t>acture of weapons and ammunition</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C255</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Forging, pressing, stamping and roll-forming of metal; powder metallurgy</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C256</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Treatment and coating of metals; machining</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C257</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cutlery, tools and general hardware</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C259</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fabricated metal products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electronic components and boards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computers and peripheral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C263</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communication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C264</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consumer electronics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C265</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instruments and appliances for measuring, testing and navigation; watches and clocks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C266</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irradiation, electromedical and electrotherapeutic equ</w:t>
            </w:r>
            <w:r>
              <w:rPr>
                <w:rFonts w:ascii="Times New Roman" w:hAnsi="Times New Roman"/>
                <w:noProof/>
                <w:color w:val="000000"/>
                <w:sz w:val="20"/>
                <w:szCs w:val="20"/>
                <w:lang w:val="en-GB"/>
              </w:rPr>
              <w:t>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C267</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optical instruments and photographic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C268</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magnetic and optical media</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C271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electric motors, generators, transformers and electricity distribution and </w:t>
            </w:r>
            <w:r>
              <w:rPr>
                <w:rFonts w:ascii="Times New Roman" w:hAnsi="Times New Roman"/>
                <w:noProof/>
                <w:color w:val="000000"/>
                <w:sz w:val="20"/>
                <w:szCs w:val="20"/>
                <w:lang w:val="en-GB"/>
              </w:rPr>
              <w:t>control apparatus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C272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batteries and accumulators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C273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wiring and wiring devices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C274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electric lighting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C275</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domestic appliances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C279</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electrical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C281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general-purpose machinery</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C282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general-purpose machinery</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C283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agricultural and forestry machinery</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C284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metal forming machinery and machine tools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C289</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other special-purpose machinery</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C291</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motor vehicles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C292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bodies (coachwork) for motor vehicles; </w:t>
            </w:r>
            <w:r>
              <w:rPr>
                <w:rFonts w:ascii="Times New Roman" w:hAnsi="Times New Roman"/>
                <w:noProof/>
                <w:color w:val="000000"/>
                <w:sz w:val="20"/>
                <w:szCs w:val="20"/>
                <w:lang w:val="en-GB"/>
              </w:rPr>
              <w:t>manufacture of trailers and semi-trailers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C293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parts and accessories for motor vehicles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C301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Building of ships and boats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C302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railway locomotives and rolling stock</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C303</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w:t>
            </w:r>
            <w:r>
              <w:rPr>
                <w:rFonts w:ascii="Times New Roman" w:hAnsi="Times New Roman"/>
                <w:noProof/>
                <w:color w:val="000000"/>
                <w:sz w:val="20"/>
                <w:szCs w:val="20"/>
                <w:lang w:val="en-GB"/>
              </w:rPr>
              <w:t>acture of air and spacecraft and related machinery</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C304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military fighting vehicles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C309</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transport equipment n.e.c.</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C310</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furniture</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C321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w:t>
            </w:r>
            <w:r>
              <w:rPr>
                <w:rFonts w:ascii="Times New Roman" w:hAnsi="Times New Roman"/>
                <w:noProof/>
                <w:color w:val="000000"/>
                <w:sz w:val="20"/>
                <w:szCs w:val="20"/>
                <w:lang w:val="en-GB"/>
              </w:rPr>
              <w:t>jewellery, bijouterie and related articles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C322</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musical instruments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C323</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Manufacture of sports goods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C324</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Manufacture of games and toys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C325</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 xml:space="preserve">Manufacture of medical and dental instruments </w:t>
            </w:r>
            <w:r>
              <w:rPr>
                <w:rFonts w:ascii="Times New Roman" w:hAnsi="Times New Roman"/>
                <w:noProof/>
                <w:color w:val="000000"/>
                <w:sz w:val="20"/>
                <w:szCs w:val="20"/>
                <w:lang w:val="en-GB"/>
              </w:rPr>
              <w:t>and supplies</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C329</w:t>
            </w:r>
          </w:p>
        </w:tc>
        <w:tc>
          <w:tcPr>
            <w:tcW w:w="6468"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Manufacturing n.e.c.</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harmonized</w:t>
            </w:r>
          </w:p>
        </w:tc>
      </w:tr>
      <w:tr w:rsidR="0037666B" w:rsidTr="0037666B">
        <w:trPr>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C331</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Repair of fabricated metal products, machinery and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r w:rsidR="0037666B" w:rsidTr="0037666B">
        <w:trPr>
          <w:cnfStyle w:val="000000100000" w:firstRow="0" w:lastRow="0" w:firstColumn="0" w:lastColumn="0" w:oddVBand="0" w:evenVBand="0" w:oddHBand="1" w:evenHBand="0" w:firstRowFirstColumn="0" w:firstRowLastColumn="0" w:lastRowFirstColumn="0" w:lastRowLastColumn="0"/>
          <w:trHeight w:val="276"/>
        </w:trPr>
        <w:tc>
          <w:tcPr>
            <w:tcW w:w="870"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C332</w:t>
            </w:r>
          </w:p>
        </w:tc>
        <w:tc>
          <w:tcPr>
            <w:tcW w:w="6468" w:type="dxa"/>
            <w:noWrap/>
            <w:hideMark/>
          </w:tcPr>
          <w:p w:rsidR="0037666B" w:rsidRDefault="00C627B8">
            <w:pPr>
              <w:spacing w:before="120" w:after="120"/>
              <w:jc w:val="left"/>
              <w:rPr>
                <w:rFonts w:ascii="Times New Roman" w:hAnsi="Times New Roman"/>
                <w:noProof/>
                <w:color w:val="000000"/>
                <w:sz w:val="20"/>
                <w:szCs w:val="20"/>
                <w:lang w:val="en-GB"/>
              </w:rPr>
            </w:pPr>
            <w:r>
              <w:rPr>
                <w:rFonts w:ascii="Times New Roman" w:hAnsi="Times New Roman"/>
                <w:noProof/>
                <w:color w:val="000000"/>
                <w:sz w:val="20"/>
                <w:szCs w:val="20"/>
                <w:lang w:val="en-GB"/>
              </w:rPr>
              <w:t>Installation of industrial machinery and equipment</w:t>
            </w:r>
          </w:p>
        </w:tc>
        <w:tc>
          <w:tcPr>
            <w:tcW w:w="1417" w:type="dxa"/>
            <w:noWrap/>
            <w:hideMark/>
          </w:tcPr>
          <w:p w:rsidR="0037666B" w:rsidRDefault="00C627B8">
            <w:pPr>
              <w:spacing w:before="120" w:after="120"/>
              <w:jc w:val="left"/>
              <w:rPr>
                <w:rFonts w:ascii="Times New Roman" w:hAnsi="Times New Roman"/>
                <w:noProof/>
                <w:color w:val="000000"/>
                <w:sz w:val="20"/>
                <w:szCs w:val="20"/>
              </w:rPr>
            </w:pPr>
            <w:r>
              <w:rPr>
                <w:rFonts w:ascii="Times New Roman" w:hAnsi="Times New Roman"/>
                <w:noProof/>
                <w:color w:val="000000"/>
                <w:sz w:val="20"/>
                <w:szCs w:val="20"/>
              </w:rPr>
              <w:t>no/partially</w:t>
            </w:r>
          </w:p>
        </w:tc>
      </w:tr>
    </w:tbl>
    <w:p w:rsidR="0037666B" w:rsidRDefault="00C627B8">
      <w:pPr>
        <w:pStyle w:val="Heading1"/>
        <w:keepNext w:val="0"/>
        <w:ind w:left="482" w:hanging="482"/>
        <w:rPr>
          <w:noProof/>
          <w:szCs w:val="24"/>
        </w:rPr>
      </w:pPr>
      <w:bookmarkStart w:id="160" w:name="_Ref473140535"/>
      <w:bookmarkStart w:id="161" w:name="_Toc483992785"/>
      <w:bookmarkStart w:id="162" w:name="_Ref470713300"/>
      <w:r>
        <w:rPr>
          <w:noProof/>
          <w:szCs w:val="24"/>
        </w:rPr>
        <w:t xml:space="preserve">Products classified as non or partially harmonised in the market analysis (Product level) </w:t>
      </w:r>
      <w:r>
        <w:rPr>
          <w:noProof/>
          <w:szCs w:val="24"/>
          <w:vertAlign w:val="superscript"/>
        </w:rPr>
        <w:footnoteReference w:id="152"/>
      </w:r>
      <w:bookmarkEnd w:id="160"/>
      <w:r>
        <w:rPr>
          <w:noProof/>
          <w:szCs w:val="24"/>
        </w:rPr>
        <w:t xml:space="preserve"> by sector</w:t>
      </w:r>
      <w:bookmarkEnd w:id="161"/>
    </w:p>
    <w:tbl>
      <w:tblPr>
        <w:tblW w:w="5000" w:type="pct"/>
        <w:tblLook w:val="04A0" w:firstRow="1" w:lastRow="0" w:firstColumn="1" w:lastColumn="0" w:noHBand="0" w:noVBand="1"/>
      </w:tblPr>
      <w:tblGrid>
        <w:gridCol w:w="1029"/>
        <w:gridCol w:w="7805"/>
      </w:tblGrid>
      <w:tr w:rsidR="0037666B">
        <w:trPr>
          <w:trHeight w:val="288"/>
        </w:trPr>
        <w:tc>
          <w:tcPr>
            <w:tcW w:w="582" w:type="pct"/>
            <w:tcBorders>
              <w:top w:val="single" w:sz="8" w:space="0" w:color="D9D9D9"/>
              <w:left w:val="nil"/>
              <w:right w:val="nil"/>
            </w:tcBorders>
            <w:shd w:val="clear" w:color="000000" w:fill="000099"/>
            <w:noWrap/>
            <w:vAlign w:val="center"/>
          </w:tcPr>
          <w:bookmarkEnd w:id="162"/>
          <w:p w:rsidR="0037666B" w:rsidRDefault="00C627B8">
            <w:pPr>
              <w:spacing w:before="120" w:after="120"/>
              <w:jc w:val="left"/>
              <w:rPr>
                <w:b/>
                <w:bCs/>
                <w:noProof/>
                <w:color w:val="FFFFFF"/>
                <w:sz w:val="20"/>
                <w:lang w:val="en-US"/>
              </w:rPr>
            </w:pPr>
            <w:r>
              <w:rPr>
                <w:b/>
                <w:bCs/>
                <w:noProof/>
                <w:color w:val="FFFFFF"/>
                <w:sz w:val="20"/>
                <w:lang w:val="en-US"/>
              </w:rPr>
              <w:t>Nace code</w:t>
            </w:r>
          </w:p>
        </w:tc>
        <w:tc>
          <w:tcPr>
            <w:tcW w:w="4418" w:type="pct"/>
            <w:tcBorders>
              <w:top w:val="single" w:sz="8" w:space="0" w:color="D9D9D9"/>
              <w:left w:val="nil"/>
              <w:bottom w:val="single" w:sz="8" w:space="0" w:color="D9D9D9"/>
              <w:right w:val="nil"/>
            </w:tcBorders>
            <w:shd w:val="clear" w:color="000000" w:fill="000099"/>
            <w:noWrap/>
            <w:vAlign w:val="center"/>
            <w:hideMark/>
          </w:tcPr>
          <w:p w:rsidR="0037666B" w:rsidRDefault="00C627B8">
            <w:pPr>
              <w:spacing w:before="120" w:after="120"/>
              <w:jc w:val="left"/>
              <w:rPr>
                <w:b/>
                <w:bCs/>
                <w:noProof/>
                <w:color w:val="FFFFFF"/>
                <w:sz w:val="20"/>
                <w:lang w:val="en-US"/>
              </w:rPr>
            </w:pPr>
            <w:r>
              <w:rPr>
                <w:b/>
                <w:bCs/>
                <w:noProof/>
                <w:color w:val="FFFFFF"/>
                <w:sz w:val="20"/>
                <w:lang w:val="en-US"/>
              </w:rPr>
              <w:t>Description</w:t>
            </w:r>
          </w:p>
        </w:tc>
      </w:tr>
      <w:tr w:rsidR="0037666B">
        <w:trPr>
          <w:trHeight w:val="288"/>
        </w:trPr>
        <w:tc>
          <w:tcPr>
            <w:tcW w:w="5000" w:type="pct"/>
            <w:gridSpan w:val="2"/>
            <w:tcBorders>
              <w:top w:val="single" w:sz="8" w:space="0" w:color="D9D9D9"/>
              <w:left w:val="nil"/>
              <w:right w:val="nil"/>
            </w:tcBorders>
            <w:shd w:val="clear" w:color="auto" w:fill="7F7F7F" w:themeFill="text1" w:themeFillTint="80"/>
            <w:noWrap/>
            <w:vAlign w:val="center"/>
          </w:tcPr>
          <w:p w:rsidR="0037666B" w:rsidRDefault="00C627B8">
            <w:pPr>
              <w:spacing w:before="120" w:after="120"/>
              <w:jc w:val="left"/>
              <w:rPr>
                <w:b/>
                <w:bCs/>
                <w:noProof/>
                <w:color w:val="FFFFFF" w:themeColor="background1"/>
                <w:sz w:val="20"/>
                <w:lang w:val="en-US"/>
              </w:rPr>
            </w:pPr>
            <w:r>
              <w:rPr>
                <w:b/>
                <w:bCs/>
                <w:noProof/>
                <w:color w:val="FFFFFF" w:themeColor="background1"/>
                <w:sz w:val="20"/>
                <w:lang w:val="en-US"/>
              </w:rPr>
              <w:t>Manufacture of food products, beverages and tobacco products</w:t>
            </w:r>
          </w:p>
        </w:tc>
      </w:tr>
      <w:tr w:rsidR="0037666B">
        <w:trPr>
          <w:trHeight w:val="288"/>
        </w:trPr>
        <w:tc>
          <w:tcPr>
            <w:tcW w:w="582" w:type="pct"/>
            <w:tcBorders>
              <w:top w:val="nil"/>
              <w:left w:val="nil"/>
              <w:bottom w:val="single" w:sz="8" w:space="0" w:color="D9D9D9"/>
              <w:right w:val="nil"/>
            </w:tcBorders>
            <w:shd w:val="clear" w:color="000000" w:fill="F2F2F2"/>
            <w:noWrap/>
            <w:vAlign w:val="center"/>
          </w:tcPr>
          <w:p w:rsidR="0037666B" w:rsidRDefault="00C627B8">
            <w:pPr>
              <w:spacing w:before="120" w:after="120"/>
              <w:jc w:val="left"/>
              <w:rPr>
                <w:noProof/>
                <w:color w:val="000000"/>
                <w:sz w:val="20"/>
                <w:lang w:val="en-US"/>
              </w:rPr>
            </w:pPr>
            <w:r>
              <w:rPr>
                <w:noProof/>
                <w:color w:val="000000"/>
                <w:sz w:val="20"/>
                <w:lang w:val="en-US"/>
              </w:rPr>
              <w:t>10.89</w:t>
            </w:r>
          </w:p>
        </w:tc>
        <w:tc>
          <w:tcPr>
            <w:tcW w:w="4418" w:type="pct"/>
            <w:tcBorders>
              <w:top w:val="nil"/>
              <w:left w:val="nil"/>
              <w:bottom w:val="single" w:sz="8" w:space="0" w:color="D9D9D9"/>
              <w:right w:val="nil"/>
            </w:tcBorders>
            <w:shd w:val="clear" w:color="000000" w:fill="F2F2F2"/>
            <w:noWrap/>
            <w:vAlign w:val="center"/>
          </w:tcPr>
          <w:p w:rsidR="0037666B" w:rsidRDefault="00C627B8">
            <w:pPr>
              <w:spacing w:before="120" w:after="120"/>
              <w:jc w:val="left"/>
              <w:rPr>
                <w:noProof/>
                <w:color w:val="000000"/>
                <w:sz w:val="20"/>
                <w:lang w:val="en-US"/>
              </w:rPr>
            </w:pPr>
            <w:r>
              <w:rPr>
                <w:noProof/>
                <w:color w:val="000000"/>
                <w:sz w:val="20"/>
                <w:lang w:val="en-US"/>
              </w:rPr>
              <w:t>Manufacture of other food products n.e.c.</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12.00</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w:t>
            </w:r>
            <w:r>
              <w:rPr>
                <w:noProof/>
                <w:color w:val="000000"/>
                <w:sz w:val="20"/>
                <w:lang w:val="en-US"/>
              </w:rPr>
              <w:t xml:space="preserve"> tobacco products</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textiles, apparel, leather and related products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13.10</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Preparation and spinning of textile fibres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13.20</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Weaving of textiles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13.30</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Finishing of textiles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13.91</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knitted and crocheted fabrics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13.93</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carpets and rugs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13.94</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cordage, rope, twine and netting</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13.95</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non-wovens and articles made from non-wovens, except apparel</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13.96</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technical and industrial textiles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13.99</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Manufacture of </w:t>
            </w:r>
            <w:r>
              <w:rPr>
                <w:noProof/>
                <w:color w:val="000000"/>
                <w:sz w:val="20"/>
                <w:lang w:val="en-US"/>
              </w:rPr>
              <w:t>other textiles n.e.c.</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14.11</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leather clothes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14.20</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articles of fur</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15.11</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Tanning and dressing of leather; dressing and dyeing of fur</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15.12</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luggage, handbags and the like, saddlery and harness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15.20</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Manufature of footware </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 xml:space="preserve">Manufacture of wood and paper products, and printing </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16.10</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Sawmilling and planing of wood</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16.21</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veneer sheets and wood-based panels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16.22</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assembled parquet floors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16.23</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Manufacture of other </w:t>
            </w:r>
            <w:r>
              <w:rPr>
                <w:noProof/>
                <w:color w:val="000000"/>
                <w:sz w:val="20"/>
                <w:lang w:val="en-US"/>
              </w:rPr>
              <w:t>builders' carpentry and joinery</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16.24</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wooden containers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16.29</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products of wood; manufacture of articles of cork, straw and plaiting materials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17.11</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pulp</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17.12</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paper and paperboard</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17.21</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corrugated paper and paperboard and of containers of paper and paperboard</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17.22</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household and sanitary goods and of toilet requisites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17.23</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paper stationery</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17.24</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wallpaper</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17.29</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Manufacture </w:t>
            </w:r>
            <w:r>
              <w:rPr>
                <w:noProof/>
                <w:color w:val="000000"/>
                <w:sz w:val="20"/>
                <w:lang w:val="en-US"/>
              </w:rPr>
              <w:t>of other articles of paper and paperboard</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18.11</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Printing of newspapers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18.12</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Other printing</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18.13</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Pre-press and pre-media services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18.14</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Binding and related services</w:t>
            </w:r>
          </w:p>
        </w:tc>
      </w:tr>
      <w:tr w:rsidR="0037666B">
        <w:trPr>
          <w:trHeight w:val="288"/>
        </w:trPr>
        <w:tc>
          <w:tcPr>
            <w:tcW w:w="5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18.20</w:t>
            </w:r>
          </w:p>
        </w:tc>
        <w:tc>
          <w:tcPr>
            <w:tcW w:w="44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Reproduction of recorded media</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 xml:space="preserve">Manufacture of coke, and refined petroleum </w:t>
            </w:r>
            <w:r>
              <w:rPr>
                <w:b/>
                <w:noProof/>
                <w:color w:val="FFFFFF" w:themeColor="background1"/>
                <w:sz w:val="20"/>
                <w:lang w:val="en-US"/>
              </w:rPr>
              <w:t>products</w:t>
            </w:r>
          </w:p>
        </w:tc>
      </w:tr>
      <w:tr w:rsidR="0037666B">
        <w:trPr>
          <w:trHeight w:val="288"/>
        </w:trPr>
        <w:tc>
          <w:tcPr>
            <w:tcW w:w="5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19.10</w:t>
            </w:r>
          </w:p>
        </w:tc>
        <w:tc>
          <w:tcPr>
            <w:tcW w:w="44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coke oven products</w:t>
            </w:r>
          </w:p>
        </w:tc>
      </w:tr>
    </w:tbl>
    <w:p w:rsidR="0037666B" w:rsidRDefault="00C627B8">
      <w:pPr>
        <w:rPr>
          <w:noProof/>
        </w:rPr>
      </w:pPr>
      <w:r>
        <w:rPr>
          <w:noProof/>
        </w:rPr>
        <w:br w:type="page"/>
      </w:r>
    </w:p>
    <w:tbl>
      <w:tblPr>
        <w:tblW w:w="5000" w:type="pct"/>
        <w:tblLook w:val="04A0" w:firstRow="1" w:lastRow="0" w:firstColumn="1" w:lastColumn="0" w:noHBand="0" w:noVBand="1"/>
      </w:tblPr>
      <w:tblGrid>
        <w:gridCol w:w="915"/>
        <w:gridCol w:w="7919"/>
      </w:tblGrid>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chemicals and chemical products</w:t>
            </w:r>
          </w:p>
        </w:tc>
      </w:tr>
      <w:tr w:rsidR="0037666B">
        <w:trPr>
          <w:trHeight w:val="288"/>
        </w:trPr>
        <w:tc>
          <w:tcPr>
            <w:tcW w:w="5000" w:type="pct"/>
            <w:gridSpan w:val="2"/>
            <w:tcBorders>
              <w:top w:val="nil"/>
              <w:left w:val="nil"/>
              <w:bottom w:val="single" w:sz="8" w:space="0" w:color="D9D9D9"/>
              <w:right w:val="nil"/>
            </w:tcBorders>
            <w:shd w:val="clear" w:color="auto" w:fill="FFFFFF" w:themeFill="background1"/>
            <w:noWrap/>
            <w:vAlign w:val="center"/>
          </w:tcPr>
          <w:p w:rsidR="0037666B" w:rsidRDefault="00C627B8">
            <w:pPr>
              <w:spacing w:before="120" w:after="120"/>
              <w:jc w:val="left"/>
              <w:rPr>
                <w:b/>
                <w:i/>
                <w:noProof/>
                <w:color w:val="FFFFFF" w:themeColor="background1"/>
                <w:sz w:val="20"/>
                <w:lang w:val="en-US"/>
              </w:rPr>
            </w:pPr>
            <w:r>
              <w:rPr>
                <w:b/>
                <w:i/>
                <w:noProof/>
                <w:sz w:val="20"/>
                <w:lang w:val="en-US"/>
              </w:rPr>
              <w:t>All products within this sector have been considered as harmonised</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pharmaceuticals, medicinal chemical and botanical products</w:t>
            </w:r>
          </w:p>
        </w:tc>
      </w:tr>
      <w:tr w:rsidR="0037666B">
        <w:trPr>
          <w:trHeight w:val="288"/>
        </w:trPr>
        <w:tc>
          <w:tcPr>
            <w:tcW w:w="5000" w:type="pct"/>
            <w:gridSpan w:val="2"/>
            <w:tcBorders>
              <w:top w:val="nil"/>
              <w:left w:val="nil"/>
              <w:bottom w:val="single" w:sz="8" w:space="0" w:color="D9D9D9"/>
              <w:right w:val="nil"/>
            </w:tcBorders>
            <w:shd w:val="clear" w:color="auto" w:fill="FFFFFF" w:themeFill="background1"/>
            <w:noWrap/>
            <w:vAlign w:val="center"/>
          </w:tcPr>
          <w:p w:rsidR="0037666B" w:rsidRDefault="00C627B8">
            <w:pPr>
              <w:spacing w:before="120" w:after="120"/>
              <w:jc w:val="left"/>
              <w:rPr>
                <w:b/>
                <w:i/>
                <w:noProof/>
                <w:color w:val="FFFFFF" w:themeColor="background1"/>
                <w:sz w:val="20"/>
                <w:lang w:val="en-US"/>
              </w:rPr>
            </w:pPr>
            <w:r>
              <w:rPr>
                <w:b/>
                <w:i/>
                <w:noProof/>
                <w:sz w:val="20"/>
                <w:lang w:val="en-US"/>
              </w:rPr>
              <w:t>All products</w:t>
            </w:r>
            <w:r>
              <w:rPr>
                <w:b/>
                <w:i/>
                <w:noProof/>
                <w:sz w:val="20"/>
                <w:lang w:val="en-US"/>
              </w:rPr>
              <w:t xml:space="preserve"> within this sector have been considered as harmonised</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 xml:space="preserve">Manufacture of rubber and plastics products, and other non-metallic mineral products </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23.19</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and processing of other glass, including technical glassware</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23.41</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Manufacture of ceramic </w:t>
            </w:r>
            <w:r>
              <w:rPr>
                <w:noProof/>
                <w:color w:val="000000"/>
                <w:sz w:val="20"/>
                <w:lang w:val="en-US"/>
              </w:rPr>
              <w:t>household and ornamental articles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23.44</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technical ceramic products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23.49</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ceramic products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23.69</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articles of concrete, plaster and cement</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23.70</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Cutting, shaping and finishing of stone</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23.91</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Production of abrasive products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23.99</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non-metallic mineral products n.e.c.</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 xml:space="preserve">Manufacture of basic metals and fabricated metal products, except machinery and equipment </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24.31</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Cold drawing of bars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24.32</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Cold rolling of narrow strip</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24.33</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Cold forming or folding</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24.34</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Cold drawing of wire</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25.12</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doors and windows of metal</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25.40</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weapons and ammunition</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25.50</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Forging, pressing, stamping and roll-forming of metal; powder metallurgy</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25.71</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Manufacture of </w:t>
            </w:r>
            <w:r>
              <w:rPr>
                <w:noProof/>
                <w:color w:val="000000"/>
                <w:sz w:val="20"/>
                <w:lang w:val="en-US"/>
              </w:rPr>
              <w:t>cutlery</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25.72</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locks and hinges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25.73</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tools</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computer, electronic and optical products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26.52</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watches and clocks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26.70</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optical instruments and photographic equipment</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26.80</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magnetic and optical media</w:t>
            </w:r>
          </w:p>
        </w:tc>
      </w:tr>
    </w:tbl>
    <w:p w:rsidR="0037666B" w:rsidRDefault="00C627B8">
      <w:pPr>
        <w:rPr>
          <w:noProof/>
        </w:rPr>
      </w:pPr>
      <w:r>
        <w:rPr>
          <w:noProof/>
        </w:rPr>
        <w:br w:type="page"/>
      </w:r>
    </w:p>
    <w:tbl>
      <w:tblPr>
        <w:tblW w:w="5000" w:type="pct"/>
        <w:tblLook w:val="04A0" w:firstRow="1" w:lastRow="0" w:firstColumn="1" w:lastColumn="0" w:noHBand="0" w:noVBand="1"/>
      </w:tblPr>
      <w:tblGrid>
        <w:gridCol w:w="915"/>
        <w:gridCol w:w="7919"/>
      </w:tblGrid>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electrical equipment</w:t>
            </w:r>
          </w:p>
        </w:tc>
      </w:tr>
      <w:tr w:rsidR="0037666B">
        <w:trPr>
          <w:trHeight w:val="288"/>
        </w:trPr>
        <w:tc>
          <w:tcPr>
            <w:tcW w:w="518" w:type="pct"/>
            <w:tcBorders>
              <w:top w:val="nil"/>
              <w:left w:val="nil"/>
              <w:bottom w:val="single" w:sz="8" w:space="0" w:color="D9D9D9"/>
              <w:right w:val="nil"/>
            </w:tcBorders>
            <w:shd w:val="clear" w:color="000000" w:fill="F2F2F2"/>
            <w:noWrap/>
            <w:hideMark/>
          </w:tcPr>
          <w:p w:rsidR="0037666B" w:rsidRDefault="00C627B8">
            <w:pPr>
              <w:spacing w:before="120" w:after="120"/>
              <w:jc w:val="left"/>
              <w:rPr>
                <w:noProof/>
                <w:color w:val="000000"/>
                <w:sz w:val="20"/>
                <w:lang w:val="en-US"/>
              </w:rPr>
            </w:pPr>
            <w:r>
              <w:rPr>
                <w:noProof/>
                <w:color w:val="000000"/>
                <w:sz w:val="20"/>
                <w:lang w:val="en-US"/>
              </w:rPr>
              <w:t>27.52</w:t>
            </w:r>
          </w:p>
        </w:tc>
        <w:tc>
          <w:tcPr>
            <w:tcW w:w="4482" w:type="pct"/>
            <w:tcBorders>
              <w:top w:val="nil"/>
              <w:left w:val="nil"/>
              <w:bottom w:val="single" w:sz="8" w:space="0" w:color="D9D9D9"/>
              <w:right w:val="nil"/>
            </w:tcBorders>
            <w:shd w:val="clear" w:color="000000" w:fill="F2F2F2"/>
            <w:noWrap/>
            <w:hideMark/>
          </w:tcPr>
          <w:p w:rsidR="0037666B" w:rsidRDefault="00C627B8">
            <w:pPr>
              <w:spacing w:before="120" w:after="120"/>
              <w:jc w:val="left"/>
              <w:rPr>
                <w:noProof/>
                <w:color w:val="000000"/>
                <w:sz w:val="20"/>
                <w:lang w:val="en-US"/>
              </w:rPr>
            </w:pPr>
            <w:r>
              <w:rPr>
                <w:noProof/>
                <w:color w:val="000000"/>
                <w:sz w:val="20"/>
                <w:lang w:val="en-US"/>
              </w:rPr>
              <w:t>Manufacture of non-electric domestic appliances</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machinery and equipment n.e.c.</w:t>
            </w:r>
          </w:p>
        </w:tc>
      </w:tr>
      <w:tr w:rsidR="0037666B">
        <w:trPr>
          <w:trHeight w:val="288"/>
        </w:trPr>
        <w:tc>
          <w:tcPr>
            <w:tcW w:w="5000" w:type="pct"/>
            <w:gridSpan w:val="2"/>
            <w:tcBorders>
              <w:top w:val="nil"/>
              <w:left w:val="nil"/>
              <w:bottom w:val="single" w:sz="8" w:space="0" w:color="D9D9D9"/>
              <w:right w:val="nil"/>
            </w:tcBorders>
            <w:shd w:val="clear" w:color="auto" w:fill="FFFFFF" w:themeFill="background1"/>
            <w:noWrap/>
            <w:vAlign w:val="center"/>
          </w:tcPr>
          <w:p w:rsidR="0037666B" w:rsidRDefault="00C627B8">
            <w:pPr>
              <w:spacing w:before="120" w:after="120"/>
              <w:jc w:val="left"/>
              <w:rPr>
                <w:b/>
                <w:noProof/>
                <w:color w:val="FFFFFF" w:themeColor="background1"/>
                <w:sz w:val="20"/>
                <w:lang w:val="en-US"/>
              </w:rPr>
            </w:pPr>
            <w:r>
              <w:rPr>
                <w:b/>
                <w:i/>
                <w:noProof/>
                <w:sz w:val="20"/>
                <w:lang w:val="en-US"/>
              </w:rPr>
              <w:t>All products within this sector have been considered as harmonised</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Manufacture of transport equipment</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29.20</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bodies (coachwork) for motor vehicles; manufacture of trailers and semi-trailers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29.31</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electrical and electronic equipment for motor vehicles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29.32</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 xml:space="preserve">Manufacture of other parts and </w:t>
            </w:r>
            <w:r>
              <w:rPr>
                <w:noProof/>
                <w:color w:val="000000"/>
                <w:sz w:val="20"/>
                <w:lang w:val="en-US"/>
              </w:rPr>
              <w:t>accessories for motor vehicles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30.99</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transport equipment n.e.c.</w:t>
            </w:r>
          </w:p>
        </w:tc>
      </w:tr>
      <w:tr w:rsidR="0037666B">
        <w:trPr>
          <w:trHeight w:val="288"/>
        </w:trPr>
        <w:tc>
          <w:tcPr>
            <w:tcW w:w="5000" w:type="pct"/>
            <w:gridSpan w:val="2"/>
            <w:tcBorders>
              <w:top w:val="nil"/>
              <w:left w:val="nil"/>
              <w:bottom w:val="single" w:sz="8" w:space="0" w:color="D9D9D9"/>
              <w:right w:val="nil"/>
            </w:tcBorders>
            <w:shd w:val="clear" w:color="auto" w:fill="7F7F7F" w:themeFill="text1" w:themeFillTint="80"/>
            <w:noWrap/>
            <w:vAlign w:val="center"/>
          </w:tcPr>
          <w:p w:rsidR="0037666B" w:rsidRDefault="00C627B8">
            <w:pPr>
              <w:spacing w:before="120" w:after="120"/>
              <w:jc w:val="left"/>
              <w:rPr>
                <w:b/>
                <w:noProof/>
                <w:color w:val="FFFFFF" w:themeColor="background1"/>
                <w:sz w:val="20"/>
                <w:lang w:val="en-US"/>
              </w:rPr>
            </w:pPr>
            <w:r>
              <w:rPr>
                <w:b/>
                <w:noProof/>
                <w:color w:val="FFFFFF" w:themeColor="background1"/>
                <w:sz w:val="20"/>
                <w:lang w:val="en-US"/>
              </w:rPr>
              <w:t xml:space="preserve">Other manufacturing, and repair and installation of machinery and equipment </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31.01</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office and shop furniture</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31.02</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kitchen furniture</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31.03</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mattresses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31.09</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other furniture</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32.11</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Striking of coins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32.12</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jewellery and related articles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32.13</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imitation jewellery and related articles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32.20</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musical instruments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32.91</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Manufacture of brooms and brushes</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33.11</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Repair of fabricated metal products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33.12</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Repair of machinery</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33.13</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Repair of electronic and optical equipment</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33.14</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Repair of electrical equipment</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33.15</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Repair and maintenance of ships and boats</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33.16</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Repair and maintenance of aircraft and spacecraft</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33.17</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Repair and maintenance of other transport equipment</w:t>
            </w:r>
          </w:p>
        </w:tc>
      </w:tr>
      <w:tr w:rsidR="0037666B">
        <w:trPr>
          <w:trHeight w:val="288"/>
        </w:trPr>
        <w:tc>
          <w:tcPr>
            <w:tcW w:w="518"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33.19</w:t>
            </w:r>
          </w:p>
        </w:tc>
        <w:tc>
          <w:tcPr>
            <w:tcW w:w="4482" w:type="pct"/>
            <w:tcBorders>
              <w:top w:val="nil"/>
              <w:left w:val="nil"/>
              <w:bottom w:val="single" w:sz="8" w:space="0" w:color="D9D9D9"/>
              <w:right w:val="nil"/>
            </w:tcBorders>
            <w:shd w:val="clear" w:color="auto" w:fill="auto"/>
            <w:noWrap/>
            <w:vAlign w:val="center"/>
            <w:hideMark/>
          </w:tcPr>
          <w:p w:rsidR="0037666B" w:rsidRDefault="00C627B8">
            <w:pPr>
              <w:spacing w:before="120" w:after="120"/>
              <w:jc w:val="left"/>
              <w:rPr>
                <w:noProof/>
                <w:color w:val="000000"/>
                <w:sz w:val="20"/>
                <w:lang w:val="en-US"/>
              </w:rPr>
            </w:pPr>
            <w:r>
              <w:rPr>
                <w:noProof/>
                <w:color w:val="000000"/>
                <w:sz w:val="20"/>
                <w:lang w:val="en-US"/>
              </w:rPr>
              <w:t>Repair of other equipment</w:t>
            </w:r>
          </w:p>
        </w:tc>
      </w:tr>
      <w:tr w:rsidR="0037666B">
        <w:trPr>
          <w:trHeight w:val="288"/>
        </w:trPr>
        <w:tc>
          <w:tcPr>
            <w:tcW w:w="518"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33.20</w:t>
            </w:r>
          </w:p>
        </w:tc>
        <w:tc>
          <w:tcPr>
            <w:tcW w:w="4482" w:type="pct"/>
            <w:tcBorders>
              <w:top w:val="nil"/>
              <w:left w:val="nil"/>
              <w:bottom w:val="single" w:sz="8" w:space="0" w:color="D9D9D9"/>
              <w:right w:val="nil"/>
            </w:tcBorders>
            <w:shd w:val="clear" w:color="000000" w:fill="F2F2F2"/>
            <w:noWrap/>
            <w:vAlign w:val="center"/>
            <w:hideMark/>
          </w:tcPr>
          <w:p w:rsidR="0037666B" w:rsidRDefault="00C627B8">
            <w:pPr>
              <w:spacing w:before="120" w:after="120"/>
              <w:jc w:val="left"/>
              <w:rPr>
                <w:noProof/>
                <w:color w:val="000000"/>
                <w:sz w:val="20"/>
                <w:lang w:val="en-US"/>
              </w:rPr>
            </w:pPr>
            <w:r>
              <w:rPr>
                <w:noProof/>
                <w:color w:val="000000"/>
                <w:sz w:val="20"/>
                <w:lang w:val="en-US"/>
              </w:rPr>
              <w:t>Installation of industrial machinery and equipment</w:t>
            </w:r>
          </w:p>
        </w:tc>
      </w:tr>
    </w:tbl>
    <w:p w:rsidR="0037666B" w:rsidRDefault="00C627B8">
      <w:pPr>
        <w:jc w:val="left"/>
        <w:rPr>
          <w:b/>
          <w:smallCaps/>
          <w:noProof/>
          <w:szCs w:val="24"/>
        </w:rPr>
      </w:pPr>
      <w:r>
        <w:rPr>
          <w:noProof/>
          <w:szCs w:val="24"/>
        </w:rPr>
        <w:br w:type="page"/>
      </w:r>
    </w:p>
    <w:p w:rsidR="0037666B" w:rsidRDefault="00C627B8">
      <w:pPr>
        <w:pStyle w:val="Heading1"/>
        <w:keepNext w:val="0"/>
        <w:numPr>
          <w:ilvl w:val="0"/>
          <w:numId w:val="0"/>
        </w:numPr>
        <w:spacing w:before="0"/>
        <w:rPr>
          <w:noProof/>
          <w:szCs w:val="24"/>
        </w:rPr>
      </w:pPr>
      <w:bookmarkStart w:id="163" w:name="_Toc483992786"/>
      <w:r>
        <w:rPr>
          <w:noProof/>
          <w:szCs w:val="24"/>
        </w:rPr>
        <w:t xml:space="preserve">Annex 6 – Main Findings of the Evaluation of the </w:t>
      </w:r>
      <w:r>
        <w:rPr>
          <w:noProof/>
          <w:szCs w:val="24"/>
        </w:rPr>
        <w:t>REFIT Evaluation on the Principle of Mutual Recognition and the Mutual Recognition Regulation No (EC) 764/2008</w:t>
      </w:r>
      <w:bookmarkEnd w:id="163"/>
    </w:p>
    <w:p w:rsidR="0037666B" w:rsidRDefault="00C627B8">
      <w:pPr>
        <w:rPr>
          <w:noProof/>
        </w:rPr>
      </w:pPr>
      <w:r>
        <w:rPr>
          <w:noProof/>
        </w:rPr>
        <w:t>Mutual recognition is seminal for a proper functioning of the single market for goods. It consists of a principle, embedded in Articles 34 and 36</w:t>
      </w:r>
      <w:r>
        <w:rPr>
          <w:noProof/>
        </w:rPr>
        <w:t xml:space="preserve"> of the Treaty on the Functioning of the European Union (TFEU), and further elaborated on case law, and of a legal act, Regulation (EC) No 764/2008 (the Mutual Recognition Regulation), defining the practical modalities of its implementation. </w:t>
      </w:r>
    </w:p>
    <w:p w:rsidR="0037666B" w:rsidRDefault="00C627B8">
      <w:pPr>
        <w:rPr>
          <w:noProof/>
        </w:rPr>
      </w:pPr>
      <w:r>
        <w:rPr>
          <w:noProof/>
        </w:rPr>
        <w:t>If a business</w:t>
      </w:r>
      <w:r>
        <w:rPr>
          <w:noProof/>
        </w:rPr>
        <w:t xml:space="preserve"> is lawfully selling a product in one Member State, it should be able to sell it in other Member States without adapting it to the national rules of that Member State, even when there are no common European rules on how the product has to be manufactured (</w:t>
      </w:r>
      <w:r>
        <w:rPr>
          <w:noProof/>
        </w:rPr>
        <w:t>rules on i.e. characteristics of the product, size, composition, etc.). The right to sell a product lawfully marketed in another Member State</w:t>
      </w:r>
      <w:r>
        <w:rPr>
          <w:rStyle w:val="FootnoteReference"/>
          <w:noProof/>
        </w:rPr>
        <w:footnoteReference w:id="153"/>
      </w:r>
      <w:r>
        <w:rPr>
          <w:noProof/>
        </w:rPr>
        <w:t xml:space="preserve"> can be refused only when the Member State of destination has diverging product requirements whose mandatory imposition is justified by the need to protect a certain public interests, and those requirements are necessary and proportionate for achieving tha</w:t>
      </w:r>
      <w:r>
        <w:rPr>
          <w:noProof/>
        </w:rPr>
        <w:t>t objective. This is the principle of mutual recognition in the field of goods. The application of the principle proved to be problematic in practice. Therefore, in 2008, the Mutual Recognition Regulation was adopted. It introduces procedural guarantees to</w:t>
      </w:r>
      <w:r>
        <w:rPr>
          <w:noProof/>
        </w:rPr>
        <w:t xml:space="preserve"> ensure on one hand that businesses can easily invoke their right to mutual recognition, and on the other hand that Member States use their right to deny mutual recognition in the light of the proportionality principle. </w:t>
      </w:r>
    </w:p>
    <w:p w:rsidR="0037666B" w:rsidRDefault="00C627B8">
      <w:pPr>
        <w:rPr>
          <w:noProof/>
        </w:rPr>
      </w:pPr>
      <w:r>
        <w:rPr>
          <w:noProof/>
        </w:rPr>
        <w:t>This evaluation assessed the functi</w:t>
      </w:r>
      <w:r>
        <w:rPr>
          <w:noProof/>
        </w:rPr>
        <w:t>oning of mutual recognition in the field of goods, i.e. the mutual recognition principle and the Mutual Recognition Regulation. It looked to what extent mutual recognition has achieved its original objectives in term of effectiveness, efficiency, relevance</w:t>
      </w:r>
      <w:r>
        <w:rPr>
          <w:noProof/>
        </w:rPr>
        <w:t xml:space="preserve">, coherence, and EU value-added. </w:t>
      </w:r>
    </w:p>
    <w:p w:rsidR="0037666B" w:rsidRDefault="00C627B8">
      <w:pPr>
        <w:rPr>
          <w:b/>
          <w:noProof/>
          <w:u w:val="single"/>
        </w:rPr>
      </w:pPr>
      <w:r>
        <w:rPr>
          <w:b/>
          <w:noProof/>
          <w:u w:val="single"/>
        </w:rPr>
        <w:t>Effectiveness</w:t>
      </w:r>
    </w:p>
    <w:p w:rsidR="0037666B" w:rsidRDefault="00C627B8">
      <w:pPr>
        <w:rPr>
          <w:noProof/>
        </w:rPr>
      </w:pPr>
      <w:r>
        <w:rPr>
          <w:noProof/>
        </w:rPr>
        <w:t xml:space="preserve">The evaluation assessed the extent to which mutual recognition achieved its objectives. The general objective of the mutual recognition principle and Regulation was </w:t>
      </w:r>
      <w:r>
        <w:rPr>
          <w:b/>
          <w:noProof/>
        </w:rPr>
        <w:t>to facilitate free movement of goods in the</w:t>
      </w:r>
      <w:r>
        <w:rPr>
          <w:b/>
          <w:noProof/>
        </w:rPr>
        <w:t xml:space="preserve"> non-harmonised area.</w:t>
      </w:r>
      <w:r>
        <w:rPr>
          <w:noProof/>
        </w:rPr>
        <w:t xml:space="preserve"> Additionally, the Regulation had the following specific objectives:</w:t>
      </w:r>
    </w:p>
    <w:p w:rsidR="0037666B" w:rsidRDefault="00C627B8">
      <w:pPr>
        <w:pStyle w:val="ListParagraph"/>
        <w:numPr>
          <w:ilvl w:val="0"/>
          <w:numId w:val="68"/>
        </w:numPr>
        <w:spacing w:after="0"/>
        <w:ind w:left="567" w:hanging="567"/>
        <w:rPr>
          <w:i/>
          <w:noProof/>
        </w:rPr>
      </w:pPr>
      <w:r>
        <w:rPr>
          <w:i/>
          <w:noProof/>
        </w:rPr>
        <w:t xml:space="preserve">To increase awareness about the mutual recognition principle , </w:t>
      </w:r>
    </w:p>
    <w:p w:rsidR="0037666B" w:rsidRDefault="00C627B8">
      <w:pPr>
        <w:pStyle w:val="ListParagraph"/>
        <w:numPr>
          <w:ilvl w:val="0"/>
          <w:numId w:val="68"/>
        </w:numPr>
        <w:spacing w:after="0"/>
        <w:ind w:left="567" w:hanging="567"/>
        <w:rPr>
          <w:i/>
          <w:noProof/>
        </w:rPr>
      </w:pPr>
      <w:r>
        <w:rPr>
          <w:i/>
          <w:noProof/>
        </w:rPr>
        <w:t xml:space="preserve">To ensure legal certainty when using the mutual recognition principle, </w:t>
      </w:r>
    </w:p>
    <w:p w:rsidR="0037666B" w:rsidRDefault="00C627B8">
      <w:pPr>
        <w:pStyle w:val="ListParagraph"/>
        <w:numPr>
          <w:ilvl w:val="0"/>
          <w:numId w:val="68"/>
        </w:numPr>
        <w:ind w:left="567" w:hanging="567"/>
        <w:rPr>
          <w:i/>
          <w:noProof/>
        </w:rPr>
      </w:pPr>
      <w:r>
        <w:rPr>
          <w:i/>
          <w:noProof/>
        </w:rPr>
        <w:t>To improve administrative coop</w:t>
      </w:r>
      <w:r>
        <w:rPr>
          <w:i/>
          <w:noProof/>
        </w:rPr>
        <w:t xml:space="preserve">eration among national authorities when applying the mutual recognition principle </w:t>
      </w:r>
    </w:p>
    <w:p w:rsidR="0037666B" w:rsidRDefault="00C627B8">
      <w:pPr>
        <w:tabs>
          <w:tab w:val="num" w:pos="720"/>
        </w:tabs>
        <w:rPr>
          <w:noProof/>
        </w:rPr>
      </w:pPr>
      <w:r>
        <w:rPr>
          <w:noProof/>
        </w:rPr>
        <w:t>Overall, the findings of the evaluation show that the principle and the Regulation did not meet their objectives. Businesses are still encountering numerous obstacles to the</w:t>
      </w:r>
      <w:r>
        <w:rPr>
          <w:noProof/>
        </w:rPr>
        <w:t xml:space="preserve"> free movement of products lawfully marketed in another Member State. During the 2016 public consultation, they were ranked as the main obstacle to challenging administrative decisions denying market access, followed by insufficient administrative cooperat</w:t>
      </w:r>
      <w:r>
        <w:rPr>
          <w:noProof/>
        </w:rPr>
        <w:t>ion and lack of awareness about mutual recognition. The tools put in place by the Regulation in order to ensure awareness, i.e. the Product Contact Points, had a limited effect, mainly due to their suboptimal functioning. Businesses still don't know when m</w:t>
      </w:r>
      <w:r>
        <w:rPr>
          <w:noProof/>
        </w:rPr>
        <w:t>utual recognition can be used for entering a market and what their rights are. Furthermore, the mutual recognition clause has not shed sufficient light on when mutual recognition is applicable. Despite the regular recommendations by the Commission to inser</w:t>
      </w:r>
      <w:r>
        <w:rPr>
          <w:noProof/>
        </w:rPr>
        <w:t>t the clause in draft national legislation notified following Directive (EU) 2015/1535</w:t>
      </w:r>
      <w:r>
        <w:rPr>
          <w:noProof/>
          <w:vertAlign w:val="superscript"/>
        </w:rPr>
        <w:footnoteReference w:id="154"/>
      </w:r>
      <w:r>
        <w:rPr>
          <w:noProof/>
        </w:rPr>
        <w:t>, or to redraft it in order to ensure clarity, its use is still poor.</w:t>
      </w:r>
    </w:p>
    <w:p w:rsidR="0037666B" w:rsidRDefault="00C627B8">
      <w:pPr>
        <w:pStyle w:val="Text1"/>
        <w:ind w:left="0"/>
        <w:rPr>
          <w:rFonts w:eastAsiaTheme="minorHAnsi"/>
          <w:noProof/>
          <w:sz w:val="22"/>
          <w:szCs w:val="22"/>
        </w:rPr>
      </w:pPr>
      <w:r>
        <w:rPr>
          <w:rFonts w:eastAsiaTheme="minorHAnsi"/>
          <w:noProof/>
          <w:sz w:val="22"/>
          <w:szCs w:val="22"/>
        </w:rPr>
        <w:t>The tools put in place by the Regulation had also a very limited effect on increasing legal certain</w:t>
      </w:r>
      <w:r>
        <w:rPr>
          <w:rFonts w:eastAsiaTheme="minorHAnsi"/>
          <w:noProof/>
          <w:sz w:val="22"/>
          <w:szCs w:val="22"/>
        </w:rPr>
        <w:t>ty when using the mutual recognition principle. The lack of legal certainty appears to remain a major obstacle to unleashing the full potential of the principle, and the main reason why Member States and businesses are reluctant towards mutual recognition.</w:t>
      </w:r>
      <w:r>
        <w:rPr>
          <w:rFonts w:eastAsiaTheme="minorHAnsi"/>
          <w:noProof/>
          <w:sz w:val="22"/>
          <w:szCs w:val="22"/>
        </w:rPr>
        <w:t xml:space="preserve">   </w:t>
      </w:r>
    </w:p>
    <w:p w:rsidR="0037666B" w:rsidRDefault="00C627B8">
      <w:pPr>
        <w:pStyle w:val="Text1"/>
        <w:ind w:left="0"/>
        <w:rPr>
          <w:rFonts w:eastAsiaTheme="minorHAnsi"/>
          <w:noProof/>
          <w:sz w:val="22"/>
          <w:szCs w:val="22"/>
        </w:rPr>
      </w:pPr>
      <w:r>
        <w:rPr>
          <w:rFonts w:eastAsiaTheme="minorHAnsi"/>
          <w:noProof/>
          <w:sz w:val="22"/>
          <w:szCs w:val="22"/>
        </w:rPr>
        <w:t xml:space="preserve">As regards administrative cooperation, it still needs to be enhanced in order to facilitate the application of the mutual recognition principle. </w:t>
      </w:r>
    </w:p>
    <w:p w:rsidR="0037666B" w:rsidRDefault="00C627B8">
      <w:pPr>
        <w:pStyle w:val="Text1"/>
        <w:ind w:left="0"/>
        <w:rPr>
          <w:rFonts w:eastAsiaTheme="minorHAnsi"/>
          <w:noProof/>
          <w:sz w:val="22"/>
          <w:szCs w:val="22"/>
        </w:rPr>
      </w:pPr>
      <w:r>
        <w:rPr>
          <w:noProof/>
          <w:sz w:val="22"/>
          <w:szCs w:val="22"/>
        </w:rPr>
        <w:t>The weak use of the principle of mutual recognition and the very limited impacts the Regulation had in ach</w:t>
      </w:r>
      <w:r>
        <w:rPr>
          <w:noProof/>
          <w:sz w:val="22"/>
          <w:szCs w:val="22"/>
        </w:rPr>
        <w:t>ieving the foreseen objectives of ensuring free movement of goods in the Single Market points that there is a lot of potential to be unleashed. Estimating accurately the magnitude of this unleashed potential is not straightforward, due to the complex natur</w:t>
      </w:r>
      <w:r>
        <w:rPr>
          <w:noProof/>
          <w:sz w:val="22"/>
          <w:szCs w:val="22"/>
        </w:rPr>
        <w:t>e of mutual recognition and the wide variety of products to which it applies. However, several elements indicate that the suboptimal use of mutual recognition triggers significant costs and that improving its functioning would bring significant benefits. T</w:t>
      </w:r>
      <w:r>
        <w:rPr>
          <w:noProof/>
          <w:sz w:val="22"/>
          <w:szCs w:val="22"/>
        </w:rPr>
        <w:t>he comparison of the value of the intra EU exports with domestic consumption</w:t>
      </w:r>
      <w:r>
        <w:rPr>
          <w:rStyle w:val="FootnoteReference"/>
          <w:noProof/>
          <w:sz w:val="22"/>
          <w:szCs w:val="22"/>
        </w:rPr>
        <w:footnoteReference w:id="155"/>
      </w:r>
      <w:r>
        <w:rPr>
          <w:noProof/>
          <w:sz w:val="22"/>
          <w:szCs w:val="22"/>
        </w:rPr>
        <w:t xml:space="preserve"> shows that for harmonised products the value of intra EU exports is </w:t>
      </w:r>
      <w:r>
        <w:rPr>
          <w:b/>
          <w:noProof/>
          <w:sz w:val="22"/>
          <w:szCs w:val="22"/>
        </w:rPr>
        <w:t>110%</w:t>
      </w:r>
      <w:r>
        <w:rPr>
          <w:noProof/>
          <w:sz w:val="22"/>
          <w:szCs w:val="22"/>
        </w:rPr>
        <w:t xml:space="preserve"> of domestic consumption, while for the non-harmonised and partially harmonised goods it represents only </w:t>
      </w:r>
      <w:r>
        <w:rPr>
          <w:b/>
          <w:noProof/>
          <w:sz w:val="22"/>
          <w:szCs w:val="22"/>
        </w:rPr>
        <w:t>3</w:t>
      </w:r>
      <w:r>
        <w:rPr>
          <w:b/>
          <w:noProof/>
          <w:sz w:val="22"/>
          <w:szCs w:val="22"/>
        </w:rPr>
        <w:t>9%.</w:t>
      </w:r>
      <w:r>
        <w:rPr>
          <w:noProof/>
          <w:sz w:val="22"/>
          <w:szCs w:val="22"/>
        </w:rPr>
        <w:t xml:space="preserve"> </w:t>
      </w:r>
      <w:r>
        <w:rPr>
          <w:rFonts w:eastAsiaTheme="minorHAnsi"/>
          <w:noProof/>
          <w:sz w:val="22"/>
          <w:szCs w:val="22"/>
        </w:rPr>
        <w:t xml:space="preserve">Therefore, in terms of priorities for the Commission to remedy to the ineffectiveness of the regulation, national authorities and citizens ranked first the need to increase awareness of the mutual recognition principle, while businesses stressed their </w:t>
      </w:r>
      <w:r>
        <w:rPr>
          <w:rFonts w:eastAsiaTheme="minorHAnsi"/>
          <w:noProof/>
          <w:sz w:val="22"/>
          <w:szCs w:val="22"/>
        </w:rPr>
        <w:t xml:space="preserve">need for effective remedies to take action against decisions denying market access. If the consultation did not result in a representative sample of sectors, company type and Member States, it provides however a good indication of areas where the scope of </w:t>
      </w:r>
      <w:r>
        <w:rPr>
          <w:rFonts w:eastAsiaTheme="minorHAnsi"/>
          <w:noProof/>
          <w:sz w:val="22"/>
          <w:szCs w:val="22"/>
        </w:rPr>
        <w:t>mutual recognition can be improved. Furthermore, the difficulties in terms of gathering useful data on the functioning of mutual recognition needs to be addressed, in order to allow a clearer picture of how the principle functions and on its impacts on the</w:t>
      </w:r>
      <w:r>
        <w:rPr>
          <w:rFonts w:eastAsiaTheme="minorHAnsi"/>
          <w:noProof/>
          <w:sz w:val="22"/>
          <w:szCs w:val="22"/>
        </w:rPr>
        <w:t xml:space="preserve"> free movement of goods. </w:t>
      </w:r>
    </w:p>
    <w:p w:rsidR="0037666B" w:rsidRDefault="00C627B8">
      <w:pPr>
        <w:pStyle w:val="Text1"/>
        <w:ind w:left="0"/>
        <w:rPr>
          <w:rFonts w:eastAsiaTheme="minorHAnsi"/>
          <w:b/>
          <w:noProof/>
          <w:sz w:val="22"/>
          <w:szCs w:val="22"/>
        </w:rPr>
      </w:pPr>
      <w:r>
        <w:rPr>
          <w:b/>
          <w:noProof/>
          <w:sz w:val="22"/>
          <w:szCs w:val="22"/>
        </w:rPr>
        <w:t xml:space="preserve">Table A6-1: </w:t>
      </w:r>
      <w:r>
        <w:rPr>
          <w:rFonts w:eastAsiaTheme="minorHAnsi"/>
          <w:b/>
          <w:noProof/>
          <w:sz w:val="22"/>
          <w:szCs w:val="22"/>
        </w:rPr>
        <w:t xml:space="preserve">2016 public consultation </w:t>
      </w:r>
    </w:p>
    <w:tbl>
      <w:tblPr>
        <w:tblStyle w:val="LightList1"/>
        <w:tblW w:w="8665" w:type="dxa"/>
        <w:tblInd w:w="108" w:type="dxa"/>
        <w:tblLook w:val="04A0" w:firstRow="1" w:lastRow="0" w:firstColumn="1" w:lastColumn="0" w:noHBand="0" w:noVBand="1"/>
      </w:tblPr>
      <w:tblGrid>
        <w:gridCol w:w="7989"/>
        <w:gridCol w:w="676"/>
      </w:tblGrid>
      <w:tr w:rsidR="0037666B" w:rsidTr="0037666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665" w:type="dxa"/>
            <w:gridSpan w:val="2"/>
            <w:shd w:val="clear" w:color="auto" w:fill="548DD4" w:themeFill="text2" w:themeFillTint="99"/>
          </w:tcPr>
          <w:p w:rsidR="0037666B" w:rsidRDefault="00C627B8">
            <w:pPr>
              <w:spacing w:before="120" w:after="120"/>
              <w:rPr>
                <w:rFonts w:ascii="Times New Roman" w:hAnsi="Times New Roman" w:cs="Times New Roman"/>
                <w:noProof/>
              </w:rPr>
            </w:pPr>
            <w:r>
              <w:rPr>
                <w:rFonts w:ascii="Times New Roman" w:hAnsi="Times New Roman" w:cs="Times New Roman"/>
                <w:noProof/>
              </w:rPr>
              <w:t>Ranking of priorities by businesses</w:t>
            </w:r>
          </w:p>
        </w:tc>
      </w:tr>
      <w:tr w:rsidR="0037666B" w:rsidTr="0037666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7989" w:type="dxa"/>
            <w:shd w:val="clear" w:color="auto" w:fill="8DB3E2" w:themeFill="text2" w:themeFillTint="66"/>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Ensure that businesses have effective remedies at their disposal to take action against decisions denying mutual recognition when needed</w:t>
            </w:r>
          </w:p>
        </w:tc>
        <w:tc>
          <w:tcPr>
            <w:tcW w:w="676" w:type="dxa"/>
            <w:shd w:val="clear" w:color="auto" w:fill="8DB3E2" w:themeFill="text2" w:themeFillTint="66"/>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72%</w:t>
            </w:r>
          </w:p>
        </w:tc>
      </w:tr>
      <w:tr w:rsidR="0037666B" w:rsidTr="0037666B">
        <w:trPr>
          <w:trHeight w:val="404"/>
        </w:trPr>
        <w:tc>
          <w:tcPr>
            <w:cnfStyle w:val="001000000000" w:firstRow="0" w:lastRow="0" w:firstColumn="1" w:lastColumn="0" w:oddVBand="0" w:evenVBand="0" w:oddHBand="0" w:evenHBand="0" w:firstRowFirstColumn="0" w:firstRowLastColumn="0" w:lastRowFirstColumn="0" w:lastRowLastColumn="0"/>
            <w:tcW w:w="7989" w:type="dxa"/>
            <w:shd w:val="clear" w:color="auto" w:fill="auto"/>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 xml:space="preserve">Increase </w:t>
            </w:r>
            <w:r>
              <w:rPr>
                <w:rFonts w:ascii="Times New Roman" w:hAnsi="Times New Roman" w:cs="Times New Roman"/>
                <w:b w:val="0"/>
                <w:noProof/>
              </w:rPr>
              <w:t>legal certainty for businesses when using mutual recognition to sell products abroad</w:t>
            </w:r>
          </w:p>
        </w:tc>
        <w:tc>
          <w:tcPr>
            <w:tcW w:w="676" w:type="dxa"/>
            <w:shd w:val="clear" w:color="auto" w:fill="auto"/>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67%</w:t>
            </w:r>
          </w:p>
        </w:tc>
      </w:tr>
      <w:tr w:rsidR="0037666B" w:rsidTr="0037666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989" w:type="dxa"/>
          </w:tcPr>
          <w:p w:rsidR="0037666B" w:rsidRDefault="00C627B8">
            <w:pPr>
              <w:spacing w:before="120" w:after="120"/>
              <w:rPr>
                <w:rFonts w:ascii="Times New Roman" w:hAnsi="Times New Roman" w:cs="Times New Roman"/>
                <w:b w:val="0"/>
                <w:bCs w:val="0"/>
                <w:noProof/>
              </w:rPr>
            </w:pPr>
            <w:r>
              <w:rPr>
                <w:rFonts w:ascii="Times New Roman" w:hAnsi="Times New Roman" w:cs="Times New Roman"/>
                <w:b w:val="0"/>
                <w:noProof/>
              </w:rPr>
              <w:t>Ensure that the procedures are duly followed when decisions denying market access are taken by national authorities</w:t>
            </w:r>
          </w:p>
        </w:tc>
        <w:tc>
          <w:tcPr>
            <w:tcW w:w="676" w:type="dxa"/>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65%</w:t>
            </w:r>
          </w:p>
        </w:tc>
      </w:tr>
      <w:tr w:rsidR="0037666B" w:rsidTr="0037666B">
        <w:trPr>
          <w:trHeight w:val="393"/>
        </w:trPr>
        <w:tc>
          <w:tcPr>
            <w:cnfStyle w:val="001000000000" w:firstRow="0" w:lastRow="0" w:firstColumn="1" w:lastColumn="0" w:oddVBand="0" w:evenVBand="0" w:oddHBand="0" w:evenHBand="0" w:firstRowFirstColumn="0" w:firstRowLastColumn="0" w:lastRowFirstColumn="0" w:lastRowLastColumn="0"/>
            <w:tcW w:w="7989"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 xml:space="preserve">Increase effectiveness of mutual recognition </w:t>
            </w:r>
            <w:r>
              <w:rPr>
                <w:rFonts w:ascii="Times New Roman" w:hAnsi="Times New Roman" w:cs="Times New Roman"/>
                <w:b w:val="0"/>
                <w:noProof/>
              </w:rPr>
              <w:t>to facilitate access to the internal market</w:t>
            </w:r>
          </w:p>
        </w:tc>
        <w:tc>
          <w:tcPr>
            <w:tcW w:w="676"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w:t>
            </w:r>
          </w:p>
        </w:tc>
      </w:tr>
      <w:tr w:rsidR="0037666B" w:rsidTr="0037666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7989"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Facilitate communication between all actors involved in mutual recognition (business, national authorities, European Commission)</w:t>
            </w:r>
          </w:p>
        </w:tc>
        <w:tc>
          <w:tcPr>
            <w:tcW w:w="676" w:type="dxa"/>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54%</w:t>
            </w:r>
          </w:p>
        </w:tc>
      </w:tr>
      <w:tr w:rsidR="0037666B" w:rsidTr="0037666B">
        <w:trPr>
          <w:trHeight w:val="380"/>
        </w:trPr>
        <w:tc>
          <w:tcPr>
            <w:cnfStyle w:val="001000000000" w:firstRow="0" w:lastRow="0" w:firstColumn="1" w:lastColumn="0" w:oddVBand="0" w:evenVBand="0" w:oddHBand="0" w:evenHBand="0" w:firstRowFirstColumn="0" w:firstRowLastColumn="0" w:lastRowFirstColumn="0" w:lastRowLastColumn="0"/>
            <w:tcW w:w="7989"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Increase general awareness of the mutual recognition principle</w:t>
            </w:r>
          </w:p>
        </w:tc>
        <w:tc>
          <w:tcPr>
            <w:tcW w:w="676"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w:t>
            </w:r>
          </w:p>
        </w:tc>
      </w:tr>
    </w:tbl>
    <w:p w:rsidR="0037666B" w:rsidRDefault="00C627B8">
      <w:pPr>
        <w:pStyle w:val="Text1"/>
        <w:spacing w:before="240"/>
        <w:ind w:left="0"/>
        <w:rPr>
          <w:rFonts w:eastAsiaTheme="minorHAnsi"/>
          <w:b/>
          <w:noProof/>
          <w:sz w:val="22"/>
          <w:szCs w:val="22"/>
        </w:rPr>
      </w:pPr>
      <w:r>
        <w:rPr>
          <w:b/>
          <w:noProof/>
          <w:sz w:val="22"/>
          <w:szCs w:val="22"/>
        </w:rPr>
        <w:t xml:space="preserve">Table A6-2: </w:t>
      </w:r>
      <w:r>
        <w:rPr>
          <w:rFonts w:eastAsiaTheme="minorHAnsi"/>
          <w:b/>
          <w:noProof/>
          <w:sz w:val="22"/>
          <w:szCs w:val="22"/>
        </w:rPr>
        <w:t xml:space="preserve">2016 public consultation </w:t>
      </w:r>
    </w:p>
    <w:tbl>
      <w:tblPr>
        <w:tblStyle w:val="LightList"/>
        <w:tblW w:w="8645" w:type="dxa"/>
        <w:tblInd w:w="108" w:type="dxa"/>
        <w:tblLook w:val="04A0" w:firstRow="1" w:lastRow="0" w:firstColumn="1" w:lastColumn="0" w:noHBand="0" w:noVBand="1"/>
      </w:tblPr>
      <w:tblGrid>
        <w:gridCol w:w="7970"/>
        <w:gridCol w:w="675"/>
      </w:tblGrid>
      <w:tr w:rsidR="0037666B" w:rsidTr="0037666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645" w:type="dxa"/>
            <w:gridSpan w:val="2"/>
            <w:shd w:val="clear" w:color="auto" w:fill="548DD4" w:themeFill="text2" w:themeFillTint="99"/>
          </w:tcPr>
          <w:p w:rsidR="0037666B" w:rsidRDefault="00C627B8">
            <w:pPr>
              <w:spacing w:before="120" w:after="120"/>
              <w:rPr>
                <w:rFonts w:ascii="Times New Roman" w:hAnsi="Times New Roman" w:cs="Times New Roman"/>
                <w:noProof/>
              </w:rPr>
            </w:pPr>
            <w:r>
              <w:rPr>
                <w:rFonts w:ascii="Times New Roman" w:hAnsi="Times New Roman" w:cs="Times New Roman"/>
                <w:noProof/>
              </w:rPr>
              <w:t>Ranking of priorities by Member States</w:t>
            </w:r>
          </w:p>
        </w:tc>
      </w:tr>
      <w:tr w:rsidR="0037666B" w:rsidTr="0037666B">
        <w:trPr>
          <w:cnfStyle w:val="000000100000" w:firstRow="0" w:lastRow="0" w:firstColumn="0" w:lastColumn="0" w:oddVBand="0" w:evenVBand="0" w:oddHBand="1" w:evenHBand="0" w:firstRowFirstColumn="0" w:firstRowLastColumn="0" w:lastRowFirstColumn="0" w:lastRowLastColumn="0"/>
          <w:cantSplit/>
          <w:trHeight w:val="464"/>
        </w:trPr>
        <w:tc>
          <w:tcPr>
            <w:cnfStyle w:val="001000000000" w:firstRow="0" w:lastRow="0" w:firstColumn="1" w:lastColumn="0" w:oddVBand="0" w:evenVBand="0" w:oddHBand="0" w:evenHBand="0" w:firstRowFirstColumn="0" w:firstRowLastColumn="0" w:lastRowFirstColumn="0" w:lastRowLastColumn="0"/>
            <w:tcW w:w="7970" w:type="dxa"/>
            <w:shd w:val="clear" w:color="auto" w:fill="8DB3E2" w:themeFill="text2" w:themeFillTint="66"/>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Increase general awareness of the mutual recognition principle</w:t>
            </w:r>
          </w:p>
        </w:tc>
        <w:tc>
          <w:tcPr>
            <w:tcW w:w="675" w:type="dxa"/>
            <w:shd w:val="clear" w:color="auto" w:fill="8DB3E2" w:themeFill="text2" w:themeFillTint="66"/>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51%</w:t>
            </w:r>
          </w:p>
        </w:tc>
      </w:tr>
      <w:tr w:rsidR="0037666B" w:rsidTr="0037666B">
        <w:trPr>
          <w:cantSplit/>
          <w:trHeight w:val="358"/>
        </w:trPr>
        <w:tc>
          <w:tcPr>
            <w:cnfStyle w:val="001000000000" w:firstRow="0" w:lastRow="0" w:firstColumn="1" w:lastColumn="0" w:oddVBand="0" w:evenVBand="0" w:oddHBand="0" w:evenHBand="0" w:firstRowFirstColumn="0" w:firstRowLastColumn="0" w:lastRowFirstColumn="0" w:lastRowLastColumn="0"/>
            <w:tcW w:w="7970"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Ensure that the procedures are duly followed when decisions denying market access are taken by national author</w:t>
            </w:r>
            <w:r>
              <w:rPr>
                <w:rFonts w:ascii="Times New Roman" w:hAnsi="Times New Roman" w:cs="Times New Roman"/>
                <w:b w:val="0"/>
                <w:noProof/>
              </w:rPr>
              <w:t>ities</w:t>
            </w:r>
          </w:p>
        </w:tc>
        <w:tc>
          <w:tcPr>
            <w:tcW w:w="675"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42%</w:t>
            </w:r>
          </w:p>
        </w:tc>
      </w:tr>
      <w:tr w:rsidR="0037666B" w:rsidTr="0037666B">
        <w:trPr>
          <w:cnfStyle w:val="000000100000" w:firstRow="0" w:lastRow="0" w:firstColumn="0" w:lastColumn="0" w:oddVBand="0" w:evenVBand="0" w:oddHBand="1" w:evenHBand="0" w:firstRowFirstColumn="0" w:firstRowLastColumn="0" w:lastRowFirstColumn="0" w:lastRowLastColumn="0"/>
          <w:cantSplit/>
          <w:trHeight w:val="487"/>
        </w:trPr>
        <w:tc>
          <w:tcPr>
            <w:cnfStyle w:val="001000000000" w:firstRow="0" w:lastRow="0" w:firstColumn="1" w:lastColumn="0" w:oddVBand="0" w:evenVBand="0" w:oddHBand="0" w:evenHBand="0" w:firstRowFirstColumn="0" w:firstRowLastColumn="0" w:lastRowFirstColumn="0" w:lastRowLastColumn="0"/>
            <w:tcW w:w="7970"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Ensure that businesses have effective remedies at their disposal to take action against decisions denying mutual recognition when needed</w:t>
            </w:r>
          </w:p>
        </w:tc>
        <w:tc>
          <w:tcPr>
            <w:tcW w:w="675" w:type="dxa"/>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40%</w:t>
            </w:r>
          </w:p>
        </w:tc>
      </w:tr>
      <w:tr w:rsidR="0037666B" w:rsidTr="0037666B">
        <w:trPr>
          <w:cantSplit/>
          <w:trHeight w:val="405"/>
        </w:trPr>
        <w:tc>
          <w:tcPr>
            <w:cnfStyle w:val="001000000000" w:firstRow="0" w:lastRow="0" w:firstColumn="1" w:lastColumn="0" w:oddVBand="0" w:evenVBand="0" w:oddHBand="0" w:evenHBand="0" w:firstRowFirstColumn="0" w:firstRowLastColumn="0" w:lastRowFirstColumn="0" w:lastRowLastColumn="0"/>
            <w:tcW w:w="7970" w:type="dxa"/>
          </w:tcPr>
          <w:p w:rsidR="0037666B" w:rsidRDefault="00C627B8">
            <w:pPr>
              <w:spacing w:before="120" w:after="120"/>
              <w:rPr>
                <w:rFonts w:ascii="Times New Roman" w:hAnsi="Times New Roman" w:cs="Times New Roman"/>
                <w:bCs w:val="0"/>
                <w:noProof/>
              </w:rPr>
            </w:pPr>
            <w:r>
              <w:rPr>
                <w:rFonts w:ascii="Times New Roman" w:hAnsi="Times New Roman" w:cs="Times New Roman"/>
                <w:b w:val="0"/>
                <w:noProof/>
              </w:rPr>
              <w:t>Increase effectiveness of mutual recognition to facilitate access to the internal market</w:t>
            </w:r>
          </w:p>
        </w:tc>
        <w:tc>
          <w:tcPr>
            <w:tcW w:w="675"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w:t>
            </w:r>
          </w:p>
        </w:tc>
      </w:tr>
      <w:tr w:rsidR="0037666B" w:rsidTr="0037666B">
        <w:trPr>
          <w:cnfStyle w:val="000000100000" w:firstRow="0" w:lastRow="0" w:firstColumn="0" w:lastColumn="0" w:oddVBand="0" w:evenVBand="0" w:oddHBand="1" w:evenHBand="0"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7970"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 xml:space="preserve">Increase </w:t>
            </w:r>
            <w:r>
              <w:rPr>
                <w:rFonts w:ascii="Times New Roman" w:hAnsi="Times New Roman" w:cs="Times New Roman"/>
                <w:b w:val="0"/>
                <w:noProof/>
              </w:rPr>
              <w:t>legal certainty for businesses when using mutual recognition to sell products abroad</w:t>
            </w:r>
          </w:p>
        </w:tc>
        <w:tc>
          <w:tcPr>
            <w:tcW w:w="675" w:type="dxa"/>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33%</w:t>
            </w:r>
          </w:p>
        </w:tc>
      </w:tr>
      <w:tr w:rsidR="0037666B" w:rsidTr="0037666B">
        <w:trPr>
          <w:cantSplit/>
          <w:trHeight w:val="432"/>
        </w:trPr>
        <w:tc>
          <w:tcPr>
            <w:cnfStyle w:val="001000000000" w:firstRow="0" w:lastRow="0" w:firstColumn="1" w:lastColumn="0" w:oddVBand="0" w:evenVBand="0" w:oddHBand="0" w:evenHBand="0" w:firstRowFirstColumn="0" w:firstRowLastColumn="0" w:lastRowFirstColumn="0" w:lastRowLastColumn="0"/>
            <w:tcW w:w="7970"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Facilitate communication between all actors involved in mutual recognition (business, national authorities, European Commission)</w:t>
            </w:r>
          </w:p>
        </w:tc>
        <w:tc>
          <w:tcPr>
            <w:tcW w:w="675"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31%</w:t>
            </w:r>
          </w:p>
        </w:tc>
      </w:tr>
    </w:tbl>
    <w:p w:rsidR="0037666B" w:rsidRDefault="0037666B">
      <w:pPr>
        <w:pStyle w:val="Text1"/>
        <w:rPr>
          <w:rFonts w:eastAsiaTheme="minorHAnsi"/>
          <w:b/>
          <w:noProof/>
          <w:sz w:val="22"/>
          <w:szCs w:val="22"/>
        </w:rPr>
      </w:pPr>
    </w:p>
    <w:p w:rsidR="0037666B" w:rsidRDefault="00C627B8">
      <w:pPr>
        <w:pStyle w:val="Text1"/>
        <w:ind w:left="0"/>
        <w:rPr>
          <w:rFonts w:eastAsiaTheme="minorHAnsi"/>
          <w:b/>
          <w:noProof/>
          <w:sz w:val="22"/>
          <w:szCs w:val="22"/>
        </w:rPr>
      </w:pPr>
      <w:r>
        <w:rPr>
          <w:b/>
          <w:noProof/>
          <w:sz w:val="22"/>
          <w:szCs w:val="22"/>
        </w:rPr>
        <w:t xml:space="preserve">Table A6-3: </w:t>
      </w:r>
      <w:r>
        <w:rPr>
          <w:rFonts w:eastAsiaTheme="minorHAnsi"/>
          <w:b/>
          <w:noProof/>
          <w:sz w:val="22"/>
          <w:szCs w:val="22"/>
        </w:rPr>
        <w:t xml:space="preserve">2016 public consultation </w:t>
      </w:r>
    </w:p>
    <w:tbl>
      <w:tblPr>
        <w:tblStyle w:val="LightList"/>
        <w:tblW w:w="8726" w:type="dxa"/>
        <w:tblInd w:w="108" w:type="dxa"/>
        <w:tblLook w:val="04A0" w:firstRow="1" w:lastRow="0" w:firstColumn="1" w:lastColumn="0" w:noHBand="0" w:noVBand="1"/>
      </w:tblPr>
      <w:tblGrid>
        <w:gridCol w:w="8045"/>
        <w:gridCol w:w="681"/>
      </w:tblGrid>
      <w:tr w:rsidR="0037666B" w:rsidTr="0037666B">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8726" w:type="dxa"/>
            <w:gridSpan w:val="2"/>
            <w:shd w:val="clear" w:color="auto" w:fill="548DD4" w:themeFill="text2" w:themeFillTint="99"/>
          </w:tcPr>
          <w:p w:rsidR="0037666B" w:rsidRDefault="00C627B8">
            <w:pPr>
              <w:spacing w:before="120" w:after="120"/>
              <w:rPr>
                <w:rFonts w:ascii="Times New Roman" w:hAnsi="Times New Roman" w:cs="Times New Roman"/>
                <w:noProof/>
              </w:rPr>
            </w:pPr>
            <w:r>
              <w:rPr>
                <w:rFonts w:ascii="Times New Roman" w:hAnsi="Times New Roman" w:cs="Times New Roman"/>
                <w:noProof/>
              </w:rPr>
              <w:t>Ranking of priorities by citizens</w:t>
            </w:r>
            <w:r>
              <w:rPr>
                <w:rFonts w:ascii="Times New Roman" w:hAnsi="Times New Roman" w:cs="Times New Roman"/>
                <w:noProof/>
              </w:rPr>
              <w:tab/>
            </w:r>
          </w:p>
        </w:tc>
      </w:tr>
      <w:tr w:rsidR="0037666B" w:rsidTr="0037666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045" w:type="dxa"/>
            <w:shd w:val="clear" w:color="auto" w:fill="8DB3E2" w:themeFill="text2" w:themeFillTint="66"/>
          </w:tcPr>
          <w:p w:rsidR="0037666B" w:rsidRDefault="00C627B8">
            <w:pPr>
              <w:spacing w:before="120" w:after="120"/>
              <w:rPr>
                <w:rFonts w:ascii="Times New Roman" w:hAnsi="Times New Roman" w:cs="Times New Roman"/>
                <w:bCs w:val="0"/>
                <w:noProof/>
              </w:rPr>
            </w:pPr>
            <w:r>
              <w:rPr>
                <w:rFonts w:ascii="Times New Roman" w:hAnsi="Times New Roman" w:cs="Times New Roman"/>
                <w:b w:val="0"/>
                <w:noProof/>
              </w:rPr>
              <w:t>Increase general awareness on the mutual recognition principle</w:t>
            </w:r>
          </w:p>
        </w:tc>
        <w:tc>
          <w:tcPr>
            <w:tcW w:w="681" w:type="dxa"/>
            <w:shd w:val="clear" w:color="auto" w:fill="8DB3E2" w:themeFill="text2" w:themeFillTint="66"/>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64%</w:t>
            </w:r>
          </w:p>
        </w:tc>
      </w:tr>
      <w:tr w:rsidR="0037666B" w:rsidTr="0037666B">
        <w:trPr>
          <w:trHeight w:val="229"/>
        </w:trPr>
        <w:tc>
          <w:tcPr>
            <w:cnfStyle w:val="001000000000" w:firstRow="0" w:lastRow="0" w:firstColumn="1" w:lastColumn="0" w:oddVBand="0" w:evenVBand="0" w:oddHBand="0" w:evenHBand="0" w:firstRowFirstColumn="0" w:firstRowLastColumn="0" w:lastRowFirstColumn="0" w:lastRowLastColumn="0"/>
            <w:tcW w:w="8045"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Increase legal certainty for businesses when using mutual recognition to sell products abroad</w:t>
            </w:r>
          </w:p>
        </w:tc>
        <w:tc>
          <w:tcPr>
            <w:tcW w:w="681"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52%</w:t>
            </w:r>
          </w:p>
        </w:tc>
      </w:tr>
      <w:tr w:rsidR="0037666B" w:rsidTr="0037666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45"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Ensure that businesses have</w:t>
            </w:r>
            <w:r>
              <w:rPr>
                <w:rFonts w:ascii="Times New Roman" w:hAnsi="Times New Roman" w:cs="Times New Roman"/>
                <w:b w:val="0"/>
                <w:noProof/>
              </w:rPr>
              <w:t xml:space="preserve"> effective remedies at their disposal to take action against decisions denying mutual recognition when needed</w:t>
            </w:r>
          </w:p>
        </w:tc>
        <w:tc>
          <w:tcPr>
            <w:tcW w:w="681" w:type="dxa"/>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47%</w:t>
            </w:r>
          </w:p>
        </w:tc>
      </w:tr>
      <w:tr w:rsidR="0037666B" w:rsidTr="0037666B">
        <w:trPr>
          <w:trHeight w:val="338"/>
        </w:trPr>
        <w:tc>
          <w:tcPr>
            <w:cnfStyle w:val="001000000000" w:firstRow="0" w:lastRow="0" w:firstColumn="1" w:lastColumn="0" w:oddVBand="0" w:evenVBand="0" w:oddHBand="0" w:evenHBand="0" w:firstRowFirstColumn="0" w:firstRowLastColumn="0" w:lastRowFirstColumn="0" w:lastRowLastColumn="0"/>
            <w:tcW w:w="8045"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Increase effectiveness of mutual recognition to facilitate access to the internal market</w:t>
            </w:r>
          </w:p>
        </w:tc>
        <w:tc>
          <w:tcPr>
            <w:tcW w:w="681"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41%</w:t>
            </w:r>
          </w:p>
        </w:tc>
      </w:tr>
      <w:tr w:rsidR="0037666B" w:rsidTr="0037666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045"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 xml:space="preserve">Ensure that the procedures are duly followed </w:t>
            </w:r>
            <w:r>
              <w:rPr>
                <w:rFonts w:ascii="Times New Roman" w:hAnsi="Times New Roman" w:cs="Times New Roman"/>
                <w:b w:val="0"/>
                <w:noProof/>
              </w:rPr>
              <w:t>when decisions denying market access are taken by national authorities</w:t>
            </w:r>
          </w:p>
        </w:tc>
        <w:tc>
          <w:tcPr>
            <w:tcW w:w="681" w:type="dxa"/>
          </w:tcPr>
          <w:p w:rsidR="0037666B" w:rsidRDefault="00C627B8">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35%</w:t>
            </w:r>
          </w:p>
        </w:tc>
      </w:tr>
      <w:tr w:rsidR="0037666B" w:rsidTr="0037666B">
        <w:trPr>
          <w:trHeight w:val="456"/>
        </w:trPr>
        <w:tc>
          <w:tcPr>
            <w:cnfStyle w:val="001000000000" w:firstRow="0" w:lastRow="0" w:firstColumn="1" w:lastColumn="0" w:oddVBand="0" w:evenVBand="0" w:oddHBand="0" w:evenHBand="0" w:firstRowFirstColumn="0" w:firstRowLastColumn="0" w:lastRowFirstColumn="0" w:lastRowLastColumn="0"/>
            <w:tcW w:w="8045" w:type="dxa"/>
          </w:tcPr>
          <w:p w:rsidR="0037666B" w:rsidRDefault="00C627B8">
            <w:pPr>
              <w:spacing w:before="120" w:after="120"/>
              <w:rPr>
                <w:rFonts w:ascii="Times New Roman" w:hAnsi="Times New Roman" w:cs="Times New Roman"/>
                <w:b w:val="0"/>
                <w:noProof/>
              </w:rPr>
            </w:pPr>
            <w:r>
              <w:rPr>
                <w:rFonts w:ascii="Times New Roman" w:hAnsi="Times New Roman" w:cs="Times New Roman"/>
                <w:b w:val="0"/>
                <w:noProof/>
              </w:rPr>
              <w:t>Facilitate communication between all actors involved in mutual recognition (business, national authorities, European Commission)</w:t>
            </w:r>
          </w:p>
        </w:tc>
        <w:tc>
          <w:tcPr>
            <w:tcW w:w="681" w:type="dxa"/>
          </w:tcPr>
          <w:p w:rsidR="0037666B" w:rsidRDefault="00C627B8">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23%</w:t>
            </w:r>
          </w:p>
        </w:tc>
      </w:tr>
    </w:tbl>
    <w:p w:rsidR="0037666B" w:rsidRDefault="0037666B">
      <w:pPr>
        <w:rPr>
          <w:b/>
          <w:noProof/>
          <w:u w:val="single"/>
        </w:rPr>
      </w:pPr>
    </w:p>
    <w:p w:rsidR="0037666B" w:rsidRDefault="0037666B">
      <w:pPr>
        <w:rPr>
          <w:b/>
          <w:noProof/>
          <w:u w:val="single"/>
        </w:rPr>
      </w:pPr>
    </w:p>
    <w:p w:rsidR="0037666B" w:rsidRDefault="00C627B8">
      <w:pPr>
        <w:rPr>
          <w:b/>
          <w:noProof/>
          <w:u w:val="single"/>
        </w:rPr>
      </w:pPr>
      <w:r>
        <w:rPr>
          <w:b/>
          <w:noProof/>
          <w:u w:val="single"/>
        </w:rPr>
        <w:t xml:space="preserve">Efficiency </w:t>
      </w:r>
    </w:p>
    <w:p w:rsidR="0037666B" w:rsidRDefault="00C627B8">
      <w:pPr>
        <w:rPr>
          <w:noProof/>
        </w:rPr>
      </w:pPr>
      <w:r>
        <w:rPr>
          <w:noProof/>
        </w:rPr>
        <w:t>Overall, the evaluation concluded that the suboptimal use of mutual recognition creates additional costs for businesses and prevents them from taking advantage of the benefits that mutual recognition might bring. Due to the difficulty of gathering accurate</w:t>
      </w:r>
      <w:r>
        <w:rPr>
          <w:noProof/>
        </w:rPr>
        <w:t xml:space="preserve"> data on mutual recognition, it was not possible to establish the global costs incurred by businesses. But sectoral evidence and the results of the different surveys and consultations carried out although not representative show that the costs are signific</w:t>
      </w:r>
      <w:r>
        <w:rPr>
          <w:noProof/>
        </w:rPr>
        <w:t>ant.  Relevant stakeholders were consulted in order to evaluate to what extend the costs generated by using the principle and the Regulation are proportionate to the benefits it achieved. In terms of costs, the Regulation generated few costs for national a</w:t>
      </w:r>
      <w:r>
        <w:rPr>
          <w:noProof/>
        </w:rPr>
        <w:t>uthorities: the implementation and functioning of the PCPs (EURO 7417-47 450, based on 1 FTE) and the costs related to the assessment of products lawfully marketed in another Member State (EURO 420 000 in one sector such as fertilisers). They consider thes</w:t>
      </w:r>
      <w:r>
        <w:rPr>
          <w:noProof/>
        </w:rPr>
        <w:t>e costs to be average. The main costs incurred by businesses are rather due to the incorrect application of mutual recognition. They have to adapt their products, duplicate tests and procedures (EURO 1000-150 000 per product and market), or lose opportunit</w:t>
      </w:r>
      <w:r>
        <w:rPr>
          <w:noProof/>
        </w:rPr>
        <w:t xml:space="preserve">ies (EURO 40 000-500 000 per product and market) because they are obliged to renounce entering a new market. Most of these costs were considered to be important. In terms of costs-benefits, the perception is quite mixed. While national authorities tend to </w:t>
      </w:r>
      <w:r>
        <w:rPr>
          <w:noProof/>
        </w:rPr>
        <w:t xml:space="preserve">agree that the costs are proportionate to the benefits, businesses mostly disagree. They consider that the costs are significant, while the benefits were not achieved.  </w:t>
      </w:r>
    </w:p>
    <w:p w:rsidR="0037666B" w:rsidRDefault="00C627B8">
      <w:pPr>
        <w:rPr>
          <w:noProof/>
        </w:rPr>
      </w:pPr>
      <w:r>
        <w:rPr>
          <w:noProof/>
        </w:rPr>
        <w:t xml:space="preserve">A better functioning mutual recognition would reduce the costs incurred by businesses </w:t>
      </w:r>
      <w:r>
        <w:rPr>
          <w:noProof/>
        </w:rPr>
        <w:t>when they are obliged to adapt their products or to give up entering a market, while allowing all of the benefits listed above. A study done for the European Parliament</w:t>
      </w:r>
      <w:r>
        <w:rPr>
          <w:noProof/>
          <w:vertAlign w:val="superscript"/>
        </w:rPr>
        <w:footnoteReference w:id="156"/>
      </w:r>
      <w:r>
        <w:rPr>
          <w:noProof/>
        </w:rPr>
        <w:t xml:space="preserve"> shows that a reduction of barriers to trade could lead to an increase in intra-EU trad</w:t>
      </w:r>
      <w:r>
        <w:rPr>
          <w:noProof/>
        </w:rPr>
        <w:t>e of more than 100 billion EUR per year. The fact that mutual recognition does not function well is, de facto, a regulatory burden triggering barriers to trade. Therefore, any efforts to improve the functioning of mutual recognition would result in simplif</w:t>
      </w:r>
      <w:r>
        <w:rPr>
          <w:noProof/>
        </w:rPr>
        <w:t xml:space="preserve">ications for businesses, e.g. easier access to markets.  The remaining costs (information costs and costs related to implementing the Regulation) would become negligible in the light of the full benefits achieved. </w:t>
      </w:r>
    </w:p>
    <w:p w:rsidR="0037666B" w:rsidRDefault="00C627B8">
      <w:pPr>
        <w:rPr>
          <w:b/>
          <w:i/>
          <w:noProof/>
        </w:rPr>
      </w:pPr>
      <w:bookmarkStart w:id="164" w:name="_Toc475443228"/>
      <w:bookmarkStart w:id="165" w:name="_Toc475443272"/>
      <w:bookmarkStart w:id="166" w:name="_Toc475443445"/>
      <w:bookmarkStart w:id="167" w:name="_Toc475443736"/>
      <w:bookmarkStart w:id="168" w:name="_Toc476760743"/>
      <w:r>
        <w:rPr>
          <w:b/>
          <w:noProof/>
        </w:rPr>
        <w:t>Some practical illustrations at sectorial</w:t>
      </w:r>
      <w:r>
        <w:rPr>
          <w:b/>
          <w:noProof/>
        </w:rPr>
        <w:t xml:space="preserve"> level</w:t>
      </w:r>
      <w:bookmarkEnd w:id="164"/>
      <w:bookmarkEnd w:id="165"/>
      <w:bookmarkEnd w:id="166"/>
      <w:bookmarkEnd w:id="167"/>
      <w:bookmarkEnd w:id="168"/>
    </w:p>
    <w:p w:rsidR="0037666B" w:rsidRDefault="00C627B8">
      <w:pPr>
        <w:rPr>
          <w:noProof/>
          <w:u w:val="single"/>
        </w:rPr>
      </w:pPr>
      <w:r>
        <w:rPr>
          <w:noProof/>
          <w:u w:val="single"/>
        </w:rPr>
        <w:t>Fertilisers</w:t>
      </w:r>
    </w:p>
    <w:p w:rsidR="0037666B" w:rsidRDefault="00C627B8">
      <w:pPr>
        <w:rPr>
          <w:noProof/>
        </w:rPr>
      </w:pPr>
      <w:r>
        <w:rPr>
          <w:noProof/>
        </w:rPr>
        <w:t>The EU fertiliser product market is an economic sector that has between EUR 20 billion and EUR 25 billion in annual turnover and approximately 100 000 jobs</w:t>
      </w:r>
      <w:r>
        <w:rPr>
          <w:rStyle w:val="FootnoteReference"/>
          <w:noProof/>
        </w:rPr>
        <w:footnoteReference w:id="157"/>
      </w:r>
      <w:r>
        <w:rPr>
          <w:noProof/>
        </w:rPr>
        <w:t>. It is partly covered by the harmonised legislation</w:t>
      </w:r>
      <w:r>
        <w:rPr>
          <w:rStyle w:val="FootnoteReference"/>
          <w:noProof/>
        </w:rPr>
        <w:footnoteReference w:id="158"/>
      </w:r>
      <w:r>
        <w:rPr>
          <w:noProof/>
        </w:rPr>
        <w:t xml:space="preserve"> regulating inorganic fertil</w:t>
      </w:r>
      <w:r>
        <w:rPr>
          <w:noProof/>
        </w:rPr>
        <w:t>isers, leaving the other fertilising materials regulated at national level. Thus, intra-EU movement of national fertilisers should be covered by the principle of mutual recognition, but most Member States expressed a strong reluctance to accept mutual reco</w:t>
      </w:r>
      <w:r>
        <w:rPr>
          <w:noProof/>
        </w:rPr>
        <w:t>gnition due to environmental and human health concerns, socio-economic aspects, and alleged administrative burden and introduced prior authorisation procedures</w:t>
      </w:r>
      <w:r>
        <w:rPr>
          <w:rStyle w:val="FootnoteReference"/>
          <w:noProof/>
        </w:rPr>
        <w:footnoteReference w:id="159"/>
      </w:r>
      <w:r>
        <w:rPr>
          <w:noProof/>
        </w:rPr>
        <w:t>.</w:t>
      </w:r>
    </w:p>
    <w:p w:rsidR="0037666B" w:rsidRDefault="00C627B8">
      <w:pPr>
        <w:rPr>
          <w:noProof/>
        </w:rPr>
      </w:pPr>
      <w:r>
        <w:rPr>
          <w:noProof/>
        </w:rPr>
        <w:t>The ex-post evaluation of the Fertilisers Regulation and the implications of the entry into fo</w:t>
      </w:r>
      <w:r>
        <w:rPr>
          <w:noProof/>
        </w:rPr>
        <w:t>rce of the Mutual Recognition Regulation for the fertilising products sector</w:t>
      </w:r>
      <w:r>
        <w:rPr>
          <w:rStyle w:val="FootnoteReference"/>
          <w:noProof/>
        </w:rPr>
        <w:footnoteReference w:id="160"/>
      </w:r>
      <w:r>
        <w:rPr>
          <w:noProof/>
        </w:rPr>
        <w:t xml:space="preserve"> found that in 2009, the year of entry into force of MRR, an annual average of no more than 5 to 10 fertilising products had been placed on the market under the application of the</w:t>
      </w:r>
      <w:r>
        <w:rPr>
          <w:noProof/>
        </w:rPr>
        <w:t xml:space="preserve"> procedures for mutual recognition in most Member States. Since then, the yearly reports of the Member States on the implementation of the Regulation show that 20 Member States out of 27 specifically mentioned issues relating to fertilising products. They </w:t>
      </w:r>
      <w:r>
        <w:rPr>
          <w:noProof/>
        </w:rPr>
        <w:t>are reported as one of the product categories for which economic operators submit many information requests to PCPs, which means that there is a significant interest in intra-EU trade, but that economic operators are uncertain about the requirements applic</w:t>
      </w:r>
      <w:r>
        <w:rPr>
          <w:noProof/>
        </w:rPr>
        <w:t>able in different Member States.</w:t>
      </w:r>
    </w:p>
    <w:p w:rsidR="0037666B" w:rsidRDefault="00C627B8">
      <w:pPr>
        <w:pStyle w:val="FootnoteText"/>
        <w:ind w:left="0" w:firstLine="0"/>
        <w:rPr>
          <w:noProof/>
          <w:sz w:val="22"/>
          <w:szCs w:val="22"/>
        </w:rPr>
      </w:pPr>
      <w:r>
        <w:rPr>
          <w:rFonts w:eastAsiaTheme="minorHAnsi"/>
          <w:noProof/>
          <w:sz w:val="22"/>
          <w:szCs w:val="22"/>
        </w:rPr>
        <w:t>National producers often lack knowledge of the legal situation in other Member States and are unsure whether they should adapt their products to the requirements of the Member State of destination by modifying the product (</w:t>
      </w:r>
      <w:r>
        <w:rPr>
          <w:rFonts w:eastAsiaTheme="minorHAnsi"/>
          <w:noProof/>
          <w:sz w:val="22"/>
          <w:szCs w:val="22"/>
        </w:rPr>
        <w:t>which means additional costs) or if they can rely on Mutual Recognition procedures (which may cause a delay for access to the market and costs of prior authorisation procedure in some Member States).</w:t>
      </w:r>
      <w:r>
        <w:rPr>
          <w:noProof/>
          <w:sz w:val="22"/>
          <w:szCs w:val="22"/>
        </w:rPr>
        <w:t xml:space="preserve"> </w:t>
      </w:r>
      <w:r>
        <w:rPr>
          <w:rStyle w:val="FootnoteReference"/>
          <w:noProof/>
          <w:sz w:val="22"/>
          <w:szCs w:val="22"/>
        </w:rPr>
        <w:footnoteReference w:id="161"/>
      </w:r>
      <w:r>
        <w:rPr>
          <w:rStyle w:val="FootnoteReference"/>
          <w:noProof/>
          <w:sz w:val="22"/>
          <w:szCs w:val="22"/>
        </w:rPr>
        <w:footnoteReference w:id="162"/>
      </w:r>
    </w:p>
    <w:p w:rsidR="0037666B" w:rsidRDefault="00C627B8">
      <w:pPr>
        <w:rPr>
          <w:noProof/>
        </w:rPr>
      </w:pPr>
      <w:r>
        <w:rPr>
          <w:noProof/>
        </w:rPr>
        <w:t>In order to solve the recurrent issues faced by econo</w:t>
      </w:r>
      <w:r>
        <w:rPr>
          <w:noProof/>
        </w:rPr>
        <w:t xml:space="preserve">mic operators in the area of fertilisers, an optional harmonisation solution was preferred for fertilising products that have not been harmonised.  </w:t>
      </w:r>
    </w:p>
    <w:p w:rsidR="0037666B" w:rsidRDefault="00C627B8">
      <w:pPr>
        <w:rPr>
          <w:noProof/>
          <w:u w:val="single"/>
        </w:rPr>
      </w:pPr>
      <w:r>
        <w:rPr>
          <w:noProof/>
          <w:u w:val="single"/>
        </w:rPr>
        <w:t>Food supplements</w:t>
      </w:r>
    </w:p>
    <w:p w:rsidR="0037666B" w:rsidRDefault="00C627B8">
      <w:pPr>
        <w:pStyle w:val="BodyText"/>
        <w:spacing w:after="240"/>
        <w:rPr>
          <w:i w:val="0"/>
          <w:noProof/>
          <w:sz w:val="22"/>
          <w:szCs w:val="22"/>
        </w:rPr>
      </w:pPr>
      <w:r>
        <w:rPr>
          <w:i w:val="0"/>
          <w:noProof/>
          <w:sz w:val="22"/>
          <w:szCs w:val="22"/>
        </w:rPr>
        <w:t>Food supplements</w:t>
      </w:r>
      <w:r>
        <w:rPr>
          <w:rStyle w:val="FootnoteReference"/>
          <w:i w:val="0"/>
          <w:noProof/>
          <w:sz w:val="22"/>
          <w:szCs w:val="22"/>
        </w:rPr>
        <w:footnoteReference w:id="163"/>
      </w:r>
      <w:r>
        <w:rPr>
          <w:i w:val="0"/>
          <w:noProof/>
          <w:sz w:val="22"/>
          <w:szCs w:val="22"/>
        </w:rPr>
        <w:t xml:space="preserve"> are concentrated sources of nutrients (or other substances) with nutriti</w:t>
      </w:r>
      <w:r>
        <w:rPr>
          <w:i w:val="0"/>
          <w:noProof/>
          <w:sz w:val="22"/>
          <w:szCs w:val="22"/>
        </w:rPr>
        <w:t>onal and physiological effect, marketed by business operators in the food sector. Such goods can be sold in “dose” form, such as pills, tablets and capsules, and could contain:</w:t>
      </w:r>
    </w:p>
    <w:p w:rsidR="0037666B" w:rsidRDefault="00C627B8">
      <w:pPr>
        <w:pStyle w:val="Bulletpoint1"/>
        <w:numPr>
          <w:ilvl w:val="0"/>
          <w:numId w:val="22"/>
        </w:numPr>
        <w:spacing w:after="240"/>
        <w:ind w:left="567" w:hanging="567"/>
        <w:rPr>
          <w:rFonts w:ascii="Times New Roman" w:hAnsi="Times New Roman"/>
          <w:i/>
          <w:noProof/>
          <w:sz w:val="22"/>
        </w:rPr>
      </w:pPr>
      <w:r>
        <w:rPr>
          <w:rFonts w:ascii="Times New Roman" w:hAnsi="Times New Roman"/>
          <w:i/>
          <w:noProof/>
          <w:sz w:val="22"/>
        </w:rPr>
        <w:t>Nutrients (vitamins and minerals);</w:t>
      </w:r>
    </w:p>
    <w:p w:rsidR="0037666B" w:rsidRDefault="00C627B8">
      <w:pPr>
        <w:pStyle w:val="Bulletpoint1"/>
        <w:numPr>
          <w:ilvl w:val="0"/>
          <w:numId w:val="22"/>
        </w:numPr>
        <w:spacing w:after="240"/>
        <w:ind w:left="567" w:hanging="567"/>
        <w:rPr>
          <w:rFonts w:ascii="Times New Roman" w:hAnsi="Times New Roman"/>
          <w:i/>
          <w:noProof/>
          <w:sz w:val="22"/>
        </w:rPr>
      </w:pPr>
      <w:r>
        <w:rPr>
          <w:rFonts w:ascii="Times New Roman" w:hAnsi="Times New Roman"/>
          <w:i/>
          <w:noProof/>
          <w:sz w:val="22"/>
        </w:rPr>
        <w:t>Botanicals;</w:t>
      </w:r>
      <w:r>
        <w:rPr>
          <w:rStyle w:val="FootnoteReference"/>
          <w:rFonts w:ascii="Times New Roman" w:hAnsi="Times New Roman"/>
          <w:i/>
          <w:noProof/>
          <w:sz w:val="22"/>
        </w:rPr>
        <w:footnoteReference w:id="164"/>
      </w:r>
    </w:p>
    <w:p w:rsidR="0037666B" w:rsidRDefault="00C627B8">
      <w:pPr>
        <w:pStyle w:val="Bulletpoint1"/>
        <w:numPr>
          <w:ilvl w:val="0"/>
          <w:numId w:val="22"/>
        </w:numPr>
        <w:spacing w:after="240"/>
        <w:ind w:left="567" w:hanging="567"/>
        <w:rPr>
          <w:rFonts w:ascii="Times New Roman" w:hAnsi="Times New Roman"/>
          <w:i/>
          <w:noProof/>
          <w:sz w:val="22"/>
        </w:rPr>
      </w:pPr>
      <w:r>
        <w:rPr>
          <w:rFonts w:ascii="Times New Roman" w:hAnsi="Times New Roman"/>
          <w:i/>
          <w:noProof/>
          <w:sz w:val="22"/>
        </w:rPr>
        <w:t xml:space="preserve">Other substances (e.g. amino </w:t>
      </w:r>
      <w:r>
        <w:rPr>
          <w:rFonts w:ascii="Times New Roman" w:hAnsi="Times New Roman"/>
          <w:i/>
          <w:noProof/>
          <w:sz w:val="22"/>
        </w:rPr>
        <w:t>acids).</w:t>
      </w:r>
    </w:p>
    <w:p w:rsidR="0037666B" w:rsidRDefault="00C627B8">
      <w:pPr>
        <w:pStyle w:val="BodyText"/>
        <w:spacing w:after="240"/>
        <w:rPr>
          <w:b/>
          <w:i w:val="0"/>
          <w:noProof/>
          <w:sz w:val="22"/>
          <w:szCs w:val="22"/>
        </w:rPr>
      </w:pPr>
      <w:r>
        <w:rPr>
          <w:i w:val="0"/>
          <w:noProof/>
          <w:sz w:val="22"/>
          <w:szCs w:val="22"/>
        </w:rPr>
        <w:t>The three main issues linked to mutual recognition</w:t>
      </w:r>
      <w:r>
        <w:rPr>
          <w:rStyle w:val="FootnoteReference"/>
          <w:i w:val="0"/>
          <w:noProof/>
          <w:sz w:val="22"/>
          <w:szCs w:val="22"/>
        </w:rPr>
        <w:footnoteReference w:id="165"/>
      </w:r>
      <w:r>
        <w:rPr>
          <w:i w:val="0"/>
          <w:noProof/>
          <w:sz w:val="22"/>
          <w:szCs w:val="22"/>
        </w:rPr>
        <w:t xml:space="preserve"> are:</w:t>
      </w:r>
    </w:p>
    <w:p w:rsidR="0037666B" w:rsidRDefault="00C627B8">
      <w:pPr>
        <w:pStyle w:val="Bulletpoint1"/>
        <w:numPr>
          <w:ilvl w:val="0"/>
          <w:numId w:val="22"/>
        </w:numPr>
        <w:spacing w:after="240"/>
        <w:ind w:left="567" w:hanging="567"/>
        <w:rPr>
          <w:rFonts w:ascii="Times New Roman" w:hAnsi="Times New Roman"/>
          <w:i/>
          <w:noProof/>
          <w:sz w:val="22"/>
        </w:rPr>
      </w:pPr>
      <w:r>
        <w:rPr>
          <w:rFonts w:ascii="Times New Roman" w:hAnsi="Times New Roman"/>
          <w:i/>
          <w:noProof/>
          <w:sz w:val="22"/>
        </w:rPr>
        <w:t>Maximum levels of vitamins and minerals</w:t>
      </w:r>
      <w:r>
        <w:rPr>
          <w:rStyle w:val="FootnoteReference"/>
          <w:rFonts w:ascii="Times New Roman" w:hAnsi="Times New Roman"/>
          <w:i/>
          <w:noProof/>
          <w:sz w:val="22"/>
        </w:rPr>
        <w:footnoteReference w:id="166"/>
      </w:r>
    </w:p>
    <w:p w:rsidR="0037666B" w:rsidRDefault="00C627B8">
      <w:pPr>
        <w:pStyle w:val="Bulletpoint1"/>
        <w:numPr>
          <w:ilvl w:val="0"/>
          <w:numId w:val="22"/>
        </w:numPr>
        <w:spacing w:after="240"/>
        <w:ind w:left="567" w:hanging="567"/>
        <w:rPr>
          <w:rFonts w:ascii="Times New Roman" w:hAnsi="Times New Roman"/>
          <w:i/>
          <w:noProof/>
          <w:sz w:val="22"/>
        </w:rPr>
      </w:pPr>
      <w:r>
        <w:rPr>
          <w:rFonts w:ascii="Times New Roman" w:hAnsi="Times New Roman"/>
          <w:i/>
          <w:noProof/>
          <w:sz w:val="22"/>
        </w:rPr>
        <w:t>Substances other than Vitamins and Minerals</w:t>
      </w:r>
      <w:r>
        <w:rPr>
          <w:rStyle w:val="FootnoteReference"/>
          <w:rFonts w:ascii="Times New Roman" w:hAnsi="Times New Roman"/>
          <w:i/>
          <w:noProof/>
          <w:sz w:val="22"/>
        </w:rPr>
        <w:footnoteReference w:id="167"/>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i/>
          <w:noProof/>
          <w:sz w:val="22"/>
        </w:rPr>
        <w:t>Botanicals and botanical preparation</w:t>
      </w:r>
      <w:r>
        <w:rPr>
          <w:rStyle w:val="FootnoteReference"/>
          <w:rFonts w:ascii="Times New Roman" w:hAnsi="Times New Roman"/>
          <w:noProof/>
          <w:sz w:val="22"/>
        </w:rPr>
        <w:footnoteReference w:id="168"/>
      </w:r>
    </w:p>
    <w:p w:rsidR="0037666B" w:rsidRDefault="00C627B8">
      <w:pPr>
        <w:pStyle w:val="Bulletpoint1"/>
        <w:spacing w:after="240"/>
        <w:rPr>
          <w:rFonts w:ascii="Times New Roman" w:hAnsi="Times New Roman"/>
          <w:noProof/>
          <w:sz w:val="22"/>
        </w:rPr>
      </w:pPr>
      <w:r>
        <w:rPr>
          <w:rFonts w:ascii="Times New Roman" w:hAnsi="Times New Roman"/>
          <w:noProof/>
          <w:sz w:val="22"/>
        </w:rPr>
        <w:t>Information collected from stakeholders show a very heterogeneous p</w:t>
      </w:r>
      <w:r>
        <w:rPr>
          <w:rFonts w:ascii="Times New Roman" w:hAnsi="Times New Roman"/>
          <w:noProof/>
          <w:sz w:val="22"/>
        </w:rPr>
        <w:t>icture of the application of mutual recognition in the sector, with many issues faced by companies, relating to both differences in national procedures/requirements and to the specific nature of the various products included in the sector. Regarding the fo</w:t>
      </w:r>
      <w:r>
        <w:rPr>
          <w:rFonts w:ascii="Times New Roman" w:hAnsi="Times New Roman"/>
          <w:noProof/>
          <w:sz w:val="22"/>
        </w:rPr>
        <w:t>rmer, different Member States follow different procedures and rules, in addition to a very dissimilar recognition and application of the principle, creating issues and obstacles that companies may have to deal with when trying to enter a new market and oft</w:t>
      </w:r>
      <w:r>
        <w:rPr>
          <w:rFonts w:ascii="Times New Roman" w:hAnsi="Times New Roman"/>
          <w:noProof/>
          <w:sz w:val="22"/>
        </w:rPr>
        <w:t>en culminating in having different products for different countries. Regarding the latter, stakeholders highlight the complexity of a sector with many different products, ingredients and their combinations, under different levels of controls and requiremen</w:t>
      </w:r>
      <w:r>
        <w:rPr>
          <w:rFonts w:ascii="Times New Roman" w:hAnsi="Times New Roman"/>
          <w:noProof/>
          <w:sz w:val="22"/>
        </w:rPr>
        <w:t>ts among Member States, making it difficult to have a uniform and clear picture of the whole sector and the possible strategies to overcome barriers.</w:t>
      </w:r>
      <w:r>
        <w:rPr>
          <w:rStyle w:val="FootnoteReference"/>
          <w:rFonts w:ascii="Times New Roman" w:hAnsi="Times New Roman"/>
          <w:noProof/>
          <w:sz w:val="22"/>
        </w:rPr>
        <w:footnoteReference w:id="169"/>
      </w:r>
      <w:r>
        <w:rPr>
          <w:rFonts w:ascii="Times New Roman" w:hAnsi="Times New Roman"/>
          <w:noProof/>
          <w:sz w:val="22"/>
        </w:rPr>
        <w:t xml:space="preserve"> </w:t>
      </w:r>
    </w:p>
    <w:p w:rsidR="0037666B" w:rsidRDefault="00C627B8">
      <w:pPr>
        <w:pStyle w:val="BodyText"/>
        <w:spacing w:after="240"/>
        <w:rPr>
          <w:rStyle w:val="Strong"/>
          <w:i w:val="0"/>
          <w:noProof/>
          <w:sz w:val="22"/>
          <w:szCs w:val="22"/>
        </w:rPr>
      </w:pPr>
      <w:r>
        <w:rPr>
          <w:rStyle w:val="Strong"/>
          <w:i w:val="0"/>
          <w:noProof/>
          <w:sz w:val="22"/>
          <w:szCs w:val="22"/>
        </w:rPr>
        <w:t>Different countries, different rules</w:t>
      </w:r>
    </w:p>
    <w:p w:rsidR="0037666B" w:rsidRDefault="00C627B8">
      <w:pPr>
        <w:pStyle w:val="BodyText"/>
        <w:spacing w:after="240"/>
        <w:rPr>
          <w:i w:val="0"/>
          <w:noProof/>
          <w:sz w:val="22"/>
          <w:szCs w:val="22"/>
        </w:rPr>
      </w:pPr>
      <w:r>
        <w:rPr>
          <w:i w:val="0"/>
          <w:noProof/>
          <w:sz w:val="22"/>
          <w:szCs w:val="22"/>
        </w:rPr>
        <w:t>Since the sector is not fully harmonised and has limited regulation</w:t>
      </w:r>
      <w:r>
        <w:rPr>
          <w:i w:val="0"/>
          <w:noProof/>
          <w:sz w:val="22"/>
          <w:szCs w:val="22"/>
        </w:rPr>
        <w:t xml:space="preserve"> at EU level,</w:t>
      </w:r>
      <w:r>
        <w:rPr>
          <w:rStyle w:val="FootnoteReference"/>
          <w:i w:val="0"/>
          <w:noProof/>
          <w:sz w:val="22"/>
          <w:szCs w:val="22"/>
        </w:rPr>
        <w:footnoteReference w:id="170"/>
      </w:r>
      <w:r>
        <w:rPr>
          <w:i w:val="0"/>
          <w:noProof/>
          <w:sz w:val="22"/>
          <w:szCs w:val="22"/>
        </w:rPr>
        <w:t xml:space="preserve"> companies and their products are subject to national legislation and mutual recognition. The main issues for companies arise from: </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Different classification</w:t>
      </w:r>
      <w:r>
        <w:rPr>
          <w:rFonts w:ascii="Times New Roman" w:hAnsi="Times New Roman"/>
          <w:noProof/>
          <w:sz w:val="22"/>
        </w:rPr>
        <w:t xml:space="preserve"> of ingredients or substances: as already mentioned, some products may be classified </w:t>
      </w:r>
      <w:r>
        <w:rPr>
          <w:rFonts w:ascii="Times New Roman" w:hAnsi="Times New Roman"/>
          <w:noProof/>
          <w:sz w:val="22"/>
        </w:rPr>
        <w:t xml:space="preserve">as food supplements by a Member State, while another country – sometimes the very neighbour – can consider them to be medicines, therefore with completely different requirements, rules and procedures to be followed for their marketing; </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Different levels</w:t>
      </w:r>
      <w:r>
        <w:rPr>
          <w:rFonts w:ascii="Times New Roman" w:hAnsi="Times New Roman"/>
          <w:noProof/>
          <w:sz w:val="22"/>
        </w:rPr>
        <w:t xml:space="preserve"> of</w:t>
      </w:r>
      <w:r>
        <w:rPr>
          <w:rFonts w:ascii="Times New Roman" w:hAnsi="Times New Roman"/>
          <w:noProof/>
          <w:sz w:val="22"/>
        </w:rPr>
        <w:t xml:space="preserve"> ingredients or substances allowed. One of the most (and most differently) regulated elements is the level of ingredients (e.g. vitamins, minerals and other substances) allowed in a specific products at national level. Member States tend to have their own </w:t>
      </w:r>
      <w:r>
        <w:rPr>
          <w:rFonts w:ascii="Times New Roman" w:hAnsi="Times New Roman"/>
          <w:noProof/>
          <w:sz w:val="22"/>
        </w:rPr>
        <w:t>levels that apply to the same products, creating problems for companies which need to adapt their products and formulas to comply;</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Terminology and labels</w:t>
      </w:r>
      <w:r>
        <w:rPr>
          <w:rFonts w:ascii="Times New Roman" w:hAnsi="Times New Roman"/>
          <w:noProof/>
          <w:sz w:val="22"/>
        </w:rPr>
        <w:t>: there may occur that terms and labels are not uniformly accepted across Europe (e.g. probiotic). This</w:t>
      </w:r>
      <w:r>
        <w:rPr>
          <w:rFonts w:ascii="Times New Roman" w:hAnsi="Times New Roman"/>
          <w:noProof/>
          <w:sz w:val="22"/>
        </w:rPr>
        <w:t xml:space="preserve"> requires companies to change and adapt labels and packaging if it is the case. </w:t>
      </w:r>
    </w:p>
    <w:p w:rsidR="0037666B" w:rsidRDefault="00C627B8">
      <w:pPr>
        <w:pStyle w:val="BodyText"/>
        <w:spacing w:after="240"/>
        <w:rPr>
          <w:i w:val="0"/>
          <w:noProof/>
          <w:sz w:val="22"/>
          <w:szCs w:val="22"/>
        </w:rPr>
      </w:pPr>
      <w:r>
        <w:rPr>
          <w:i w:val="0"/>
          <w:noProof/>
          <w:sz w:val="22"/>
          <w:szCs w:val="22"/>
        </w:rPr>
        <w:t>In addition, it appears that there is not full uniformity in the national systems in place, with few Member States</w:t>
      </w:r>
      <w:r>
        <w:rPr>
          <w:rStyle w:val="FootnoteReference"/>
          <w:i w:val="0"/>
          <w:noProof/>
          <w:sz w:val="22"/>
          <w:szCs w:val="22"/>
        </w:rPr>
        <w:footnoteReference w:id="171"/>
      </w:r>
      <w:r>
        <w:rPr>
          <w:i w:val="0"/>
          <w:noProof/>
          <w:sz w:val="22"/>
          <w:szCs w:val="22"/>
        </w:rPr>
        <w:t xml:space="preserve"> that, unlike the others, do not rely on a </w:t>
      </w:r>
      <w:r>
        <w:rPr>
          <w:b/>
          <w:i w:val="0"/>
          <w:noProof/>
          <w:sz w:val="22"/>
          <w:szCs w:val="22"/>
        </w:rPr>
        <w:t>notification-based system</w:t>
      </w:r>
      <w:r>
        <w:rPr>
          <w:i w:val="0"/>
          <w:noProof/>
          <w:sz w:val="22"/>
          <w:szCs w:val="22"/>
        </w:rPr>
        <w:t xml:space="preserve">, which, according to stakeholders, may tend to constitute a sort of pre-market authorisation instead of a procedure to simply notifying national authorities about the products to be marketed and register information on labels. </w:t>
      </w:r>
    </w:p>
    <w:p w:rsidR="0037666B" w:rsidRDefault="00C627B8">
      <w:pPr>
        <w:pStyle w:val="BodyText"/>
        <w:spacing w:after="240"/>
        <w:rPr>
          <w:i w:val="0"/>
          <w:noProof/>
          <w:sz w:val="22"/>
          <w:szCs w:val="22"/>
        </w:rPr>
      </w:pPr>
      <w:r>
        <w:rPr>
          <w:i w:val="0"/>
          <w:noProof/>
          <w:sz w:val="22"/>
          <w:szCs w:val="22"/>
        </w:rPr>
        <w:t>In</w:t>
      </w:r>
      <w:r>
        <w:rPr>
          <w:i w:val="0"/>
          <w:noProof/>
          <w:sz w:val="22"/>
          <w:szCs w:val="22"/>
        </w:rPr>
        <w:t xml:space="preserve"> the end, what emerges is that there is not a real issue of complexity of procedures, but rather the co-existence of many different rules, requirements and practices at national level that help companies investing time and resources learn and cope with the</w:t>
      </w:r>
      <w:r>
        <w:rPr>
          <w:i w:val="0"/>
          <w:noProof/>
          <w:sz w:val="22"/>
          <w:szCs w:val="22"/>
        </w:rPr>
        <w:t>m, especially in countries with high levels of restrictions.</w:t>
      </w:r>
      <w:r>
        <w:rPr>
          <w:rStyle w:val="FootnoteReference"/>
          <w:i w:val="0"/>
          <w:noProof/>
          <w:sz w:val="22"/>
          <w:szCs w:val="22"/>
        </w:rPr>
        <w:footnoteReference w:id="172"/>
      </w:r>
      <w:r>
        <w:rPr>
          <w:i w:val="0"/>
          <w:noProof/>
          <w:sz w:val="22"/>
          <w:szCs w:val="22"/>
        </w:rPr>
        <w:t xml:space="preserve"> However, since most of the companies present in this sector are SMEs, resources and time become crucial elements for their survival.  </w:t>
      </w:r>
    </w:p>
    <w:p w:rsidR="0037666B" w:rsidRDefault="00C627B8">
      <w:pPr>
        <w:pStyle w:val="BodyText"/>
        <w:spacing w:after="240"/>
        <w:rPr>
          <w:i w:val="0"/>
          <w:noProof/>
          <w:sz w:val="22"/>
          <w:szCs w:val="22"/>
        </w:rPr>
      </w:pPr>
      <w:r>
        <w:rPr>
          <w:rStyle w:val="Strong"/>
          <w:i w:val="0"/>
          <w:noProof/>
          <w:sz w:val="22"/>
          <w:szCs w:val="22"/>
        </w:rPr>
        <w:t xml:space="preserve">The application of mutual recognition </w:t>
      </w:r>
    </w:p>
    <w:p w:rsidR="0037666B" w:rsidRDefault="00C627B8">
      <w:pPr>
        <w:pStyle w:val="BodyText"/>
        <w:spacing w:after="240"/>
        <w:rPr>
          <w:i w:val="0"/>
          <w:noProof/>
          <w:sz w:val="22"/>
          <w:szCs w:val="22"/>
        </w:rPr>
      </w:pPr>
      <w:r>
        <w:rPr>
          <w:i w:val="0"/>
          <w:noProof/>
          <w:sz w:val="22"/>
          <w:szCs w:val="22"/>
        </w:rPr>
        <w:t>Stakeholders find th</w:t>
      </w:r>
      <w:r>
        <w:rPr>
          <w:i w:val="0"/>
          <w:noProof/>
          <w:sz w:val="22"/>
          <w:szCs w:val="22"/>
        </w:rPr>
        <w:t>e application of mutual recognition to be difficult in the complex environment described above. They underline how national authorities tend to focus on national legislation when deciding, without taking into account other EU Member States certifications o</w:t>
      </w:r>
      <w:r>
        <w:rPr>
          <w:i w:val="0"/>
          <w:noProof/>
          <w:sz w:val="22"/>
          <w:szCs w:val="22"/>
        </w:rPr>
        <w:t xml:space="preserve">r proof of the fact that the product is already lawfully marketed in another Member State. </w:t>
      </w:r>
    </w:p>
    <w:p w:rsidR="0037666B" w:rsidRDefault="00C627B8">
      <w:pPr>
        <w:pStyle w:val="BodyText"/>
        <w:spacing w:after="240"/>
        <w:rPr>
          <w:i w:val="0"/>
          <w:noProof/>
          <w:sz w:val="22"/>
          <w:szCs w:val="22"/>
        </w:rPr>
      </w:pPr>
      <w:r>
        <w:rPr>
          <w:i w:val="0"/>
          <w:noProof/>
          <w:sz w:val="22"/>
          <w:szCs w:val="22"/>
        </w:rPr>
        <w:t>In addition, existing instruments meant to favour the application of mutual recognition – such as Product Contact Points – are not really instrumental in helping co</w:t>
      </w:r>
      <w:r>
        <w:rPr>
          <w:i w:val="0"/>
          <w:noProof/>
          <w:sz w:val="22"/>
          <w:szCs w:val="22"/>
        </w:rPr>
        <w:t xml:space="preserve">mpanies, given their role of as information hubs, with no real consultative or assessing capabilities and tasks. </w:t>
      </w:r>
    </w:p>
    <w:p w:rsidR="0037666B" w:rsidRDefault="00C627B8">
      <w:pPr>
        <w:pStyle w:val="BodyText"/>
        <w:spacing w:after="240"/>
        <w:rPr>
          <w:i w:val="0"/>
          <w:noProof/>
          <w:sz w:val="22"/>
          <w:szCs w:val="22"/>
        </w:rPr>
      </w:pPr>
      <w:r>
        <w:rPr>
          <w:i w:val="0"/>
          <w:noProof/>
          <w:sz w:val="22"/>
          <w:szCs w:val="22"/>
        </w:rPr>
        <w:t>Companies emphasise how the main reason used by national authorities to delay or even block a product from being marketed in a Member State co</w:t>
      </w:r>
      <w:r>
        <w:rPr>
          <w:i w:val="0"/>
          <w:noProof/>
          <w:sz w:val="22"/>
          <w:szCs w:val="22"/>
        </w:rPr>
        <w:t xml:space="preserve">ncerns the existence of potential safety issues and the need for the authorities to protect the consumers, which cannot be easily challenged by companies.  Sometimes, however, companies report a lack of transparency in the reason for denial. </w:t>
      </w:r>
    </w:p>
    <w:p w:rsidR="0037666B" w:rsidRDefault="00C627B8">
      <w:pPr>
        <w:pStyle w:val="BodyText"/>
        <w:spacing w:after="240"/>
        <w:rPr>
          <w:i w:val="0"/>
          <w:noProof/>
          <w:sz w:val="22"/>
          <w:szCs w:val="22"/>
        </w:rPr>
      </w:pPr>
      <w:r>
        <w:rPr>
          <w:i w:val="0"/>
          <w:noProof/>
          <w:sz w:val="22"/>
          <w:szCs w:val="22"/>
        </w:rPr>
        <w:t>In this regar</w:t>
      </w:r>
      <w:r>
        <w:rPr>
          <w:i w:val="0"/>
          <w:noProof/>
          <w:sz w:val="22"/>
          <w:szCs w:val="22"/>
        </w:rPr>
        <w:t>d, stakeholders suggest how the fact the burden of proof is on companies – and not on national authorities – when demonstrating that a product is not dangerous, may limit their action and ability to challenge a decision, considering time and resources need</w:t>
      </w:r>
      <w:r>
        <w:rPr>
          <w:i w:val="0"/>
          <w:noProof/>
          <w:sz w:val="22"/>
          <w:szCs w:val="22"/>
        </w:rPr>
        <w:t xml:space="preserve">ed. </w:t>
      </w:r>
    </w:p>
    <w:p w:rsidR="0037666B" w:rsidRDefault="00C627B8">
      <w:pPr>
        <w:pStyle w:val="BodyText"/>
        <w:spacing w:after="240"/>
        <w:rPr>
          <w:i w:val="0"/>
          <w:noProof/>
          <w:sz w:val="22"/>
          <w:szCs w:val="22"/>
        </w:rPr>
      </w:pPr>
      <w:r>
        <w:rPr>
          <w:i w:val="0"/>
          <w:noProof/>
          <w:sz w:val="22"/>
          <w:szCs w:val="22"/>
        </w:rPr>
        <w:t xml:space="preserve">Companies may see also a potential effort of national authorities not to allow (or delay) foreign companies in entering the local market in order to reduce competition for national companies. </w:t>
      </w:r>
    </w:p>
    <w:p w:rsidR="0037666B" w:rsidRDefault="00C627B8">
      <w:pPr>
        <w:pStyle w:val="BodyText"/>
        <w:spacing w:after="240"/>
        <w:rPr>
          <w:i w:val="0"/>
          <w:noProof/>
          <w:sz w:val="22"/>
          <w:szCs w:val="22"/>
        </w:rPr>
      </w:pPr>
      <w:r>
        <w:rPr>
          <w:i w:val="0"/>
          <w:noProof/>
          <w:sz w:val="22"/>
          <w:szCs w:val="22"/>
        </w:rPr>
        <w:t xml:space="preserve">Considering the potential expenses and (considerable) use </w:t>
      </w:r>
      <w:r>
        <w:rPr>
          <w:i w:val="0"/>
          <w:noProof/>
          <w:sz w:val="22"/>
          <w:szCs w:val="22"/>
        </w:rPr>
        <w:t>of time and resources to challenge a decision taken by national authorities through judicial procedures, sometimes such an option is not considered by companies. According to stakeholders, this can be due to:</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Resources</w:t>
      </w:r>
      <w:r>
        <w:rPr>
          <w:rFonts w:ascii="Times New Roman" w:hAnsi="Times New Roman"/>
          <w:noProof/>
          <w:sz w:val="22"/>
        </w:rPr>
        <w:t xml:space="preserve"> needed, as mentioned. For a company –</w:t>
      </w:r>
      <w:r>
        <w:rPr>
          <w:rFonts w:ascii="Times New Roman" w:hAnsi="Times New Roman"/>
          <w:noProof/>
          <w:sz w:val="22"/>
        </w:rPr>
        <w:t xml:space="preserve"> especially an SME – such resources needed can be high to discourage it from pursuing such action. For instance, an Italian SME active in the area of food supplement suggested how, on average, costs for lawyers and appealing procedures can amount to around</w:t>
      </w:r>
      <w:r>
        <w:rPr>
          <w:rFonts w:ascii="Times New Roman" w:hAnsi="Times New Roman"/>
          <w:noProof/>
          <w:sz w:val="22"/>
        </w:rPr>
        <w:t xml:space="preserve"> EUR 20,000 per product, but other stakeholders provided more extreme examples;</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Uncertainty</w:t>
      </w:r>
      <w:r>
        <w:rPr>
          <w:rFonts w:ascii="Times New Roman" w:hAnsi="Times New Roman"/>
          <w:noProof/>
          <w:sz w:val="22"/>
        </w:rPr>
        <w:t xml:space="preserve"> of the final outcome of the procedure, which can result in another and definite loss for the company;</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noProof/>
          <w:sz w:val="22"/>
        </w:rPr>
        <w:t xml:space="preserve">Preference not to </w:t>
      </w:r>
      <w:r>
        <w:rPr>
          <w:rFonts w:ascii="Times New Roman" w:hAnsi="Times New Roman"/>
          <w:b/>
          <w:noProof/>
          <w:sz w:val="22"/>
        </w:rPr>
        <w:t>antagonise</w:t>
      </w:r>
      <w:r>
        <w:rPr>
          <w:rFonts w:ascii="Times New Roman" w:hAnsi="Times New Roman"/>
          <w:noProof/>
          <w:sz w:val="22"/>
        </w:rPr>
        <w:t xml:space="preserve"> national authorities, which will </w:t>
      </w:r>
      <w:r>
        <w:rPr>
          <w:rFonts w:ascii="Times New Roman" w:hAnsi="Times New Roman"/>
          <w:noProof/>
          <w:sz w:val="22"/>
        </w:rPr>
        <w:t>be crucial for the approval of the many other products that a company in this sector usually has and tries to market.</w:t>
      </w:r>
    </w:p>
    <w:p w:rsidR="0037666B" w:rsidRDefault="00C627B8">
      <w:pPr>
        <w:ind w:left="567" w:hanging="567"/>
        <w:rPr>
          <w:noProof/>
        </w:rPr>
      </w:pPr>
      <w:r>
        <w:rPr>
          <w:noProof/>
        </w:rPr>
        <w:t xml:space="preserve">In the light of these difficulties, stakeholders tend to: </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Adapt the product</w:t>
      </w:r>
      <w:r>
        <w:rPr>
          <w:rFonts w:ascii="Times New Roman" w:hAnsi="Times New Roman"/>
          <w:noProof/>
          <w:sz w:val="22"/>
        </w:rPr>
        <w:t xml:space="preserve"> to the national requirements. Clearly also this decision entails some costs. </w:t>
      </w:r>
    </w:p>
    <w:p w:rsidR="0037666B" w:rsidRDefault="00C627B8">
      <w:pPr>
        <w:pStyle w:val="Bulletpoint1"/>
        <w:numPr>
          <w:ilvl w:val="1"/>
          <w:numId w:val="22"/>
        </w:numPr>
        <w:spacing w:after="240"/>
        <w:ind w:left="1134" w:hanging="567"/>
        <w:rPr>
          <w:rFonts w:ascii="Times New Roman" w:hAnsi="Times New Roman"/>
          <w:noProof/>
          <w:sz w:val="22"/>
        </w:rPr>
      </w:pPr>
      <w:r>
        <w:rPr>
          <w:rFonts w:ascii="Times New Roman" w:hAnsi="Times New Roman"/>
          <w:noProof/>
          <w:sz w:val="22"/>
        </w:rPr>
        <w:t>An Italian SME indicated how adapting the product to sell it as a medicine could be virtually unbearable for an SME in terms of time and costs (with the need to develop a comple</w:t>
      </w:r>
      <w:r>
        <w:rPr>
          <w:rFonts w:ascii="Times New Roman" w:hAnsi="Times New Roman"/>
          <w:noProof/>
          <w:sz w:val="22"/>
        </w:rPr>
        <w:t xml:space="preserve">te dossier, with testing, clinical tests and documentation), easily amounting to thousands of EUR. </w:t>
      </w:r>
    </w:p>
    <w:p w:rsidR="0037666B" w:rsidRDefault="00C627B8">
      <w:pPr>
        <w:pStyle w:val="Bulletpoint1"/>
        <w:numPr>
          <w:ilvl w:val="1"/>
          <w:numId w:val="22"/>
        </w:numPr>
        <w:spacing w:after="240"/>
        <w:ind w:left="1134" w:hanging="567"/>
        <w:rPr>
          <w:rFonts w:ascii="Times New Roman" w:hAnsi="Times New Roman"/>
          <w:noProof/>
          <w:sz w:val="22"/>
        </w:rPr>
      </w:pPr>
      <w:r>
        <w:rPr>
          <w:rFonts w:ascii="Times New Roman" w:hAnsi="Times New Roman"/>
          <w:noProof/>
          <w:sz w:val="22"/>
        </w:rPr>
        <w:t>Adapting a product to different limits of ingredients or substances can also require some effort from the company, since it requires a new technological dev</w:t>
      </w:r>
      <w:r>
        <w:rPr>
          <w:rFonts w:ascii="Times New Roman" w:hAnsi="Times New Roman"/>
          <w:noProof/>
          <w:sz w:val="22"/>
        </w:rPr>
        <w:t xml:space="preserve">elopment, with lab costs and feasibility studies. Such costs can be important for an SME (at least EUR30-50,000 in each case), not considering the potential impact on the production lines, which need to be differentiated even for a single ingredient. This </w:t>
      </w:r>
      <w:r>
        <w:rPr>
          <w:rFonts w:ascii="Times New Roman" w:hAnsi="Times New Roman"/>
          <w:noProof/>
          <w:sz w:val="22"/>
        </w:rPr>
        <w:t>strategy is not likely to result in regaining the amount spent when the targeted market is too small not to justify such investments.</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b/>
          <w:noProof/>
          <w:sz w:val="22"/>
        </w:rPr>
        <w:t>Not entering the market</w:t>
      </w:r>
      <w:r>
        <w:rPr>
          <w:rFonts w:ascii="Times New Roman" w:hAnsi="Times New Roman"/>
          <w:noProof/>
          <w:sz w:val="22"/>
        </w:rPr>
        <w:t xml:space="preserve"> at all, when companies realise that costs and efforts will not lead to a positive solution or, eve</w:t>
      </w:r>
      <w:r>
        <w:rPr>
          <w:rFonts w:ascii="Times New Roman" w:hAnsi="Times New Roman"/>
          <w:noProof/>
          <w:sz w:val="22"/>
        </w:rPr>
        <w:t>n if it is the case, they will be too high to be sustained. In this case it can be very difficult to estimate the costs and potential losses for companies, but there is no doubt that this can result in losing money as well as possible damages to the compan</w:t>
      </w:r>
      <w:r>
        <w:rPr>
          <w:rFonts w:ascii="Times New Roman" w:hAnsi="Times New Roman"/>
          <w:noProof/>
          <w:sz w:val="22"/>
        </w:rPr>
        <w:t>y’s image and reputation, especially after a judicial procedure;</w:t>
      </w:r>
    </w:p>
    <w:p w:rsidR="0037666B" w:rsidRDefault="00C627B8">
      <w:pPr>
        <w:pStyle w:val="Bulletpoint1"/>
        <w:numPr>
          <w:ilvl w:val="0"/>
          <w:numId w:val="22"/>
        </w:numPr>
        <w:spacing w:after="240"/>
        <w:ind w:left="567" w:hanging="567"/>
        <w:rPr>
          <w:rFonts w:ascii="Times New Roman" w:hAnsi="Times New Roman"/>
          <w:noProof/>
          <w:sz w:val="22"/>
        </w:rPr>
      </w:pPr>
      <w:r>
        <w:rPr>
          <w:rFonts w:ascii="Times New Roman" w:hAnsi="Times New Roman"/>
          <w:noProof/>
          <w:sz w:val="22"/>
        </w:rPr>
        <w:t>Trying to look for a “</w:t>
      </w:r>
      <w:r>
        <w:rPr>
          <w:rFonts w:ascii="Times New Roman" w:hAnsi="Times New Roman"/>
          <w:b/>
          <w:noProof/>
          <w:sz w:val="22"/>
        </w:rPr>
        <w:t>least common denominator</w:t>
      </w:r>
      <w:r>
        <w:rPr>
          <w:rFonts w:ascii="Times New Roman" w:hAnsi="Times New Roman"/>
          <w:noProof/>
          <w:sz w:val="22"/>
        </w:rPr>
        <w:t xml:space="preserve">” among a group of Member States, which can have similar rules and requirements and targeting this group with a single product that would easily </w:t>
      </w:r>
      <w:r>
        <w:rPr>
          <w:rFonts w:ascii="Times New Roman" w:hAnsi="Times New Roman"/>
          <w:noProof/>
          <w:sz w:val="22"/>
        </w:rPr>
        <w:t>comply with all different national regulations.</w:t>
      </w:r>
    </w:p>
    <w:p w:rsidR="0037666B" w:rsidRDefault="00C627B8">
      <w:pPr>
        <w:rPr>
          <w:b/>
          <w:noProof/>
          <w:u w:val="single"/>
        </w:rPr>
      </w:pPr>
      <w:bookmarkStart w:id="169" w:name="_Toc476077442"/>
      <w:bookmarkStart w:id="170" w:name="_Toc476077728"/>
      <w:r>
        <w:rPr>
          <w:noProof/>
          <w:u w:val="single"/>
        </w:rPr>
        <w:t>Products in contacts with drinking water</w:t>
      </w:r>
      <w:bookmarkEnd w:id="169"/>
      <w:bookmarkEnd w:id="170"/>
      <w:r>
        <w:rPr>
          <w:rStyle w:val="FootnoteReference"/>
          <w:noProof/>
          <w:u w:val="single"/>
        </w:rPr>
        <w:footnoteReference w:id="173"/>
      </w:r>
    </w:p>
    <w:p w:rsidR="0037666B" w:rsidRDefault="00C627B8">
      <w:pPr>
        <w:pStyle w:val="BodyText"/>
        <w:spacing w:after="240"/>
        <w:rPr>
          <w:i w:val="0"/>
          <w:noProof/>
          <w:sz w:val="22"/>
          <w:szCs w:val="22"/>
        </w:rPr>
      </w:pPr>
      <w:r>
        <w:rPr>
          <w:i w:val="0"/>
          <w:noProof/>
          <w:sz w:val="22"/>
          <w:szCs w:val="22"/>
        </w:rPr>
        <w:t xml:space="preserve">Considering available information, it is possible to estimate the total turnover of the sector between </w:t>
      </w:r>
      <w:r>
        <w:rPr>
          <w:b/>
          <w:i w:val="0"/>
          <w:noProof/>
          <w:sz w:val="22"/>
          <w:szCs w:val="22"/>
        </w:rPr>
        <w:t>40</w:t>
      </w:r>
      <w:r>
        <w:rPr>
          <w:i w:val="0"/>
          <w:noProof/>
          <w:sz w:val="22"/>
          <w:szCs w:val="22"/>
        </w:rPr>
        <w:t xml:space="preserve"> and </w:t>
      </w:r>
      <w:r>
        <w:rPr>
          <w:b/>
          <w:i w:val="0"/>
          <w:noProof/>
          <w:sz w:val="22"/>
          <w:szCs w:val="22"/>
        </w:rPr>
        <w:t>43 billion per annum,</w:t>
      </w:r>
      <w:r>
        <w:rPr>
          <w:b/>
          <w:i w:val="0"/>
          <w:noProof/>
          <w:sz w:val="22"/>
          <w:szCs w:val="22"/>
          <w:vertAlign w:val="superscript"/>
        </w:rPr>
        <w:footnoteReference w:id="174"/>
      </w:r>
      <w:r>
        <w:rPr>
          <w:i w:val="0"/>
          <w:noProof/>
          <w:sz w:val="22"/>
          <w:szCs w:val="22"/>
        </w:rPr>
        <w:t xml:space="preserve"> while the number of companies operating can be estimated at around </w:t>
      </w:r>
      <w:r>
        <w:rPr>
          <w:b/>
          <w:i w:val="0"/>
          <w:noProof/>
          <w:sz w:val="22"/>
          <w:szCs w:val="22"/>
        </w:rPr>
        <w:t>7,000 units</w:t>
      </w:r>
      <w:r>
        <w:rPr>
          <w:i w:val="0"/>
          <w:noProof/>
          <w:sz w:val="22"/>
          <w:szCs w:val="22"/>
        </w:rPr>
        <w:t>, with a heterogeneous distribution among small medium and large enterprises.</w:t>
      </w:r>
      <w:r>
        <w:rPr>
          <w:i w:val="0"/>
          <w:noProof/>
          <w:sz w:val="22"/>
          <w:szCs w:val="22"/>
          <w:vertAlign w:val="superscript"/>
        </w:rPr>
        <w:footnoteReference w:id="175"/>
      </w:r>
    </w:p>
    <w:p w:rsidR="0037666B" w:rsidRDefault="00C627B8">
      <w:pPr>
        <w:pStyle w:val="BodyText"/>
        <w:spacing w:after="240"/>
        <w:rPr>
          <w:i w:val="0"/>
          <w:noProof/>
          <w:sz w:val="22"/>
          <w:szCs w:val="22"/>
        </w:rPr>
      </w:pPr>
      <w:r>
        <w:rPr>
          <w:i w:val="0"/>
          <w:noProof/>
          <w:sz w:val="22"/>
          <w:szCs w:val="22"/>
        </w:rPr>
        <w:t xml:space="preserve">Tests and certifications concerning the products in contact with drinking water fall mainly under </w:t>
      </w:r>
      <w:r>
        <w:rPr>
          <w:i w:val="0"/>
          <w:noProof/>
          <w:sz w:val="22"/>
          <w:szCs w:val="22"/>
        </w:rPr>
        <w:t>several categories: mechanical, hygienic and audits.</w:t>
      </w:r>
      <w:r>
        <w:rPr>
          <w:b/>
          <w:i w:val="0"/>
          <w:noProof/>
          <w:sz w:val="22"/>
          <w:szCs w:val="22"/>
        </w:rPr>
        <w:t xml:space="preserve"> </w:t>
      </w:r>
      <w:r>
        <w:rPr>
          <w:i w:val="0"/>
          <w:noProof/>
          <w:sz w:val="22"/>
          <w:szCs w:val="22"/>
        </w:rPr>
        <w:t>The cost-spread for these certifications as well as statutory audits is different among EU Member States. In Germany, for example, audit costs amount to a figure around 14% of the total costs for tests a</w:t>
      </w:r>
      <w:r>
        <w:rPr>
          <w:i w:val="0"/>
          <w:noProof/>
          <w:sz w:val="22"/>
          <w:szCs w:val="22"/>
        </w:rPr>
        <w:t>nd certifications, while in other countries like U.K., Netherlands and France such a cost is around 1% of the total.</w:t>
      </w:r>
      <w:r>
        <w:rPr>
          <w:i w:val="0"/>
          <w:noProof/>
          <w:sz w:val="22"/>
          <w:szCs w:val="22"/>
          <w:vertAlign w:val="superscript"/>
        </w:rPr>
        <w:footnoteReference w:id="176"/>
      </w:r>
    </w:p>
    <w:p w:rsidR="0037666B" w:rsidRDefault="00C627B8">
      <w:pPr>
        <w:rPr>
          <w:noProof/>
        </w:rPr>
      </w:pPr>
      <w:r>
        <w:rPr>
          <w:noProof/>
        </w:rPr>
        <w:t xml:space="preserve">Water taps are among the products whose commercialization is more problematic, according to stakeholders. Water taps segment covers about </w:t>
      </w:r>
      <w:r>
        <w:rPr>
          <w:b/>
          <w:noProof/>
        </w:rPr>
        <w:t>35%</w:t>
      </w:r>
      <w:r>
        <w:rPr>
          <w:noProof/>
        </w:rPr>
        <w:t xml:space="preserve"> of the entire turnover of companies active in the area of products in contacts with drinking water. </w:t>
      </w:r>
    </w:p>
    <w:p w:rsidR="0037666B" w:rsidRDefault="00C627B8">
      <w:pPr>
        <w:rPr>
          <w:b/>
          <w:noProof/>
          <w:u w:val="single"/>
        </w:rPr>
      </w:pPr>
      <w:r>
        <w:rPr>
          <w:noProof/>
        </w:rPr>
        <w:t>Stakeholders revealed how currently the application of mutual recognition with regard to these products is seriously deficient, thus creating limitatio</w:t>
      </w:r>
      <w:r>
        <w:rPr>
          <w:noProof/>
        </w:rPr>
        <w:t>ns to both competition among businesses and availability of products for consumers in the EU single market. The main issue stems from the absence of comprehensive EU harmonised requirements on such products. Article 10 of Directive 98/83/EC (Drinking Water</w:t>
      </w:r>
      <w:r>
        <w:rPr>
          <w:noProof/>
        </w:rPr>
        <w:t xml:space="preserve"> Directive)</w:t>
      </w:r>
      <w:r>
        <w:rPr>
          <w:rStyle w:val="FootnoteReference"/>
          <w:noProof/>
        </w:rPr>
        <w:footnoteReference w:id="177"/>
      </w:r>
      <w:r>
        <w:rPr>
          <w:noProof/>
        </w:rPr>
        <w:t xml:space="preserve"> requires Member States to verify that the materials and substances used in the treatment and distribution systems are not present in drinking water “in concentrations higher than is necessary for the purpose of their use and do not, either dir</w:t>
      </w:r>
      <w:r>
        <w:rPr>
          <w:noProof/>
        </w:rPr>
        <w:t xml:space="preserve">ectly or indirectly, reduce the protection of human health”. </w:t>
      </w:r>
    </w:p>
    <w:p w:rsidR="0037666B" w:rsidRDefault="00C627B8">
      <w:pPr>
        <w:pStyle w:val="BodyText"/>
        <w:spacing w:after="240"/>
        <w:rPr>
          <w:i w:val="0"/>
          <w:noProof/>
          <w:sz w:val="22"/>
          <w:szCs w:val="22"/>
        </w:rPr>
      </w:pPr>
      <w:r>
        <w:rPr>
          <w:i w:val="0"/>
          <w:noProof/>
          <w:sz w:val="22"/>
          <w:szCs w:val="22"/>
        </w:rPr>
        <w:t>The implementation and monitoring measures are left to the Member States, which have established their own national test and certification bodies</w:t>
      </w:r>
      <w:r>
        <w:rPr>
          <w:i w:val="0"/>
          <w:noProof/>
          <w:sz w:val="22"/>
          <w:szCs w:val="22"/>
          <w:vertAlign w:val="superscript"/>
        </w:rPr>
        <w:footnoteReference w:id="178"/>
      </w:r>
      <w:r>
        <w:rPr>
          <w:i w:val="0"/>
          <w:noProof/>
          <w:sz w:val="22"/>
          <w:szCs w:val="22"/>
        </w:rPr>
        <w:t xml:space="preserve"> to assure the quality of materials and to issue</w:t>
      </w:r>
      <w:r>
        <w:rPr>
          <w:i w:val="0"/>
          <w:noProof/>
          <w:sz w:val="22"/>
          <w:szCs w:val="22"/>
        </w:rPr>
        <w:t xml:space="preserve"> licences for the sale of products in contact with drinking water. Each body assesses the conformity of materials and products in contact with water for human consumption against specific requirements and criteria that vary at national level (for example a</w:t>
      </w:r>
      <w:r>
        <w:rPr>
          <w:i w:val="0"/>
          <w:noProof/>
          <w:sz w:val="22"/>
          <w:szCs w:val="22"/>
        </w:rPr>
        <w:t>s regards the compliance of products with a specific composition or the effects of the materials on the microbiological growth in the water).</w:t>
      </w:r>
    </w:p>
    <w:p w:rsidR="0037666B" w:rsidRDefault="00C627B8">
      <w:pPr>
        <w:pStyle w:val="BodyText"/>
        <w:spacing w:after="240"/>
        <w:rPr>
          <w:i w:val="0"/>
          <w:noProof/>
          <w:sz w:val="22"/>
          <w:szCs w:val="22"/>
        </w:rPr>
      </w:pPr>
      <w:r>
        <w:rPr>
          <w:i w:val="0"/>
          <w:noProof/>
          <w:sz w:val="22"/>
          <w:szCs w:val="22"/>
        </w:rPr>
        <w:t>This framework creates the conditions for double or multiple testing of products in contact with drinking water in</w:t>
      </w:r>
      <w:r>
        <w:rPr>
          <w:i w:val="0"/>
          <w:noProof/>
          <w:sz w:val="22"/>
          <w:szCs w:val="22"/>
        </w:rPr>
        <w:t xml:space="preserve"> the EU market. Companies willing to obtain a licence for marketing their product in a single Member State have to comply with all the national test criteria and requirements as defined by in the law and by the relevant test and certifications bodies in th</w:t>
      </w:r>
      <w:r>
        <w:rPr>
          <w:i w:val="0"/>
          <w:noProof/>
          <w:sz w:val="22"/>
          <w:szCs w:val="22"/>
        </w:rPr>
        <w:t>at Member State. However, when they want to market that same product in other Member State, they are typically required to repeat those same tests by the relevant bodies in each individual Member State they want to enter, as Member States not only have dif</w:t>
      </w:r>
      <w:r>
        <w:rPr>
          <w:i w:val="0"/>
          <w:noProof/>
          <w:sz w:val="22"/>
          <w:szCs w:val="22"/>
        </w:rPr>
        <w:t>ferent test criteria, but also do not recognise each other’s tests. This practice results in an expensive and time consuming reiteration of activities for businesses, which are forced to repeat tests and acquire certifications several times in the EU marke</w:t>
      </w:r>
      <w:r>
        <w:rPr>
          <w:i w:val="0"/>
          <w:noProof/>
          <w:sz w:val="22"/>
          <w:szCs w:val="22"/>
        </w:rPr>
        <w:t>t, into higher final prices for consumers and – more importantly for our analysis – into the infraction of mutual recognition principle. As pointed out by a representative of one of the largest European manufacturer of hydraulic accessories and components,</w:t>
      </w:r>
      <w:r>
        <w:rPr>
          <w:i w:val="0"/>
          <w:noProof/>
          <w:sz w:val="22"/>
          <w:szCs w:val="22"/>
        </w:rPr>
        <w:t xml:space="preserve"> it is currently not possible for a business to market its products in more than few countries</w:t>
      </w:r>
      <w:r>
        <w:rPr>
          <w:i w:val="0"/>
          <w:noProof/>
          <w:sz w:val="22"/>
          <w:szCs w:val="22"/>
          <w:vertAlign w:val="superscript"/>
        </w:rPr>
        <w:footnoteReference w:id="179"/>
      </w:r>
      <w:r>
        <w:rPr>
          <w:i w:val="0"/>
          <w:noProof/>
          <w:sz w:val="22"/>
          <w:szCs w:val="22"/>
        </w:rPr>
        <w:t xml:space="preserve"> at the same time in Europe, mainly due to additional testing and certifications that shall be taken in each Member State requiring so. In some instances, the co</w:t>
      </w:r>
      <w:r>
        <w:rPr>
          <w:i w:val="0"/>
          <w:noProof/>
          <w:sz w:val="22"/>
          <w:szCs w:val="22"/>
        </w:rPr>
        <w:t xml:space="preserve">st of additional testing may even exceed the cost of initial testing and certification. </w:t>
      </w:r>
    </w:p>
    <w:tbl>
      <w:tblPr>
        <w:tblStyle w:val="TableGrid"/>
        <w:tblW w:w="0" w:type="auto"/>
        <w:tblLook w:val="04A0" w:firstRow="1" w:lastRow="0" w:firstColumn="1" w:lastColumn="0" w:noHBand="0" w:noVBand="1"/>
      </w:tblPr>
      <w:tblGrid>
        <w:gridCol w:w="8834"/>
      </w:tblGrid>
      <w:tr w:rsidR="0037666B">
        <w:tc>
          <w:tcPr>
            <w:tcW w:w="9288" w:type="dxa"/>
          </w:tcPr>
          <w:p w:rsidR="0037666B" w:rsidRDefault="00C627B8">
            <w:pPr>
              <w:pStyle w:val="BodyText"/>
              <w:spacing w:after="240"/>
              <w:rPr>
                <w:i w:val="0"/>
                <w:noProof/>
                <w:sz w:val="22"/>
                <w:szCs w:val="22"/>
              </w:rPr>
            </w:pPr>
            <w:r>
              <w:rPr>
                <w:i w:val="0"/>
                <w:noProof/>
                <w:sz w:val="22"/>
                <w:szCs w:val="22"/>
              </w:rPr>
              <w:t>As an example, the interviewee reported that, in the context of EUR 2 million project aimed at selling a single hydraulic product in 15 EU Member States, the total cos</w:t>
            </w:r>
            <w:r>
              <w:rPr>
                <w:i w:val="0"/>
                <w:noProof/>
                <w:sz w:val="22"/>
                <w:szCs w:val="22"/>
              </w:rPr>
              <w:t>t for the initial certification of such product amounted to EUR 35,000, while cost the double testing in a single country (FR) was EUR 38,000. Similarly, for a large project worth EUR 60 million concerning the renewal of product present on the market for a</w:t>
            </w:r>
            <w:r>
              <w:rPr>
                <w:i w:val="0"/>
                <w:noProof/>
                <w:sz w:val="22"/>
                <w:szCs w:val="22"/>
              </w:rPr>
              <w:t xml:space="preserve"> long time, interviewed stakeholder expects the costs for initial certifications (estimated at around EUR 1 million) to double when trying to market the product in all the 28 Member State due to additional certification.</w:t>
            </w:r>
          </w:p>
          <w:p w:rsidR="0037666B" w:rsidRDefault="00C627B8">
            <w:pPr>
              <w:pStyle w:val="BodyText"/>
              <w:spacing w:after="240"/>
              <w:rPr>
                <w:i w:val="0"/>
                <w:noProof/>
                <w:sz w:val="22"/>
                <w:szCs w:val="22"/>
              </w:rPr>
            </w:pPr>
            <w:r>
              <w:rPr>
                <w:i w:val="0"/>
                <w:noProof/>
                <w:sz w:val="22"/>
                <w:szCs w:val="22"/>
              </w:rPr>
              <w:t>Moreover, companies have to deal wi</w:t>
            </w:r>
            <w:r>
              <w:rPr>
                <w:i w:val="0"/>
                <w:noProof/>
                <w:sz w:val="22"/>
                <w:szCs w:val="22"/>
              </w:rPr>
              <w:t>th the auditors of the different national certification bodies who periodically conduct audit visits concerning the quality certifications already acquired. The current cost reported by the interviewed stakeholder for managing all these certifications (whi</w:t>
            </w:r>
            <w:r>
              <w:rPr>
                <w:i w:val="0"/>
                <w:noProof/>
                <w:sz w:val="22"/>
                <w:szCs w:val="22"/>
              </w:rPr>
              <w:t>ch are, for drinking water only, around 1,350) is around EUR 2.3 million per year. Remarkably, all of these costs faced by businesses are passed on to consumers via final prices.</w:t>
            </w:r>
          </w:p>
        </w:tc>
      </w:tr>
    </w:tbl>
    <w:p w:rsidR="0037666B" w:rsidRDefault="00C627B8">
      <w:pPr>
        <w:pStyle w:val="BodyText"/>
        <w:spacing w:after="240"/>
        <w:rPr>
          <w:i w:val="0"/>
          <w:noProof/>
          <w:sz w:val="22"/>
          <w:szCs w:val="22"/>
        </w:rPr>
      </w:pPr>
      <w:r>
        <w:rPr>
          <w:i w:val="0"/>
          <w:noProof/>
          <w:sz w:val="22"/>
          <w:szCs w:val="22"/>
        </w:rPr>
        <w:t>The problem of double and additional testing is particularly acute in some c</w:t>
      </w:r>
      <w:r>
        <w:rPr>
          <w:i w:val="0"/>
          <w:noProof/>
          <w:sz w:val="22"/>
          <w:szCs w:val="22"/>
        </w:rPr>
        <w:t xml:space="preserve">ountries. Stakeholders mentioned how Member States such as Spain, France, UK, and more in general the Scandinavian countries, can be seen as the most problematic in this respect. Businesses may find double testing not only expensive in terms of fees to be </w:t>
      </w:r>
      <w:r>
        <w:rPr>
          <w:i w:val="0"/>
          <w:noProof/>
          <w:sz w:val="22"/>
          <w:szCs w:val="22"/>
        </w:rPr>
        <w:t>paid to repeat the same test in different Member States, but also extremely time consuming. The time that elapses between the registration for tests and the certification of approval typically can span from six up to 12 months, and may even reach 24 months</w:t>
      </w:r>
      <w:r>
        <w:rPr>
          <w:i w:val="0"/>
          <w:noProof/>
          <w:sz w:val="22"/>
          <w:szCs w:val="22"/>
        </w:rPr>
        <w:t xml:space="preserve"> in more complex circumstances. For companies, this obviously results into foregone profits due to the delayed market access.</w:t>
      </w:r>
    </w:p>
    <w:p w:rsidR="0037666B" w:rsidRDefault="00C627B8">
      <w:pPr>
        <w:pStyle w:val="BodyText"/>
        <w:spacing w:after="240"/>
        <w:rPr>
          <w:i w:val="0"/>
          <w:noProof/>
          <w:sz w:val="22"/>
          <w:szCs w:val="22"/>
        </w:rPr>
      </w:pPr>
      <w:r>
        <w:rPr>
          <w:i w:val="0"/>
          <w:noProof/>
          <w:sz w:val="22"/>
          <w:szCs w:val="22"/>
        </w:rPr>
        <w:t>Crucially, when businesses make the point of mutual recognition in dealing with national authorities in other MS, the latter typic</w:t>
      </w:r>
      <w:r>
        <w:rPr>
          <w:i w:val="0"/>
          <w:noProof/>
          <w:sz w:val="22"/>
          <w:szCs w:val="22"/>
        </w:rPr>
        <w:t xml:space="preserve">ally refer to the application of the relevant national norms and legislation, rather than EU Legislation. </w:t>
      </w:r>
    </w:p>
    <w:p w:rsidR="0037666B" w:rsidRDefault="00C627B8">
      <w:pPr>
        <w:pStyle w:val="BodyText"/>
        <w:spacing w:after="240"/>
        <w:rPr>
          <w:i w:val="0"/>
          <w:noProof/>
          <w:sz w:val="22"/>
          <w:szCs w:val="22"/>
        </w:rPr>
      </w:pPr>
      <w:r>
        <w:rPr>
          <w:i w:val="0"/>
          <w:noProof/>
          <w:sz w:val="22"/>
          <w:szCs w:val="22"/>
        </w:rPr>
        <w:t>From the point of view of businesses, there is a generalized lack of awareness (if not deliberate disregard) of the mutual recognition principle by n</w:t>
      </w:r>
      <w:r>
        <w:rPr>
          <w:i w:val="0"/>
          <w:noProof/>
          <w:sz w:val="22"/>
          <w:szCs w:val="22"/>
        </w:rPr>
        <w:t xml:space="preserve">ational test and certification bodies. </w:t>
      </w:r>
    </w:p>
    <w:p w:rsidR="0037666B" w:rsidRDefault="00C627B8">
      <w:pPr>
        <w:pStyle w:val="BodyText"/>
        <w:spacing w:after="240"/>
        <w:rPr>
          <w:i w:val="0"/>
          <w:noProof/>
          <w:sz w:val="22"/>
          <w:szCs w:val="22"/>
        </w:rPr>
      </w:pPr>
      <w:r>
        <w:rPr>
          <w:i w:val="0"/>
          <w:noProof/>
          <w:sz w:val="22"/>
          <w:szCs w:val="22"/>
        </w:rPr>
        <w:t>Moreover, interviewees reported “cherry picking” by national authorities, as some tests and certifications presented by businesses can be accepted by some MS, while other tests shall be repeated. Businesses are simpl</w:t>
      </w:r>
      <w:r>
        <w:rPr>
          <w:i w:val="0"/>
          <w:noProof/>
          <w:sz w:val="22"/>
          <w:szCs w:val="22"/>
        </w:rPr>
        <w:t xml:space="preserve">y asked to comply with national requirements and test criteria, even though their products underwent the same testing in other countries. </w:t>
      </w:r>
    </w:p>
    <w:p w:rsidR="0037666B" w:rsidRDefault="00C627B8">
      <w:pPr>
        <w:pStyle w:val="BodyText"/>
        <w:spacing w:after="240"/>
        <w:rPr>
          <w:i w:val="0"/>
          <w:noProof/>
          <w:sz w:val="22"/>
          <w:szCs w:val="22"/>
        </w:rPr>
      </w:pPr>
      <w:r>
        <w:rPr>
          <w:i w:val="0"/>
          <w:noProof/>
          <w:sz w:val="22"/>
          <w:szCs w:val="22"/>
        </w:rPr>
        <w:t>However, businesses are reluctant to bring national authorities to court to see the principle of mutual recognition a</w:t>
      </w:r>
      <w:r>
        <w:rPr>
          <w:i w:val="0"/>
          <w:noProof/>
          <w:sz w:val="22"/>
          <w:szCs w:val="22"/>
        </w:rPr>
        <w:t>pplied. There are two main reasons behind this. First, businesses do not want to see their long-lasting relationship with national authorities jeopardised just to seek the application of mutual recognition to a single product. In other words, they prefer a</w:t>
      </w:r>
      <w:r>
        <w:rPr>
          <w:i w:val="0"/>
          <w:noProof/>
          <w:sz w:val="22"/>
          <w:szCs w:val="22"/>
        </w:rPr>
        <w:t>voiding confrontation with national authorities and complying with national requirements by repeating tests, mainly because they are concerned of being treated unfavourably in the future. Second, businesses are concerned that, in absence of harmonised rule</w:t>
      </w:r>
      <w:r>
        <w:rPr>
          <w:i w:val="0"/>
          <w:noProof/>
          <w:sz w:val="22"/>
          <w:szCs w:val="22"/>
        </w:rPr>
        <w:t xml:space="preserve">s at EU level on hygienic testing, the enforcement of mutual recognition with respect to materials and products in contact with drinking water may start a “race to the bottom” among producers as regards the quality of products, a fact which is expected to </w:t>
      </w:r>
      <w:r>
        <w:rPr>
          <w:i w:val="0"/>
          <w:noProof/>
          <w:sz w:val="22"/>
          <w:szCs w:val="22"/>
        </w:rPr>
        <w:t>negatively impact the safety of consumers. Finally, interviewed business associations also reported how among its members there is a problem of awareness about mutual recognition. While companies dealing with products in contact with drinking water are awa</w:t>
      </w:r>
      <w:r>
        <w:rPr>
          <w:i w:val="0"/>
          <w:noProof/>
          <w:sz w:val="22"/>
          <w:szCs w:val="22"/>
        </w:rPr>
        <w:t>re of and well-versed in relevant legislation such as Regulation (EU) No 305/2011 (Construction Products Regulation) or Directive 98/83/EC (Drinking Water Directive), are less aware about the possibility of benefiting from mutual recognition.</w:t>
      </w:r>
    </w:p>
    <w:p w:rsidR="0037666B" w:rsidRDefault="00C627B8">
      <w:pPr>
        <w:rPr>
          <w:noProof/>
          <w:u w:val="single"/>
        </w:rPr>
      </w:pPr>
      <w:bookmarkStart w:id="171" w:name="_Toc476077443"/>
      <w:bookmarkStart w:id="172" w:name="_Toc476077729"/>
      <w:r>
        <w:rPr>
          <w:noProof/>
          <w:u w:val="single"/>
        </w:rPr>
        <w:t xml:space="preserve">Food contact </w:t>
      </w:r>
      <w:r>
        <w:rPr>
          <w:noProof/>
          <w:u w:val="single"/>
        </w:rPr>
        <w:t>material</w:t>
      </w:r>
      <w:bookmarkEnd w:id="171"/>
      <w:bookmarkEnd w:id="172"/>
      <w:r>
        <w:rPr>
          <w:rStyle w:val="FootnoteReference"/>
          <w:noProof/>
          <w:u w:val="single"/>
        </w:rPr>
        <w:footnoteReference w:id="180"/>
      </w:r>
    </w:p>
    <w:p w:rsidR="0037666B" w:rsidRDefault="00C627B8">
      <w:pPr>
        <w:pStyle w:val="BodyText"/>
        <w:spacing w:after="240"/>
        <w:rPr>
          <w:i w:val="0"/>
          <w:noProof/>
          <w:sz w:val="22"/>
          <w:szCs w:val="22"/>
          <w:lang w:val="en-US"/>
        </w:rPr>
      </w:pPr>
      <w:r>
        <w:rPr>
          <w:i w:val="0"/>
          <w:noProof/>
          <w:sz w:val="22"/>
          <w:szCs w:val="22"/>
        </w:rPr>
        <w:t>Food</w:t>
      </w:r>
      <w:r>
        <w:rPr>
          <w:i w:val="0"/>
          <w:noProof/>
          <w:sz w:val="22"/>
          <w:szCs w:val="22"/>
          <w:lang w:val="en-US"/>
        </w:rPr>
        <w:t xml:space="preserve"> contact materials (FCM), including food packaging, are only partially harmonized at the EU level and subject both to extensive national regulation and to extended practical scrutiny by the competent authorities, which may be partially justified by the pot</w:t>
      </w:r>
      <w:r>
        <w:rPr>
          <w:i w:val="0"/>
          <w:noProof/>
          <w:sz w:val="22"/>
          <w:szCs w:val="22"/>
          <w:lang w:val="en-US"/>
        </w:rPr>
        <w:t>ential impact of these products on public safety and more precisely public health.</w:t>
      </w:r>
    </w:p>
    <w:p w:rsidR="0037666B" w:rsidRDefault="00C627B8">
      <w:pPr>
        <w:pStyle w:val="BodyText"/>
        <w:spacing w:after="240"/>
        <w:rPr>
          <w:i w:val="0"/>
          <w:noProof/>
          <w:sz w:val="22"/>
          <w:szCs w:val="22"/>
        </w:rPr>
      </w:pPr>
      <w:r>
        <w:rPr>
          <w:i w:val="0"/>
          <w:noProof/>
          <w:sz w:val="22"/>
          <w:szCs w:val="22"/>
        </w:rPr>
        <w:t>The food and drink industry in general is the EU's biggest manufacturing sector in terms of jobs and value added. The EU boasts an important trade surplus in trade in food a</w:t>
      </w:r>
      <w:r>
        <w:rPr>
          <w:i w:val="0"/>
          <w:noProof/>
          <w:sz w:val="22"/>
          <w:szCs w:val="22"/>
        </w:rPr>
        <w:t>nd EU food specialities are well appreciated overseas. In the last 10 years, EU food and drink exports have doubled, reaching over €90 billion and contributing to a positive balance of almost 30 billion. The FCM sector in particular has an approximate annu</w:t>
      </w:r>
      <w:r>
        <w:rPr>
          <w:i w:val="0"/>
          <w:noProof/>
          <w:sz w:val="22"/>
          <w:szCs w:val="22"/>
        </w:rPr>
        <w:t xml:space="preserve">al turnover of €100 billion. </w:t>
      </w:r>
    </w:p>
    <w:p w:rsidR="0037666B" w:rsidRDefault="00C627B8">
      <w:pPr>
        <w:pStyle w:val="BodyText"/>
        <w:spacing w:after="240"/>
        <w:rPr>
          <w:i w:val="0"/>
          <w:noProof/>
          <w:sz w:val="22"/>
          <w:szCs w:val="22"/>
        </w:rPr>
      </w:pPr>
      <w:r>
        <w:rPr>
          <w:i w:val="0"/>
          <w:noProof/>
          <w:sz w:val="22"/>
          <w:szCs w:val="22"/>
        </w:rPr>
        <w:t>The range of the non-harmonised aspects of the FCM industry was recently examined through a 2016 JRC Study on the European regulatory and market situation of non-harmonised food contact materials.</w:t>
      </w:r>
      <w:r>
        <w:rPr>
          <w:i w:val="0"/>
          <w:noProof/>
          <w:sz w:val="22"/>
          <w:szCs w:val="22"/>
          <w:vertAlign w:val="superscript"/>
        </w:rPr>
        <w:footnoteReference w:id="181"/>
      </w:r>
      <w:r>
        <w:rPr>
          <w:i w:val="0"/>
          <w:noProof/>
          <w:sz w:val="22"/>
          <w:szCs w:val="22"/>
        </w:rPr>
        <w:t xml:space="preserve"> The Study found that due to </w:t>
      </w:r>
      <w:r>
        <w:rPr>
          <w:i w:val="0"/>
          <w:noProof/>
          <w:sz w:val="22"/>
          <w:szCs w:val="22"/>
        </w:rPr>
        <w:t>the lack of harmonisation of materials listed under the framework regulation the sector was subject to mutual recognition.  Specifically, the study highlighted a lack of detail in relation to requirements and quality assurance towards the declaration of co</w:t>
      </w:r>
      <w:r>
        <w:rPr>
          <w:i w:val="0"/>
          <w:noProof/>
          <w:sz w:val="22"/>
          <w:szCs w:val="22"/>
        </w:rPr>
        <w:t>mpliance and supporting documents, certification where applicable, basis for enforcement and sanctions. Tellingly, the Study argued that this was a hurdle for competent authorities as well, rather than only for economic operators. Indeed, FCM is an industr</w:t>
      </w:r>
      <w:r>
        <w:rPr>
          <w:i w:val="0"/>
          <w:noProof/>
          <w:sz w:val="22"/>
          <w:szCs w:val="22"/>
        </w:rPr>
        <w:t>y in which the Member States have a complementary authority, allowing them to exercise a certain margin of discretion, but only within the limitations permitted by the FCM Regulation, the procedural norms established in relation to EFSA</w:t>
      </w:r>
      <w:r>
        <w:rPr>
          <w:rStyle w:val="FootnoteReference"/>
          <w:i w:val="0"/>
          <w:noProof/>
          <w:sz w:val="22"/>
          <w:szCs w:val="22"/>
        </w:rPr>
        <w:footnoteReference w:id="182"/>
      </w:r>
      <w:r>
        <w:rPr>
          <w:i w:val="0"/>
          <w:noProof/>
          <w:sz w:val="22"/>
          <w:szCs w:val="22"/>
        </w:rPr>
        <w:t xml:space="preserve">, and the logic of </w:t>
      </w:r>
      <w:r>
        <w:rPr>
          <w:i w:val="0"/>
          <w:noProof/>
          <w:sz w:val="22"/>
          <w:szCs w:val="22"/>
        </w:rPr>
        <w:t>the Mutual Recognition Regulation. From a Member State perspective, the mirror image of this competence is the need to be relatively specific in relation to the criteria and processes that they apply to make their decisions. This can be problematic in prac</w:t>
      </w:r>
      <w:r>
        <w:rPr>
          <w:i w:val="0"/>
          <w:noProof/>
          <w:sz w:val="22"/>
          <w:szCs w:val="22"/>
        </w:rPr>
        <w:t>tice.</w:t>
      </w:r>
    </w:p>
    <w:p w:rsidR="0037666B" w:rsidRDefault="00C627B8">
      <w:pPr>
        <w:rPr>
          <w:noProof/>
        </w:rPr>
      </w:pPr>
      <w:r>
        <w:rPr>
          <w:noProof/>
        </w:rPr>
        <w:t>At the national level, requirements on declarations of conformity to be provided by economic operators and supporting documents lack guidance and associated quality criteria. Self-regulation can address this to some extent by providing additional sec</w:t>
      </w:r>
      <w:r>
        <w:rPr>
          <w:noProof/>
        </w:rPr>
        <w:t xml:space="preserve">torial guidelines, but it is unclear whether these are known and applied in particular by SMEs. </w:t>
      </w:r>
    </w:p>
    <w:p w:rsidR="0037666B" w:rsidRDefault="00C627B8">
      <w:pPr>
        <w:rPr>
          <w:noProof/>
        </w:rPr>
      </w:pPr>
      <w:r>
        <w:rPr>
          <w:noProof/>
        </w:rPr>
        <w:t>National measures on specific materials are mainly based on lists of authorised substances and corresponding restrictions. Close to 8,000 substances were found</w:t>
      </w:r>
      <w:r>
        <w:rPr>
          <w:noProof/>
        </w:rPr>
        <w:t>. Some materials are regulated by more than 10 Member States (metal, glass) and some only by a few (wood). National rules for ceramics, glass and metals/alloys cover about 15 heavy metals and ban substances such as barium and mercury. There are between 100</w:t>
      </w:r>
      <w:r>
        <w:rPr>
          <w:noProof/>
        </w:rPr>
        <w:t xml:space="preserve"> and over 5,000 substances authorised for each category of the other materials. Only 15-35 % of substances considered nationally are in the lists that EFSA reported as being adequately risk assessed.</w:t>
      </w:r>
    </w:p>
    <w:p w:rsidR="0037666B" w:rsidRDefault="00C627B8">
      <w:pPr>
        <w:rPr>
          <w:noProof/>
        </w:rPr>
      </w:pPr>
      <w:r>
        <w:rPr>
          <w:noProof/>
        </w:rPr>
        <w:t>There is a lack of concerted strategies for the monitori</w:t>
      </w:r>
      <w:r>
        <w:rPr>
          <w:noProof/>
        </w:rPr>
        <w:t>ng of various FCMs among Member States. This can be perceived as grey area for the systematic assurance of food safety. The level of non-compliance is not greater overall for non-harmonised materials, but it is prevalent for their imports. Enforcement also</w:t>
      </w:r>
      <w:r>
        <w:rPr>
          <w:noProof/>
        </w:rPr>
        <w:t xml:space="preserve"> suffers from lack of standards or test methods.</w:t>
      </w:r>
    </w:p>
    <w:p w:rsidR="0037666B" w:rsidRDefault="00C627B8">
      <w:pPr>
        <w:rPr>
          <w:noProof/>
        </w:rPr>
      </w:pPr>
      <w:r>
        <w:rPr>
          <w:noProof/>
        </w:rPr>
        <w:t>To economic operators, the lack of transparency and accessibility on applicable requirements, rules and procedures is the key challenge: when moving from one Member State to the next, it is challenging to id</w:t>
      </w:r>
      <w:r>
        <w:rPr>
          <w:noProof/>
        </w:rPr>
        <w:t xml:space="preserve">entify (a) whether national rules exist; (b) who the competent authority is; (c) what the applicable requirements for their specific FCMs are; and (d) whether the MR Regulation is a satisfactory solution. </w:t>
      </w:r>
    </w:p>
    <w:p w:rsidR="0037666B" w:rsidRDefault="00C627B8">
      <w:pPr>
        <w:rPr>
          <w:noProof/>
        </w:rPr>
      </w:pPr>
      <w:r>
        <w:rPr>
          <w:noProof/>
        </w:rPr>
        <w:t>The interrelationship between the FCM Regulation a</w:t>
      </w:r>
      <w:r>
        <w:rPr>
          <w:noProof/>
        </w:rPr>
        <w:t>nd the Mutual Recognition Regulation is not clear to economic operators. In practice, there is significant familiarity with the FCM Regulation as such and with applicable rulesets in major markets, but economic operators are insufficiently aware of the pri</w:t>
      </w:r>
      <w:r>
        <w:rPr>
          <w:noProof/>
        </w:rPr>
        <w:t>nciples and scope of application of the Mutual Recognition Regulation and its ability to facilitate compliance with specific national rules. As noted in the 2016 study, this lack of clarity “leads industries to seek external legal advice, which adds to cos</w:t>
      </w:r>
      <w:r>
        <w:rPr>
          <w:noProof/>
        </w:rPr>
        <w:t>ts and may result in lengthier authorisation processes and delayed market access. It can also result in a greater focus on certification and accreditation systems at industrial level”.</w:t>
      </w:r>
    </w:p>
    <w:p w:rsidR="0037666B" w:rsidRDefault="0037666B">
      <w:pPr>
        <w:rPr>
          <w:noProof/>
        </w:rPr>
      </w:pPr>
    </w:p>
    <w:p w:rsidR="0037666B" w:rsidRDefault="0037666B">
      <w:pPr>
        <w:rPr>
          <w:noProof/>
        </w:rPr>
      </w:pPr>
    </w:p>
    <w:p w:rsidR="0037666B" w:rsidRDefault="00C627B8">
      <w:pPr>
        <w:rPr>
          <w:noProof/>
          <w:u w:val="single"/>
        </w:rPr>
      </w:pPr>
      <w:r>
        <w:rPr>
          <w:noProof/>
          <w:u w:val="single"/>
        </w:rPr>
        <w:t>Road circulation of mobile machinery</w:t>
      </w:r>
    </w:p>
    <w:p w:rsidR="0037666B" w:rsidRDefault="00C627B8">
      <w:pPr>
        <w:rPr>
          <w:noProof/>
        </w:rPr>
      </w:pPr>
      <w:r>
        <w:rPr>
          <w:noProof/>
        </w:rPr>
        <w:t>The mobile machinery industry</w:t>
      </w:r>
      <w:r>
        <w:rPr>
          <w:rStyle w:val="FootnoteReference"/>
          <w:noProof/>
        </w:rPr>
        <w:footnoteReference w:id="183"/>
      </w:r>
      <w:r>
        <w:rPr>
          <w:noProof/>
        </w:rPr>
        <w:t xml:space="preserve"> c</w:t>
      </w:r>
      <w:r>
        <w:rPr>
          <w:noProof/>
        </w:rPr>
        <w:t>onsists of a series of products across sectors (such as agricultural machinery (excl. tractors), construction machinery, garden equipment, municipal equipment). The total production value in the EU amounted to €10.3bn in 2013</w:t>
      </w:r>
      <w:r>
        <w:rPr>
          <w:rStyle w:val="FootnoteReference"/>
          <w:noProof/>
        </w:rPr>
        <w:footnoteReference w:id="184"/>
      </w:r>
      <w:r>
        <w:rPr>
          <w:noProof/>
        </w:rPr>
        <w:t>. Despite the existence of a n</w:t>
      </w:r>
      <w:r>
        <w:rPr>
          <w:noProof/>
        </w:rPr>
        <w:t>umber of EU harmonisation measures applying to mobile machinery</w:t>
      </w:r>
      <w:r>
        <w:rPr>
          <w:rStyle w:val="FootnoteReference"/>
          <w:noProof/>
        </w:rPr>
        <w:footnoteReference w:id="185"/>
      </w:r>
      <w:r>
        <w:rPr>
          <w:noProof/>
        </w:rPr>
        <w:t>, the road approval aspect of mobile machinery is not subject to EU harmonisation and thus mutual recognition should apply. However, mobile machines are still facing a series of different requ</w:t>
      </w:r>
      <w:r>
        <w:rPr>
          <w:noProof/>
        </w:rPr>
        <w:t>irements across EU Member States when requesting road approval causing costs for manufacturers, authorities, users and citizens.</w:t>
      </w:r>
    </w:p>
    <w:p w:rsidR="0037666B" w:rsidRDefault="00C627B8">
      <w:pPr>
        <w:rPr>
          <w:noProof/>
        </w:rPr>
      </w:pPr>
      <w:r>
        <w:rPr>
          <w:noProof/>
        </w:rPr>
        <w:t>The absence of harmonised requirements for the road circulation of mobile machinery in the EU has led to these specific problem</w:t>
      </w:r>
      <w:r>
        <w:rPr>
          <w:noProof/>
        </w:rPr>
        <w:t>s:</w:t>
      </w:r>
    </w:p>
    <w:p w:rsidR="0037666B" w:rsidRDefault="00C627B8">
      <w:pPr>
        <w:ind w:left="567" w:hanging="567"/>
        <w:rPr>
          <w:noProof/>
        </w:rPr>
      </w:pPr>
      <w:r>
        <w:rPr>
          <w:noProof/>
        </w:rPr>
        <w:t xml:space="preserve">- </w:t>
      </w:r>
      <w:r>
        <w:rPr>
          <w:noProof/>
        </w:rPr>
        <w:tab/>
        <w:t>Different requirements for road circulation of mobile machinery are applicable in different Member States. Road approval is necessary as required by the relevant Member States. This procedure causes direct costs (administrative burdens for manufactur</w:t>
      </w:r>
      <w:r>
        <w:rPr>
          <w:noProof/>
        </w:rPr>
        <w:t xml:space="preserve">ers and regulatory charges – such as third party testing and other inspection activities) and indirect costs to industry (time delays in the introduction of new products, reduced product innovation etc.) as well as indirect costs to others (administrative </w:t>
      </w:r>
      <w:r>
        <w:rPr>
          <w:noProof/>
        </w:rPr>
        <w:t>costs for MS governments, administrative burdens for dealers, time delay in delivery etc.).</w:t>
      </w:r>
    </w:p>
    <w:p w:rsidR="0037666B" w:rsidRDefault="00C627B8">
      <w:pPr>
        <w:ind w:left="567" w:hanging="567"/>
        <w:rPr>
          <w:noProof/>
        </w:rPr>
      </w:pPr>
      <w:r>
        <w:rPr>
          <w:noProof/>
        </w:rPr>
        <w:t xml:space="preserve">- </w:t>
      </w:r>
      <w:r>
        <w:rPr>
          <w:noProof/>
        </w:rPr>
        <w:tab/>
        <w:t>Compliance costs related to non-harmonised requirements are causing direct industry costs (additional logistics, administrative translation, additional manufactu</w:t>
      </w:r>
      <w:r>
        <w:rPr>
          <w:noProof/>
        </w:rPr>
        <w:t>ring &amp; design costs) which cause indirect industry costs (higher product prices, barriers to market entry etc.). Based on the market power of the industry such costs may be further passed-on to downstream clients (in the form of increased prices or differe</w:t>
      </w:r>
      <w:r>
        <w:rPr>
          <w:noProof/>
        </w:rPr>
        <w:t>nt prices across Member States, differentiated access to machines);</w:t>
      </w:r>
    </w:p>
    <w:p w:rsidR="0037666B" w:rsidRDefault="00C627B8">
      <w:pPr>
        <w:rPr>
          <w:noProof/>
        </w:rPr>
      </w:pPr>
      <w:r>
        <w:rPr>
          <w:noProof/>
        </w:rPr>
        <w:t xml:space="preserve">Costs created by the application of the different national requirements consist of both direct and indirect costs. Direct costs for the industry in complying with existing legislation add </w:t>
      </w:r>
      <w:r>
        <w:rPr>
          <w:noProof/>
        </w:rPr>
        <w:t>up to €90 m in the EU. This corresponds to 1.3% of their turnover. Indirect industry costs were also identified, such as time delays on the introduction of products, reduced innovation, higher product prices or barriers to entry as well as reduced choice f</w:t>
      </w:r>
      <w:r>
        <w:rPr>
          <w:noProof/>
        </w:rPr>
        <w:t>or consumers and administrative burdens for national administrations. Barriers to market entry are impacting above all SMEs who consider it more than other firms too challenging to enter new Member States markets and to comply with their specific rules.</w:t>
      </w:r>
    </w:p>
    <w:p w:rsidR="0037666B" w:rsidRDefault="00C627B8">
      <w:pPr>
        <w:rPr>
          <w:b/>
          <w:noProof/>
          <w:u w:val="single"/>
        </w:rPr>
      </w:pPr>
      <w:r>
        <w:rPr>
          <w:b/>
          <w:noProof/>
          <w:u w:val="single"/>
        </w:rPr>
        <w:t>Co</w:t>
      </w:r>
      <w:r>
        <w:rPr>
          <w:b/>
          <w:noProof/>
          <w:u w:val="single"/>
        </w:rPr>
        <w:t>herence</w:t>
      </w:r>
    </w:p>
    <w:p w:rsidR="0037666B" w:rsidRDefault="00C627B8">
      <w:pPr>
        <w:tabs>
          <w:tab w:val="num" w:pos="720"/>
        </w:tabs>
        <w:rPr>
          <w:noProof/>
        </w:rPr>
      </w:pPr>
      <w:r>
        <w:rPr>
          <w:noProof/>
        </w:rPr>
        <w:t>Overall, the evaluation shows that there does not seem to be any contradiction between mutual recognition and other EU policies for achieving the internal market and facilitating the free movement of goods in the EU. This conclusion relies on the C</w:t>
      </w:r>
      <w:r>
        <w:rPr>
          <w:noProof/>
        </w:rPr>
        <w:t>ommissions internal analysis and is confirmed by the results of the 2016 public consultation. There is a consensus among stakeholders as regards to the coherence of the Regulation with regard to other EU pieces of legislation. Most of the respondents are n</w:t>
      </w:r>
      <w:r>
        <w:rPr>
          <w:noProof/>
        </w:rPr>
        <w:t>ot aware of any overlaps between the Regulation and other initiatives/legislation/policies. The mutual recognition principle and the Regulation complement each other and are coherent with a number of initiatives for achieving the internal market and facili</w:t>
      </w:r>
      <w:r>
        <w:rPr>
          <w:noProof/>
        </w:rPr>
        <w:t>tating the free movement of goods in the EU, such as the "Transparency"</w:t>
      </w:r>
      <w:r>
        <w:rPr>
          <w:noProof/>
          <w:vertAlign w:val="superscript"/>
        </w:rPr>
        <w:footnoteReference w:id="186"/>
      </w:r>
      <w:r>
        <w:rPr>
          <w:noProof/>
        </w:rPr>
        <w:t>, the Construction Products Regulation</w:t>
      </w:r>
      <w:r>
        <w:rPr>
          <w:noProof/>
          <w:vertAlign w:val="superscript"/>
        </w:rPr>
        <w:footnoteReference w:id="187"/>
      </w:r>
      <w:r>
        <w:rPr>
          <w:noProof/>
          <w:vertAlign w:val="superscript"/>
        </w:rPr>
        <w:t>,</w:t>
      </w:r>
      <w:r>
        <w:rPr>
          <w:noProof/>
        </w:rPr>
        <w:t xml:space="preserve"> The SOLVIT network</w:t>
      </w:r>
      <w:r>
        <w:rPr>
          <w:noProof/>
          <w:vertAlign w:val="superscript"/>
        </w:rPr>
        <w:footnoteReference w:id="188"/>
      </w:r>
      <w:r>
        <w:rPr>
          <w:noProof/>
        </w:rPr>
        <w:t xml:space="preserve"> and EU harmonisation legislation. A minor part of respondents to the 2016 public consultation indicated that there are some overlaps linked to SOLVIT, RAPEX</w:t>
      </w:r>
      <w:r>
        <w:rPr>
          <w:noProof/>
          <w:vertAlign w:val="superscript"/>
        </w:rPr>
        <w:footnoteReference w:id="189"/>
      </w:r>
      <w:r>
        <w:rPr>
          <w:noProof/>
        </w:rPr>
        <w:t>, ICSMS</w:t>
      </w:r>
      <w:r>
        <w:rPr>
          <w:noProof/>
          <w:vertAlign w:val="superscript"/>
        </w:rPr>
        <w:footnoteReference w:id="190"/>
      </w:r>
      <w:r>
        <w:rPr>
          <w:noProof/>
        </w:rPr>
        <w:t xml:space="preserve"> and Regulation 765/2008 on market surveillance</w:t>
      </w:r>
      <w:r>
        <w:rPr>
          <w:noProof/>
          <w:vertAlign w:val="superscript"/>
        </w:rPr>
        <w:footnoteReference w:id="191"/>
      </w:r>
      <w:r>
        <w:rPr>
          <w:noProof/>
          <w:vertAlign w:val="superscript"/>
        </w:rPr>
        <w:t>.</w:t>
      </w:r>
      <w:r>
        <w:rPr>
          <w:noProof/>
        </w:rPr>
        <w:t xml:space="preserve"> However, the analysis of their individua</w:t>
      </w:r>
      <w:r>
        <w:rPr>
          <w:noProof/>
        </w:rPr>
        <w:t xml:space="preserve">l replies shows that their perception is due to a misunderstanding of the EU legislation identified rather than to real overlaps. </w:t>
      </w:r>
    </w:p>
    <w:p w:rsidR="0037666B" w:rsidRDefault="00C627B8">
      <w:pPr>
        <w:rPr>
          <w:b/>
          <w:noProof/>
          <w:u w:val="single"/>
        </w:rPr>
      </w:pPr>
      <w:r>
        <w:rPr>
          <w:b/>
          <w:noProof/>
          <w:u w:val="single"/>
        </w:rPr>
        <w:t xml:space="preserve">Relevance </w:t>
      </w:r>
    </w:p>
    <w:p w:rsidR="0037666B" w:rsidRDefault="00C627B8">
      <w:pPr>
        <w:rPr>
          <w:noProof/>
        </w:rPr>
      </w:pPr>
      <w:r>
        <w:rPr>
          <w:noProof/>
        </w:rPr>
        <w:t>Mutual recognition is "one of the most appreciated innovations of the EU"</w:t>
      </w:r>
      <w:r>
        <w:rPr>
          <w:noProof/>
          <w:vertAlign w:val="superscript"/>
        </w:rPr>
        <w:footnoteReference w:id="192"/>
      </w:r>
      <w:r>
        <w:rPr>
          <w:noProof/>
        </w:rPr>
        <w:t>, as it aims to achieve a deep market in</w:t>
      </w:r>
      <w:r>
        <w:rPr>
          <w:noProof/>
        </w:rPr>
        <w:t>tegration while respecting diversity and regulatory autonomy among Member States. It is seen as an alternative to harmonisation, when the latest is not necessary, justified and proportionate. There are currently 0.99 million enterprises operating in the no</w:t>
      </w:r>
      <w:r>
        <w:rPr>
          <w:noProof/>
        </w:rPr>
        <w:t>n-harmonised area.  Furthermore, mutual recognition is particularly relevant for supporting innovation, where it represents the only alternative for businesses wishing to market their new/innovative products in other Member States.  This conclusion justifi</w:t>
      </w:r>
      <w:r>
        <w:rPr>
          <w:noProof/>
        </w:rPr>
        <w:t xml:space="preserve">es the need for a continued effort to refine and improve the functioning of mutual recognition and achieve full potential of the internal market.   </w:t>
      </w:r>
    </w:p>
    <w:p w:rsidR="0037666B" w:rsidRDefault="00C627B8">
      <w:pPr>
        <w:tabs>
          <w:tab w:val="num" w:pos="720"/>
        </w:tabs>
        <w:rPr>
          <w:b/>
          <w:noProof/>
          <w:u w:val="single"/>
        </w:rPr>
      </w:pPr>
      <w:r>
        <w:rPr>
          <w:b/>
          <w:noProof/>
          <w:u w:val="single"/>
        </w:rPr>
        <w:t xml:space="preserve">EU added value </w:t>
      </w:r>
    </w:p>
    <w:p w:rsidR="0037666B" w:rsidRDefault="00C627B8">
      <w:pPr>
        <w:rPr>
          <w:noProof/>
        </w:rPr>
      </w:pPr>
      <w:r>
        <w:rPr>
          <w:noProof/>
        </w:rPr>
        <w:t xml:space="preserve">The evaluation shows a general consensus among stakeholders that mutual recognition brings </w:t>
      </w:r>
      <w:r>
        <w:rPr>
          <w:noProof/>
        </w:rPr>
        <w:t xml:space="preserve">added value to the EU. It creates the possibility to market products in other Member States that are already lawfully marketed elsewhere, while maintaining the Member States' regulatory autonomy and diversity. It is widely acknowledged that the objectives </w:t>
      </w:r>
      <w:r>
        <w:rPr>
          <w:noProof/>
        </w:rPr>
        <w:t>it sets out can be met only by acting at EU level. Throughout the consultation process, stakeholders were almost unanimous as regards the necessity of having an EU legal instrument for achieving more and better mutual recognition.</w:t>
      </w:r>
    </w:p>
    <w:p w:rsidR="0037666B" w:rsidRDefault="0037666B">
      <w:pPr>
        <w:rPr>
          <w:noProof/>
        </w:rPr>
      </w:pPr>
    </w:p>
    <w:p w:rsidR="0037666B" w:rsidRDefault="00C627B8">
      <w:pPr>
        <w:spacing w:after="0"/>
        <w:jc w:val="left"/>
        <w:rPr>
          <w:noProof/>
        </w:rPr>
      </w:pPr>
      <w:r>
        <w:rPr>
          <w:noProof/>
        </w:rPr>
        <w:br w:type="page"/>
      </w:r>
    </w:p>
    <w:p w:rsidR="0037666B" w:rsidRDefault="00C627B8">
      <w:pPr>
        <w:pStyle w:val="Heading1"/>
        <w:keepNext w:val="0"/>
        <w:numPr>
          <w:ilvl w:val="0"/>
          <w:numId w:val="0"/>
        </w:numPr>
        <w:spacing w:before="0"/>
        <w:rPr>
          <w:noProof/>
          <w:szCs w:val="24"/>
        </w:rPr>
      </w:pPr>
      <w:bookmarkStart w:id="173" w:name="_Toc483992787"/>
      <w:r>
        <w:rPr>
          <w:noProof/>
          <w:szCs w:val="24"/>
        </w:rPr>
        <w:t xml:space="preserve">Annex 7 assessed </w:t>
      </w:r>
      <w:r>
        <w:rPr>
          <w:noProof/>
          <w:szCs w:val="24"/>
        </w:rPr>
        <w:t>literature and jurisprudence</w:t>
      </w:r>
      <w:bookmarkEnd w:id="173"/>
      <w:r>
        <w:rPr>
          <w:noProof/>
          <w:szCs w:val="24"/>
        </w:rPr>
        <w:t xml:space="preserve"> </w:t>
      </w:r>
    </w:p>
    <w:p w:rsidR="0037666B" w:rsidRDefault="00C627B8">
      <w:pPr>
        <w:pStyle w:val="Heading1"/>
        <w:keepNext w:val="0"/>
        <w:numPr>
          <w:ilvl w:val="0"/>
          <w:numId w:val="42"/>
        </w:numPr>
        <w:tabs>
          <w:tab w:val="clear" w:pos="480"/>
          <w:tab w:val="num" w:pos="567"/>
        </w:tabs>
        <w:spacing w:before="0"/>
        <w:rPr>
          <w:noProof/>
          <w:szCs w:val="24"/>
        </w:rPr>
      </w:pPr>
      <w:bookmarkStart w:id="174" w:name="_Toc483992788"/>
      <w:r>
        <w:rPr>
          <w:noProof/>
          <w:szCs w:val="24"/>
        </w:rPr>
        <w:t>Literature</w:t>
      </w:r>
      <w:bookmarkEnd w:id="174"/>
      <w:r>
        <w:rPr>
          <w:noProof/>
          <w:szCs w:val="24"/>
        </w:rPr>
        <w:t xml:space="preserve"> </w:t>
      </w:r>
    </w:p>
    <w:p w:rsidR="0037666B" w:rsidRDefault="00C627B8">
      <w:pPr>
        <w:numPr>
          <w:ilvl w:val="0"/>
          <w:numId w:val="33"/>
        </w:numPr>
        <w:tabs>
          <w:tab w:val="left" w:pos="-480"/>
        </w:tabs>
        <w:ind w:left="567" w:hanging="567"/>
        <w:rPr>
          <w:noProof/>
          <w:szCs w:val="24"/>
        </w:rPr>
      </w:pPr>
      <w:r>
        <w:rPr>
          <w:noProof/>
          <w:szCs w:val="24"/>
        </w:rPr>
        <w:t>BIS publication (2011): The economic consequences for the UK and the EU of completing the Single Market</w:t>
      </w:r>
    </w:p>
    <w:p w:rsidR="0037666B" w:rsidRDefault="00C627B8">
      <w:pPr>
        <w:numPr>
          <w:ilvl w:val="0"/>
          <w:numId w:val="33"/>
        </w:numPr>
        <w:tabs>
          <w:tab w:val="left" w:pos="-480"/>
        </w:tabs>
        <w:ind w:left="567" w:hanging="567"/>
        <w:rPr>
          <w:noProof/>
          <w:szCs w:val="24"/>
        </w:rPr>
      </w:pPr>
      <w:r>
        <w:rPr>
          <w:noProof/>
          <w:szCs w:val="24"/>
        </w:rPr>
        <w:t xml:space="preserve">BIS publication (2013) : Optimal Integration in the Single market: A Synoptic Review </w:t>
      </w:r>
    </w:p>
    <w:p w:rsidR="0037666B" w:rsidRDefault="00C627B8">
      <w:pPr>
        <w:numPr>
          <w:ilvl w:val="0"/>
          <w:numId w:val="33"/>
        </w:numPr>
        <w:tabs>
          <w:tab w:val="left" w:pos="-480"/>
        </w:tabs>
        <w:ind w:left="567" w:hanging="567"/>
        <w:rPr>
          <w:noProof/>
          <w:szCs w:val="24"/>
        </w:rPr>
      </w:pPr>
      <w:r>
        <w:rPr>
          <w:noProof/>
          <w:szCs w:val="24"/>
        </w:rPr>
        <w:t>Moïsé, E. 2013. The impa</w:t>
      </w:r>
      <w:r>
        <w:rPr>
          <w:noProof/>
          <w:szCs w:val="24"/>
        </w:rPr>
        <w:t>ct of trade facilitation on developing countries. GREAT Insights, Volume 2, Issue 8. November 2013. Maastricht: ECDPM</w:t>
      </w:r>
    </w:p>
    <w:p w:rsidR="0037666B" w:rsidRDefault="00C627B8">
      <w:pPr>
        <w:numPr>
          <w:ilvl w:val="0"/>
          <w:numId w:val="33"/>
        </w:numPr>
        <w:tabs>
          <w:tab w:val="left" w:pos="-480"/>
        </w:tabs>
        <w:ind w:left="567" w:hanging="567"/>
        <w:rPr>
          <w:noProof/>
          <w:szCs w:val="24"/>
        </w:rPr>
      </w:pPr>
      <w:r>
        <w:rPr>
          <w:noProof/>
          <w:szCs w:val="24"/>
        </w:rPr>
        <w:t>M. Vancauteren and D. Weiserbs, ULC :Intra-European Trade of Manufacturing Goods: An extension of the gravity model</w:t>
      </w:r>
    </w:p>
    <w:p w:rsidR="0037666B" w:rsidRDefault="00C627B8">
      <w:pPr>
        <w:numPr>
          <w:ilvl w:val="0"/>
          <w:numId w:val="33"/>
        </w:numPr>
        <w:tabs>
          <w:tab w:val="left" w:pos="-480"/>
        </w:tabs>
        <w:ind w:left="567" w:hanging="567"/>
        <w:rPr>
          <w:noProof/>
          <w:szCs w:val="24"/>
        </w:rPr>
      </w:pPr>
      <w:r>
        <w:rPr>
          <w:noProof/>
          <w:szCs w:val="24"/>
        </w:rPr>
        <w:t>Jan Guldareg Jorgensen</w:t>
      </w:r>
      <w:r>
        <w:rPr>
          <w:noProof/>
          <w:szCs w:val="24"/>
        </w:rPr>
        <w:t xml:space="preserve"> and Philipp J.H. Schroder, Harmonisation versus Mutual Recognition, Some pitfalls for the coordination of product standards under imperfect competition, Discussion papers on Business and Economics No.23/2014</w:t>
      </w:r>
    </w:p>
    <w:p w:rsidR="0037666B" w:rsidRDefault="00C627B8">
      <w:pPr>
        <w:numPr>
          <w:ilvl w:val="0"/>
          <w:numId w:val="33"/>
        </w:numPr>
        <w:tabs>
          <w:tab w:val="left" w:pos="-480"/>
        </w:tabs>
        <w:ind w:left="567" w:hanging="567"/>
        <w:rPr>
          <w:noProof/>
          <w:szCs w:val="24"/>
        </w:rPr>
      </w:pPr>
      <w:r>
        <w:rPr>
          <w:noProof/>
          <w:szCs w:val="24"/>
        </w:rPr>
        <w:t>Natalie Chen and Dennis Novy, International Tra</w:t>
      </w:r>
      <w:r>
        <w:rPr>
          <w:noProof/>
          <w:szCs w:val="24"/>
        </w:rPr>
        <w:t>de Integration: A Disaggregated Approach, 2009, CEP Discussion Paper No 908</w:t>
      </w:r>
    </w:p>
    <w:p w:rsidR="0037666B" w:rsidRDefault="00C627B8">
      <w:pPr>
        <w:numPr>
          <w:ilvl w:val="0"/>
          <w:numId w:val="33"/>
        </w:numPr>
        <w:tabs>
          <w:tab w:val="left" w:pos="-480"/>
        </w:tabs>
        <w:ind w:left="567" w:hanging="567"/>
        <w:rPr>
          <w:noProof/>
          <w:szCs w:val="24"/>
        </w:rPr>
      </w:pPr>
      <w:r>
        <w:rPr>
          <w:noProof/>
          <w:szCs w:val="24"/>
        </w:rPr>
        <w:t>Business Europe (2014): Position paper: Evaluation of the application of the principle of mutual recognition mutual recognition principle of goods</w:t>
      </w:r>
    </w:p>
    <w:p w:rsidR="0037666B" w:rsidRDefault="00C627B8">
      <w:pPr>
        <w:numPr>
          <w:ilvl w:val="0"/>
          <w:numId w:val="33"/>
        </w:numPr>
        <w:tabs>
          <w:tab w:val="left" w:pos="-480"/>
        </w:tabs>
        <w:ind w:left="567" w:hanging="567"/>
        <w:rPr>
          <w:noProof/>
          <w:szCs w:val="24"/>
        </w:rPr>
      </w:pPr>
      <w:r>
        <w:rPr>
          <w:noProof/>
          <w:szCs w:val="24"/>
        </w:rPr>
        <w:t>CSES (2014): Evaluation of the In</w:t>
      </w:r>
      <w:r>
        <w:rPr>
          <w:noProof/>
          <w:szCs w:val="24"/>
        </w:rPr>
        <w:t>ternal Market Legislation for Industrial Products</w:t>
      </w:r>
    </w:p>
    <w:p w:rsidR="0037666B" w:rsidRDefault="00C627B8">
      <w:pPr>
        <w:numPr>
          <w:ilvl w:val="0"/>
          <w:numId w:val="33"/>
        </w:numPr>
        <w:tabs>
          <w:tab w:val="left" w:pos="-480"/>
        </w:tabs>
        <w:ind w:left="567" w:hanging="567"/>
        <w:rPr>
          <w:noProof/>
          <w:szCs w:val="24"/>
        </w:rPr>
      </w:pPr>
      <w:r>
        <w:rPr>
          <w:noProof/>
          <w:szCs w:val="24"/>
        </w:rPr>
        <w:t>Copenhagen Economics (2012): Delivering a stronger single market</w:t>
      </w:r>
    </w:p>
    <w:p w:rsidR="0037666B" w:rsidRDefault="00C627B8">
      <w:pPr>
        <w:numPr>
          <w:ilvl w:val="0"/>
          <w:numId w:val="33"/>
        </w:numPr>
        <w:tabs>
          <w:tab w:val="left" w:pos="-480"/>
        </w:tabs>
        <w:ind w:left="567" w:hanging="567"/>
        <w:rPr>
          <w:noProof/>
          <w:szCs w:val="24"/>
        </w:rPr>
      </w:pPr>
      <w:r>
        <w:rPr>
          <w:noProof/>
          <w:szCs w:val="24"/>
        </w:rPr>
        <w:t>Laurens Ankersmit, What if Cassis de Dijon were Cassis de Quebec? The assimilation of goods of third countries origin in the internal market,</w:t>
      </w:r>
      <w:r>
        <w:rPr>
          <w:noProof/>
          <w:szCs w:val="24"/>
        </w:rPr>
        <w:t xml:space="preserve"> Common Market Law Review 50: 1387-1410,2013</w:t>
      </w:r>
    </w:p>
    <w:p w:rsidR="0037666B" w:rsidRDefault="00C627B8">
      <w:pPr>
        <w:numPr>
          <w:ilvl w:val="0"/>
          <w:numId w:val="33"/>
        </w:numPr>
        <w:tabs>
          <w:tab w:val="left" w:pos="-480"/>
        </w:tabs>
        <w:ind w:left="567" w:hanging="567"/>
        <w:rPr>
          <w:noProof/>
          <w:szCs w:val="24"/>
        </w:rPr>
      </w:pPr>
      <w:r>
        <w:rPr>
          <w:noProof/>
          <w:szCs w:val="24"/>
        </w:rPr>
        <w:t>Markus Mostl, Preconditions and limits of mutual recognition, Common Market Law Review 47:405-436, 2010</w:t>
      </w:r>
    </w:p>
    <w:p w:rsidR="0037666B" w:rsidRDefault="00C627B8">
      <w:pPr>
        <w:numPr>
          <w:ilvl w:val="0"/>
          <w:numId w:val="33"/>
        </w:numPr>
        <w:tabs>
          <w:tab w:val="left" w:pos="-480"/>
        </w:tabs>
        <w:ind w:left="567" w:hanging="567"/>
        <w:rPr>
          <w:noProof/>
          <w:szCs w:val="24"/>
        </w:rPr>
      </w:pPr>
      <w:r>
        <w:rPr>
          <w:noProof/>
          <w:szCs w:val="24"/>
        </w:rPr>
        <w:t>Christine Janssens (2013): The principle of mutual recognition mutual recognition principle in EU law</w:t>
      </w:r>
    </w:p>
    <w:p w:rsidR="0037666B" w:rsidRDefault="00C627B8">
      <w:pPr>
        <w:numPr>
          <w:ilvl w:val="0"/>
          <w:numId w:val="33"/>
        </w:numPr>
        <w:tabs>
          <w:tab w:val="left" w:pos="-480"/>
        </w:tabs>
        <w:ind w:left="567" w:hanging="567"/>
        <w:rPr>
          <w:noProof/>
          <w:szCs w:val="24"/>
        </w:rPr>
      </w:pPr>
      <w:r>
        <w:rPr>
          <w:noProof/>
          <w:szCs w:val="24"/>
        </w:rPr>
        <w:t>Kerbe</w:t>
      </w:r>
      <w:r>
        <w:rPr>
          <w:noProof/>
          <w:szCs w:val="24"/>
        </w:rPr>
        <w:t>r and Van den Bergh, Mutual Recognition Revisited: Misunderstandings, Inconsistencies, and Suggested reinterpretation, Kyklos, Vol.61, 2008, No. 3, 447-465</w:t>
      </w:r>
    </w:p>
    <w:p w:rsidR="0037666B" w:rsidRDefault="00C627B8">
      <w:pPr>
        <w:numPr>
          <w:ilvl w:val="0"/>
          <w:numId w:val="33"/>
        </w:numPr>
        <w:tabs>
          <w:tab w:val="left" w:pos="-480"/>
        </w:tabs>
        <w:ind w:left="567" w:hanging="567"/>
        <w:rPr>
          <w:noProof/>
          <w:szCs w:val="24"/>
        </w:rPr>
      </w:pPr>
      <w:r>
        <w:rPr>
          <w:noProof/>
          <w:szCs w:val="24"/>
        </w:rPr>
        <w:t>HM Government UK (2013): Review of the Balance of Competences between the United Kingdom and the Eur</w:t>
      </w:r>
      <w:r>
        <w:rPr>
          <w:noProof/>
          <w:szCs w:val="24"/>
        </w:rPr>
        <w:t>opean Union - The Single Market</w:t>
      </w:r>
    </w:p>
    <w:p w:rsidR="0037666B" w:rsidRDefault="00C627B8">
      <w:pPr>
        <w:numPr>
          <w:ilvl w:val="0"/>
          <w:numId w:val="33"/>
        </w:numPr>
        <w:tabs>
          <w:tab w:val="left" w:pos="-480"/>
        </w:tabs>
        <w:ind w:left="567" w:hanging="567"/>
        <w:rPr>
          <w:noProof/>
          <w:szCs w:val="24"/>
        </w:rPr>
      </w:pPr>
      <w:r>
        <w:rPr>
          <w:noProof/>
          <w:szCs w:val="24"/>
        </w:rPr>
        <w:t>Mattera, The principle of mutual recognition and respect for national, regional and local identities and traditions, Kostoris and Schiopa (Eds.)</w:t>
      </w:r>
    </w:p>
    <w:p w:rsidR="0037666B" w:rsidRDefault="00C627B8">
      <w:pPr>
        <w:numPr>
          <w:ilvl w:val="0"/>
          <w:numId w:val="33"/>
        </w:numPr>
        <w:tabs>
          <w:tab w:val="left" w:pos="-480"/>
        </w:tabs>
        <w:ind w:left="567" w:hanging="567"/>
        <w:rPr>
          <w:noProof/>
          <w:szCs w:val="24"/>
        </w:rPr>
      </w:pPr>
      <w:r>
        <w:rPr>
          <w:noProof/>
          <w:szCs w:val="24"/>
        </w:rPr>
        <w:t>Weiler, Mutual recognition, functional equivalence and harmonisation in the evo</w:t>
      </w:r>
      <w:r>
        <w:rPr>
          <w:noProof/>
          <w:szCs w:val="24"/>
        </w:rPr>
        <w:t>lution of the European commun market and the WTO, Kostoris and Schiopa (Eds.)</w:t>
      </w:r>
    </w:p>
    <w:p w:rsidR="0037666B" w:rsidRDefault="00C627B8">
      <w:pPr>
        <w:numPr>
          <w:ilvl w:val="0"/>
          <w:numId w:val="33"/>
        </w:numPr>
        <w:tabs>
          <w:tab w:val="left" w:pos="-480"/>
        </w:tabs>
        <w:ind w:left="567" w:hanging="567"/>
        <w:rPr>
          <w:noProof/>
          <w:szCs w:val="24"/>
        </w:rPr>
      </w:pPr>
      <w:r>
        <w:rPr>
          <w:noProof/>
          <w:szCs w:val="24"/>
        </w:rPr>
        <w:t xml:space="preserve">Mattera, The principle of mutual recognition in the European integration process, Palgrave Macmillan, 2005, pp. 1-24 </w:t>
      </w:r>
    </w:p>
    <w:p w:rsidR="0037666B" w:rsidRDefault="00C627B8">
      <w:pPr>
        <w:numPr>
          <w:ilvl w:val="0"/>
          <w:numId w:val="33"/>
        </w:numPr>
        <w:tabs>
          <w:tab w:val="left" w:pos="-480"/>
        </w:tabs>
        <w:ind w:left="567" w:hanging="567"/>
        <w:rPr>
          <w:noProof/>
          <w:szCs w:val="24"/>
        </w:rPr>
      </w:pPr>
      <w:r>
        <w:rPr>
          <w:noProof/>
          <w:szCs w:val="24"/>
        </w:rPr>
        <w:t>Amstrong, Mutual recognition, Barnard and Scott(Eds.)</w:t>
      </w:r>
    </w:p>
    <w:p w:rsidR="0037666B" w:rsidRDefault="00C627B8">
      <w:pPr>
        <w:numPr>
          <w:ilvl w:val="0"/>
          <w:numId w:val="33"/>
        </w:numPr>
        <w:tabs>
          <w:tab w:val="left" w:pos="-480"/>
        </w:tabs>
        <w:ind w:left="567" w:hanging="567"/>
        <w:rPr>
          <w:noProof/>
          <w:szCs w:val="24"/>
        </w:rPr>
      </w:pPr>
      <w:r>
        <w:rPr>
          <w:noProof/>
          <w:szCs w:val="24"/>
        </w:rPr>
        <w:t>Amstro</w:t>
      </w:r>
      <w:r>
        <w:rPr>
          <w:noProof/>
          <w:szCs w:val="24"/>
        </w:rPr>
        <w:t>ng, The law of the single European market: unpacking the premises, Hart Publishing, 2002, pp. 225-267</w:t>
      </w:r>
    </w:p>
    <w:p w:rsidR="0037666B" w:rsidRDefault="00C627B8">
      <w:pPr>
        <w:numPr>
          <w:ilvl w:val="0"/>
          <w:numId w:val="33"/>
        </w:numPr>
        <w:tabs>
          <w:tab w:val="left" w:pos="-480"/>
        </w:tabs>
        <w:ind w:left="567" w:hanging="567"/>
        <w:rPr>
          <w:noProof/>
          <w:szCs w:val="24"/>
        </w:rPr>
      </w:pPr>
      <w:r>
        <w:rPr>
          <w:noProof/>
          <w:szCs w:val="24"/>
        </w:rPr>
        <w:t>Patrick A. Messerlin (2011) The European Union single market in goods: between mutual recognition and harmonisation, Australian journal of International A</w:t>
      </w:r>
      <w:r>
        <w:rPr>
          <w:noProof/>
          <w:szCs w:val="24"/>
        </w:rPr>
        <w:t>ffairs, 65:4, 410-435</w:t>
      </w:r>
    </w:p>
    <w:p w:rsidR="0037666B" w:rsidRDefault="00C627B8">
      <w:pPr>
        <w:numPr>
          <w:ilvl w:val="0"/>
          <w:numId w:val="33"/>
        </w:numPr>
        <w:tabs>
          <w:tab w:val="left" w:pos="-480"/>
        </w:tabs>
        <w:ind w:left="567" w:hanging="567"/>
        <w:rPr>
          <w:noProof/>
          <w:szCs w:val="24"/>
        </w:rPr>
      </w:pPr>
      <w:r>
        <w:rPr>
          <w:noProof/>
          <w:szCs w:val="24"/>
        </w:rPr>
        <w:t xml:space="preserve">Davies, Is mutual recognition an alternative to harmonisation: lessons on trade and tolerance of diversity from the EU, Bartels and Ortino (Eds.), </w:t>
      </w:r>
    </w:p>
    <w:p w:rsidR="0037666B" w:rsidRDefault="00C627B8">
      <w:pPr>
        <w:numPr>
          <w:ilvl w:val="0"/>
          <w:numId w:val="33"/>
        </w:numPr>
        <w:tabs>
          <w:tab w:val="left" w:pos="-480"/>
        </w:tabs>
        <w:ind w:left="567" w:hanging="567"/>
        <w:rPr>
          <w:noProof/>
          <w:szCs w:val="24"/>
        </w:rPr>
      </w:pPr>
      <w:r>
        <w:rPr>
          <w:noProof/>
          <w:szCs w:val="24"/>
        </w:rPr>
        <w:t>Davies, regional trade agreements and the WTO legal system, OUP, 2006, pp. 265-280</w:t>
      </w:r>
    </w:p>
    <w:p w:rsidR="0037666B" w:rsidRDefault="00C627B8">
      <w:pPr>
        <w:numPr>
          <w:ilvl w:val="0"/>
          <w:numId w:val="33"/>
        </w:numPr>
        <w:tabs>
          <w:tab w:val="left" w:pos="-480"/>
        </w:tabs>
        <w:ind w:left="567" w:hanging="567"/>
        <w:rPr>
          <w:noProof/>
          <w:szCs w:val="24"/>
        </w:rPr>
      </w:pPr>
      <w:r>
        <w:rPr>
          <w:noProof/>
          <w:szCs w:val="24"/>
        </w:rPr>
        <w:t>Bar</w:t>
      </w:r>
      <w:r>
        <w:rPr>
          <w:noProof/>
          <w:szCs w:val="24"/>
        </w:rPr>
        <w:t>tels, The legality of the EC mutual recognition clause under WTO law, Journal of International Economic law, 2005, 691-720</w:t>
      </w:r>
    </w:p>
    <w:p w:rsidR="0037666B" w:rsidRDefault="00C627B8">
      <w:pPr>
        <w:numPr>
          <w:ilvl w:val="0"/>
          <w:numId w:val="33"/>
        </w:numPr>
        <w:tabs>
          <w:tab w:val="left" w:pos="-480"/>
        </w:tabs>
        <w:ind w:left="567" w:hanging="567"/>
        <w:rPr>
          <w:noProof/>
          <w:szCs w:val="24"/>
        </w:rPr>
      </w:pPr>
      <w:r>
        <w:rPr>
          <w:noProof/>
          <w:szCs w:val="24"/>
        </w:rPr>
        <w:t>Toulemonde, A welfare analysis of the principle of mutual recognition, European Economic review 60, 2013,1-16</w:t>
      </w:r>
    </w:p>
    <w:p w:rsidR="0037666B" w:rsidRDefault="00C627B8">
      <w:pPr>
        <w:numPr>
          <w:ilvl w:val="0"/>
          <w:numId w:val="33"/>
        </w:numPr>
        <w:tabs>
          <w:tab w:val="left" w:pos="-480"/>
        </w:tabs>
        <w:ind w:left="567" w:hanging="567"/>
        <w:rPr>
          <w:noProof/>
          <w:szCs w:val="24"/>
        </w:rPr>
      </w:pPr>
      <w:r>
        <w:rPr>
          <w:noProof/>
          <w:szCs w:val="24"/>
        </w:rPr>
        <w:t xml:space="preserve">OECD (2013): </w:t>
      </w:r>
      <w:r>
        <w:rPr>
          <w:noProof/>
          <w:szCs w:val="24"/>
        </w:rPr>
        <w:t>International Regulatory Co-operation: Addressing Global Challenges, OECD Publishing.</w:t>
      </w:r>
    </w:p>
    <w:p w:rsidR="0037666B" w:rsidRDefault="00C627B8">
      <w:pPr>
        <w:numPr>
          <w:ilvl w:val="0"/>
          <w:numId w:val="33"/>
        </w:numPr>
        <w:tabs>
          <w:tab w:val="left" w:pos="-480"/>
        </w:tabs>
        <w:ind w:left="567" w:hanging="567"/>
        <w:rPr>
          <w:noProof/>
          <w:szCs w:val="24"/>
        </w:rPr>
      </w:pPr>
      <w:r>
        <w:rPr>
          <w:noProof/>
          <w:szCs w:val="24"/>
        </w:rPr>
        <w:t>OECD (2013): Trends in international regulatory co-operation, in International Regulatory Co-operation: Addressing Global Challenges, OECD Publishing.</w:t>
      </w:r>
    </w:p>
    <w:p w:rsidR="0037666B" w:rsidRDefault="00C627B8">
      <w:pPr>
        <w:numPr>
          <w:ilvl w:val="0"/>
          <w:numId w:val="33"/>
        </w:numPr>
        <w:tabs>
          <w:tab w:val="left" w:pos="-480"/>
        </w:tabs>
        <w:ind w:left="567" w:hanging="567"/>
        <w:rPr>
          <w:noProof/>
          <w:szCs w:val="24"/>
        </w:rPr>
      </w:pPr>
      <w:r>
        <w:rPr>
          <w:noProof/>
          <w:szCs w:val="24"/>
        </w:rPr>
        <w:t>Orgalime (2014): Po</w:t>
      </w:r>
      <w:r>
        <w:rPr>
          <w:noProof/>
          <w:szCs w:val="24"/>
        </w:rPr>
        <w:t>sition paper: Suggestions for improving the application of the mutual recognition principle</w:t>
      </w:r>
    </w:p>
    <w:p w:rsidR="0037666B" w:rsidRDefault="00C627B8">
      <w:pPr>
        <w:numPr>
          <w:ilvl w:val="0"/>
          <w:numId w:val="33"/>
        </w:numPr>
        <w:tabs>
          <w:tab w:val="left" w:pos="-480"/>
        </w:tabs>
        <w:ind w:left="567" w:hanging="567"/>
        <w:rPr>
          <w:noProof/>
          <w:szCs w:val="24"/>
        </w:rPr>
      </w:pPr>
      <w:r>
        <w:rPr>
          <w:noProof/>
          <w:szCs w:val="24"/>
        </w:rPr>
        <w:t>Pelkmans, Jacques (2012): Mutual Recognition: economic and regulatory logic in goods and services</w:t>
      </w:r>
    </w:p>
    <w:p w:rsidR="0037666B" w:rsidRDefault="00C627B8">
      <w:pPr>
        <w:numPr>
          <w:ilvl w:val="0"/>
          <w:numId w:val="33"/>
        </w:numPr>
        <w:tabs>
          <w:tab w:val="left" w:pos="-480"/>
        </w:tabs>
        <w:ind w:left="567" w:hanging="567"/>
        <w:rPr>
          <w:noProof/>
          <w:szCs w:val="24"/>
        </w:rPr>
      </w:pPr>
      <w:r>
        <w:rPr>
          <w:noProof/>
          <w:szCs w:val="24"/>
        </w:rPr>
        <w:t>Pelkmans, Jacques (2011): the case for “more Single Market”</w:t>
      </w:r>
    </w:p>
    <w:p w:rsidR="0037666B" w:rsidRDefault="00C627B8">
      <w:pPr>
        <w:numPr>
          <w:ilvl w:val="0"/>
          <w:numId w:val="33"/>
        </w:numPr>
        <w:tabs>
          <w:tab w:val="left" w:pos="-480"/>
        </w:tabs>
        <w:ind w:left="567" w:hanging="567"/>
        <w:rPr>
          <w:noProof/>
          <w:szCs w:val="24"/>
        </w:rPr>
      </w:pPr>
      <w:r>
        <w:rPr>
          <w:noProof/>
          <w:szCs w:val="24"/>
        </w:rPr>
        <w:t>Pelkmans, Jacques (2010): Mutual Recognition: rationale, logic and application in the EU internal goods market</w:t>
      </w:r>
    </w:p>
    <w:p w:rsidR="0037666B" w:rsidRDefault="00C627B8">
      <w:pPr>
        <w:numPr>
          <w:ilvl w:val="0"/>
          <w:numId w:val="33"/>
        </w:numPr>
        <w:tabs>
          <w:tab w:val="left" w:pos="-480"/>
        </w:tabs>
        <w:ind w:left="567" w:hanging="567"/>
        <w:rPr>
          <w:noProof/>
          <w:szCs w:val="24"/>
        </w:rPr>
      </w:pPr>
      <w:r>
        <w:rPr>
          <w:noProof/>
          <w:szCs w:val="24"/>
        </w:rPr>
        <w:t>Pelkmans, Jacques (2003): Mutual Recognition in Goods and Services: An economic perspective</w:t>
      </w:r>
    </w:p>
    <w:p w:rsidR="0037666B" w:rsidRDefault="00C627B8">
      <w:pPr>
        <w:numPr>
          <w:ilvl w:val="0"/>
          <w:numId w:val="33"/>
        </w:numPr>
        <w:ind w:left="567" w:hanging="567"/>
        <w:rPr>
          <w:noProof/>
          <w:szCs w:val="24"/>
        </w:rPr>
      </w:pPr>
      <w:r>
        <w:rPr>
          <w:noProof/>
          <w:szCs w:val="24"/>
        </w:rPr>
        <w:t>Pelkmans, J., (2011), the case for “more Single Marke</w:t>
      </w:r>
      <w:r>
        <w:rPr>
          <w:noProof/>
          <w:szCs w:val="24"/>
        </w:rPr>
        <w:t>t”</w:t>
      </w:r>
    </w:p>
    <w:p w:rsidR="0037666B" w:rsidRDefault="0037666B">
      <w:pPr>
        <w:ind w:left="567" w:hanging="567"/>
        <w:rPr>
          <w:noProof/>
          <w:szCs w:val="24"/>
        </w:rPr>
      </w:pPr>
    </w:p>
    <w:p w:rsidR="0037666B" w:rsidRDefault="00C627B8">
      <w:pPr>
        <w:numPr>
          <w:ilvl w:val="0"/>
          <w:numId w:val="33"/>
        </w:numPr>
        <w:ind w:left="567" w:hanging="567"/>
        <w:rPr>
          <w:noProof/>
          <w:szCs w:val="24"/>
        </w:rPr>
      </w:pPr>
      <w:r>
        <w:rPr>
          <w:noProof/>
          <w:szCs w:val="24"/>
        </w:rPr>
        <w:t>Pelkmans, J., Correia de Brito, A. (2015), Transatlantic MRAs: Lessons for TTIP?, CEPS Special Report, no. 101, March, Brussels</w:t>
      </w:r>
    </w:p>
    <w:p w:rsidR="0037666B" w:rsidRDefault="00C627B8">
      <w:pPr>
        <w:numPr>
          <w:ilvl w:val="0"/>
          <w:numId w:val="33"/>
        </w:numPr>
        <w:ind w:left="567" w:hanging="567"/>
        <w:rPr>
          <w:noProof/>
          <w:szCs w:val="24"/>
        </w:rPr>
      </w:pPr>
      <w:r>
        <w:rPr>
          <w:noProof/>
          <w:szCs w:val="24"/>
        </w:rPr>
        <w:t>Pelkmans, J., Labory S., Majone, G. (2000), Better EU regulatory quality: assessing current initiatives and new proposals</w:t>
      </w:r>
    </w:p>
    <w:p w:rsidR="0037666B" w:rsidRDefault="00C627B8">
      <w:pPr>
        <w:numPr>
          <w:ilvl w:val="0"/>
          <w:numId w:val="33"/>
        </w:numPr>
        <w:ind w:left="567" w:hanging="567"/>
        <w:rPr>
          <w:noProof/>
          <w:szCs w:val="24"/>
        </w:rPr>
      </w:pPr>
      <w:r>
        <w:rPr>
          <w:noProof/>
          <w:szCs w:val="24"/>
        </w:rPr>
        <w:t>Pe</w:t>
      </w:r>
      <w:r>
        <w:rPr>
          <w:noProof/>
          <w:szCs w:val="24"/>
        </w:rPr>
        <w:t>lkmans J., Correia de Brito, A., Enforcement in the single market, Brussels</w:t>
      </w:r>
    </w:p>
    <w:p w:rsidR="0037666B" w:rsidRDefault="00C627B8">
      <w:pPr>
        <w:numPr>
          <w:ilvl w:val="0"/>
          <w:numId w:val="33"/>
        </w:numPr>
        <w:tabs>
          <w:tab w:val="left" w:pos="-480"/>
        </w:tabs>
        <w:ind w:left="567" w:hanging="567"/>
        <w:rPr>
          <w:noProof/>
          <w:szCs w:val="24"/>
        </w:rPr>
      </w:pPr>
      <w:r>
        <w:rPr>
          <w:noProof/>
          <w:szCs w:val="24"/>
        </w:rPr>
        <w:t>Schmidt, Susanne (2008): Mutual Recognition – a new mode of governance</w:t>
      </w:r>
    </w:p>
    <w:p w:rsidR="0037666B" w:rsidRDefault="00C627B8">
      <w:pPr>
        <w:numPr>
          <w:ilvl w:val="0"/>
          <w:numId w:val="33"/>
        </w:numPr>
        <w:ind w:left="567" w:hanging="567"/>
        <w:rPr>
          <w:noProof/>
          <w:szCs w:val="24"/>
        </w:rPr>
      </w:pPr>
      <w:r>
        <w:rPr>
          <w:noProof/>
          <w:szCs w:val="24"/>
        </w:rPr>
        <w:t xml:space="preserve">Commission report COM(2001)736 of 7 December 2001, “Economic Reform : Report on the functioning of Community </w:t>
      </w:r>
      <w:r>
        <w:rPr>
          <w:noProof/>
          <w:szCs w:val="24"/>
        </w:rPr>
        <w:t>product and capital markets”</w:t>
      </w:r>
    </w:p>
    <w:p w:rsidR="0037666B" w:rsidRDefault="00C627B8">
      <w:pPr>
        <w:numPr>
          <w:ilvl w:val="0"/>
          <w:numId w:val="33"/>
        </w:numPr>
        <w:ind w:left="567" w:hanging="567"/>
        <w:rPr>
          <w:noProof/>
          <w:szCs w:val="24"/>
        </w:rPr>
      </w:pPr>
      <w:r>
        <w:rPr>
          <w:noProof/>
          <w:szCs w:val="24"/>
        </w:rPr>
        <w:t xml:space="preserve">Commission Staff Working Paper SEC(2001)1993 of 7 December 2001, “Statistical and technical annex to the “Report on the functioning of Community product and capital markets; </w:t>
      </w:r>
    </w:p>
    <w:p w:rsidR="0037666B" w:rsidRDefault="00C627B8">
      <w:pPr>
        <w:numPr>
          <w:ilvl w:val="0"/>
          <w:numId w:val="33"/>
        </w:numPr>
        <w:ind w:left="567" w:hanging="567"/>
        <w:rPr>
          <w:noProof/>
          <w:szCs w:val="24"/>
        </w:rPr>
      </w:pPr>
      <w:r>
        <w:rPr>
          <w:noProof/>
          <w:szCs w:val="24"/>
        </w:rPr>
        <w:t>“Technical barriers to trade”, Volume 1 of Sub-serie</w:t>
      </w:r>
      <w:r>
        <w:rPr>
          <w:noProof/>
          <w:szCs w:val="24"/>
        </w:rPr>
        <w:t xml:space="preserve">s III (“Dismantling of Barriers: Technical Barriers to Trade”), Single Market Review, Luxembourg, 1998; </w:t>
      </w:r>
    </w:p>
    <w:p w:rsidR="0037666B" w:rsidRDefault="00C627B8">
      <w:pPr>
        <w:numPr>
          <w:ilvl w:val="0"/>
          <w:numId w:val="33"/>
        </w:numPr>
        <w:ind w:left="567" w:hanging="567"/>
        <w:rPr>
          <w:noProof/>
          <w:szCs w:val="24"/>
        </w:rPr>
      </w:pPr>
      <w:r>
        <w:rPr>
          <w:noProof/>
          <w:szCs w:val="24"/>
        </w:rPr>
        <w:t>Hagemejer J. and Michalek Jan J., “The Significance of Technical Barriers to Trade for Poland and other CEECs Acceding to the EU: Reconsidering the Evi</w:t>
      </w:r>
      <w:r>
        <w:rPr>
          <w:noProof/>
          <w:szCs w:val="24"/>
        </w:rPr>
        <w:t xml:space="preserve">dence”, Emergo – Journal of Transforming Economies and Societies, 2004, v. 11, No 1, p. 36; </w:t>
      </w:r>
    </w:p>
    <w:p w:rsidR="0037666B" w:rsidRDefault="00C627B8">
      <w:pPr>
        <w:numPr>
          <w:ilvl w:val="0"/>
          <w:numId w:val="33"/>
        </w:numPr>
        <w:ind w:left="567" w:hanging="567"/>
        <w:rPr>
          <w:noProof/>
          <w:szCs w:val="24"/>
        </w:rPr>
      </w:pPr>
      <w:r>
        <w:rPr>
          <w:noProof/>
          <w:szCs w:val="24"/>
        </w:rPr>
        <w:t>Brenton P. Sheehy J. and Vancauteren M., “Technical Barriers to Trade in the European Union: Data, Trends and Implications for Accession Countries”, Journal of Com</w:t>
      </w:r>
      <w:r>
        <w:rPr>
          <w:noProof/>
          <w:szCs w:val="24"/>
        </w:rPr>
        <w:t xml:space="preserve">mon Market Studies, 2001, No 39, p. 241; </w:t>
      </w:r>
    </w:p>
    <w:p w:rsidR="0037666B" w:rsidRDefault="00C627B8">
      <w:pPr>
        <w:numPr>
          <w:ilvl w:val="0"/>
          <w:numId w:val="33"/>
        </w:numPr>
        <w:ind w:left="567" w:hanging="567"/>
        <w:rPr>
          <w:noProof/>
          <w:szCs w:val="24"/>
        </w:rPr>
      </w:pPr>
      <w:r>
        <w:rPr>
          <w:noProof/>
          <w:szCs w:val="24"/>
        </w:rPr>
        <w:t>Fabienne Ilzkovitz, Adriaan Dierx, Viktoria Kovacs and Nuno Sousa, « Steps towards a deeper economic integration: the internal market in the 21st century “, European Economy, Economic Papers, No. 271. January 2007</w:t>
      </w:r>
    </w:p>
    <w:p w:rsidR="0037666B" w:rsidRDefault="00C627B8">
      <w:pPr>
        <w:numPr>
          <w:ilvl w:val="0"/>
          <w:numId w:val="33"/>
        </w:numPr>
        <w:ind w:left="567" w:hanging="567"/>
        <w:rPr>
          <w:noProof/>
          <w:szCs w:val="24"/>
        </w:rPr>
      </w:pPr>
      <w:r>
        <w:rPr>
          <w:noProof/>
          <w:szCs w:val="24"/>
        </w:rPr>
        <w:t>Rodrigue, J.P. et al. (2016), The Geography of Transport Systems, Routledge</w:t>
      </w:r>
    </w:p>
    <w:p w:rsidR="0037666B" w:rsidRDefault="00C627B8">
      <w:pPr>
        <w:tabs>
          <w:tab w:val="left" w:pos="-480"/>
        </w:tabs>
        <w:ind w:left="567" w:hanging="567"/>
        <w:rPr>
          <w:noProof/>
          <w:szCs w:val="24"/>
          <w:u w:val="single"/>
        </w:rPr>
      </w:pPr>
      <w:r>
        <w:rPr>
          <w:noProof/>
          <w:szCs w:val="24"/>
          <w:u w:val="single"/>
        </w:rPr>
        <w:t>European Council conclusions</w:t>
      </w:r>
    </w:p>
    <w:p w:rsidR="0037666B" w:rsidRDefault="00C627B8">
      <w:pPr>
        <w:numPr>
          <w:ilvl w:val="0"/>
          <w:numId w:val="32"/>
        </w:numPr>
        <w:tabs>
          <w:tab w:val="left" w:pos="-480"/>
        </w:tabs>
        <w:ind w:left="567" w:hanging="567"/>
        <w:rPr>
          <w:noProof/>
          <w:szCs w:val="24"/>
        </w:rPr>
      </w:pPr>
      <w:r>
        <w:rPr>
          <w:noProof/>
          <w:szCs w:val="24"/>
        </w:rPr>
        <w:t>Cardiff European Council, 15/16 June 1998: Presidency Conclusions</w:t>
      </w:r>
    </w:p>
    <w:p w:rsidR="0037666B" w:rsidRDefault="00C627B8">
      <w:pPr>
        <w:numPr>
          <w:ilvl w:val="0"/>
          <w:numId w:val="32"/>
        </w:numPr>
        <w:tabs>
          <w:tab w:val="left" w:pos="-480"/>
        </w:tabs>
        <w:ind w:left="567" w:hanging="567"/>
        <w:rPr>
          <w:noProof/>
          <w:szCs w:val="24"/>
        </w:rPr>
      </w:pPr>
      <w:r>
        <w:rPr>
          <w:noProof/>
          <w:szCs w:val="24"/>
        </w:rPr>
        <w:t>Council resolution of 28 October 1999 on mutual recognition (2000/C 141/02)</w:t>
      </w:r>
    </w:p>
    <w:p w:rsidR="0037666B" w:rsidRDefault="00C627B8">
      <w:pPr>
        <w:numPr>
          <w:ilvl w:val="0"/>
          <w:numId w:val="32"/>
        </w:numPr>
        <w:tabs>
          <w:tab w:val="left" w:pos="-480"/>
        </w:tabs>
        <w:ind w:left="567" w:hanging="567"/>
        <w:rPr>
          <w:noProof/>
          <w:szCs w:val="24"/>
        </w:rPr>
      </w:pPr>
      <w:r>
        <w:rPr>
          <w:noProof/>
          <w:szCs w:val="24"/>
        </w:rPr>
        <w:t>Competitiveness Council meeting; Brussels, 2 and 3 December 2013: Conclusions on Single Market Policy</w:t>
      </w:r>
    </w:p>
    <w:p w:rsidR="0037666B" w:rsidRDefault="00C627B8">
      <w:pPr>
        <w:tabs>
          <w:tab w:val="left" w:pos="-480"/>
        </w:tabs>
        <w:ind w:left="567" w:hanging="567"/>
        <w:rPr>
          <w:noProof/>
          <w:szCs w:val="24"/>
          <w:u w:val="single"/>
        </w:rPr>
      </w:pPr>
      <w:r>
        <w:rPr>
          <w:noProof/>
          <w:szCs w:val="24"/>
          <w:u w:val="single"/>
        </w:rPr>
        <w:t>The Mutual Recognition Regulation</w:t>
      </w:r>
    </w:p>
    <w:p w:rsidR="0037666B" w:rsidRDefault="00C627B8">
      <w:pPr>
        <w:numPr>
          <w:ilvl w:val="0"/>
          <w:numId w:val="33"/>
        </w:numPr>
        <w:tabs>
          <w:tab w:val="left" w:pos="-480"/>
        </w:tabs>
        <w:ind w:left="567" w:hanging="567"/>
        <w:rPr>
          <w:noProof/>
          <w:szCs w:val="24"/>
        </w:rPr>
      </w:pPr>
      <w:r>
        <w:rPr>
          <w:noProof/>
          <w:szCs w:val="24"/>
        </w:rPr>
        <w:t>Regulation (EC) No 764/2008 of the European Parliament and of the Council, of 9 July 2008, laying down procedures relati</w:t>
      </w:r>
      <w:r>
        <w:rPr>
          <w:noProof/>
          <w:szCs w:val="24"/>
        </w:rPr>
        <w:t>ng to the application of certain national technical rules to products lawfully marketed in another Member State and repealing Decision No 3052/95/EC</w:t>
      </w:r>
    </w:p>
    <w:p w:rsidR="0037666B" w:rsidRDefault="0037666B">
      <w:pPr>
        <w:tabs>
          <w:tab w:val="left" w:pos="-480"/>
        </w:tabs>
        <w:ind w:left="567" w:hanging="567"/>
        <w:rPr>
          <w:noProof/>
          <w:szCs w:val="24"/>
          <w:u w:val="single"/>
        </w:rPr>
      </w:pPr>
    </w:p>
    <w:p w:rsidR="0037666B" w:rsidRDefault="00C627B8">
      <w:pPr>
        <w:tabs>
          <w:tab w:val="left" w:pos="-480"/>
        </w:tabs>
        <w:ind w:left="567" w:hanging="567"/>
        <w:rPr>
          <w:noProof/>
          <w:szCs w:val="24"/>
          <w:u w:val="single"/>
        </w:rPr>
      </w:pPr>
      <w:r>
        <w:rPr>
          <w:noProof/>
          <w:szCs w:val="24"/>
          <w:u w:val="single"/>
        </w:rPr>
        <w:t>Communications and other Commission documents</w:t>
      </w:r>
    </w:p>
    <w:p w:rsidR="0037666B" w:rsidRDefault="00C627B8">
      <w:pPr>
        <w:numPr>
          <w:ilvl w:val="0"/>
          <w:numId w:val="33"/>
        </w:numPr>
        <w:tabs>
          <w:tab w:val="left" w:pos="-480"/>
        </w:tabs>
        <w:ind w:left="567" w:hanging="567"/>
        <w:rPr>
          <w:noProof/>
          <w:szCs w:val="24"/>
        </w:rPr>
      </w:pPr>
      <w:r>
        <w:rPr>
          <w:noProof/>
          <w:szCs w:val="24"/>
        </w:rPr>
        <w:t>European Commission (2007): Accompanying document to the Pro</w:t>
      </w:r>
      <w:r>
        <w:rPr>
          <w:noProof/>
          <w:szCs w:val="24"/>
        </w:rPr>
        <w:t>posal for a directive of the European Parliament and of the Council laying down procedures relating to the application of certain national technical rules to products lawfully marketed in another Member State and repealing Decision 3052/95/EC Impact assess</w:t>
      </w:r>
      <w:r>
        <w:rPr>
          <w:noProof/>
          <w:szCs w:val="24"/>
        </w:rPr>
        <w:t>ment</w:t>
      </w:r>
    </w:p>
    <w:p w:rsidR="0037666B" w:rsidRDefault="00C627B8">
      <w:pPr>
        <w:numPr>
          <w:ilvl w:val="0"/>
          <w:numId w:val="33"/>
        </w:numPr>
        <w:tabs>
          <w:tab w:val="left" w:pos="-480"/>
        </w:tabs>
        <w:ind w:left="567" w:hanging="567"/>
        <w:rPr>
          <w:noProof/>
          <w:szCs w:val="24"/>
        </w:rPr>
      </w:pPr>
      <w:r>
        <w:rPr>
          <w:noProof/>
          <w:szCs w:val="24"/>
        </w:rPr>
        <w:t>European Commission (2012): First report on the application of Regulation (EC) No 764/2008 2008 - COM(2012) 292 final</w:t>
      </w:r>
    </w:p>
    <w:p w:rsidR="0037666B" w:rsidRDefault="00C627B8">
      <w:pPr>
        <w:numPr>
          <w:ilvl w:val="0"/>
          <w:numId w:val="33"/>
        </w:numPr>
        <w:tabs>
          <w:tab w:val="left" w:pos="-480"/>
        </w:tabs>
        <w:ind w:left="567" w:hanging="567"/>
        <w:rPr>
          <w:noProof/>
          <w:szCs w:val="24"/>
        </w:rPr>
      </w:pPr>
      <w:r>
        <w:rPr>
          <w:noProof/>
          <w:szCs w:val="24"/>
        </w:rPr>
        <w:t>European Commission interpretative communication of 3 October 1980, concerning the consequences of the judgment given by the court of</w:t>
      </w:r>
      <w:r>
        <w:rPr>
          <w:noProof/>
          <w:szCs w:val="24"/>
        </w:rPr>
        <w:t xml:space="preserve"> Justice on 20 February 1979 in Case 120/78 (‘Cassis de Dijon’)</w:t>
      </w:r>
    </w:p>
    <w:p w:rsidR="0037666B" w:rsidRDefault="00C627B8">
      <w:pPr>
        <w:numPr>
          <w:ilvl w:val="0"/>
          <w:numId w:val="33"/>
        </w:numPr>
        <w:tabs>
          <w:tab w:val="left" w:pos="-480"/>
        </w:tabs>
        <w:ind w:left="567" w:hanging="567"/>
        <w:rPr>
          <w:noProof/>
          <w:szCs w:val="24"/>
        </w:rPr>
      </w:pPr>
      <w:r>
        <w:rPr>
          <w:noProof/>
          <w:szCs w:val="24"/>
        </w:rPr>
        <w:t>European Commission COM(1999)299 final: Mutual recognition in the context of the follow up to the Action Plan for the Single Market - on the application of the mutual recognition principle, ba</w:t>
      </w:r>
      <w:r>
        <w:rPr>
          <w:noProof/>
          <w:szCs w:val="24"/>
        </w:rPr>
        <w:t>sed on a detailed analysis of the cases of incorrect application of mutual recognition handled by the Commission</w:t>
      </w:r>
    </w:p>
    <w:p w:rsidR="0037666B" w:rsidRDefault="00C627B8">
      <w:pPr>
        <w:numPr>
          <w:ilvl w:val="0"/>
          <w:numId w:val="33"/>
        </w:numPr>
        <w:tabs>
          <w:tab w:val="left" w:pos="-480"/>
        </w:tabs>
        <w:ind w:left="567" w:hanging="567"/>
        <w:rPr>
          <w:noProof/>
          <w:szCs w:val="24"/>
        </w:rPr>
      </w:pPr>
      <w:r>
        <w:rPr>
          <w:noProof/>
          <w:szCs w:val="24"/>
        </w:rPr>
        <w:t>European Commission (2002): Second biennial Report on the Application of the Principle of Mutual Recognition in the Single Market</w:t>
      </w:r>
    </w:p>
    <w:p w:rsidR="0037666B" w:rsidRDefault="00C627B8">
      <w:pPr>
        <w:numPr>
          <w:ilvl w:val="0"/>
          <w:numId w:val="33"/>
        </w:numPr>
        <w:tabs>
          <w:tab w:val="left" w:pos="-480"/>
        </w:tabs>
        <w:ind w:left="567" w:hanging="567"/>
        <w:rPr>
          <w:noProof/>
          <w:szCs w:val="24"/>
        </w:rPr>
      </w:pPr>
      <w:r>
        <w:rPr>
          <w:noProof/>
          <w:szCs w:val="24"/>
        </w:rPr>
        <w:t>European Comm</w:t>
      </w:r>
      <w:r>
        <w:rPr>
          <w:noProof/>
          <w:szCs w:val="24"/>
        </w:rPr>
        <w:t>ission (1999): Commission Staff Working Paper: First Report on the application of the principle of mutual recognition in product and services markets</w:t>
      </w:r>
    </w:p>
    <w:p w:rsidR="0037666B" w:rsidRDefault="00C627B8">
      <w:pPr>
        <w:numPr>
          <w:ilvl w:val="0"/>
          <w:numId w:val="33"/>
        </w:numPr>
        <w:tabs>
          <w:tab w:val="left" w:pos="-480"/>
        </w:tabs>
        <w:ind w:left="567" w:hanging="567"/>
        <w:rPr>
          <w:noProof/>
          <w:szCs w:val="24"/>
          <w:lang w:val="fr-BE"/>
        </w:rPr>
      </w:pPr>
      <w:r>
        <w:rPr>
          <w:noProof/>
          <w:szCs w:val="24"/>
          <w:lang w:val="fr-BE"/>
        </w:rPr>
        <w:t>European Commission (1998): Document du travail des services de la Commission: L’application du principe d</w:t>
      </w:r>
      <w:r>
        <w:rPr>
          <w:noProof/>
          <w:szCs w:val="24"/>
          <w:lang w:val="fr-BE"/>
        </w:rPr>
        <w:t>e reconnaissance mutuelle</w:t>
      </w:r>
    </w:p>
    <w:p w:rsidR="0037666B" w:rsidRDefault="00C627B8">
      <w:pPr>
        <w:numPr>
          <w:ilvl w:val="0"/>
          <w:numId w:val="33"/>
        </w:numPr>
        <w:tabs>
          <w:tab w:val="left" w:pos="-480"/>
        </w:tabs>
        <w:ind w:left="567" w:hanging="567"/>
        <w:rPr>
          <w:noProof/>
          <w:szCs w:val="24"/>
        </w:rPr>
      </w:pPr>
      <w:r>
        <w:rPr>
          <w:noProof/>
          <w:szCs w:val="24"/>
        </w:rPr>
        <w:t>European Commission (2014): Restarting the EU’s Growth Engine – A new start for the Internal Market</w:t>
      </w:r>
    </w:p>
    <w:p w:rsidR="0037666B" w:rsidRDefault="00C627B8">
      <w:pPr>
        <w:numPr>
          <w:ilvl w:val="0"/>
          <w:numId w:val="33"/>
        </w:numPr>
        <w:tabs>
          <w:tab w:val="left" w:pos="-480"/>
        </w:tabs>
        <w:ind w:left="567" w:hanging="567"/>
        <w:rPr>
          <w:noProof/>
          <w:szCs w:val="24"/>
        </w:rPr>
      </w:pPr>
      <w:r>
        <w:rPr>
          <w:noProof/>
          <w:szCs w:val="24"/>
        </w:rPr>
        <w:t>Evaluation of the Application of the Principle of Mutual Recognition in the Field of Goods, Directorate-General for Internal Marke</w:t>
      </w:r>
      <w:r>
        <w:rPr>
          <w:noProof/>
          <w:szCs w:val="24"/>
        </w:rPr>
        <w:t>t, Industry, Entrepreneurship and SMEs 2015</w:t>
      </w:r>
    </w:p>
    <w:p w:rsidR="0037666B" w:rsidRDefault="00C627B8">
      <w:pPr>
        <w:tabs>
          <w:tab w:val="left" w:pos="-480"/>
        </w:tabs>
        <w:rPr>
          <w:noProof/>
          <w:szCs w:val="24"/>
          <w:u w:val="single"/>
        </w:rPr>
      </w:pPr>
      <w:r>
        <w:rPr>
          <w:noProof/>
          <w:szCs w:val="24"/>
          <w:u w:val="single"/>
        </w:rPr>
        <w:t xml:space="preserve">Commission guidance documents </w:t>
      </w:r>
    </w:p>
    <w:p w:rsidR="0037666B" w:rsidRDefault="00C627B8">
      <w:pPr>
        <w:pStyle w:val="ListParagraph"/>
        <w:numPr>
          <w:ilvl w:val="0"/>
          <w:numId w:val="34"/>
        </w:numPr>
        <w:ind w:left="567" w:hanging="567"/>
        <w:contextualSpacing w:val="0"/>
        <w:rPr>
          <w:noProof/>
          <w:szCs w:val="24"/>
          <w:lang w:eastAsia="it-IT"/>
        </w:rPr>
      </w:pPr>
      <w:r>
        <w:rPr>
          <w:noProof/>
          <w:szCs w:val="24"/>
          <w:lang w:eastAsia="it-IT"/>
        </w:rPr>
        <w:t>European Commission (2010): Guidance document: the relationship between Directive 98/34/EC and the Mutual Recognition Regulation</w:t>
      </w:r>
    </w:p>
    <w:p w:rsidR="0037666B" w:rsidRDefault="00C627B8">
      <w:pPr>
        <w:pStyle w:val="BodyText"/>
        <w:spacing w:after="240"/>
        <w:ind w:left="567" w:hanging="567"/>
        <w:rPr>
          <w:i w:val="0"/>
          <w:noProof/>
          <w:szCs w:val="24"/>
          <w:lang w:eastAsia="it-IT"/>
        </w:rPr>
      </w:pPr>
      <w:r>
        <w:rPr>
          <w:i w:val="0"/>
          <w:noProof/>
          <w:szCs w:val="24"/>
        </w:rPr>
        <w:tab/>
      </w:r>
      <w:hyperlink r:id="rId49" w:history="1">
        <w:r>
          <w:rPr>
            <w:rStyle w:val="Hyperlink"/>
            <w:i w:val="0"/>
            <w:noProof/>
            <w:szCs w:val="24"/>
            <w:lang w:eastAsia="it-IT"/>
          </w:rPr>
          <w:t>http://ec.europa.eu/DocsRoom/documents/5801/attachments/1/translations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(2013): Commission Working Document: Guidance document. The concept of ‘lawfully</w:t>
      </w:r>
      <w:r>
        <w:rPr>
          <w:noProof/>
          <w:szCs w:val="24"/>
          <w:lang w:eastAsia="it-IT"/>
        </w:rPr>
        <w:t xml:space="preserve"> marketed’ in the Mutual Recognition Regulation (EC) No 764/2008</w:t>
      </w:r>
    </w:p>
    <w:p w:rsidR="0037666B" w:rsidRDefault="00C627B8">
      <w:pPr>
        <w:pStyle w:val="ListParagraph"/>
        <w:ind w:left="567" w:hanging="567"/>
        <w:contextualSpacing w:val="0"/>
        <w:rPr>
          <w:noProof/>
          <w:szCs w:val="24"/>
          <w:lang w:eastAsia="it-IT"/>
        </w:rPr>
      </w:pPr>
      <w:r>
        <w:rPr>
          <w:noProof/>
          <w:szCs w:val="24"/>
        </w:rPr>
        <w:tab/>
      </w:r>
      <w:hyperlink r:id="rId50" w:history="1">
        <w:r>
          <w:rPr>
            <w:rStyle w:val="Hyperlink"/>
            <w:noProof/>
            <w:szCs w:val="24"/>
            <w:lang w:eastAsia="it-IT"/>
          </w:rPr>
          <w:t>http://eur-lex.europa.eu/legal-content/EN/TXT/?uri=CELEX:52013DC0592</w:t>
        </w:r>
      </w:hyperlink>
    </w:p>
    <w:p w:rsidR="0037666B" w:rsidRDefault="0037666B">
      <w:pPr>
        <w:pStyle w:val="ListParagraph"/>
        <w:ind w:left="567" w:hanging="567"/>
        <w:contextualSpacing w:val="0"/>
        <w:rPr>
          <w:noProof/>
          <w:szCs w:val="24"/>
          <w:lang w:eastAsia="it-IT"/>
        </w:rPr>
      </w:pPr>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w:t>
      </w:r>
      <w:r>
        <w:rPr>
          <w:noProof/>
          <w:szCs w:val="24"/>
          <w:lang w:eastAsia="it-IT"/>
        </w:rPr>
        <w:t>e document: The relationship between Directive 2001/95/EC and the Mutual Recognition Regulation</w:t>
      </w:r>
    </w:p>
    <w:p w:rsidR="0037666B" w:rsidRDefault="00C627B8">
      <w:pPr>
        <w:pStyle w:val="ListParagraph"/>
        <w:ind w:left="567" w:hanging="567"/>
        <w:contextualSpacing w:val="0"/>
        <w:rPr>
          <w:noProof/>
          <w:szCs w:val="24"/>
          <w:lang w:eastAsia="it-IT"/>
        </w:rPr>
      </w:pPr>
      <w:r>
        <w:rPr>
          <w:noProof/>
          <w:szCs w:val="24"/>
        </w:rPr>
        <w:tab/>
      </w:r>
      <w:hyperlink r:id="rId51" w:history="1">
        <w:r>
          <w:rPr>
            <w:rStyle w:val="Hyperlink"/>
            <w:noProof/>
            <w:szCs w:val="24"/>
            <w:lang w:eastAsia="it-IT"/>
          </w:rPr>
          <w:t>http://ec.europa.eu/DocsRoom/documents/5807/attachments/1/translations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w:t>
      </w:r>
      <w:r>
        <w:rPr>
          <w:noProof/>
          <w:szCs w:val="24"/>
          <w:lang w:eastAsia="it-IT"/>
        </w:rPr>
        <w:t>uropean Commission (2010): Guidance Document: The application of Mutual Recognition Regulation to prior authorisation procedures</w:t>
      </w:r>
    </w:p>
    <w:p w:rsidR="0037666B" w:rsidRDefault="00C627B8">
      <w:pPr>
        <w:pStyle w:val="ListParagraph"/>
        <w:ind w:left="567" w:hanging="567"/>
        <w:contextualSpacing w:val="0"/>
        <w:rPr>
          <w:noProof/>
          <w:szCs w:val="24"/>
          <w:lang w:eastAsia="it-IT"/>
        </w:rPr>
      </w:pPr>
      <w:r>
        <w:rPr>
          <w:noProof/>
          <w:szCs w:val="24"/>
        </w:rPr>
        <w:tab/>
      </w:r>
      <w:hyperlink r:id="rId52" w:history="1">
        <w:r>
          <w:rPr>
            <w:rStyle w:val="Hyperlink"/>
            <w:noProof/>
            <w:szCs w:val="24"/>
            <w:lang w:eastAsia="it-IT"/>
          </w:rPr>
          <w:t>http://ec.europa.eu/DocsRoom/documents/</w:t>
        </w:r>
        <w:r>
          <w:rPr>
            <w:rStyle w:val="Hyperlink"/>
            <w:noProof/>
            <w:szCs w:val="24"/>
            <w:lang w:eastAsia="it-IT"/>
          </w:rPr>
          <w:t>5822/attachments/1/translations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Guidance Document: The application of Mutual Recognition Regulation to narcotic drugs and psychotropic substances</w:t>
      </w:r>
    </w:p>
    <w:p w:rsidR="0037666B" w:rsidRDefault="00C627B8">
      <w:pPr>
        <w:pStyle w:val="ListParagraph"/>
        <w:ind w:left="567" w:hanging="567"/>
        <w:contextualSpacing w:val="0"/>
        <w:rPr>
          <w:noProof/>
          <w:szCs w:val="24"/>
          <w:lang w:eastAsia="it-IT"/>
        </w:rPr>
      </w:pPr>
      <w:r>
        <w:rPr>
          <w:noProof/>
          <w:szCs w:val="24"/>
        </w:rPr>
        <w:tab/>
      </w:r>
      <w:hyperlink r:id="rId53" w:history="1">
        <w:r>
          <w:rPr>
            <w:rStyle w:val="Hyperlink"/>
            <w:noProof/>
            <w:szCs w:val="24"/>
            <w:lang w:eastAsia="it-IT"/>
          </w:rPr>
          <w:t>http://ec.europa.eu/DocsRoom/documents/5821/attachments/1/translations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Guidance Document: The application of Mutual Recognition Regulation to food supplements</w:t>
      </w:r>
    </w:p>
    <w:p w:rsidR="0037666B" w:rsidRDefault="00C627B8">
      <w:pPr>
        <w:pStyle w:val="ListParagraph"/>
        <w:ind w:left="567" w:hanging="567"/>
        <w:contextualSpacing w:val="0"/>
        <w:rPr>
          <w:noProof/>
          <w:szCs w:val="24"/>
          <w:lang w:eastAsia="it-IT"/>
        </w:rPr>
      </w:pPr>
      <w:r>
        <w:rPr>
          <w:noProof/>
          <w:szCs w:val="24"/>
        </w:rPr>
        <w:tab/>
      </w:r>
      <w:hyperlink r:id="rId54" w:history="1">
        <w:r>
          <w:rPr>
            <w:rStyle w:val="Hyperlink"/>
            <w:noProof/>
            <w:szCs w:val="24"/>
            <w:lang w:eastAsia="it-IT"/>
          </w:rPr>
          <w:t>http://ec.europa.eu/DocsRoom/documents/13481/attachments/1/translations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Guidance Document: The application of Mutual Recognition Regulation to non-CE marked construction products</w:t>
      </w:r>
    </w:p>
    <w:p w:rsidR="0037666B" w:rsidRDefault="00C627B8">
      <w:pPr>
        <w:pStyle w:val="ListParagraph"/>
        <w:ind w:left="1134" w:hanging="567"/>
        <w:contextualSpacing w:val="0"/>
        <w:rPr>
          <w:noProof/>
          <w:szCs w:val="24"/>
          <w:lang w:eastAsia="it-IT"/>
        </w:rPr>
      </w:pPr>
      <w:hyperlink r:id="rId55" w:history="1">
        <w:r>
          <w:rPr>
            <w:rStyle w:val="Hyperlink"/>
            <w:noProof/>
            <w:szCs w:val="24"/>
            <w:lang w:eastAsia="it-IT"/>
          </w:rPr>
          <w:t>http://ec.europa.eu/DocsRoom/documents/5881/attachments/1/translations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Guidance Document: The application of Mutual Recognition Regulation to fertilisers and growin</w:t>
      </w:r>
      <w:r>
        <w:rPr>
          <w:noProof/>
          <w:szCs w:val="24"/>
          <w:lang w:eastAsia="it-IT"/>
        </w:rPr>
        <w:t>g media</w:t>
      </w:r>
    </w:p>
    <w:p w:rsidR="0037666B" w:rsidRDefault="00C627B8">
      <w:pPr>
        <w:pStyle w:val="ListParagraph"/>
        <w:ind w:left="1134" w:hanging="567"/>
        <w:contextualSpacing w:val="0"/>
        <w:rPr>
          <w:noProof/>
          <w:szCs w:val="24"/>
          <w:lang w:eastAsia="it-IT"/>
        </w:rPr>
      </w:pPr>
      <w:hyperlink r:id="rId56" w:history="1">
        <w:r>
          <w:rPr>
            <w:rStyle w:val="Hyperlink"/>
            <w:noProof/>
            <w:szCs w:val="24"/>
            <w:lang w:eastAsia="it-IT"/>
          </w:rPr>
          <w:t>http://ec.europa.eu/DocsRoom/documents/5825/attachments/1/translations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Guidance Document: The application of Mutual Recognition Regul</w:t>
      </w:r>
      <w:r>
        <w:rPr>
          <w:noProof/>
          <w:szCs w:val="24"/>
          <w:lang w:eastAsia="it-IT"/>
        </w:rPr>
        <w:t>ation to articles of precious metals</w:t>
      </w:r>
    </w:p>
    <w:p w:rsidR="0037666B" w:rsidRDefault="00C627B8">
      <w:pPr>
        <w:pStyle w:val="ListParagraph"/>
        <w:ind w:left="1134" w:hanging="567"/>
        <w:contextualSpacing w:val="0"/>
        <w:rPr>
          <w:noProof/>
          <w:szCs w:val="24"/>
          <w:lang w:eastAsia="it-IT"/>
        </w:rPr>
      </w:pPr>
      <w:hyperlink r:id="rId57" w:history="1">
        <w:r>
          <w:rPr>
            <w:rStyle w:val="Hyperlink"/>
            <w:noProof/>
            <w:szCs w:val="24"/>
            <w:lang w:eastAsia="it-IT"/>
          </w:rPr>
          <w:t>http://ec.europa.eu/DocsRoom/documents/5806/attachments/1/translations</w:t>
        </w:r>
      </w:hyperlink>
    </w:p>
    <w:p w:rsidR="0037666B" w:rsidRDefault="00C627B8">
      <w:pPr>
        <w:pStyle w:val="ListParagraph"/>
        <w:numPr>
          <w:ilvl w:val="0"/>
          <w:numId w:val="35"/>
        </w:numPr>
        <w:ind w:left="567" w:hanging="567"/>
        <w:contextualSpacing w:val="0"/>
        <w:rPr>
          <w:noProof/>
          <w:szCs w:val="24"/>
          <w:lang w:eastAsia="it-IT"/>
        </w:rPr>
      </w:pPr>
      <w:r>
        <w:rPr>
          <w:noProof/>
          <w:szCs w:val="24"/>
          <w:lang w:eastAsia="it-IT"/>
        </w:rPr>
        <w:t>European Commission (2010): Guidance Document: The applicatio</w:t>
      </w:r>
      <w:r>
        <w:rPr>
          <w:noProof/>
          <w:szCs w:val="24"/>
          <w:lang w:eastAsia="it-IT"/>
        </w:rPr>
        <w:t>n of Mutual Recognition Regulation to weapons and firearms</w:t>
      </w:r>
    </w:p>
    <w:p w:rsidR="0037666B" w:rsidRDefault="00C627B8">
      <w:pPr>
        <w:pStyle w:val="ListParagraph"/>
        <w:ind w:left="1134" w:hanging="567"/>
        <w:contextualSpacing w:val="0"/>
        <w:rPr>
          <w:noProof/>
          <w:szCs w:val="24"/>
          <w:lang w:eastAsia="it-IT"/>
        </w:rPr>
      </w:pPr>
      <w:hyperlink r:id="rId58" w:history="1">
        <w:r>
          <w:rPr>
            <w:rStyle w:val="Hyperlink"/>
            <w:noProof/>
            <w:szCs w:val="24"/>
            <w:lang w:eastAsia="it-IT"/>
          </w:rPr>
          <w:t>http://ec.europa.eu/DocsRoom/documents/5824/attachments/1/translations</w:t>
        </w:r>
      </w:hyperlink>
    </w:p>
    <w:p w:rsidR="0037666B" w:rsidRDefault="00C627B8">
      <w:pPr>
        <w:pStyle w:val="Heading1"/>
        <w:keepNext w:val="0"/>
        <w:spacing w:before="0"/>
        <w:rPr>
          <w:noProof/>
          <w:szCs w:val="24"/>
        </w:rPr>
      </w:pPr>
      <w:bookmarkStart w:id="175" w:name="_Toc483992789"/>
      <w:r>
        <w:rPr>
          <w:noProof/>
          <w:szCs w:val="24"/>
        </w:rPr>
        <w:t xml:space="preserve">Recent case law of the CJEU on mutual </w:t>
      </w:r>
      <w:r>
        <w:rPr>
          <w:noProof/>
          <w:szCs w:val="24"/>
        </w:rPr>
        <w:t>recognition</w:t>
      </w:r>
      <w:bookmarkEnd w:id="175"/>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noProof/>
                <w:szCs w:val="24"/>
              </w:rPr>
              <w:t xml:space="preserve">CJEU, Case C-227/06 </w:t>
            </w:r>
            <w:r>
              <w:rPr>
                <w:rFonts w:ascii="Times New Roman" w:hAnsi="Times New Roman" w:cs="Times New Roman"/>
                <w:i/>
                <w:noProof/>
                <w:szCs w:val="24"/>
              </w:rPr>
              <w:t>Commission v Belgium</w:t>
            </w:r>
            <w:r>
              <w:rPr>
                <w:rFonts w:ascii="Times New Roman" w:hAnsi="Times New Roman" w:cs="Times New Roman"/>
                <w:noProof/>
                <w:szCs w:val="24"/>
              </w:rPr>
              <w:t>, ECLI:EU:C:2008:160</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 xml:space="preserve">By requiring economic operators wishing to market construction products, which have been lawfully manufactured and / or marketed in another Member State, in Belgium to obtain </w:t>
            </w:r>
            <w:r>
              <w:rPr>
                <w:rFonts w:ascii="Times New Roman" w:hAnsi="Times New Roman" w:cs="Times New Roman"/>
                <w:b w:val="0"/>
                <w:noProof/>
                <w:szCs w:val="24"/>
              </w:rPr>
              <w:t>national conformity marks, Belgium has failed to fulfil its obligations under Articles 34 and 36 TFEU (ex 28 EC and 30 EC).</w:t>
            </w:r>
          </w:p>
        </w:tc>
      </w:tr>
    </w:tbl>
    <w:p w:rsidR="0037666B" w:rsidRDefault="0037666B">
      <w:pPr>
        <w:rPr>
          <w:b/>
          <w:noProof/>
          <w:szCs w:val="24"/>
          <w:u w:val="single"/>
        </w:rPr>
      </w:pPr>
    </w:p>
    <w:p w:rsidR="0037666B" w:rsidRDefault="0037666B">
      <w:pPr>
        <w:rPr>
          <w:b/>
          <w:noProof/>
          <w:szCs w:val="24"/>
          <w:u w:val="single"/>
        </w:rPr>
      </w:pPr>
    </w:p>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noProof/>
                <w:szCs w:val="24"/>
              </w:rPr>
              <w:t xml:space="preserve">CJEU, Case 88/07 </w:t>
            </w:r>
            <w:r>
              <w:rPr>
                <w:rFonts w:ascii="Times New Roman" w:hAnsi="Times New Roman" w:cs="Times New Roman"/>
                <w:i/>
                <w:noProof/>
                <w:szCs w:val="24"/>
              </w:rPr>
              <w:t>Commission v Spain</w:t>
            </w:r>
            <w:r>
              <w:rPr>
                <w:rFonts w:ascii="Times New Roman" w:hAnsi="Times New Roman" w:cs="Times New Roman"/>
                <w:noProof/>
                <w:szCs w:val="24"/>
              </w:rPr>
              <w:t>, ECLIEU:C:2009:123</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By withdrawing from the market products based on medicinal herbs lawfull</w:t>
            </w:r>
            <w:r>
              <w:rPr>
                <w:rFonts w:ascii="Times New Roman" w:hAnsi="Times New Roman" w:cs="Times New Roman"/>
                <w:b w:val="0"/>
                <w:noProof/>
                <w:szCs w:val="24"/>
              </w:rPr>
              <w:t>y produced and/or marketed in another Member State, under an administrative practice consisting in withdrawing from the market any product based on medicinal herbs not included either in the annex of the an Order on the creation of a special register of me</w:t>
            </w:r>
            <w:r>
              <w:rPr>
                <w:rFonts w:ascii="Times New Roman" w:hAnsi="Times New Roman" w:cs="Times New Roman"/>
                <w:b w:val="0"/>
                <w:noProof/>
                <w:szCs w:val="24"/>
              </w:rPr>
              <w:t>dicinal herb-based preparations or the annex of an Order establishing the list of plants sale of which to the public is prohibited or restricted because of their toxicity, other than a preparation the constituents of which are exclusively one or more medic</w:t>
            </w:r>
            <w:r>
              <w:rPr>
                <w:rFonts w:ascii="Times New Roman" w:hAnsi="Times New Roman" w:cs="Times New Roman"/>
                <w:b w:val="0"/>
                <w:noProof/>
                <w:szCs w:val="24"/>
              </w:rPr>
              <w:t>inal herbs or whole parts of such herbs, or crushed or powdered parts of such herbs, on the ground that that product is deemed to be a medicinal product marketed without the requisite marketing authorisation, Spain has failed to fulfil its obligations unde</w:t>
            </w:r>
            <w:r>
              <w:rPr>
                <w:rFonts w:ascii="Times New Roman" w:hAnsi="Times New Roman" w:cs="Times New Roman"/>
                <w:b w:val="0"/>
                <w:noProof/>
                <w:szCs w:val="24"/>
              </w:rPr>
              <w:t>r Articles 34 and 36 TFEU (ex 28 EC and 30 EC) and Articles 1 and 4 of Decision No 3052/95/EC of 13 December 1995 establishing a procedure for the exchange of information on national measures derogating from the principle of the free movement of goods with</w:t>
            </w:r>
            <w:r>
              <w:rPr>
                <w:rFonts w:ascii="Times New Roman" w:hAnsi="Times New Roman" w:cs="Times New Roman"/>
                <w:b w:val="0"/>
                <w:noProof/>
                <w:szCs w:val="24"/>
              </w:rPr>
              <w:t>in the Community.</w:t>
            </w:r>
          </w:p>
        </w:tc>
      </w:tr>
    </w:tbl>
    <w:p w:rsidR="0037666B" w:rsidRDefault="0037666B">
      <w:pPr>
        <w:rPr>
          <w:b/>
          <w:noProof/>
          <w:szCs w:val="24"/>
        </w:rPr>
      </w:pPr>
    </w:p>
    <w:tbl>
      <w:tblPr>
        <w:tblStyle w:val="LightList-Accent1"/>
        <w:tblW w:w="0" w:type="auto"/>
        <w:tblLook w:val="04A0" w:firstRow="1" w:lastRow="0" w:firstColumn="1" w:lastColumn="0" w:noHBand="0" w:noVBand="1"/>
      </w:tblPr>
      <w:tblGrid>
        <w:gridCol w:w="8834"/>
      </w:tblGrid>
      <w:tr w:rsidR="0037666B" w:rsidRPr="00C627B8"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noProof/>
                <w:szCs w:val="24"/>
                <w:lang w:val="pt-PT"/>
              </w:rPr>
            </w:pPr>
            <w:r>
              <w:rPr>
                <w:rFonts w:ascii="Times New Roman" w:hAnsi="Times New Roman" w:cs="Times New Roman"/>
                <w:noProof/>
                <w:szCs w:val="24"/>
                <w:lang w:val="pt-PT"/>
              </w:rPr>
              <w:t xml:space="preserve">CJEU, Case C- 132/08 </w:t>
            </w:r>
            <w:r>
              <w:rPr>
                <w:rFonts w:ascii="Times New Roman" w:hAnsi="Times New Roman" w:cs="Times New Roman"/>
                <w:i/>
                <w:noProof/>
                <w:szCs w:val="24"/>
                <w:lang w:val="pt-PT"/>
              </w:rPr>
              <w:t xml:space="preserve">Lidl, </w:t>
            </w:r>
            <w:r>
              <w:rPr>
                <w:rFonts w:ascii="Times New Roman" w:hAnsi="Times New Roman" w:cs="Times New Roman"/>
                <w:noProof/>
                <w:szCs w:val="24"/>
                <w:lang w:val="pt-PT"/>
              </w:rPr>
              <w:t>ECLI:EU:C:2009:281</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Member States cannot, under Directive 1999/5/EC of 9 March 1999 on radio equipment and telecommunications terminal equipment and the mutual recognition of their conformity, require a person</w:t>
            </w:r>
            <w:r>
              <w:rPr>
                <w:rFonts w:ascii="Times New Roman" w:hAnsi="Times New Roman" w:cs="Times New Roman"/>
                <w:b w:val="0"/>
                <w:noProof/>
                <w:szCs w:val="24"/>
              </w:rPr>
              <w:t xml:space="preserve"> who places radio equipment on the market to provide a declaration of conformity even though the producer of that equipment, whose head office is situated in another Member State, has affixed the ‘CE’ marking to that product and issued a declaration of con</w:t>
            </w:r>
            <w:r>
              <w:rPr>
                <w:rFonts w:ascii="Times New Roman" w:hAnsi="Times New Roman" w:cs="Times New Roman"/>
                <w:b w:val="0"/>
                <w:noProof/>
                <w:szCs w:val="24"/>
              </w:rPr>
              <w:t>formity in its regard.</w:t>
            </w:r>
          </w:p>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Where a matter is regulated in a harmonised manner at Community level, any national measure relating thereto must be assessed in the light of the provisions of that harmonising measure and not in that of Articles 34 and 36 TFEU (ex 2</w:t>
            </w:r>
            <w:r>
              <w:rPr>
                <w:rFonts w:ascii="Times New Roman" w:hAnsi="Times New Roman" w:cs="Times New Roman"/>
                <w:b w:val="0"/>
                <w:noProof/>
                <w:szCs w:val="24"/>
              </w:rPr>
              <w:t xml:space="preserve">8 EC and 30 EC). </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noProof/>
                <w:szCs w:val="24"/>
              </w:rPr>
              <w:t xml:space="preserve">CJEU, Case C-100/08 </w:t>
            </w:r>
            <w:r>
              <w:rPr>
                <w:rFonts w:ascii="Times New Roman" w:hAnsi="Times New Roman" w:cs="Times New Roman"/>
                <w:i/>
                <w:noProof/>
                <w:szCs w:val="24"/>
              </w:rPr>
              <w:t xml:space="preserve">Commission v Belgium. </w:t>
            </w:r>
            <w:r>
              <w:rPr>
                <w:rFonts w:ascii="Times New Roman" w:hAnsi="Times New Roman" w:cs="Times New Roman"/>
                <w:noProof/>
                <w:szCs w:val="24"/>
              </w:rPr>
              <w:t>ECLI:EU:C:2009:537</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 xml:space="preserve">By making the import, possession and sale of birds born and bred in captivity that were legally marketed in another Member States subject to restrictive conditions requiring </w:t>
            </w:r>
            <w:r>
              <w:rPr>
                <w:rFonts w:ascii="Times New Roman" w:hAnsi="Times New Roman" w:cs="Times New Roman"/>
                <w:b w:val="0"/>
                <w:noProof/>
                <w:szCs w:val="24"/>
              </w:rPr>
              <w:t>economic operators to alter the specimen marking to respond to the specific requirements of Belgian law and by not allowing the marking accepted in other Member States or certificates issued (in accordance with Regulation (EC) No 338/97 on the protection o</w:t>
            </w:r>
            <w:r>
              <w:rPr>
                <w:rFonts w:ascii="Times New Roman" w:hAnsi="Times New Roman" w:cs="Times New Roman"/>
                <w:b w:val="0"/>
                <w:noProof/>
                <w:szCs w:val="24"/>
              </w:rPr>
              <w:t>f species of wild fauna and flora by regulating trade) and by denying traders the ability to obtain exemptions from the prohibition to hold European native birds legally marketed in other Member States, Belgium has failed to fulfil its obligations under Ar</w:t>
            </w:r>
            <w:r>
              <w:rPr>
                <w:rFonts w:ascii="Times New Roman" w:hAnsi="Times New Roman" w:cs="Times New Roman"/>
                <w:b w:val="0"/>
                <w:noProof/>
                <w:szCs w:val="24"/>
              </w:rPr>
              <w:t>ticle 34 TFEU (ex 28 EC).</w:t>
            </w:r>
          </w:p>
        </w:tc>
      </w:tr>
    </w:tbl>
    <w:p w:rsidR="0037666B" w:rsidRDefault="0037666B">
      <w:pPr>
        <w:rPr>
          <w:b/>
          <w:noProof/>
          <w:szCs w:val="24"/>
          <w:u w:val="single"/>
        </w:rPr>
      </w:pPr>
    </w:p>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lang w:val="fr-FR"/>
              </w:rPr>
            </w:pPr>
            <w:r>
              <w:rPr>
                <w:rFonts w:ascii="Times New Roman" w:hAnsi="Times New Roman" w:cs="Times New Roman"/>
                <w:noProof/>
                <w:szCs w:val="24"/>
                <w:lang w:val="fr-FR"/>
              </w:rPr>
              <w:t xml:space="preserve">CJEU, Case C-333/08 </w:t>
            </w:r>
            <w:r>
              <w:rPr>
                <w:rFonts w:ascii="Times New Roman" w:hAnsi="Times New Roman" w:cs="Times New Roman"/>
                <w:i/>
                <w:noProof/>
                <w:szCs w:val="24"/>
                <w:lang w:val="fr-FR"/>
              </w:rPr>
              <w:t>Commission v France,</w:t>
            </w:r>
            <w:r>
              <w:rPr>
                <w:rFonts w:ascii="Times New Roman" w:hAnsi="Times New Roman" w:cs="Times New Roman"/>
                <w:noProof/>
                <w:szCs w:val="24"/>
                <w:lang w:val="fr-FR"/>
              </w:rPr>
              <w:t xml:space="preserve"> ECLI:EU:C:2010:44</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 xml:space="preserve">By laying down, for processing aids and foodstuffs whose preparation involved the use of processing aids from other Member States where they are lawfully manufactured </w:t>
            </w:r>
            <w:r>
              <w:rPr>
                <w:rFonts w:ascii="Times New Roman" w:hAnsi="Times New Roman" w:cs="Times New Roman"/>
                <w:b w:val="0"/>
                <w:noProof/>
                <w:szCs w:val="24"/>
              </w:rPr>
              <w:t>and/or marketed, a prior authorisation scheme not complying with the principle of proportionality, France has failed to fulfil its obligations under Article 34 TFEU (ex 28 EC).</w:t>
            </w:r>
          </w:p>
        </w:tc>
      </w:tr>
    </w:tbl>
    <w:p w:rsidR="0037666B" w:rsidRDefault="0037666B">
      <w:pPr>
        <w:rPr>
          <w:b/>
          <w:noProof/>
          <w:szCs w:val="24"/>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rPr>
            </w:pPr>
            <w:r>
              <w:rPr>
                <w:rFonts w:ascii="Times New Roman" w:hAnsi="Times New Roman" w:cs="Times New Roman"/>
                <w:noProof/>
                <w:szCs w:val="24"/>
              </w:rPr>
              <w:t xml:space="preserve">CJEU, Case C-142/09 </w:t>
            </w:r>
            <w:r>
              <w:rPr>
                <w:rFonts w:ascii="Times New Roman" w:hAnsi="Times New Roman" w:cs="Times New Roman"/>
                <w:i/>
                <w:noProof/>
                <w:szCs w:val="24"/>
              </w:rPr>
              <w:t>Vincent Willy Lahousse</w:t>
            </w:r>
            <w:r>
              <w:rPr>
                <w:rFonts w:ascii="Times New Roman" w:hAnsi="Times New Roman" w:cs="Times New Roman"/>
                <w:noProof/>
                <w:szCs w:val="24"/>
              </w:rPr>
              <w:t>, ECLI:EU:C:2010:694</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Council Direc</w:t>
            </w:r>
            <w:r>
              <w:rPr>
                <w:rFonts w:ascii="Times New Roman" w:hAnsi="Times New Roman" w:cs="Times New Roman"/>
                <w:b w:val="0"/>
                <w:noProof/>
                <w:szCs w:val="24"/>
              </w:rPr>
              <w:t>tive 92/61/EEC of 30 June 1992 relating to the type-approval of two or three-wheel motor vehicles, and Directive 2002/24/EC of 18 March 2002 relating to the type-approval of two or three-wheel motor vehicles and repealing Directive 92/61 are to be construe</w:t>
            </w:r>
            <w:r>
              <w:rPr>
                <w:rFonts w:ascii="Times New Roman" w:hAnsi="Times New Roman" w:cs="Times New Roman"/>
                <w:b w:val="0"/>
                <w:noProof/>
                <w:szCs w:val="24"/>
              </w:rPr>
              <w:t>d as meaning that, where a vehicle or a component or separate technical unit thereof does not qualify for the type-approval procedure established by those directives, on the ground that it does not come within their scope, the provisions of those directive</w:t>
            </w:r>
            <w:r>
              <w:rPr>
                <w:rFonts w:ascii="Times New Roman" w:hAnsi="Times New Roman" w:cs="Times New Roman"/>
                <w:b w:val="0"/>
                <w:noProof/>
                <w:szCs w:val="24"/>
              </w:rPr>
              <w:t>s do not prevent a Member State from introducing, in its domestic law and in relation to such vehicle, component or separate technical unit, a similar mechanism for recognising the checks carried out by other Member States. In any event, such legislation m</w:t>
            </w:r>
            <w:r>
              <w:rPr>
                <w:rFonts w:ascii="Times New Roman" w:hAnsi="Times New Roman" w:cs="Times New Roman"/>
                <w:b w:val="0"/>
                <w:noProof/>
                <w:szCs w:val="24"/>
              </w:rPr>
              <w:t>ust comply with EU law, in particular Articles 34 TFEU and 36 TFEU.</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noProof/>
                <w:szCs w:val="24"/>
              </w:rPr>
              <w:t xml:space="preserve">CJEU, Case C-484/10 </w:t>
            </w:r>
            <w:r>
              <w:rPr>
                <w:rFonts w:ascii="Times New Roman" w:hAnsi="Times New Roman" w:cs="Times New Roman"/>
                <w:i/>
                <w:noProof/>
                <w:szCs w:val="24"/>
              </w:rPr>
              <w:t>Ascafor and Asidac</w:t>
            </w:r>
            <w:r>
              <w:rPr>
                <w:rFonts w:ascii="Times New Roman" w:hAnsi="Times New Roman" w:cs="Times New Roman"/>
                <w:noProof/>
                <w:szCs w:val="24"/>
              </w:rPr>
              <w:t>, ECLI:EU:C:2012:113</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Articles 34 TFEU and 36 TFEU must be interpreted as meaning that the requirements laid down in Spanish legislation for officia</w:t>
            </w:r>
            <w:r>
              <w:rPr>
                <w:rFonts w:ascii="Times New Roman" w:hAnsi="Times New Roman" w:cs="Times New Roman"/>
                <w:b w:val="0"/>
                <w:noProof/>
                <w:szCs w:val="24"/>
              </w:rPr>
              <w:t>l recognition of certificates demonstrating the quality level of reinforcing steel for concrete granted in a Member State other than Spain constitute a restriction on the free movement of goods. Such a restriction may be justified by the objective of the p</w:t>
            </w:r>
            <w:r>
              <w:rPr>
                <w:rFonts w:ascii="Times New Roman" w:hAnsi="Times New Roman" w:cs="Times New Roman"/>
                <w:b w:val="0"/>
                <w:noProof/>
                <w:szCs w:val="24"/>
              </w:rPr>
              <w:t>rotection of human life and health, provided the requirements laid down are not higher than the minimum standards required for the use of reinforcing steel for concrete in Spain. In such a case, it is for the referring court to ascertain — where the entity</w:t>
            </w:r>
            <w:r>
              <w:rPr>
                <w:rFonts w:ascii="Times New Roman" w:hAnsi="Times New Roman" w:cs="Times New Roman"/>
                <w:b w:val="0"/>
                <w:noProof/>
                <w:szCs w:val="24"/>
              </w:rPr>
              <w:t xml:space="preserve"> granting the certificate of quality which must be officially recognised in Spain is an approved body within the meaning of Council Directive 89/106/EEC of 21 December 1988 on the approximation of laws, regulations and administrative provisions of the Memb</w:t>
            </w:r>
            <w:r>
              <w:rPr>
                <w:rFonts w:ascii="Times New Roman" w:hAnsi="Times New Roman" w:cs="Times New Roman"/>
                <w:b w:val="0"/>
                <w:noProof/>
                <w:szCs w:val="24"/>
              </w:rPr>
              <w:t>er States relating to construction products, as amended by Council Directive 93/68/EEC of 22 July 1993 — which of those requirement go beyond what is necessary for the purposes of attaining the objective of the protection of human life and health.</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RPr="00C627B8"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lang w:val="pt-PT"/>
              </w:rPr>
            </w:pPr>
            <w:r>
              <w:rPr>
                <w:rFonts w:ascii="Times New Roman" w:hAnsi="Times New Roman" w:cs="Times New Roman"/>
                <w:noProof/>
                <w:szCs w:val="24"/>
                <w:lang w:val="pt-PT"/>
              </w:rPr>
              <w:t xml:space="preserve">CJEU, </w:t>
            </w:r>
            <w:r>
              <w:rPr>
                <w:rFonts w:ascii="Times New Roman" w:hAnsi="Times New Roman" w:cs="Times New Roman"/>
                <w:noProof/>
                <w:szCs w:val="24"/>
                <w:lang w:val="pt-PT"/>
              </w:rPr>
              <w:t xml:space="preserve">Case, C-171/11 </w:t>
            </w:r>
            <w:r>
              <w:rPr>
                <w:rFonts w:ascii="Times New Roman" w:hAnsi="Times New Roman" w:cs="Times New Roman"/>
                <w:i/>
                <w:noProof/>
                <w:szCs w:val="24"/>
                <w:lang w:val="pt-PT"/>
              </w:rPr>
              <w:t>Fra.bo</w:t>
            </w:r>
            <w:r>
              <w:rPr>
                <w:rFonts w:ascii="Times New Roman" w:hAnsi="Times New Roman" w:cs="Times New Roman"/>
                <w:noProof/>
                <w:szCs w:val="24"/>
                <w:lang w:val="pt-PT"/>
              </w:rPr>
              <w:t>, ECLI:EU:C:2012:453</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 xml:space="preserve">Article 34 TFEU (ex 28 EC) must be interpreted as meaning that it applies to standardisation and certification activities of a private-law body, where the national legislation considers the products certified by </w:t>
            </w:r>
            <w:r>
              <w:rPr>
                <w:rFonts w:ascii="Times New Roman" w:hAnsi="Times New Roman" w:cs="Times New Roman"/>
                <w:b w:val="0"/>
                <w:noProof/>
                <w:szCs w:val="24"/>
              </w:rPr>
              <w:t>that body to be compliant with national law and that has the effect of restricting the marketing of products which are not certified by that body.</w:t>
            </w:r>
          </w:p>
        </w:tc>
      </w:tr>
      <w:tr w:rsidR="0037666B" w:rsidTr="0037666B">
        <w:tc>
          <w:tcPr>
            <w:cnfStyle w:val="001000000000" w:firstRow="0" w:lastRow="0" w:firstColumn="1" w:lastColumn="0" w:oddVBand="0" w:evenVBand="0" w:oddHBand="0" w:evenHBand="0" w:firstRowFirstColumn="0" w:firstRowLastColumn="0" w:lastRowFirstColumn="0" w:lastRowLastColumn="0"/>
            <w:tcW w:w="8834" w:type="dxa"/>
            <w:shd w:val="clear" w:color="auto" w:fill="4F81BD" w:themeFill="accent1"/>
          </w:tcPr>
          <w:p w:rsidR="0037666B" w:rsidRDefault="00C627B8">
            <w:pPr>
              <w:rPr>
                <w:rFonts w:ascii="Times New Roman" w:hAnsi="Times New Roman" w:cs="Times New Roman"/>
                <w:b w:val="0"/>
                <w:noProof/>
                <w:color w:val="FFFFFF" w:themeColor="background1"/>
                <w:szCs w:val="24"/>
              </w:rPr>
            </w:pPr>
            <w:r>
              <w:rPr>
                <w:rFonts w:ascii="Times New Roman" w:hAnsi="Times New Roman" w:cs="Times New Roman"/>
                <w:noProof/>
                <w:color w:val="FFFFFF" w:themeColor="background1"/>
                <w:szCs w:val="24"/>
              </w:rPr>
              <w:t xml:space="preserve">CJEU, Case C-150/11 </w:t>
            </w:r>
            <w:r>
              <w:rPr>
                <w:rFonts w:ascii="Times New Roman" w:hAnsi="Times New Roman" w:cs="Times New Roman"/>
                <w:i/>
                <w:noProof/>
                <w:color w:val="FFFFFF" w:themeColor="background1"/>
                <w:szCs w:val="24"/>
              </w:rPr>
              <w:t>Commission v Belgium</w:t>
            </w:r>
            <w:r>
              <w:rPr>
                <w:rFonts w:ascii="Times New Roman" w:hAnsi="Times New Roman" w:cs="Times New Roman"/>
                <w:noProof/>
                <w:color w:val="FFFFFF" w:themeColor="background1"/>
                <w:szCs w:val="24"/>
              </w:rPr>
              <w:t>, ECLI:EU:C:2012:539</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 xml:space="preserve">By requiring systematically the production of </w:t>
            </w:r>
            <w:r>
              <w:rPr>
                <w:rFonts w:ascii="Times New Roman" w:hAnsi="Times New Roman" w:cs="Times New Roman"/>
                <w:b w:val="0"/>
                <w:noProof/>
                <w:szCs w:val="24"/>
              </w:rPr>
              <w:t>a vehicle’s certificate of conformity for the purpose of a roadworthiness test prior to the registration of a vehicle previously registered in another Member State (in addition to production of a certificate of registration)  and by making such vehicles su</w:t>
            </w:r>
            <w:r>
              <w:rPr>
                <w:rFonts w:ascii="Times New Roman" w:hAnsi="Times New Roman" w:cs="Times New Roman"/>
                <w:b w:val="0"/>
                <w:noProof/>
                <w:szCs w:val="24"/>
              </w:rPr>
              <w:t>bject to a roadworthiness test prior to their registration due to a change in ownership, without taking into account the results of the roadworthiness test carried out in another Member State, Belgium has failed to fulfil its obligations under Article 4 of</w:t>
            </w:r>
            <w:r>
              <w:rPr>
                <w:rFonts w:ascii="Times New Roman" w:hAnsi="Times New Roman" w:cs="Times New Roman"/>
                <w:b w:val="0"/>
                <w:noProof/>
                <w:szCs w:val="24"/>
              </w:rPr>
              <w:t xml:space="preserve"> Council Directive 1999/37/EC of 29 April 1999 on the registration documents for vehicles, as amended by Council Directive 2006/103/EC of 20 November 2006, and under Article 34 TFEU.</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noProof/>
                <w:szCs w:val="24"/>
                <w:lang w:val="pt-PT"/>
              </w:rPr>
            </w:pPr>
            <w:r>
              <w:rPr>
                <w:rFonts w:ascii="Times New Roman" w:hAnsi="Times New Roman" w:cs="Times New Roman"/>
                <w:noProof/>
                <w:szCs w:val="24"/>
                <w:lang w:val="pt-PT"/>
              </w:rPr>
              <w:t xml:space="preserve">CJEU, Case C-385/10 </w:t>
            </w:r>
            <w:r>
              <w:rPr>
                <w:rFonts w:ascii="Times New Roman" w:hAnsi="Times New Roman" w:cs="Times New Roman"/>
                <w:i/>
                <w:noProof/>
                <w:szCs w:val="24"/>
                <w:lang w:val="pt-PT"/>
              </w:rPr>
              <w:t>Elenca</w:t>
            </w:r>
            <w:r>
              <w:rPr>
                <w:rFonts w:ascii="Times New Roman" w:hAnsi="Times New Roman" w:cs="Times New Roman"/>
                <w:noProof/>
                <w:szCs w:val="24"/>
                <w:lang w:val="pt-PT"/>
              </w:rPr>
              <w:t>, ECLI:EU:C:2012:634</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 xml:space="preserve">Articles 34 TFEU to 37 </w:t>
            </w:r>
            <w:r>
              <w:rPr>
                <w:rFonts w:ascii="Times New Roman" w:hAnsi="Times New Roman" w:cs="Times New Roman"/>
                <w:b w:val="0"/>
                <w:noProof/>
                <w:szCs w:val="24"/>
              </w:rPr>
              <w:t>TFEU must be interpreted as precluding national provisions which automatically make the marketing of construction products, originating from another Member State, subject to the affixing of CE marking.</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lang w:val="pt-PT"/>
              </w:rPr>
            </w:pPr>
            <w:r>
              <w:rPr>
                <w:rFonts w:ascii="Times New Roman" w:hAnsi="Times New Roman" w:cs="Times New Roman"/>
                <w:noProof/>
                <w:szCs w:val="24"/>
                <w:lang w:val="pt-PT"/>
              </w:rPr>
              <w:t xml:space="preserve">CJEU, Case C-481/12 </w:t>
            </w:r>
            <w:r>
              <w:rPr>
                <w:rFonts w:ascii="Times New Roman" w:hAnsi="Times New Roman" w:cs="Times New Roman"/>
                <w:i/>
                <w:noProof/>
                <w:szCs w:val="24"/>
                <w:lang w:val="pt-PT"/>
              </w:rPr>
              <w:t>UAB Juvelta</w:t>
            </w:r>
            <w:r>
              <w:rPr>
                <w:rFonts w:ascii="Times New Roman" w:hAnsi="Times New Roman" w:cs="Times New Roman"/>
                <w:noProof/>
                <w:szCs w:val="24"/>
                <w:lang w:val="pt-PT"/>
              </w:rPr>
              <w:t>, ECLI:EU:C:2014:11</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Article 34 TFEU must be interpreted as precluding national legislation under which, for it to be permissible for them to be sold on the market of a Member State, articles of precious metal imported from another Member State, in which they are authorised to</w:t>
            </w:r>
            <w:r>
              <w:rPr>
                <w:rFonts w:ascii="Times New Roman" w:hAnsi="Times New Roman" w:cs="Times New Roman"/>
                <w:b w:val="0"/>
                <w:noProof/>
                <w:szCs w:val="24"/>
              </w:rPr>
              <w:t xml:space="preserve"> be put on the market and which have been stamped with a hallmark in accordance with the legislation of that second Member State, must, where the information concerning the standard of fineness of those articles provided in that hallmark does not comply wi</w:t>
            </w:r>
            <w:r>
              <w:rPr>
                <w:rFonts w:ascii="Times New Roman" w:hAnsi="Times New Roman" w:cs="Times New Roman"/>
                <w:b w:val="0"/>
                <w:noProof/>
                <w:szCs w:val="24"/>
              </w:rPr>
              <w:t>th the requirements of the legislation of that first Member State, be stamped again, by an independent assay office authorised by that first Member State, with a hallmark confirming that those articles have been inspected and showing their standard of fine</w:t>
            </w:r>
            <w:r>
              <w:rPr>
                <w:rFonts w:ascii="Times New Roman" w:hAnsi="Times New Roman" w:cs="Times New Roman"/>
                <w:b w:val="0"/>
                <w:noProof/>
                <w:szCs w:val="24"/>
              </w:rPr>
              <w:t>ness in accordance with those requirements.</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noProof/>
                <w:szCs w:val="24"/>
              </w:rPr>
              <w:t xml:space="preserve">CJEU, Case C-423/13 </w:t>
            </w:r>
            <w:r>
              <w:rPr>
                <w:rFonts w:ascii="Times New Roman" w:hAnsi="Times New Roman" w:cs="Times New Roman"/>
                <w:i/>
                <w:noProof/>
                <w:szCs w:val="24"/>
              </w:rPr>
              <w:t>Vilniaus Energija</w:t>
            </w:r>
            <w:r>
              <w:rPr>
                <w:rFonts w:ascii="Times New Roman" w:hAnsi="Times New Roman" w:cs="Times New Roman"/>
                <w:noProof/>
                <w:szCs w:val="24"/>
              </w:rPr>
              <w:t>, ECLI:EU:C:2014:2186</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Article 34 TFEU and Directive 2004/22/EC of 31 March 2004 on measuring instruments must be interpreted as precluding national legislation and practice according to which a hot-water meter which satisfies all the requirements of that Directive and is connec</w:t>
            </w:r>
            <w:r>
              <w:rPr>
                <w:rFonts w:ascii="Times New Roman" w:hAnsi="Times New Roman" w:cs="Times New Roman"/>
                <w:b w:val="0"/>
                <w:noProof/>
                <w:szCs w:val="24"/>
              </w:rPr>
              <w:t>ted to a remote (telemetric) data-transmission device is to be regarded as a measuring system and, as a result, cannot be used for its intended purpose so long as it has not been subject, together with that device, to a metrological verification as a measu</w:t>
            </w:r>
            <w:r>
              <w:rPr>
                <w:rFonts w:ascii="Times New Roman" w:hAnsi="Times New Roman" w:cs="Times New Roman"/>
                <w:b w:val="0"/>
                <w:noProof/>
                <w:szCs w:val="24"/>
              </w:rPr>
              <w:t xml:space="preserve">ring system. </w:t>
            </w:r>
          </w:p>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Competent national authorities may not, in any event, unnecessarily require technical analyses where those analyses have already been carried out in another Member State and their results are available to those authorities or may, at their re</w:t>
            </w:r>
            <w:r>
              <w:rPr>
                <w:rFonts w:ascii="Times New Roman" w:hAnsi="Times New Roman" w:cs="Times New Roman"/>
                <w:b w:val="0"/>
                <w:noProof/>
                <w:szCs w:val="24"/>
              </w:rPr>
              <w:t>quest, be placed at their disposal (see, to that effect, Commission v Portugal, ECLI:EU:C:2005:669, paragraph 46 and the case-law cited).</w:t>
            </w:r>
          </w:p>
        </w:tc>
      </w:tr>
    </w:tbl>
    <w:p w:rsidR="0037666B" w:rsidRDefault="0037666B">
      <w:pPr>
        <w:rPr>
          <w:b/>
          <w:noProof/>
          <w:szCs w:val="24"/>
          <w:u w:val="single"/>
        </w:rPr>
      </w:pPr>
    </w:p>
    <w:tbl>
      <w:tblPr>
        <w:tblStyle w:val="LightList-Accent1"/>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noProof/>
                <w:szCs w:val="24"/>
                <w:lang w:val="fr-FR"/>
              </w:rPr>
            </w:pPr>
            <w:r>
              <w:rPr>
                <w:rFonts w:ascii="Times New Roman" w:hAnsi="Times New Roman" w:cs="Times New Roman"/>
                <w:noProof/>
                <w:szCs w:val="24"/>
                <w:lang w:val="fr-FR"/>
              </w:rPr>
              <w:t xml:space="preserve">CJEU, Case C-354/14 </w:t>
            </w:r>
            <w:r>
              <w:rPr>
                <w:rFonts w:ascii="Times New Roman" w:hAnsi="Times New Roman" w:cs="Times New Roman"/>
                <w:i/>
                <w:noProof/>
                <w:szCs w:val="24"/>
                <w:lang w:val="fr-FR"/>
              </w:rPr>
              <w:t>Capods Import-Export</w:t>
            </w:r>
            <w:r>
              <w:rPr>
                <w:rFonts w:ascii="Times New Roman" w:hAnsi="Times New Roman" w:cs="Times New Roman"/>
                <w:noProof/>
                <w:szCs w:val="24"/>
                <w:lang w:val="fr-FR"/>
              </w:rPr>
              <w:t>, ECLI:EU:C:2015:658</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rsidR="0037666B" w:rsidRDefault="00C627B8">
            <w:pPr>
              <w:rPr>
                <w:rFonts w:ascii="Times New Roman" w:hAnsi="Times New Roman" w:cs="Times New Roman"/>
                <w:b w:val="0"/>
                <w:noProof/>
                <w:szCs w:val="24"/>
              </w:rPr>
            </w:pPr>
            <w:r>
              <w:rPr>
                <w:rFonts w:ascii="Times New Roman" w:hAnsi="Times New Roman" w:cs="Times New Roman"/>
                <w:b w:val="0"/>
                <w:noProof/>
                <w:szCs w:val="24"/>
              </w:rPr>
              <w:t>Article 34 TFEU and Article 31(1) and (12) of Directiv</w:t>
            </w:r>
            <w:r>
              <w:rPr>
                <w:rFonts w:ascii="Times New Roman" w:hAnsi="Times New Roman" w:cs="Times New Roman"/>
                <w:b w:val="0"/>
                <w:noProof/>
                <w:szCs w:val="24"/>
              </w:rPr>
              <w:t xml:space="preserve">e 2007/46/EC of 5 September 2007 establishing a framework for the approval of motor vehicles and their trailers, and of systems, components and separate technical units intended for such vehicles (Framework Directive) must be interpreted as not precluding </w:t>
            </w:r>
            <w:r>
              <w:rPr>
                <w:rFonts w:ascii="Times New Roman" w:hAnsi="Times New Roman" w:cs="Times New Roman"/>
                <w:b w:val="0"/>
                <w:noProof/>
                <w:szCs w:val="24"/>
              </w:rPr>
              <w:t>national legislation, which makes the marketing in a Member State of new spare parts for road vehicles subject to the application of an approval or homologation procedure in that Member State, provided that that legislation also lays down exceptions such a</w:t>
            </w:r>
            <w:r>
              <w:rPr>
                <w:rFonts w:ascii="Times New Roman" w:hAnsi="Times New Roman" w:cs="Times New Roman"/>
                <w:b w:val="0"/>
                <w:noProof/>
                <w:szCs w:val="24"/>
              </w:rPr>
              <w:t>s to ensure that parts lawfully produced and marketed in other Member States are exempted or, failing this, that the parts in question are capable of posing a significant risk to the correct functioning of systems that are essential for the safety of the v</w:t>
            </w:r>
            <w:r>
              <w:rPr>
                <w:rFonts w:ascii="Times New Roman" w:hAnsi="Times New Roman" w:cs="Times New Roman"/>
                <w:b w:val="0"/>
                <w:noProof/>
                <w:szCs w:val="24"/>
              </w:rPr>
              <w:t>ehicle or its environmental performance and that that approval or homologation procedure is strictly necessary and proportionate in relation to the objectives of protection of road safety or of protection of the environment.</w:t>
            </w:r>
          </w:p>
          <w:p w:rsidR="0037666B" w:rsidRDefault="00C627B8">
            <w:pPr>
              <w:rPr>
                <w:rFonts w:ascii="Times New Roman" w:hAnsi="Times New Roman" w:cs="Times New Roman"/>
                <w:noProof/>
                <w:szCs w:val="24"/>
              </w:rPr>
            </w:pPr>
            <w:r>
              <w:rPr>
                <w:rFonts w:ascii="Times New Roman" w:hAnsi="Times New Roman" w:cs="Times New Roman"/>
                <w:b w:val="0"/>
                <w:noProof/>
                <w:szCs w:val="24"/>
              </w:rPr>
              <w:t>The conditions for proving that</w:t>
            </w:r>
            <w:r>
              <w:rPr>
                <w:rFonts w:ascii="Times New Roman" w:hAnsi="Times New Roman" w:cs="Times New Roman"/>
                <w:b w:val="0"/>
                <w:noProof/>
                <w:szCs w:val="24"/>
              </w:rPr>
              <w:t xml:space="preserve"> such parts have already been approved or homologated or constitute original parts or parts of matching quality are governed, in the absence of European Union rules on the matter, by the law of the Member States, subject to the principles of equivalence an</w:t>
            </w:r>
            <w:r>
              <w:rPr>
                <w:rFonts w:ascii="Times New Roman" w:hAnsi="Times New Roman" w:cs="Times New Roman"/>
                <w:b w:val="0"/>
                <w:noProof/>
                <w:szCs w:val="24"/>
              </w:rPr>
              <w:t>d of effectiveness.</w:t>
            </w:r>
          </w:p>
        </w:tc>
      </w:tr>
    </w:tbl>
    <w:p w:rsidR="0037666B" w:rsidRDefault="0037666B">
      <w:pPr>
        <w:rPr>
          <w:noProof/>
        </w:rPr>
      </w:pPr>
    </w:p>
    <w:p w:rsidR="0037666B" w:rsidRDefault="00C627B8">
      <w:pPr>
        <w:rPr>
          <w:noProof/>
        </w:rPr>
      </w:pPr>
      <w:r>
        <w:rPr>
          <w:noProof/>
        </w:rPr>
        <w:br w:type="page"/>
      </w:r>
    </w:p>
    <w:p w:rsidR="0037666B" w:rsidRDefault="00C627B8">
      <w:pPr>
        <w:pStyle w:val="Heading1"/>
        <w:keepNext w:val="0"/>
        <w:numPr>
          <w:ilvl w:val="0"/>
          <w:numId w:val="0"/>
        </w:numPr>
        <w:spacing w:before="0"/>
        <w:rPr>
          <w:noProof/>
          <w:szCs w:val="24"/>
        </w:rPr>
      </w:pPr>
      <w:bookmarkStart w:id="176" w:name="_Toc483992790"/>
      <w:r>
        <w:rPr>
          <w:noProof/>
          <w:szCs w:val="24"/>
        </w:rPr>
        <w:t>Annex  8 The Declaration of Compliance</w:t>
      </w:r>
      <w:bookmarkEnd w:id="176"/>
    </w:p>
    <w:p w:rsidR="0037666B" w:rsidRDefault="00C627B8">
      <w:pPr>
        <w:rPr>
          <w:noProof/>
          <w:szCs w:val="24"/>
        </w:rPr>
      </w:pPr>
      <w:r>
        <w:rPr>
          <w:noProof/>
          <w:szCs w:val="24"/>
        </w:rPr>
        <w:t>The EU has a comprehensive policy geared to ensure that only safe and otherwise compliant products find their way on to the market, in such a way that honest economic operators can benefit from</w:t>
      </w:r>
      <w:r>
        <w:rPr>
          <w:noProof/>
          <w:szCs w:val="24"/>
        </w:rPr>
        <w:t xml:space="preserve"> a level playing field, thus promoting at the same time an effective protection of EU consumers and professional users and a competitive single EU market. The ‘New Approach’ developed in 1985, restricted the content of legislation to ‘essential requirement</w:t>
      </w:r>
      <w:r>
        <w:rPr>
          <w:noProof/>
          <w:szCs w:val="24"/>
        </w:rPr>
        <w:t>s’ leaving the technical details to European harmonised standards. The ‘New Legislative Framework’ adopted in July 2008, builds on the New Approach and completes the overall legislative framework with all the necessary elements for effective conformity ass</w:t>
      </w:r>
      <w:r>
        <w:rPr>
          <w:noProof/>
          <w:szCs w:val="24"/>
        </w:rPr>
        <w:t xml:space="preserve">essment, accreditation and market surveillance including the control of products from outside the Union. </w:t>
      </w:r>
    </w:p>
    <w:p w:rsidR="0037666B" w:rsidRDefault="00C627B8">
      <w:pPr>
        <w:pStyle w:val="Heading1"/>
        <w:keepNext w:val="0"/>
        <w:numPr>
          <w:ilvl w:val="0"/>
          <w:numId w:val="43"/>
        </w:numPr>
        <w:tabs>
          <w:tab w:val="clear" w:pos="480"/>
          <w:tab w:val="num" w:pos="567"/>
        </w:tabs>
        <w:spacing w:before="0"/>
        <w:rPr>
          <w:noProof/>
          <w:szCs w:val="24"/>
        </w:rPr>
      </w:pPr>
      <w:bookmarkStart w:id="177" w:name="_Toc483992791"/>
      <w:r>
        <w:rPr>
          <w:noProof/>
          <w:szCs w:val="24"/>
        </w:rPr>
        <w:t>EU Product legislation under the 'New Approach'</w:t>
      </w:r>
      <w:bookmarkEnd w:id="177"/>
    </w:p>
    <w:p w:rsidR="0037666B" w:rsidRDefault="00C627B8">
      <w:pPr>
        <w:pStyle w:val="Text1"/>
        <w:ind w:left="0"/>
        <w:rPr>
          <w:noProof/>
          <w:szCs w:val="24"/>
        </w:rPr>
      </w:pPr>
      <w:r>
        <w:rPr>
          <w:noProof/>
          <w:szCs w:val="24"/>
        </w:rPr>
        <w:t>The 'Cassis de Dijon' judgement played an immense role in modifying the EU approach to technical harmo</w:t>
      </w:r>
      <w:r>
        <w:rPr>
          <w:noProof/>
          <w:szCs w:val="24"/>
        </w:rPr>
        <w:t>nisation on three fundamental counts:</w:t>
      </w:r>
    </w:p>
    <w:p w:rsidR="0037666B" w:rsidRDefault="00C627B8">
      <w:pPr>
        <w:pStyle w:val="ListNumber1"/>
        <w:tabs>
          <w:tab w:val="clear" w:pos="1191"/>
          <w:tab w:val="num" w:pos="1189"/>
        </w:tabs>
        <w:ind w:left="709"/>
        <w:rPr>
          <w:noProof/>
          <w:szCs w:val="24"/>
        </w:rPr>
      </w:pPr>
      <w:r>
        <w:rPr>
          <w:noProof/>
          <w:szCs w:val="24"/>
        </w:rPr>
        <w:t xml:space="preserve">In stating that Member States could only justify forbidding or restricting the marketing of products from other Member States on the basis of non-conformity with ‘essential requirements’, the Court opened a reflection on the </w:t>
      </w:r>
      <w:r>
        <w:rPr>
          <w:b/>
          <w:noProof/>
          <w:szCs w:val="24"/>
        </w:rPr>
        <w:t>content of future harmonisation</w:t>
      </w:r>
      <w:r>
        <w:rPr>
          <w:b/>
          <w:noProof/>
          <w:szCs w:val="24"/>
        </w:rPr>
        <w:t xml:space="preserve"> legislation</w:t>
      </w:r>
      <w:r>
        <w:rPr>
          <w:noProof/>
          <w:szCs w:val="24"/>
        </w:rPr>
        <w:t>: since non-respect of non-essential requirements could not justify restricting the marketing of a product, such non-essential requirements need no longer figure in EU harmonisation texts. This opened the door to the 'New Approach and the conse</w:t>
      </w:r>
      <w:r>
        <w:rPr>
          <w:noProof/>
          <w:szCs w:val="24"/>
        </w:rPr>
        <w:t xml:space="preserve">quent reflection on what constitutes an essential requirement and how to formulate it in such a manner that conformity can be demonstrated, </w:t>
      </w:r>
    </w:p>
    <w:p w:rsidR="0037666B" w:rsidRDefault="00C627B8">
      <w:pPr>
        <w:pStyle w:val="ListNumber1"/>
        <w:ind w:left="709"/>
        <w:rPr>
          <w:noProof/>
          <w:szCs w:val="24"/>
        </w:rPr>
      </w:pPr>
      <w:r>
        <w:rPr>
          <w:noProof/>
          <w:szCs w:val="24"/>
        </w:rPr>
        <w:t xml:space="preserve">In stating this principle, the Court clearly placed the </w:t>
      </w:r>
      <w:r>
        <w:rPr>
          <w:b/>
          <w:noProof/>
          <w:szCs w:val="24"/>
        </w:rPr>
        <w:t>onus on national authorities</w:t>
      </w:r>
      <w:r>
        <w:rPr>
          <w:noProof/>
          <w:szCs w:val="24"/>
        </w:rPr>
        <w:t xml:space="preserve"> to demonstrate where products did not conform to essential requirements but it also begged the question of the </w:t>
      </w:r>
      <w:r>
        <w:rPr>
          <w:b/>
          <w:noProof/>
          <w:szCs w:val="24"/>
        </w:rPr>
        <w:t>appropriate means for demonstrating conformity in a proportionate manner</w:t>
      </w:r>
      <w:r>
        <w:rPr>
          <w:noProof/>
          <w:szCs w:val="24"/>
        </w:rPr>
        <w:t xml:space="preserve">, </w:t>
      </w:r>
    </w:p>
    <w:p w:rsidR="0037666B" w:rsidRDefault="00C627B8">
      <w:pPr>
        <w:pStyle w:val="ListNumber1"/>
        <w:ind w:left="709"/>
        <w:rPr>
          <w:noProof/>
          <w:szCs w:val="24"/>
        </w:rPr>
      </w:pPr>
      <w:r>
        <w:rPr>
          <w:noProof/>
          <w:szCs w:val="24"/>
        </w:rPr>
        <w:t>By noting that Member States were obliged to accept products from oth</w:t>
      </w:r>
      <w:r>
        <w:rPr>
          <w:noProof/>
          <w:szCs w:val="24"/>
        </w:rPr>
        <w:t>er Member States except in circumscribed conditions, the Court identified a legal principle but did not produce the means to create the trust in the products that could help authorities to accept products they could not vouch for. This led to the need to d</w:t>
      </w:r>
      <w:r>
        <w:rPr>
          <w:noProof/>
          <w:szCs w:val="24"/>
        </w:rPr>
        <w:t xml:space="preserve">evelop a </w:t>
      </w:r>
      <w:r>
        <w:rPr>
          <w:b/>
          <w:noProof/>
          <w:szCs w:val="24"/>
        </w:rPr>
        <w:t>policy on conformity assessment</w:t>
      </w:r>
      <w:r>
        <w:rPr>
          <w:noProof/>
          <w:szCs w:val="24"/>
        </w:rPr>
        <w:t>.</w:t>
      </w:r>
    </w:p>
    <w:p w:rsidR="0037666B" w:rsidRDefault="00C627B8">
      <w:pPr>
        <w:pStyle w:val="Text1"/>
        <w:ind w:left="0"/>
        <w:rPr>
          <w:noProof/>
          <w:szCs w:val="24"/>
        </w:rPr>
      </w:pPr>
      <w:r>
        <w:rPr>
          <w:noProof/>
          <w:szCs w:val="24"/>
        </w:rPr>
        <w:t>The 'New Approach' legislative technique approved by the Council of Ministers on 7 May 1985 in its Resolution on a new approach to technical harmonisation and standards</w:t>
      </w:r>
      <w:r>
        <w:rPr>
          <w:rStyle w:val="FootnoteReference"/>
          <w:noProof/>
          <w:szCs w:val="24"/>
        </w:rPr>
        <w:footnoteReference w:id="193"/>
      </w:r>
      <w:r>
        <w:rPr>
          <w:noProof/>
          <w:szCs w:val="24"/>
        </w:rPr>
        <w:t xml:space="preserve"> was the logical legislative follow up to the</w:t>
      </w:r>
      <w:r>
        <w:rPr>
          <w:noProof/>
          <w:szCs w:val="24"/>
        </w:rPr>
        <w:t xml:space="preserve"> Cassis de Dijon case. This regulatory technique established the following principles:</w:t>
      </w:r>
    </w:p>
    <w:p w:rsidR="0037666B" w:rsidRDefault="00C627B8">
      <w:pPr>
        <w:pStyle w:val="ListBullet1"/>
        <w:ind w:left="567" w:hanging="567"/>
        <w:rPr>
          <w:noProof/>
          <w:szCs w:val="24"/>
        </w:rPr>
      </w:pPr>
      <w:r>
        <w:rPr>
          <w:b/>
          <w:noProof/>
          <w:szCs w:val="24"/>
        </w:rPr>
        <w:t>Legislative harmonisation should be limited to the essential requirements</w:t>
      </w:r>
      <w:r>
        <w:rPr>
          <w:noProof/>
          <w:szCs w:val="24"/>
        </w:rPr>
        <w:t xml:space="preserve"> (preferably performance or functional requirements) that products placed on the EU market must </w:t>
      </w:r>
      <w:r>
        <w:rPr>
          <w:noProof/>
          <w:szCs w:val="24"/>
        </w:rPr>
        <w:t>meet if they are to benefit from free movement within the EU;</w:t>
      </w:r>
    </w:p>
    <w:p w:rsidR="0037666B" w:rsidRDefault="00C627B8">
      <w:pPr>
        <w:pStyle w:val="ListBullet1"/>
        <w:ind w:left="567" w:hanging="567"/>
        <w:rPr>
          <w:noProof/>
          <w:szCs w:val="24"/>
        </w:rPr>
      </w:pPr>
      <w:r>
        <w:rPr>
          <w:noProof/>
          <w:szCs w:val="24"/>
        </w:rPr>
        <w:t xml:space="preserve">The </w:t>
      </w:r>
      <w:r>
        <w:rPr>
          <w:b/>
          <w:noProof/>
          <w:szCs w:val="24"/>
        </w:rPr>
        <w:t>technical specifications</w:t>
      </w:r>
      <w:r>
        <w:rPr>
          <w:noProof/>
          <w:szCs w:val="24"/>
        </w:rPr>
        <w:t xml:space="preserve"> for products meeting the essential requirements set out in legislation should be laid down in </w:t>
      </w:r>
      <w:r>
        <w:rPr>
          <w:b/>
          <w:noProof/>
          <w:szCs w:val="24"/>
        </w:rPr>
        <w:t>harmonised standards</w:t>
      </w:r>
      <w:r>
        <w:rPr>
          <w:noProof/>
          <w:szCs w:val="24"/>
        </w:rPr>
        <w:t xml:space="preserve"> which can be applied alongside the legislation;</w:t>
      </w:r>
    </w:p>
    <w:p w:rsidR="0037666B" w:rsidRDefault="00C627B8">
      <w:pPr>
        <w:pStyle w:val="ListBullet1"/>
        <w:ind w:left="567" w:hanging="567"/>
        <w:rPr>
          <w:noProof/>
          <w:szCs w:val="24"/>
        </w:rPr>
      </w:pPr>
      <w:r>
        <w:rPr>
          <w:noProof/>
          <w:szCs w:val="24"/>
        </w:rPr>
        <w:t>Pr</w:t>
      </w:r>
      <w:r>
        <w:rPr>
          <w:noProof/>
          <w:szCs w:val="24"/>
        </w:rPr>
        <w:t xml:space="preserve">oducts manufactured in compliance with harmonised standards benefit from a </w:t>
      </w:r>
      <w:r>
        <w:rPr>
          <w:b/>
          <w:noProof/>
          <w:szCs w:val="24"/>
        </w:rPr>
        <w:t>presumption of conformity</w:t>
      </w:r>
      <w:r>
        <w:rPr>
          <w:noProof/>
          <w:szCs w:val="24"/>
        </w:rPr>
        <w:t xml:space="preserve"> with the corresponding essential requirements of the applicable legislation, and, in some cases, the manufacturer may benefit from a </w:t>
      </w:r>
      <w:r>
        <w:rPr>
          <w:b/>
          <w:noProof/>
          <w:szCs w:val="24"/>
        </w:rPr>
        <w:t xml:space="preserve">simplified conformity </w:t>
      </w:r>
      <w:r>
        <w:rPr>
          <w:b/>
          <w:noProof/>
          <w:szCs w:val="24"/>
        </w:rPr>
        <w:t>assessment procedure</w:t>
      </w:r>
      <w:r>
        <w:rPr>
          <w:noProof/>
          <w:szCs w:val="24"/>
        </w:rPr>
        <w:t xml:space="preserve"> (in many instances the </w:t>
      </w:r>
      <w:r>
        <w:rPr>
          <w:b/>
          <w:noProof/>
          <w:szCs w:val="24"/>
        </w:rPr>
        <w:t>manufacturer's declaration of conformity</w:t>
      </w:r>
      <w:r>
        <w:rPr>
          <w:noProof/>
          <w:szCs w:val="24"/>
        </w:rPr>
        <w:t>, made more easily acceptable to public authorities by the existence of the product liability legislation);</w:t>
      </w:r>
    </w:p>
    <w:p w:rsidR="0037666B" w:rsidRDefault="00C627B8">
      <w:pPr>
        <w:pStyle w:val="ListBullet1"/>
        <w:ind w:left="567" w:hanging="567"/>
        <w:rPr>
          <w:noProof/>
          <w:szCs w:val="24"/>
        </w:rPr>
      </w:pPr>
      <w:r>
        <w:rPr>
          <w:noProof/>
          <w:szCs w:val="24"/>
        </w:rPr>
        <w:t xml:space="preserve">The </w:t>
      </w:r>
      <w:r>
        <w:rPr>
          <w:b/>
          <w:noProof/>
          <w:szCs w:val="24"/>
        </w:rPr>
        <w:t>application of harmonised or other standards remains volunta</w:t>
      </w:r>
      <w:r>
        <w:rPr>
          <w:b/>
          <w:noProof/>
          <w:szCs w:val="24"/>
        </w:rPr>
        <w:t>ry</w:t>
      </w:r>
      <w:r>
        <w:rPr>
          <w:noProof/>
          <w:szCs w:val="24"/>
        </w:rPr>
        <w:t>, and the manufacturer can always apply other technical specifications to meet the requirements (but will carry the burden of demonstrating that these technical specifications answer the needs of the essential requirements, more often than not, through a</w:t>
      </w:r>
      <w:r>
        <w:rPr>
          <w:noProof/>
          <w:szCs w:val="24"/>
        </w:rPr>
        <w:t xml:space="preserve"> process involving a third party conformity assessment body).</w:t>
      </w:r>
    </w:p>
    <w:p w:rsidR="0037666B" w:rsidRDefault="00C627B8">
      <w:pPr>
        <w:pStyle w:val="Text1"/>
        <w:ind w:left="0"/>
        <w:rPr>
          <w:noProof/>
          <w:szCs w:val="24"/>
        </w:rPr>
      </w:pPr>
      <w:r>
        <w:rPr>
          <w:noProof/>
          <w:szCs w:val="24"/>
        </w:rPr>
        <w:t xml:space="preserve">As a general rule, </w:t>
      </w:r>
      <w:r>
        <w:rPr>
          <w:b/>
          <w:noProof/>
          <w:szCs w:val="24"/>
        </w:rPr>
        <w:t>EU product legislation under the 'New Approach'</w:t>
      </w:r>
      <w:r>
        <w:rPr>
          <w:noProof/>
          <w:szCs w:val="24"/>
        </w:rPr>
        <w:t xml:space="preserve"> obliges the manufacturer, when placing a product on the market the manufacturer, to take all measures necessary to ensure that </w:t>
      </w:r>
      <w:r>
        <w:rPr>
          <w:noProof/>
          <w:szCs w:val="24"/>
        </w:rPr>
        <w:t>the manufacturing process assures compliance of the products and in particular:</w:t>
      </w:r>
    </w:p>
    <w:p w:rsidR="0037666B" w:rsidRDefault="00C627B8">
      <w:pPr>
        <w:pStyle w:val="ListNumber1"/>
        <w:numPr>
          <w:ilvl w:val="0"/>
          <w:numId w:val="38"/>
        </w:numPr>
        <w:ind w:left="567" w:hanging="567"/>
        <w:rPr>
          <w:noProof/>
          <w:szCs w:val="24"/>
        </w:rPr>
      </w:pPr>
      <w:r>
        <w:rPr>
          <w:noProof/>
          <w:szCs w:val="24"/>
        </w:rPr>
        <w:t xml:space="preserve">carry out the applicable </w:t>
      </w:r>
      <w:r>
        <w:rPr>
          <w:noProof/>
          <w:szCs w:val="24"/>
          <w:u w:val="single"/>
        </w:rPr>
        <w:t>conformity assessment</w:t>
      </w:r>
      <w:r>
        <w:rPr>
          <w:noProof/>
          <w:szCs w:val="24"/>
        </w:rPr>
        <w:t xml:space="preserve"> or have it carried out, in accordance with the procedure(s) laid down by the relevant Union harmonisation legislation. Depending </w:t>
      </w:r>
      <w:r>
        <w:rPr>
          <w:noProof/>
          <w:szCs w:val="24"/>
        </w:rPr>
        <w:t>on the Union harmonisation act, the manufacturer may be required to submit the product to a third party (usually a notified body) to have the conformity assessment carried out, or to have a quality system approved by a notified body. In any case, the manuf</w:t>
      </w:r>
      <w:r>
        <w:rPr>
          <w:noProof/>
          <w:szCs w:val="24"/>
        </w:rPr>
        <w:t>acturer bears full responsibility for product conformity;</w:t>
      </w:r>
    </w:p>
    <w:p w:rsidR="0037666B" w:rsidRDefault="00C627B8">
      <w:pPr>
        <w:pStyle w:val="ListNumber1"/>
        <w:numPr>
          <w:ilvl w:val="0"/>
          <w:numId w:val="38"/>
        </w:numPr>
        <w:ind w:left="567" w:hanging="567"/>
        <w:rPr>
          <w:noProof/>
          <w:szCs w:val="24"/>
        </w:rPr>
      </w:pPr>
      <w:r>
        <w:rPr>
          <w:noProof/>
          <w:szCs w:val="24"/>
        </w:rPr>
        <w:t xml:space="preserve">draw up the required </w:t>
      </w:r>
      <w:r>
        <w:rPr>
          <w:noProof/>
          <w:szCs w:val="24"/>
          <w:u w:val="single"/>
        </w:rPr>
        <w:t>technical documentation</w:t>
      </w:r>
      <w:r>
        <w:rPr>
          <w:noProof/>
          <w:szCs w:val="24"/>
        </w:rPr>
        <w:t>;</w:t>
      </w:r>
    </w:p>
    <w:p w:rsidR="0037666B" w:rsidRDefault="00C627B8">
      <w:pPr>
        <w:pStyle w:val="ListNumber1"/>
        <w:numPr>
          <w:ilvl w:val="0"/>
          <w:numId w:val="38"/>
        </w:numPr>
        <w:ind w:left="567" w:hanging="567"/>
        <w:rPr>
          <w:noProof/>
          <w:szCs w:val="24"/>
        </w:rPr>
      </w:pPr>
      <w:r>
        <w:rPr>
          <w:noProof/>
          <w:szCs w:val="24"/>
        </w:rPr>
        <w:t xml:space="preserve">draw up the </w:t>
      </w:r>
      <w:r>
        <w:rPr>
          <w:noProof/>
          <w:szCs w:val="24"/>
          <w:u w:val="single"/>
        </w:rPr>
        <w:t>EU declaration of conformity</w:t>
      </w:r>
      <w:r>
        <w:rPr>
          <w:noProof/>
          <w:szCs w:val="24"/>
        </w:rPr>
        <w:t>;</w:t>
      </w:r>
    </w:p>
    <w:p w:rsidR="0037666B" w:rsidRDefault="00C627B8">
      <w:pPr>
        <w:pStyle w:val="ListNumber1"/>
        <w:numPr>
          <w:ilvl w:val="0"/>
          <w:numId w:val="38"/>
        </w:numPr>
        <w:ind w:left="567" w:hanging="567"/>
        <w:rPr>
          <w:noProof/>
          <w:szCs w:val="24"/>
        </w:rPr>
      </w:pPr>
      <w:r>
        <w:rPr>
          <w:noProof/>
          <w:szCs w:val="24"/>
          <w:u w:val="single"/>
        </w:rPr>
        <w:t>accompany  the product with instructions and safety information</w:t>
      </w:r>
      <w:r>
        <w:rPr>
          <w:noProof/>
          <w:szCs w:val="24"/>
        </w:rPr>
        <w:t xml:space="preserve"> as required by the applicable Union harmonisat</w:t>
      </w:r>
      <w:r>
        <w:rPr>
          <w:noProof/>
          <w:szCs w:val="24"/>
        </w:rPr>
        <w:t xml:space="preserve">ion legislation, in a language easily understood by consumers and other end-users, as determined by the Member State concerned. </w:t>
      </w:r>
    </w:p>
    <w:p w:rsidR="0037666B" w:rsidRDefault="00C627B8">
      <w:pPr>
        <w:pStyle w:val="ListNumber1"/>
        <w:numPr>
          <w:ilvl w:val="0"/>
          <w:numId w:val="38"/>
        </w:numPr>
        <w:ind w:left="567" w:hanging="567"/>
        <w:rPr>
          <w:noProof/>
          <w:szCs w:val="24"/>
        </w:rPr>
      </w:pPr>
      <w:r>
        <w:rPr>
          <w:noProof/>
          <w:szCs w:val="24"/>
        </w:rPr>
        <w:t xml:space="preserve">satisfy the following </w:t>
      </w:r>
      <w:r>
        <w:rPr>
          <w:noProof/>
          <w:szCs w:val="24"/>
          <w:u w:val="single"/>
        </w:rPr>
        <w:t>traceability requirements</w:t>
      </w:r>
      <w:r>
        <w:rPr>
          <w:noProof/>
          <w:szCs w:val="24"/>
        </w:rPr>
        <w:t>:</w:t>
      </w:r>
    </w:p>
    <w:p w:rsidR="0037666B" w:rsidRDefault="00C627B8">
      <w:pPr>
        <w:pStyle w:val="ListDash2"/>
        <w:ind w:left="1134" w:hanging="567"/>
        <w:rPr>
          <w:noProof/>
          <w:szCs w:val="24"/>
        </w:rPr>
      </w:pPr>
      <w:r>
        <w:rPr>
          <w:noProof/>
          <w:szCs w:val="24"/>
        </w:rPr>
        <w:t>keep the technical documentation and the EU declaration of conformity for 10 y</w:t>
      </w:r>
      <w:r>
        <w:rPr>
          <w:noProof/>
          <w:szCs w:val="24"/>
        </w:rPr>
        <w:t>ears after the product has been placed on the market or for the period specified in the relevant Union harmonisation act,</w:t>
      </w:r>
    </w:p>
    <w:p w:rsidR="0037666B" w:rsidRDefault="00C627B8">
      <w:pPr>
        <w:pStyle w:val="ListDash2"/>
        <w:ind w:left="1134" w:hanging="567"/>
        <w:rPr>
          <w:noProof/>
          <w:szCs w:val="24"/>
        </w:rPr>
      </w:pPr>
      <w:r>
        <w:rPr>
          <w:noProof/>
          <w:szCs w:val="24"/>
        </w:rPr>
        <w:t>ensure that the product bears a type, batch or serial number or other element allowing its identification,</w:t>
      </w:r>
    </w:p>
    <w:p w:rsidR="0037666B" w:rsidRDefault="00C627B8">
      <w:pPr>
        <w:pStyle w:val="ListDash2"/>
        <w:ind w:left="1134" w:hanging="567"/>
        <w:rPr>
          <w:noProof/>
          <w:szCs w:val="24"/>
        </w:rPr>
      </w:pPr>
      <w:r>
        <w:rPr>
          <w:noProof/>
          <w:szCs w:val="24"/>
        </w:rPr>
        <w:t>indicate the following thre</w:t>
      </w:r>
      <w:r>
        <w:rPr>
          <w:noProof/>
          <w:szCs w:val="24"/>
        </w:rPr>
        <w:t>e elements: his name, registered trade name or registered trade mark and a single contact postal address on the product or when not possible because of the size or physical characteristics of the products, on its packaging and/or on the accompanying docume</w:t>
      </w:r>
      <w:r>
        <w:rPr>
          <w:noProof/>
          <w:szCs w:val="24"/>
        </w:rPr>
        <w:t>ntation. The single contact point may not necessarily be located in the Member State where the product is made available on the market;</w:t>
      </w:r>
    </w:p>
    <w:p w:rsidR="0037666B" w:rsidRDefault="00C627B8">
      <w:pPr>
        <w:pStyle w:val="ListNumber1"/>
        <w:numPr>
          <w:ilvl w:val="0"/>
          <w:numId w:val="38"/>
        </w:numPr>
        <w:ind w:left="567" w:hanging="567"/>
        <w:rPr>
          <w:noProof/>
          <w:szCs w:val="24"/>
        </w:rPr>
      </w:pPr>
      <w:r>
        <w:rPr>
          <w:noProof/>
          <w:szCs w:val="24"/>
        </w:rPr>
        <w:t xml:space="preserve">affix the </w:t>
      </w:r>
      <w:r>
        <w:rPr>
          <w:noProof/>
          <w:szCs w:val="24"/>
          <w:u w:val="single"/>
        </w:rPr>
        <w:t>conformity marking (CE marking</w:t>
      </w:r>
      <w:r>
        <w:rPr>
          <w:noProof/>
          <w:szCs w:val="24"/>
        </w:rPr>
        <w:t xml:space="preserve"> and where relevant other markings to the product in accordance with the applica</w:t>
      </w:r>
      <w:r>
        <w:rPr>
          <w:noProof/>
          <w:szCs w:val="24"/>
        </w:rPr>
        <w:t xml:space="preserve">ble legislation; </w:t>
      </w:r>
    </w:p>
    <w:p w:rsidR="0037666B" w:rsidRDefault="00C627B8">
      <w:pPr>
        <w:pStyle w:val="ListNumber1"/>
        <w:numPr>
          <w:ilvl w:val="0"/>
          <w:numId w:val="38"/>
        </w:numPr>
        <w:ind w:left="567" w:hanging="567"/>
        <w:rPr>
          <w:noProof/>
          <w:szCs w:val="24"/>
        </w:rPr>
      </w:pPr>
      <w:r>
        <w:rPr>
          <w:noProof/>
          <w:szCs w:val="24"/>
        </w:rPr>
        <w:t xml:space="preserve">ensure that </w:t>
      </w:r>
      <w:r>
        <w:rPr>
          <w:noProof/>
          <w:szCs w:val="24"/>
          <w:u w:val="single"/>
        </w:rPr>
        <w:t>procedures are in place for series production to remain in conformity</w:t>
      </w:r>
      <w:r>
        <w:rPr>
          <w:noProof/>
          <w:szCs w:val="24"/>
        </w:rPr>
        <w:t xml:space="preserve">. Changes in product design or characteristics and changes in the harmonised standards or in other technical specifications by reference to which conformity </w:t>
      </w:r>
      <w:r>
        <w:rPr>
          <w:noProof/>
          <w:szCs w:val="24"/>
        </w:rPr>
        <w:t>of a product is declared must be adequately taken into account. The kind of action to be taken by the manufacturer depends on the nature of changes in the harmonised standards or other technical specifications, in particular whether these changes are mater</w:t>
      </w:r>
      <w:r>
        <w:rPr>
          <w:noProof/>
          <w:szCs w:val="24"/>
        </w:rPr>
        <w:t>ial with regard to the coverage of the essential or other legal requirements and whether they concern the product in question. This might require for instance to update the EU Declaration of conformity, change the product design, contact the notified body,</w:t>
      </w:r>
      <w:r>
        <w:rPr>
          <w:noProof/>
          <w:szCs w:val="24"/>
        </w:rPr>
        <w:t xml:space="preserve"> etc.;</w:t>
      </w:r>
    </w:p>
    <w:p w:rsidR="0037666B" w:rsidRDefault="00C627B8">
      <w:pPr>
        <w:pStyle w:val="ListNumber1"/>
        <w:numPr>
          <w:ilvl w:val="0"/>
          <w:numId w:val="38"/>
        </w:numPr>
        <w:ind w:left="567" w:hanging="567"/>
        <w:rPr>
          <w:noProof/>
          <w:szCs w:val="24"/>
        </w:rPr>
      </w:pPr>
      <w:r>
        <w:rPr>
          <w:noProof/>
          <w:szCs w:val="24"/>
        </w:rPr>
        <w:t xml:space="preserve">Where relevant, </w:t>
      </w:r>
      <w:r>
        <w:rPr>
          <w:noProof/>
          <w:szCs w:val="24"/>
          <w:u w:val="single"/>
        </w:rPr>
        <w:t>certify the product and/or the quality system</w:t>
      </w:r>
      <w:r>
        <w:rPr>
          <w:noProof/>
          <w:szCs w:val="24"/>
        </w:rPr>
        <w:t>.</w:t>
      </w:r>
    </w:p>
    <w:p w:rsidR="0037666B" w:rsidRDefault="00C627B8">
      <w:pPr>
        <w:pStyle w:val="Heading1"/>
        <w:keepNext w:val="0"/>
        <w:spacing w:before="0"/>
        <w:rPr>
          <w:noProof/>
          <w:szCs w:val="24"/>
        </w:rPr>
      </w:pPr>
      <w:bookmarkStart w:id="178" w:name="_Toc483992792"/>
      <w:r>
        <w:rPr>
          <w:noProof/>
          <w:szCs w:val="24"/>
        </w:rPr>
        <w:t>The EU declaration of conformity in EU Product legislation</w:t>
      </w:r>
      <w:bookmarkEnd w:id="178"/>
    </w:p>
    <w:p w:rsidR="0037666B" w:rsidRDefault="00C627B8">
      <w:pPr>
        <w:pStyle w:val="Text1"/>
        <w:ind w:left="0"/>
        <w:rPr>
          <w:noProof/>
          <w:szCs w:val="24"/>
        </w:rPr>
      </w:pPr>
      <w:r>
        <w:rPr>
          <w:noProof/>
          <w:szCs w:val="24"/>
        </w:rPr>
        <w:t xml:space="preserve">The EU Declaration of Conformity is obligatory in various sectors such as: </w:t>
      </w:r>
    </w:p>
    <w:tbl>
      <w:tblPr>
        <w:tblStyle w:val="LightList-Accent5"/>
        <w:tblW w:w="0" w:type="auto"/>
        <w:tblLook w:val="04A0" w:firstRow="1" w:lastRow="0" w:firstColumn="1" w:lastColumn="0" w:noHBand="0" w:noVBand="1"/>
      </w:tblPr>
      <w:tblGrid>
        <w:gridCol w:w="8834"/>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shd w:val="clear" w:color="auto" w:fill="95B3D7" w:themeFill="accent1" w:themeFillTint="99"/>
          </w:tcPr>
          <w:p w:rsidR="0037666B" w:rsidRDefault="00C627B8">
            <w:pPr>
              <w:ind w:left="567" w:hanging="567"/>
              <w:jc w:val="center"/>
              <w:rPr>
                <w:noProof/>
                <w:szCs w:val="24"/>
              </w:rPr>
            </w:pPr>
            <w:r>
              <w:rPr>
                <w:noProof/>
                <w:szCs w:val="24"/>
              </w:rPr>
              <w:t>SECTORS WITH DECLARATION OF CONFORMITY</w:t>
            </w:r>
          </w:p>
          <w:p w:rsidR="0037666B" w:rsidRDefault="00C627B8">
            <w:pPr>
              <w:numPr>
                <w:ilvl w:val="0"/>
                <w:numId w:val="37"/>
              </w:numPr>
              <w:ind w:left="567" w:hanging="567"/>
              <w:rPr>
                <w:noProof/>
                <w:szCs w:val="24"/>
              </w:rPr>
            </w:pPr>
            <w:r>
              <w:rPr>
                <w:noProof/>
                <w:szCs w:val="24"/>
              </w:rPr>
              <w:t xml:space="preserve">The </w:t>
            </w:r>
            <w:r>
              <w:rPr>
                <w:noProof/>
                <w:szCs w:val="24"/>
              </w:rPr>
              <w:t>restriction of the use of certain hazardous substances in electrical and electronic equipment (Directive 2011/65/EU)</w:t>
            </w:r>
          </w:p>
          <w:p w:rsidR="0037666B" w:rsidRDefault="00C627B8">
            <w:pPr>
              <w:numPr>
                <w:ilvl w:val="0"/>
                <w:numId w:val="37"/>
              </w:numPr>
              <w:ind w:left="567" w:hanging="567"/>
              <w:rPr>
                <w:noProof/>
                <w:szCs w:val="24"/>
              </w:rPr>
            </w:pPr>
            <w:r>
              <w:rPr>
                <w:noProof/>
                <w:szCs w:val="24"/>
              </w:rPr>
              <w:t>Appliances burning gaseous fuels (Directive 2009/142/EC)</w:t>
            </w:r>
          </w:p>
          <w:p w:rsidR="0037666B" w:rsidRDefault="00C627B8">
            <w:pPr>
              <w:numPr>
                <w:ilvl w:val="0"/>
                <w:numId w:val="37"/>
              </w:numPr>
              <w:ind w:left="567" w:hanging="567"/>
              <w:rPr>
                <w:noProof/>
                <w:szCs w:val="24"/>
              </w:rPr>
            </w:pPr>
            <w:r>
              <w:rPr>
                <w:noProof/>
                <w:szCs w:val="24"/>
              </w:rPr>
              <w:t>Ecodesign requirements for energy-related products (Directive 2009/125/EC)</w:t>
            </w:r>
          </w:p>
          <w:p w:rsidR="0037666B" w:rsidRDefault="00C627B8">
            <w:pPr>
              <w:numPr>
                <w:ilvl w:val="0"/>
                <w:numId w:val="37"/>
              </w:numPr>
              <w:ind w:left="567" w:hanging="567"/>
              <w:rPr>
                <w:noProof/>
                <w:szCs w:val="24"/>
                <w:lang w:val="fr-FR"/>
              </w:rPr>
            </w:pPr>
            <w:r>
              <w:rPr>
                <w:noProof/>
                <w:szCs w:val="24"/>
                <w:lang w:val="fr-FR"/>
              </w:rPr>
              <w:t xml:space="preserve">Simple </w:t>
            </w:r>
            <w:r>
              <w:rPr>
                <w:noProof/>
                <w:szCs w:val="24"/>
                <w:lang w:val="fr-FR"/>
              </w:rPr>
              <w:t>pressure vessels (Directive 2009/105/EC and Directive 2014/29/EU)</w:t>
            </w:r>
          </w:p>
          <w:p w:rsidR="0037666B" w:rsidRDefault="00C627B8">
            <w:pPr>
              <w:numPr>
                <w:ilvl w:val="0"/>
                <w:numId w:val="37"/>
              </w:numPr>
              <w:ind w:left="567" w:hanging="567"/>
              <w:rPr>
                <w:noProof/>
                <w:szCs w:val="24"/>
              </w:rPr>
            </w:pPr>
            <w:r>
              <w:rPr>
                <w:noProof/>
                <w:szCs w:val="24"/>
              </w:rPr>
              <w:t>Toys’ safety (Directive 2009/48/EC)</w:t>
            </w:r>
          </w:p>
          <w:p w:rsidR="0037666B" w:rsidRDefault="00C627B8">
            <w:pPr>
              <w:numPr>
                <w:ilvl w:val="0"/>
                <w:numId w:val="37"/>
              </w:numPr>
              <w:ind w:left="567" w:hanging="567"/>
              <w:rPr>
                <w:noProof/>
                <w:szCs w:val="24"/>
              </w:rPr>
            </w:pPr>
            <w:r>
              <w:rPr>
                <w:noProof/>
                <w:szCs w:val="24"/>
              </w:rPr>
              <w:t>Electrical equipment designed for use within certain voltage limits (Directive 2006/95/EC and Directive 2014/35/EU)</w:t>
            </w:r>
          </w:p>
          <w:p w:rsidR="0037666B" w:rsidRDefault="00C627B8">
            <w:pPr>
              <w:numPr>
                <w:ilvl w:val="0"/>
                <w:numId w:val="37"/>
              </w:numPr>
              <w:ind w:left="567" w:hanging="567"/>
              <w:rPr>
                <w:noProof/>
                <w:szCs w:val="24"/>
              </w:rPr>
            </w:pPr>
            <w:r>
              <w:rPr>
                <w:noProof/>
                <w:szCs w:val="24"/>
              </w:rPr>
              <w:t>Machinery (Directive 2006/42/EC)</w:t>
            </w:r>
          </w:p>
          <w:p w:rsidR="0037666B" w:rsidRDefault="00C627B8">
            <w:pPr>
              <w:numPr>
                <w:ilvl w:val="0"/>
                <w:numId w:val="37"/>
              </w:numPr>
              <w:ind w:left="567" w:hanging="567"/>
              <w:rPr>
                <w:noProof/>
                <w:szCs w:val="24"/>
              </w:rPr>
            </w:pPr>
            <w:r>
              <w:rPr>
                <w:noProof/>
                <w:szCs w:val="24"/>
              </w:rPr>
              <w:t>Elect</w:t>
            </w:r>
            <w:r>
              <w:rPr>
                <w:noProof/>
                <w:szCs w:val="24"/>
              </w:rPr>
              <w:t>romagnetic compatibility (Directive 2004/108/EC and Directive 2014/30/EU)</w:t>
            </w:r>
          </w:p>
          <w:p w:rsidR="0037666B" w:rsidRDefault="00C627B8">
            <w:pPr>
              <w:numPr>
                <w:ilvl w:val="0"/>
                <w:numId w:val="37"/>
              </w:numPr>
              <w:ind w:left="567" w:hanging="567"/>
              <w:rPr>
                <w:noProof/>
                <w:szCs w:val="24"/>
              </w:rPr>
            </w:pPr>
            <w:r>
              <w:rPr>
                <w:noProof/>
                <w:szCs w:val="24"/>
              </w:rPr>
              <w:t>Measuring instruments (Directive 2004/22/EC and Directive 2014/32/EU)</w:t>
            </w:r>
          </w:p>
          <w:p w:rsidR="0037666B" w:rsidRDefault="00C627B8">
            <w:pPr>
              <w:numPr>
                <w:ilvl w:val="0"/>
                <w:numId w:val="37"/>
              </w:numPr>
              <w:ind w:left="567" w:hanging="567"/>
              <w:rPr>
                <w:noProof/>
                <w:szCs w:val="24"/>
              </w:rPr>
            </w:pPr>
            <w:r>
              <w:rPr>
                <w:noProof/>
                <w:szCs w:val="24"/>
              </w:rPr>
              <w:t>Non-automatic weighing instruments (Directive 2009/23/EC and Directive 2014/31/EU)</w:t>
            </w:r>
          </w:p>
          <w:p w:rsidR="0037666B" w:rsidRDefault="00C627B8">
            <w:pPr>
              <w:numPr>
                <w:ilvl w:val="0"/>
                <w:numId w:val="37"/>
              </w:numPr>
              <w:ind w:left="567" w:hanging="567"/>
              <w:rPr>
                <w:noProof/>
                <w:szCs w:val="24"/>
              </w:rPr>
            </w:pPr>
            <w:r>
              <w:rPr>
                <w:noProof/>
                <w:szCs w:val="24"/>
              </w:rPr>
              <w:t>Cableway installations design</w:t>
            </w:r>
            <w:r>
              <w:rPr>
                <w:noProof/>
                <w:szCs w:val="24"/>
              </w:rPr>
              <w:t>ed to carry persons (Directive 2000/9/EC)</w:t>
            </w:r>
          </w:p>
          <w:p w:rsidR="0037666B" w:rsidRDefault="00C627B8">
            <w:pPr>
              <w:numPr>
                <w:ilvl w:val="0"/>
                <w:numId w:val="37"/>
              </w:numPr>
              <w:ind w:left="567" w:hanging="567"/>
              <w:rPr>
                <w:noProof/>
                <w:szCs w:val="24"/>
              </w:rPr>
            </w:pPr>
            <w:r>
              <w:rPr>
                <w:noProof/>
                <w:szCs w:val="24"/>
              </w:rPr>
              <w:t>Radio equipment and telecommunications terminal equipment (Directive 1999/5/EC and Directive 2014/53/EU)</w:t>
            </w:r>
          </w:p>
          <w:p w:rsidR="0037666B" w:rsidRDefault="00C627B8">
            <w:pPr>
              <w:numPr>
                <w:ilvl w:val="0"/>
                <w:numId w:val="37"/>
              </w:numPr>
              <w:ind w:left="567" w:hanging="567"/>
              <w:rPr>
                <w:noProof/>
                <w:szCs w:val="24"/>
                <w:lang w:val="fr-FR"/>
              </w:rPr>
            </w:pPr>
            <w:r>
              <w:rPr>
                <w:noProof/>
                <w:szCs w:val="24"/>
                <w:lang w:val="fr-FR"/>
              </w:rPr>
              <w:t>Active implantable medical devices (Directive 90/385/EEC)</w:t>
            </w:r>
          </w:p>
          <w:p w:rsidR="0037666B" w:rsidRDefault="00C627B8">
            <w:pPr>
              <w:numPr>
                <w:ilvl w:val="0"/>
                <w:numId w:val="37"/>
              </w:numPr>
              <w:ind w:left="567" w:hanging="567"/>
              <w:rPr>
                <w:noProof/>
                <w:szCs w:val="24"/>
              </w:rPr>
            </w:pPr>
            <w:r>
              <w:rPr>
                <w:noProof/>
                <w:szCs w:val="24"/>
              </w:rPr>
              <w:t>Medical devices (Directive 93/42/EEC)</w:t>
            </w:r>
          </w:p>
          <w:p w:rsidR="0037666B" w:rsidRDefault="00C627B8">
            <w:pPr>
              <w:numPr>
                <w:ilvl w:val="0"/>
                <w:numId w:val="37"/>
              </w:numPr>
              <w:ind w:left="567" w:hanging="567"/>
              <w:rPr>
                <w:noProof/>
                <w:szCs w:val="24"/>
              </w:rPr>
            </w:pPr>
            <w:r>
              <w:rPr>
                <w:noProof/>
                <w:szCs w:val="24"/>
              </w:rPr>
              <w:t>In vitro diag</w:t>
            </w:r>
            <w:r>
              <w:rPr>
                <w:noProof/>
                <w:szCs w:val="24"/>
              </w:rPr>
              <w:t>nostic medical devices (Directive 98/79/EC)</w:t>
            </w:r>
          </w:p>
          <w:p w:rsidR="0037666B" w:rsidRDefault="00C627B8">
            <w:pPr>
              <w:numPr>
                <w:ilvl w:val="0"/>
                <w:numId w:val="37"/>
              </w:numPr>
              <w:ind w:left="567" w:hanging="567"/>
              <w:rPr>
                <w:noProof/>
                <w:szCs w:val="24"/>
              </w:rPr>
            </w:pPr>
            <w:r>
              <w:rPr>
                <w:noProof/>
                <w:szCs w:val="24"/>
              </w:rPr>
              <w:t>Pressure equipment (Directive 97/23/EC and Directive 2014/68/EU)</w:t>
            </w:r>
          </w:p>
          <w:p w:rsidR="0037666B" w:rsidRDefault="00C627B8">
            <w:pPr>
              <w:numPr>
                <w:ilvl w:val="0"/>
                <w:numId w:val="37"/>
              </w:numPr>
              <w:ind w:left="567" w:hanging="567"/>
              <w:rPr>
                <w:noProof/>
                <w:szCs w:val="24"/>
              </w:rPr>
            </w:pPr>
            <w:r>
              <w:rPr>
                <w:noProof/>
                <w:szCs w:val="24"/>
              </w:rPr>
              <w:t>Transportable Pressure equipment (Directive 2010/35/EU)</w:t>
            </w:r>
          </w:p>
          <w:p w:rsidR="0037666B" w:rsidRDefault="00C627B8">
            <w:pPr>
              <w:numPr>
                <w:ilvl w:val="0"/>
                <w:numId w:val="37"/>
              </w:numPr>
              <w:ind w:left="567" w:hanging="567"/>
              <w:rPr>
                <w:noProof/>
                <w:szCs w:val="24"/>
              </w:rPr>
            </w:pPr>
            <w:r>
              <w:rPr>
                <w:noProof/>
                <w:szCs w:val="24"/>
              </w:rPr>
              <w:t>Aerosol Dispensers (Directive 75/324/EEC as amended)</w:t>
            </w:r>
          </w:p>
          <w:p w:rsidR="0037666B" w:rsidRDefault="00C627B8">
            <w:pPr>
              <w:numPr>
                <w:ilvl w:val="0"/>
                <w:numId w:val="37"/>
              </w:numPr>
              <w:ind w:left="567" w:hanging="567"/>
              <w:rPr>
                <w:noProof/>
                <w:szCs w:val="24"/>
              </w:rPr>
            </w:pPr>
            <w:r>
              <w:rPr>
                <w:noProof/>
                <w:szCs w:val="24"/>
              </w:rPr>
              <w:t>Lifts (Directive 95/16/EC and 2014/33/</w:t>
            </w:r>
            <w:r>
              <w:rPr>
                <w:noProof/>
                <w:szCs w:val="24"/>
              </w:rPr>
              <w:t>EU)</w:t>
            </w:r>
          </w:p>
          <w:p w:rsidR="0037666B" w:rsidRDefault="00C627B8">
            <w:pPr>
              <w:numPr>
                <w:ilvl w:val="0"/>
                <w:numId w:val="37"/>
              </w:numPr>
              <w:ind w:left="567" w:hanging="567"/>
              <w:rPr>
                <w:noProof/>
                <w:szCs w:val="24"/>
              </w:rPr>
            </w:pPr>
            <w:r>
              <w:rPr>
                <w:noProof/>
                <w:szCs w:val="24"/>
              </w:rPr>
              <w:t>Recreational craft (Directive 94/25/EC and Directive 2013/53/EU)</w:t>
            </w:r>
          </w:p>
          <w:p w:rsidR="0037666B" w:rsidRDefault="00C627B8">
            <w:pPr>
              <w:numPr>
                <w:ilvl w:val="0"/>
                <w:numId w:val="37"/>
              </w:numPr>
              <w:ind w:left="567" w:hanging="567"/>
              <w:rPr>
                <w:noProof/>
                <w:szCs w:val="24"/>
              </w:rPr>
            </w:pPr>
            <w:r>
              <w:rPr>
                <w:noProof/>
                <w:szCs w:val="24"/>
              </w:rPr>
              <w:t>Equipment and protective systems intended for use in potentially explosive atmospheres (Directive 94/9/EC and Directive 2014/34/EU)</w:t>
            </w:r>
          </w:p>
          <w:p w:rsidR="0037666B" w:rsidRDefault="00C627B8">
            <w:pPr>
              <w:numPr>
                <w:ilvl w:val="0"/>
                <w:numId w:val="37"/>
              </w:numPr>
              <w:ind w:left="567" w:hanging="567"/>
              <w:rPr>
                <w:noProof/>
                <w:szCs w:val="24"/>
              </w:rPr>
            </w:pPr>
            <w:r>
              <w:rPr>
                <w:noProof/>
                <w:szCs w:val="24"/>
              </w:rPr>
              <w:t>Explosives for civil uses (Directive 93/15/EEC and Dire</w:t>
            </w:r>
            <w:r>
              <w:rPr>
                <w:noProof/>
                <w:szCs w:val="24"/>
              </w:rPr>
              <w:t>ctive 2014/28/EU)</w:t>
            </w:r>
          </w:p>
          <w:p w:rsidR="0037666B" w:rsidRDefault="00C627B8">
            <w:pPr>
              <w:numPr>
                <w:ilvl w:val="0"/>
                <w:numId w:val="37"/>
              </w:numPr>
              <w:ind w:left="567" w:hanging="567"/>
              <w:rPr>
                <w:noProof/>
                <w:szCs w:val="24"/>
              </w:rPr>
            </w:pPr>
            <w:r>
              <w:rPr>
                <w:noProof/>
                <w:szCs w:val="24"/>
              </w:rPr>
              <w:t>Pyrotechnics (Directive 2013/29/EU)</w:t>
            </w:r>
          </w:p>
          <w:p w:rsidR="0037666B" w:rsidRDefault="00C627B8">
            <w:pPr>
              <w:numPr>
                <w:ilvl w:val="0"/>
                <w:numId w:val="37"/>
              </w:numPr>
              <w:ind w:left="567" w:hanging="567"/>
              <w:rPr>
                <w:noProof/>
                <w:szCs w:val="24"/>
              </w:rPr>
            </w:pPr>
            <w:r>
              <w:rPr>
                <w:noProof/>
                <w:szCs w:val="24"/>
              </w:rPr>
              <w:t>Regulation on the Labelling of Tyres (Regulation (EC) No 1222/2009)</w:t>
            </w:r>
          </w:p>
          <w:p w:rsidR="0037666B" w:rsidRDefault="00C627B8">
            <w:pPr>
              <w:numPr>
                <w:ilvl w:val="0"/>
                <w:numId w:val="37"/>
              </w:numPr>
              <w:ind w:left="567" w:hanging="567"/>
              <w:rPr>
                <w:noProof/>
                <w:szCs w:val="24"/>
              </w:rPr>
            </w:pPr>
            <w:r>
              <w:rPr>
                <w:noProof/>
                <w:szCs w:val="24"/>
              </w:rPr>
              <w:t>Personal protective equipment (Directive 89/686/EEC)</w:t>
            </w:r>
          </w:p>
          <w:p w:rsidR="0037666B" w:rsidRDefault="00C627B8">
            <w:pPr>
              <w:numPr>
                <w:ilvl w:val="0"/>
                <w:numId w:val="37"/>
              </w:numPr>
              <w:ind w:left="567" w:hanging="567"/>
              <w:rPr>
                <w:noProof/>
                <w:szCs w:val="24"/>
              </w:rPr>
            </w:pPr>
            <w:r>
              <w:rPr>
                <w:noProof/>
                <w:szCs w:val="24"/>
              </w:rPr>
              <w:t>Marine equipment (Directive 96/98/EC and Directive 2014/90/EU)</w:t>
            </w:r>
          </w:p>
          <w:p w:rsidR="0037666B" w:rsidRDefault="00C627B8">
            <w:pPr>
              <w:numPr>
                <w:ilvl w:val="0"/>
                <w:numId w:val="37"/>
              </w:numPr>
              <w:ind w:left="567" w:hanging="567"/>
              <w:rPr>
                <w:noProof/>
                <w:szCs w:val="24"/>
              </w:rPr>
            </w:pPr>
            <w:r>
              <w:rPr>
                <w:noProof/>
                <w:szCs w:val="24"/>
              </w:rPr>
              <w:t xml:space="preserve">Noise emission in </w:t>
            </w:r>
            <w:r>
              <w:rPr>
                <w:noProof/>
                <w:szCs w:val="24"/>
              </w:rPr>
              <w:t>the environment by equipment for use outdoors (Directive 2000/14/EC)</w:t>
            </w:r>
          </w:p>
          <w:p w:rsidR="0037666B" w:rsidRDefault="00C627B8">
            <w:pPr>
              <w:numPr>
                <w:ilvl w:val="0"/>
                <w:numId w:val="37"/>
              </w:numPr>
              <w:ind w:left="567" w:hanging="567"/>
              <w:rPr>
                <w:noProof/>
                <w:szCs w:val="24"/>
              </w:rPr>
            </w:pPr>
            <w:r>
              <w:rPr>
                <w:noProof/>
                <w:szCs w:val="24"/>
              </w:rPr>
              <w:t>Emissions from non-road mobile machinery (Directive 97/68/EC as amended)</w:t>
            </w:r>
          </w:p>
          <w:p w:rsidR="0037666B" w:rsidRDefault="00C627B8">
            <w:pPr>
              <w:numPr>
                <w:ilvl w:val="0"/>
                <w:numId w:val="37"/>
              </w:numPr>
              <w:ind w:left="567" w:hanging="567"/>
              <w:rPr>
                <w:noProof/>
                <w:szCs w:val="24"/>
              </w:rPr>
            </w:pPr>
            <w:r>
              <w:rPr>
                <w:noProof/>
                <w:szCs w:val="24"/>
              </w:rPr>
              <w:t>Energy labelling (Directive 2010/30/EU)</w:t>
            </w:r>
          </w:p>
        </w:tc>
      </w:tr>
    </w:tbl>
    <w:p w:rsidR="0037666B" w:rsidRDefault="00C627B8">
      <w:pPr>
        <w:spacing w:before="240"/>
        <w:rPr>
          <w:noProof/>
          <w:szCs w:val="24"/>
        </w:rPr>
      </w:pPr>
      <w:r>
        <w:rPr>
          <w:noProof/>
          <w:szCs w:val="24"/>
        </w:rPr>
        <w:t xml:space="preserve">The Union harmonisation legislation referred to above imposes </w:t>
      </w:r>
      <w:r>
        <w:rPr>
          <w:b/>
          <w:noProof/>
          <w:szCs w:val="24"/>
        </w:rPr>
        <w:t>an obligati</w:t>
      </w:r>
      <w:r>
        <w:rPr>
          <w:b/>
          <w:noProof/>
          <w:szCs w:val="24"/>
        </w:rPr>
        <w:t>on on the manufacturer to draw up and sign an EU Declaration of Conformity before placing a product on the market</w:t>
      </w:r>
      <w:r>
        <w:rPr>
          <w:noProof/>
          <w:szCs w:val="24"/>
          <w:vertAlign w:val="superscript"/>
        </w:rPr>
        <w:footnoteReference w:id="194"/>
      </w:r>
      <w:r>
        <w:rPr>
          <w:noProof/>
          <w:szCs w:val="24"/>
        </w:rPr>
        <w:t>. The manufacturer or his authorised representative established within the Union must draw up and sign an EU Declaration of Conformity as part</w:t>
      </w:r>
      <w:r>
        <w:rPr>
          <w:noProof/>
          <w:szCs w:val="24"/>
        </w:rPr>
        <w:t xml:space="preserve"> of the conformity assessment procedure provided for in the Union harmonisation legislation. The EU declaration of conformity is the document that states that that the product satisfies all the relevant requirements of the applicable legislation.</w:t>
      </w:r>
    </w:p>
    <w:p w:rsidR="0037666B" w:rsidRDefault="00C627B8">
      <w:pPr>
        <w:rPr>
          <w:noProof/>
          <w:szCs w:val="24"/>
        </w:rPr>
      </w:pPr>
      <w:r>
        <w:rPr>
          <w:noProof/>
          <w:szCs w:val="24"/>
        </w:rPr>
        <w:t>By drawin</w:t>
      </w:r>
      <w:r>
        <w:rPr>
          <w:noProof/>
          <w:szCs w:val="24"/>
        </w:rPr>
        <w:t xml:space="preserve">g up and signing the EU Declaration of Conformity, the </w:t>
      </w:r>
      <w:r>
        <w:rPr>
          <w:b/>
          <w:noProof/>
          <w:szCs w:val="24"/>
        </w:rPr>
        <w:t>manufacturer assumes responsibility</w:t>
      </w:r>
      <w:r>
        <w:rPr>
          <w:noProof/>
          <w:szCs w:val="24"/>
        </w:rPr>
        <w:t xml:space="preserve"> for the compliance of the product.</w:t>
      </w:r>
    </w:p>
    <w:p w:rsidR="0037666B" w:rsidRDefault="00C627B8">
      <w:pPr>
        <w:rPr>
          <w:noProof/>
          <w:szCs w:val="24"/>
        </w:rPr>
      </w:pPr>
      <w:r>
        <w:rPr>
          <w:noProof/>
          <w:szCs w:val="24"/>
        </w:rPr>
        <w:t>The EU Declaration of Conformity must be kept for ten years from the date of placing the product on the market, unless the legisla</w:t>
      </w:r>
      <w:r>
        <w:rPr>
          <w:noProof/>
          <w:szCs w:val="24"/>
        </w:rPr>
        <w:t>tion specifies any other duration</w:t>
      </w:r>
      <w:r>
        <w:rPr>
          <w:noProof/>
          <w:szCs w:val="24"/>
          <w:vertAlign w:val="superscript"/>
        </w:rPr>
        <w:footnoteReference w:id="195"/>
      </w:r>
      <w:r>
        <w:rPr>
          <w:noProof/>
          <w:szCs w:val="24"/>
        </w:rPr>
        <w:t>. This is the responsibility of the manufacturer or the authorised representative established within the Union. For imported products, the importer must take on this responsibility for the DoC</w:t>
      </w:r>
      <w:r>
        <w:rPr>
          <w:noProof/>
          <w:szCs w:val="24"/>
          <w:vertAlign w:val="superscript"/>
        </w:rPr>
        <w:footnoteReference w:id="196"/>
      </w:r>
      <w:r>
        <w:rPr>
          <w:noProof/>
          <w:szCs w:val="24"/>
        </w:rPr>
        <w:t>.</w:t>
      </w:r>
    </w:p>
    <w:p w:rsidR="0037666B" w:rsidRDefault="00C627B8">
      <w:pPr>
        <w:rPr>
          <w:noProof/>
          <w:szCs w:val="24"/>
        </w:rPr>
      </w:pPr>
      <w:r>
        <w:rPr>
          <w:noProof/>
          <w:szCs w:val="24"/>
        </w:rPr>
        <w:t>The contents of the EU Decl</w:t>
      </w:r>
      <w:r>
        <w:rPr>
          <w:noProof/>
          <w:szCs w:val="24"/>
        </w:rPr>
        <w:t>aration of Conformity either refer to the model declaration contained in Annex III of Decision No 768/2008/EC or a model declaration directly annexed to the sectoral Union harmonisation legislation at stake. The declaration may take the form of a document,</w:t>
      </w:r>
      <w:r>
        <w:rPr>
          <w:noProof/>
          <w:szCs w:val="24"/>
        </w:rPr>
        <w:t xml:space="preserve"> a label or equivalent, and must contain sufficient information to enable all products covered by it to be traced back to it.</w:t>
      </w:r>
    </w:p>
    <w:p w:rsidR="0037666B" w:rsidRDefault="00C627B8">
      <w:pPr>
        <w:rPr>
          <w:noProof/>
          <w:szCs w:val="24"/>
        </w:rPr>
      </w:pPr>
      <w:r>
        <w:rPr>
          <w:noProof/>
          <w:szCs w:val="24"/>
        </w:rPr>
        <w:t xml:space="preserve">Where several pieces of Union harmonisation legislation apply to a product, the manufacturer or the authorised representative has </w:t>
      </w:r>
      <w:r>
        <w:rPr>
          <w:noProof/>
          <w:szCs w:val="24"/>
        </w:rPr>
        <w:t>to provide a single declaration of conformity in respect of all such Union acts</w:t>
      </w:r>
      <w:r>
        <w:rPr>
          <w:noProof/>
          <w:szCs w:val="24"/>
          <w:vertAlign w:val="superscript"/>
        </w:rPr>
        <w:footnoteReference w:id="197"/>
      </w:r>
      <w:r>
        <w:rPr>
          <w:noProof/>
          <w:szCs w:val="24"/>
        </w:rPr>
        <w:t>. In order to reduce the administrative burden on economic operators and facilitate its adaptation to the modification of one of the applicable Union acts, the single declarati</w:t>
      </w:r>
      <w:r>
        <w:rPr>
          <w:noProof/>
          <w:szCs w:val="24"/>
        </w:rPr>
        <w:t>on may be a dossier made up of relevant individual Declarations of conformity</w:t>
      </w:r>
      <w:r>
        <w:rPr>
          <w:noProof/>
          <w:szCs w:val="24"/>
          <w:vertAlign w:val="superscript"/>
        </w:rPr>
        <w:footnoteReference w:id="198"/>
      </w:r>
      <w:r>
        <w:rPr>
          <w:noProof/>
          <w:szCs w:val="24"/>
        </w:rPr>
        <w:t>.</w:t>
      </w:r>
    </w:p>
    <w:p w:rsidR="0037666B" w:rsidRDefault="00C627B8">
      <w:pPr>
        <w:rPr>
          <w:noProof/>
          <w:szCs w:val="24"/>
        </w:rPr>
      </w:pPr>
      <w:r>
        <w:rPr>
          <w:noProof/>
          <w:szCs w:val="24"/>
        </w:rPr>
        <w:t>The EU declaration of conformity must be made available to the surveillance authority upon request. Moreover, Union harmonisation legislation relating to machinery, equipment i</w:t>
      </w:r>
      <w:r>
        <w:rPr>
          <w:noProof/>
          <w:szCs w:val="24"/>
        </w:rPr>
        <w:t>n potentially explosive atmospheres, radio and terminal telecommunication equipment, measuring instruments, recreational craft, lifts, high-speed and conventional rail systems and constituents of the European Air Traffic Management network require products</w:t>
      </w:r>
      <w:r>
        <w:rPr>
          <w:noProof/>
          <w:szCs w:val="24"/>
        </w:rPr>
        <w:t xml:space="preserve"> to be accompanied by the EU declaration of conformity.</w:t>
      </w:r>
    </w:p>
    <w:p w:rsidR="0037666B" w:rsidRDefault="00C627B8">
      <w:pPr>
        <w:rPr>
          <w:noProof/>
          <w:szCs w:val="24"/>
        </w:rPr>
      </w:pPr>
      <w:r>
        <w:rPr>
          <w:noProof/>
          <w:szCs w:val="24"/>
        </w:rPr>
        <w:t>The EU declaration of conformity must be translated into the language or languages required by the Member State in which the product is placed or made available on the market</w:t>
      </w:r>
      <w:r>
        <w:rPr>
          <w:noProof/>
          <w:szCs w:val="24"/>
          <w:vertAlign w:val="superscript"/>
        </w:rPr>
        <w:footnoteReference w:id="199"/>
      </w:r>
      <w:r>
        <w:rPr>
          <w:noProof/>
          <w:szCs w:val="24"/>
        </w:rPr>
        <w:t xml:space="preserve">. Union harmonisation </w:t>
      </w:r>
      <w:r>
        <w:rPr>
          <w:noProof/>
          <w:szCs w:val="24"/>
        </w:rPr>
        <w:t>legislation does not necessarily specify who has the obligation to translate. Logically, this should be the manufacturer or another economic operator making the product available. The EU declaration of conformity must be signed by the manufacturer or his a</w:t>
      </w:r>
      <w:r>
        <w:rPr>
          <w:noProof/>
          <w:szCs w:val="24"/>
        </w:rPr>
        <w:t>uthorised representative. If a translation of the EU declaration of conformity has been produced by another economic operator and is not signed by the manufacturer, a copy of the original EU declaration of conformity signed by the manufacturer must also be</w:t>
      </w:r>
      <w:r>
        <w:rPr>
          <w:noProof/>
          <w:szCs w:val="24"/>
        </w:rPr>
        <w:t xml:space="preserve"> provided together with the translated version.</w:t>
      </w:r>
    </w:p>
    <w:p w:rsidR="0037666B" w:rsidRDefault="00C627B8">
      <w:pPr>
        <w:rPr>
          <w:noProof/>
          <w:szCs w:val="24"/>
        </w:rPr>
      </w:pPr>
      <w:r>
        <w:rPr>
          <w:noProof/>
          <w:szCs w:val="24"/>
        </w:rPr>
        <w:t>The standard model of the DoC is annexed to Decision 768/2008</w:t>
      </w:r>
      <w:r>
        <w:rPr>
          <w:noProof/>
          <w:szCs w:val="24"/>
          <w:vertAlign w:val="superscript"/>
        </w:rPr>
        <w:footnoteReference w:id="200"/>
      </w:r>
      <w:r>
        <w:rPr>
          <w:noProof/>
          <w:szCs w:val="24"/>
        </w:rPr>
        <w:t xml:space="preserve">, and to all relevant EU harmonisation legislation using it: </w:t>
      </w:r>
    </w:p>
    <w:tbl>
      <w:tblPr>
        <w:tblStyle w:val="TableGrid"/>
        <w:tblW w:w="0" w:type="auto"/>
        <w:shd w:val="clear" w:color="auto" w:fill="95B3D7" w:themeFill="accent1" w:themeFillTint="99"/>
        <w:tblLook w:val="04A0" w:firstRow="1" w:lastRow="0" w:firstColumn="1" w:lastColumn="0" w:noHBand="0" w:noVBand="1"/>
      </w:tblPr>
      <w:tblGrid>
        <w:gridCol w:w="8834"/>
      </w:tblGrid>
      <w:tr w:rsidR="0037666B">
        <w:tc>
          <w:tcPr>
            <w:tcW w:w="8834" w:type="dxa"/>
            <w:shd w:val="clear" w:color="auto" w:fill="95B3D7" w:themeFill="accent1" w:themeFillTint="99"/>
          </w:tcPr>
          <w:p w:rsidR="0037666B" w:rsidRDefault="00C627B8">
            <w:pPr>
              <w:ind w:left="480" w:hanging="480"/>
              <w:jc w:val="center"/>
              <w:rPr>
                <w:b/>
                <w:bCs/>
                <w:noProof/>
                <w:szCs w:val="24"/>
              </w:rPr>
            </w:pPr>
            <w:r>
              <w:rPr>
                <w:b/>
                <w:bCs/>
                <w:noProof/>
                <w:szCs w:val="24"/>
              </w:rPr>
              <w:t>EC DECLARATION OF CONFORMITY</w:t>
            </w:r>
          </w:p>
          <w:p w:rsidR="0037666B" w:rsidRDefault="00C627B8">
            <w:pPr>
              <w:ind w:left="480" w:hanging="480"/>
              <w:rPr>
                <w:noProof/>
                <w:szCs w:val="24"/>
              </w:rPr>
            </w:pPr>
            <w:r>
              <w:rPr>
                <w:noProof/>
                <w:szCs w:val="24"/>
              </w:rPr>
              <w:t xml:space="preserve">1. </w:t>
            </w:r>
            <w:r>
              <w:rPr>
                <w:noProof/>
                <w:szCs w:val="24"/>
              </w:rPr>
              <w:tab/>
              <w:t>No … (unique identification of the product):</w:t>
            </w:r>
          </w:p>
          <w:p w:rsidR="0037666B" w:rsidRDefault="00C627B8">
            <w:pPr>
              <w:ind w:left="480" w:hanging="480"/>
              <w:rPr>
                <w:noProof/>
                <w:szCs w:val="24"/>
              </w:rPr>
            </w:pPr>
            <w:r>
              <w:rPr>
                <w:noProof/>
                <w:szCs w:val="24"/>
              </w:rPr>
              <w:t>2.</w:t>
            </w:r>
            <w:r>
              <w:rPr>
                <w:noProof/>
                <w:szCs w:val="24"/>
              </w:rPr>
              <w:tab/>
            </w:r>
            <w:r>
              <w:rPr>
                <w:noProof/>
                <w:szCs w:val="24"/>
              </w:rPr>
              <w:t>Name and address of the manufacturer or his authorised representative:</w:t>
            </w:r>
          </w:p>
          <w:p w:rsidR="0037666B" w:rsidRDefault="00C627B8">
            <w:pPr>
              <w:ind w:left="480" w:hanging="480"/>
              <w:rPr>
                <w:noProof/>
                <w:szCs w:val="24"/>
              </w:rPr>
            </w:pPr>
            <w:r>
              <w:rPr>
                <w:noProof/>
                <w:szCs w:val="24"/>
              </w:rPr>
              <w:t xml:space="preserve">3. </w:t>
            </w:r>
            <w:r>
              <w:rPr>
                <w:noProof/>
                <w:szCs w:val="24"/>
              </w:rPr>
              <w:tab/>
              <w:t>This declaration of conformity is issued under the sole responsibility of the manufacturer (or installer):</w:t>
            </w:r>
          </w:p>
          <w:p w:rsidR="0037666B" w:rsidRDefault="00C627B8">
            <w:pPr>
              <w:ind w:left="480" w:hanging="480"/>
              <w:rPr>
                <w:noProof/>
                <w:szCs w:val="24"/>
              </w:rPr>
            </w:pPr>
            <w:r>
              <w:rPr>
                <w:noProof/>
                <w:szCs w:val="24"/>
              </w:rPr>
              <w:t xml:space="preserve">4. </w:t>
            </w:r>
            <w:r>
              <w:rPr>
                <w:noProof/>
                <w:szCs w:val="24"/>
              </w:rPr>
              <w:tab/>
              <w:t>Object of the declaration (identification of product allowing traceabi</w:t>
            </w:r>
            <w:r>
              <w:rPr>
                <w:noProof/>
                <w:szCs w:val="24"/>
              </w:rPr>
              <w:t>lity. It may include a photograph, where appropriate):</w:t>
            </w:r>
          </w:p>
          <w:p w:rsidR="0037666B" w:rsidRDefault="00C627B8">
            <w:pPr>
              <w:ind w:left="480" w:hanging="480"/>
              <w:rPr>
                <w:noProof/>
                <w:szCs w:val="24"/>
              </w:rPr>
            </w:pPr>
            <w:r>
              <w:rPr>
                <w:noProof/>
                <w:szCs w:val="24"/>
              </w:rPr>
              <w:t xml:space="preserve">5. </w:t>
            </w:r>
            <w:r>
              <w:rPr>
                <w:noProof/>
                <w:szCs w:val="24"/>
              </w:rPr>
              <w:tab/>
              <w:t>The object of the declaration described above is in conformity with the relevant Union harmonisation legislation:</w:t>
            </w:r>
          </w:p>
          <w:p w:rsidR="0037666B" w:rsidRDefault="00C627B8">
            <w:pPr>
              <w:ind w:left="480" w:hanging="480"/>
              <w:rPr>
                <w:noProof/>
                <w:szCs w:val="24"/>
              </w:rPr>
            </w:pPr>
            <w:r>
              <w:rPr>
                <w:noProof/>
                <w:szCs w:val="24"/>
              </w:rPr>
              <w:t xml:space="preserve">6. </w:t>
            </w:r>
            <w:r>
              <w:rPr>
                <w:noProof/>
                <w:szCs w:val="24"/>
              </w:rPr>
              <w:tab/>
              <w:t>References to the relevant harmonised standards used or references to the speci</w:t>
            </w:r>
            <w:r>
              <w:rPr>
                <w:noProof/>
                <w:szCs w:val="24"/>
              </w:rPr>
              <w:t>fications in relation to which conformity is declared:</w:t>
            </w:r>
          </w:p>
          <w:p w:rsidR="0037666B" w:rsidRDefault="00C627B8">
            <w:pPr>
              <w:ind w:left="480" w:hanging="480"/>
              <w:rPr>
                <w:noProof/>
                <w:szCs w:val="24"/>
              </w:rPr>
            </w:pPr>
            <w:r>
              <w:rPr>
                <w:noProof/>
                <w:szCs w:val="24"/>
              </w:rPr>
              <w:t xml:space="preserve">7. </w:t>
            </w:r>
            <w:r>
              <w:rPr>
                <w:noProof/>
                <w:szCs w:val="24"/>
              </w:rPr>
              <w:tab/>
              <w:t>Where applicable, the notified body ... (name, number) … performed … (description of intervention) … and issued the certificate: …</w:t>
            </w:r>
          </w:p>
          <w:p w:rsidR="0037666B" w:rsidRDefault="00C627B8">
            <w:pPr>
              <w:ind w:left="480" w:hanging="480"/>
              <w:rPr>
                <w:noProof/>
                <w:szCs w:val="24"/>
              </w:rPr>
            </w:pPr>
            <w:r>
              <w:rPr>
                <w:noProof/>
                <w:szCs w:val="24"/>
              </w:rPr>
              <w:t xml:space="preserve">8. </w:t>
            </w:r>
            <w:r>
              <w:rPr>
                <w:noProof/>
                <w:szCs w:val="24"/>
              </w:rPr>
              <w:tab/>
              <w:t>Additional information:</w:t>
            </w:r>
          </w:p>
          <w:p w:rsidR="0037666B" w:rsidRDefault="00C627B8">
            <w:pPr>
              <w:ind w:left="480" w:hanging="480"/>
              <w:rPr>
                <w:noProof/>
                <w:szCs w:val="24"/>
              </w:rPr>
            </w:pPr>
            <w:r>
              <w:rPr>
                <w:noProof/>
                <w:szCs w:val="24"/>
              </w:rPr>
              <w:t>Signed for and on behalf of: ………………………</w:t>
            </w:r>
            <w:r>
              <w:rPr>
                <w:noProof/>
                <w:szCs w:val="24"/>
              </w:rPr>
              <w:t>…………</w:t>
            </w:r>
          </w:p>
          <w:p w:rsidR="0037666B" w:rsidRDefault="00C627B8">
            <w:pPr>
              <w:ind w:left="480" w:hanging="480"/>
              <w:rPr>
                <w:noProof/>
                <w:szCs w:val="24"/>
              </w:rPr>
            </w:pPr>
            <w:r>
              <w:rPr>
                <w:noProof/>
                <w:szCs w:val="24"/>
              </w:rPr>
              <w:t>(place and date of issue):</w:t>
            </w:r>
          </w:p>
          <w:p w:rsidR="0037666B" w:rsidRDefault="00C627B8">
            <w:pPr>
              <w:ind w:left="480" w:hanging="480"/>
              <w:rPr>
                <w:noProof/>
                <w:szCs w:val="24"/>
                <w:lang w:val="fr-BE"/>
              </w:rPr>
            </w:pPr>
            <w:r>
              <w:rPr>
                <w:noProof/>
                <w:szCs w:val="24"/>
              </w:rPr>
              <w:t>(name, function) (signature):</w:t>
            </w:r>
          </w:p>
        </w:tc>
      </w:tr>
    </w:tbl>
    <w:p w:rsidR="0037666B" w:rsidRDefault="00C627B8">
      <w:pPr>
        <w:pStyle w:val="Heading1"/>
        <w:keepNext w:val="0"/>
        <w:ind w:left="482" w:hanging="482"/>
        <w:rPr>
          <w:noProof/>
          <w:szCs w:val="24"/>
        </w:rPr>
      </w:pPr>
      <w:bookmarkStart w:id="179" w:name="_Toc483992793"/>
      <w:r>
        <w:rPr>
          <w:noProof/>
          <w:szCs w:val="24"/>
        </w:rPr>
        <w:t>Comparison between the role of the manufacturer in EU harmonisation legislation and in the Mutual Recognition proposal</w:t>
      </w:r>
      <w:bookmarkEnd w:id="179"/>
    </w:p>
    <w:tbl>
      <w:tblPr>
        <w:tblStyle w:val="TableGrid"/>
        <w:tblW w:w="0" w:type="auto"/>
        <w:tblInd w:w="108" w:type="dxa"/>
        <w:tblLook w:val="04A0" w:firstRow="1" w:lastRow="0" w:firstColumn="1" w:lastColumn="0" w:noHBand="0" w:noVBand="1"/>
      </w:tblPr>
      <w:tblGrid>
        <w:gridCol w:w="3969"/>
        <w:gridCol w:w="2434"/>
        <w:gridCol w:w="2323"/>
      </w:tblGrid>
      <w:tr w:rsidR="0037666B">
        <w:tc>
          <w:tcPr>
            <w:tcW w:w="3969" w:type="dxa"/>
            <w:shd w:val="pct10" w:color="auto" w:fill="auto"/>
          </w:tcPr>
          <w:p w:rsidR="0037666B" w:rsidRDefault="00C627B8">
            <w:pPr>
              <w:pStyle w:val="Text1"/>
              <w:ind w:left="0"/>
              <w:jc w:val="center"/>
              <w:rPr>
                <w:b/>
                <w:noProof/>
                <w:szCs w:val="24"/>
              </w:rPr>
            </w:pPr>
            <w:r>
              <w:rPr>
                <w:b/>
                <w:noProof/>
                <w:szCs w:val="24"/>
              </w:rPr>
              <w:t>Manufacturer's tasks</w:t>
            </w:r>
          </w:p>
        </w:tc>
        <w:tc>
          <w:tcPr>
            <w:tcW w:w="2434" w:type="dxa"/>
            <w:shd w:val="pct10" w:color="auto" w:fill="auto"/>
          </w:tcPr>
          <w:p w:rsidR="0037666B" w:rsidRDefault="00C627B8">
            <w:pPr>
              <w:pStyle w:val="Text1"/>
              <w:ind w:left="0"/>
              <w:jc w:val="center"/>
              <w:rPr>
                <w:b/>
                <w:noProof/>
                <w:szCs w:val="24"/>
              </w:rPr>
            </w:pPr>
            <w:r>
              <w:rPr>
                <w:b/>
                <w:noProof/>
                <w:szCs w:val="24"/>
              </w:rPr>
              <w:t>EU harmonisation legislation</w:t>
            </w:r>
          </w:p>
        </w:tc>
        <w:tc>
          <w:tcPr>
            <w:tcW w:w="2323" w:type="dxa"/>
            <w:shd w:val="pct10" w:color="auto" w:fill="auto"/>
          </w:tcPr>
          <w:p w:rsidR="0037666B" w:rsidRDefault="00C627B8">
            <w:pPr>
              <w:pStyle w:val="Text1"/>
              <w:ind w:left="0"/>
              <w:jc w:val="center"/>
              <w:rPr>
                <w:b/>
                <w:noProof/>
                <w:szCs w:val="24"/>
              </w:rPr>
            </w:pPr>
            <w:r>
              <w:rPr>
                <w:b/>
                <w:noProof/>
                <w:szCs w:val="24"/>
              </w:rPr>
              <w:t>Mutual Recognition propo</w:t>
            </w:r>
            <w:r>
              <w:rPr>
                <w:b/>
                <w:noProof/>
                <w:szCs w:val="24"/>
              </w:rPr>
              <w:t>sal</w:t>
            </w:r>
          </w:p>
        </w:tc>
      </w:tr>
      <w:tr w:rsidR="0037666B">
        <w:tc>
          <w:tcPr>
            <w:tcW w:w="3969" w:type="dxa"/>
          </w:tcPr>
          <w:p w:rsidR="0037666B" w:rsidRDefault="00C627B8">
            <w:pPr>
              <w:pStyle w:val="Text1"/>
              <w:ind w:left="358" w:hanging="360"/>
              <w:jc w:val="center"/>
              <w:rPr>
                <w:noProof/>
                <w:szCs w:val="24"/>
              </w:rPr>
            </w:pPr>
            <w:r>
              <w:rPr>
                <w:noProof/>
                <w:szCs w:val="24"/>
              </w:rPr>
              <w:t>(1)</w:t>
            </w:r>
            <w:r>
              <w:rPr>
                <w:noProof/>
                <w:szCs w:val="24"/>
              </w:rPr>
              <w:tab/>
              <w:t>Conformity assessment</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Requirement that product is lawfully marketed in another Member State</w:t>
            </w:r>
          </w:p>
        </w:tc>
      </w:tr>
      <w:tr w:rsidR="0037666B">
        <w:trPr>
          <w:trHeight w:val="266"/>
        </w:trPr>
        <w:tc>
          <w:tcPr>
            <w:tcW w:w="3969" w:type="dxa"/>
          </w:tcPr>
          <w:p w:rsidR="0037666B" w:rsidRDefault="00C627B8">
            <w:pPr>
              <w:pStyle w:val="Text1"/>
              <w:ind w:left="358" w:hanging="360"/>
              <w:jc w:val="center"/>
              <w:rPr>
                <w:noProof/>
                <w:szCs w:val="24"/>
              </w:rPr>
            </w:pPr>
            <w:r>
              <w:rPr>
                <w:noProof/>
                <w:szCs w:val="24"/>
              </w:rPr>
              <w:t>(2)</w:t>
            </w:r>
            <w:r>
              <w:rPr>
                <w:noProof/>
                <w:szCs w:val="24"/>
              </w:rPr>
              <w:tab/>
              <w:t>Technical documentation</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w:t>
            </w:r>
          </w:p>
        </w:tc>
      </w:tr>
      <w:tr w:rsidR="0037666B">
        <w:tc>
          <w:tcPr>
            <w:tcW w:w="3969" w:type="dxa"/>
          </w:tcPr>
          <w:p w:rsidR="0037666B" w:rsidRDefault="00C627B8">
            <w:pPr>
              <w:pStyle w:val="Text1"/>
              <w:ind w:left="358" w:hanging="360"/>
              <w:jc w:val="center"/>
              <w:rPr>
                <w:noProof/>
                <w:szCs w:val="24"/>
              </w:rPr>
            </w:pPr>
            <w:r>
              <w:rPr>
                <w:noProof/>
                <w:szCs w:val="24"/>
              </w:rPr>
              <w:t>(3)</w:t>
            </w:r>
            <w:r>
              <w:rPr>
                <w:noProof/>
                <w:szCs w:val="24"/>
              </w:rPr>
              <w:tab/>
              <w:t>EU declaration of conformity</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Voluntary</w:t>
            </w:r>
          </w:p>
        </w:tc>
      </w:tr>
      <w:tr w:rsidR="0037666B">
        <w:tc>
          <w:tcPr>
            <w:tcW w:w="3969" w:type="dxa"/>
          </w:tcPr>
          <w:p w:rsidR="0037666B" w:rsidRDefault="00C627B8">
            <w:pPr>
              <w:pStyle w:val="Text1"/>
              <w:ind w:left="358" w:hanging="360"/>
              <w:jc w:val="center"/>
              <w:rPr>
                <w:noProof/>
                <w:szCs w:val="24"/>
              </w:rPr>
            </w:pPr>
            <w:r>
              <w:rPr>
                <w:noProof/>
                <w:szCs w:val="24"/>
              </w:rPr>
              <w:t>(4)</w:t>
            </w:r>
            <w:r>
              <w:rPr>
                <w:noProof/>
                <w:szCs w:val="24"/>
              </w:rPr>
              <w:tab/>
              <w:t xml:space="preserve">Accompany  the product with instructions </w:t>
            </w:r>
            <w:r>
              <w:rPr>
                <w:noProof/>
                <w:szCs w:val="24"/>
              </w:rPr>
              <w:t>and safety information</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w:t>
            </w:r>
          </w:p>
        </w:tc>
      </w:tr>
      <w:tr w:rsidR="0037666B">
        <w:tc>
          <w:tcPr>
            <w:tcW w:w="3969" w:type="dxa"/>
          </w:tcPr>
          <w:p w:rsidR="0037666B" w:rsidRDefault="00C627B8">
            <w:pPr>
              <w:pStyle w:val="Text1"/>
              <w:ind w:left="358" w:hanging="360"/>
              <w:jc w:val="center"/>
              <w:rPr>
                <w:noProof/>
                <w:szCs w:val="24"/>
              </w:rPr>
            </w:pPr>
            <w:r>
              <w:rPr>
                <w:noProof/>
                <w:szCs w:val="24"/>
              </w:rPr>
              <w:t>(5)</w:t>
            </w:r>
            <w:r>
              <w:rPr>
                <w:noProof/>
                <w:szCs w:val="24"/>
              </w:rPr>
              <w:tab/>
              <w:t>Traceability requirements</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w:t>
            </w:r>
          </w:p>
        </w:tc>
      </w:tr>
      <w:tr w:rsidR="0037666B">
        <w:tc>
          <w:tcPr>
            <w:tcW w:w="3969" w:type="dxa"/>
          </w:tcPr>
          <w:p w:rsidR="0037666B" w:rsidRDefault="00C627B8">
            <w:pPr>
              <w:pStyle w:val="Text1"/>
              <w:ind w:left="358" w:hanging="360"/>
              <w:jc w:val="center"/>
              <w:rPr>
                <w:noProof/>
                <w:szCs w:val="24"/>
              </w:rPr>
            </w:pPr>
            <w:r>
              <w:rPr>
                <w:noProof/>
                <w:szCs w:val="24"/>
              </w:rPr>
              <w:t>(6)</w:t>
            </w:r>
            <w:r>
              <w:rPr>
                <w:noProof/>
                <w:szCs w:val="24"/>
              </w:rPr>
              <w:tab/>
              <w:t>Conformity marking</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w:t>
            </w:r>
          </w:p>
        </w:tc>
      </w:tr>
      <w:tr w:rsidR="0037666B">
        <w:tc>
          <w:tcPr>
            <w:tcW w:w="3969" w:type="dxa"/>
          </w:tcPr>
          <w:p w:rsidR="0037666B" w:rsidRDefault="00C627B8">
            <w:pPr>
              <w:pStyle w:val="Text1"/>
              <w:ind w:left="358" w:hanging="360"/>
              <w:jc w:val="center"/>
              <w:rPr>
                <w:noProof/>
                <w:szCs w:val="24"/>
              </w:rPr>
            </w:pPr>
            <w:r>
              <w:rPr>
                <w:noProof/>
                <w:szCs w:val="24"/>
              </w:rPr>
              <w:t>(7)</w:t>
            </w:r>
            <w:r>
              <w:rPr>
                <w:noProof/>
                <w:szCs w:val="24"/>
              </w:rPr>
              <w:tab/>
              <w:t>Ensure that procedures are in place for series production to remain in conformity.</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w:t>
            </w:r>
          </w:p>
        </w:tc>
      </w:tr>
      <w:tr w:rsidR="0037666B">
        <w:tc>
          <w:tcPr>
            <w:tcW w:w="3969" w:type="dxa"/>
          </w:tcPr>
          <w:p w:rsidR="0037666B" w:rsidRDefault="00C627B8">
            <w:pPr>
              <w:pStyle w:val="Text1"/>
              <w:ind w:left="358" w:hanging="360"/>
              <w:jc w:val="center"/>
              <w:rPr>
                <w:noProof/>
                <w:szCs w:val="24"/>
              </w:rPr>
            </w:pPr>
            <w:r>
              <w:rPr>
                <w:noProof/>
                <w:szCs w:val="24"/>
              </w:rPr>
              <w:t>(8)</w:t>
            </w:r>
            <w:r>
              <w:rPr>
                <w:noProof/>
                <w:szCs w:val="24"/>
              </w:rPr>
              <w:tab/>
              <w:t xml:space="preserve">Where relevant, certify the </w:t>
            </w:r>
            <w:r>
              <w:rPr>
                <w:noProof/>
                <w:szCs w:val="24"/>
              </w:rPr>
              <w:t>product and/or the quality system.</w:t>
            </w:r>
          </w:p>
        </w:tc>
        <w:tc>
          <w:tcPr>
            <w:tcW w:w="2434" w:type="dxa"/>
          </w:tcPr>
          <w:p w:rsidR="0037666B" w:rsidRDefault="00C627B8">
            <w:pPr>
              <w:jc w:val="center"/>
              <w:rPr>
                <w:noProof/>
                <w:szCs w:val="24"/>
              </w:rPr>
            </w:pPr>
            <w:r>
              <w:rPr>
                <w:noProof/>
                <w:szCs w:val="24"/>
              </w:rPr>
              <w:t>Obligatory</w:t>
            </w:r>
          </w:p>
        </w:tc>
        <w:tc>
          <w:tcPr>
            <w:tcW w:w="2323" w:type="dxa"/>
          </w:tcPr>
          <w:p w:rsidR="0037666B" w:rsidRDefault="00C627B8">
            <w:pPr>
              <w:pStyle w:val="Text1"/>
              <w:ind w:left="0"/>
              <w:jc w:val="center"/>
              <w:rPr>
                <w:noProof/>
                <w:szCs w:val="24"/>
              </w:rPr>
            </w:pPr>
            <w:r>
              <w:rPr>
                <w:noProof/>
                <w:szCs w:val="24"/>
              </w:rPr>
              <w:t>--</w:t>
            </w:r>
          </w:p>
        </w:tc>
      </w:tr>
    </w:tbl>
    <w:p w:rsidR="0037666B" w:rsidRDefault="00C627B8">
      <w:pPr>
        <w:pStyle w:val="Heading1"/>
        <w:keepNext w:val="0"/>
        <w:spacing w:before="0"/>
        <w:ind w:left="482" w:hanging="482"/>
        <w:rPr>
          <w:noProof/>
          <w:szCs w:val="24"/>
        </w:rPr>
      </w:pPr>
      <w:bookmarkStart w:id="180" w:name="_Toc483992794"/>
      <w:r>
        <w:rPr>
          <w:noProof/>
          <w:szCs w:val="24"/>
        </w:rPr>
        <w:t>Comparison between the declarations of conformity</w:t>
      </w:r>
      <w:bookmarkEnd w:id="180"/>
      <w:r>
        <w:rPr>
          <w:noProof/>
          <w:szCs w:val="24"/>
        </w:rPr>
        <w:t xml:space="preserve"> </w:t>
      </w:r>
    </w:p>
    <w:tbl>
      <w:tblPr>
        <w:tblStyle w:val="TableGrid"/>
        <w:tblW w:w="0" w:type="auto"/>
        <w:tblInd w:w="-34" w:type="dxa"/>
        <w:tblLook w:val="04A0" w:firstRow="1" w:lastRow="0" w:firstColumn="1" w:lastColumn="0" w:noHBand="0" w:noVBand="1"/>
      </w:tblPr>
      <w:tblGrid>
        <w:gridCol w:w="3006"/>
        <w:gridCol w:w="3336"/>
        <w:gridCol w:w="2526"/>
      </w:tblGrid>
      <w:tr w:rsidR="0037666B">
        <w:tc>
          <w:tcPr>
            <w:tcW w:w="3154" w:type="dxa"/>
            <w:shd w:val="pct10" w:color="auto" w:fill="auto"/>
            <w:vAlign w:val="center"/>
          </w:tcPr>
          <w:p w:rsidR="0037666B" w:rsidRDefault="00C627B8">
            <w:pPr>
              <w:pStyle w:val="Text1"/>
              <w:spacing w:after="120"/>
              <w:ind w:left="478" w:hanging="478"/>
              <w:jc w:val="center"/>
              <w:rPr>
                <w:b/>
                <w:noProof/>
                <w:szCs w:val="24"/>
              </w:rPr>
            </w:pPr>
            <w:r>
              <w:rPr>
                <w:b/>
                <w:noProof/>
                <w:szCs w:val="24"/>
              </w:rPr>
              <w:t>International standard EN ISO/IEC 17050-1</w:t>
            </w:r>
          </w:p>
        </w:tc>
        <w:tc>
          <w:tcPr>
            <w:tcW w:w="3076" w:type="dxa"/>
            <w:shd w:val="pct10" w:color="auto" w:fill="auto"/>
            <w:vAlign w:val="center"/>
          </w:tcPr>
          <w:p w:rsidR="0037666B" w:rsidRDefault="00C627B8">
            <w:pPr>
              <w:pStyle w:val="Text1"/>
              <w:spacing w:after="120"/>
              <w:ind w:left="478" w:hanging="478"/>
              <w:jc w:val="center"/>
              <w:rPr>
                <w:b/>
                <w:noProof/>
                <w:szCs w:val="24"/>
              </w:rPr>
            </w:pPr>
            <w:r>
              <w:rPr>
                <w:b/>
                <w:noProof/>
                <w:szCs w:val="24"/>
              </w:rPr>
              <w:t>EU harmonisation legislation</w:t>
            </w:r>
          </w:p>
        </w:tc>
        <w:tc>
          <w:tcPr>
            <w:tcW w:w="2638" w:type="dxa"/>
            <w:shd w:val="pct10" w:color="auto" w:fill="auto"/>
            <w:vAlign w:val="center"/>
          </w:tcPr>
          <w:p w:rsidR="0037666B" w:rsidRDefault="00C627B8">
            <w:pPr>
              <w:pStyle w:val="Text1"/>
              <w:spacing w:after="120"/>
              <w:ind w:left="478" w:hanging="478"/>
              <w:jc w:val="center"/>
              <w:rPr>
                <w:b/>
                <w:noProof/>
                <w:szCs w:val="24"/>
              </w:rPr>
            </w:pPr>
            <w:r>
              <w:rPr>
                <w:b/>
                <w:noProof/>
                <w:szCs w:val="24"/>
              </w:rPr>
              <w:t>Mutual Recognition proposal</w:t>
            </w:r>
          </w:p>
        </w:tc>
      </w:tr>
      <w:tr w:rsidR="0037666B">
        <w:tc>
          <w:tcPr>
            <w:tcW w:w="3154" w:type="dxa"/>
          </w:tcPr>
          <w:p w:rsidR="0037666B" w:rsidRDefault="00C627B8">
            <w:pPr>
              <w:pStyle w:val="Text1"/>
              <w:spacing w:after="120"/>
              <w:ind w:left="-2" w:firstLine="2"/>
              <w:rPr>
                <w:noProof/>
                <w:szCs w:val="24"/>
              </w:rPr>
            </w:pPr>
            <w:r>
              <w:rPr>
                <w:noProof/>
                <w:szCs w:val="24"/>
              </w:rPr>
              <w:t>Unique identification</w:t>
            </w:r>
            <w:r>
              <w:rPr>
                <w:noProof/>
                <w:szCs w:val="24"/>
              </w:rPr>
              <w:tab/>
            </w:r>
          </w:p>
        </w:tc>
        <w:tc>
          <w:tcPr>
            <w:tcW w:w="3076" w:type="dxa"/>
          </w:tcPr>
          <w:p w:rsidR="0037666B" w:rsidRDefault="00C627B8">
            <w:pPr>
              <w:pStyle w:val="Text1"/>
              <w:spacing w:after="120"/>
              <w:ind w:left="289" w:hanging="289"/>
              <w:rPr>
                <w:noProof/>
                <w:szCs w:val="24"/>
              </w:rPr>
            </w:pPr>
            <w:r>
              <w:rPr>
                <w:noProof/>
                <w:szCs w:val="24"/>
              </w:rPr>
              <w:t xml:space="preserve">1. </w:t>
            </w:r>
            <w:r>
              <w:rPr>
                <w:noProof/>
                <w:szCs w:val="24"/>
              </w:rPr>
              <w:tab/>
              <w:t xml:space="preserve">No … (unique identification </w:t>
            </w:r>
            <w:r>
              <w:rPr>
                <w:noProof/>
                <w:szCs w:val="24"/>
              </w:rPr>
              <w:t>of the product)</w:t>
            </w:r>
          </w:p>
        </w:tc>
        <w:tc>
          <w:tcPr>
            <w:tcW w:w="2638" w:type="dxa"/>
          </w:tcPr>
          <w:p w:rsidR="0037666B" w:rsidRDefault="0037666B">
            <w:pPr>
              <w:pStyle w:val="Text1"/>
              <w:spacing w:after="120"/>
              <w:ind w:left="478" w:hanging="478"/>
              <w:rPr>
                <w:noProof/>
                <w:szCs w:val="24"/>
              </w:rPr>
            </w:pPr>
          </w:p>
        </w:tc>
      </w:tr>
      <w:tr w:rsidR="0037666B">
        <w:tc>
          <w:tcPr>
            <w:tcW w:w="3154" w:type="dxa"/>
          </w:tcPr>
          <w:p w:rsidR="0037666B" w:rsidRDefault="00C627B8">
            <w:pPr>
              <w:pStyle w:val="Text1"/>
              <w:spacing w:after="120"/>
              <w:ind w:left="-2" w:firstLine="2"/>
              <w:rPr>
                <w:noProof/>
                <w:szCs w:val="24"/>
              </w:rPr>
            </w:pPr>
            <w:r>
              <w:rPr>
                <w:noProof/>
                <w:szCs w:val="24"/>
              </w:rPr>
              <w:t>Name, contact address and signature of the issuer;</w:t>
            </w:r>
          </w:p>
        </w:tc>
        <w:tc>
          <w:tcPr>
            <w:tcW w:w="3076" w:type="dxa"/>
          </w:tcPr>
          <w:p w:rsidR="0037666B" w:rsidRDefault="00C627B8">
            <w:pPr>
              <w:pStyle w:val="Text1"/>
              <w:spacing w:after="120"/>
              <w:ind w:left="289" w:hanging="289"/>
              <w:rPr>
                <w:noProof/>
                <w:szCs w:val="24"/>
              </w:rPr>
            </w:pPr>
            <w:r>
              <w:rPr>
                <w:noProof/>
                <w:szCs w:val="24"/>
              </w:rPr>
              <w:t>2.</w:t>
            </w:r>
            <w:r>
              <w:rPr>
                <w:noProof/>
                <w:szCs w:val="24"/>
              </w:rPr>
              <w:tab/>
              <w:t>Name and address of the manufacturer or his authorised representative</w:t>
            </w:r>
          </w:p>
        </w:tc>
        <w:tc>
          <w:tcPr>
            <w:tcW w:w="2638" w:type="dxa"/>
          </w:tcPr>
          <w:p w:rsidR="0037666B" w:rsidRDefault="0037666B">
            <w:pPr>
              <w:pStyle w:val="Text1"/>
              <w:spacing w:after="120"/>
              <w:ind w:left="478" w:hanging="478"/>
              <w:rPr>
                <w:noProof/>
                <w:szCs w:val="24"/>
              </w:rPr>
            </w:pPr>
          </w:p>
        </w:tc>
      </w:tr>
      <w:tr w:rsidR="0037666B">
        <w:tc>
          <w:tcPr>
            <w:tcW w:w="3154" w:type="dxa"/>
          </w:tcPr>
          <w:p w:rsidR="0037666B" w:rsidRDefault="0037666B">
            <w:pPr>
              <w:pStyle w:val="Text1"/>
              <w:spacing w:after="120"/>
              <w:ind w:left="-2" w:firstLine="2"/>
              <w:rPr>
                <w:noProof/>
                <w:szCs w:val="24"/>
              </w:rPr>
            </w:pPr>
          </w:p>
        </w:tc>
        <w:tc>
          <w:tcPr>
            <w:tcW w:w="3076" w:type="dxa"/>
          </w:tcPr>
          <w:p w:rsidR="0037666B" w:rsidRDefault="00C627B8">
            <w:pPr>
              <w:pStyle w:val="Text1"/>
              <w:spacing w:after="120"/>
              <w:ind w:left="289" w:hanging="289"/>
              <w:rPr>
                <w:noProof/>
                <w:szCs w:val="24"/>
              </w:rPr>
            </w:pPr>
            <w:r>
              <w:rPr>
                <w:noProof/>
                <w:szCs w:val="24"/>
              </w:rPr>
              <w:t xml:space="preserve">3. </w:t>
            </w:r>
            <w:r>
              <w:rPr>
                <w:noProof/>
                <w:szCs w:val="24"/>
              </w:rPr>
              <w:tab/>
              <w:t>This declaration of conformity is issued under the sole responsibility of the manufacturer (or installer)</w:t>
            </w:r>
          </w:p>
        </w:tc>
        <w:tc>
          <w:tcPr>
            <w:tcW w:w="2638" w:type="dxa"/>
          </w:tcPr>
          <w:p w:rsidR="0037666B" w:rsidRDefault="0037666B">
            <w:pPr>
              <w:pStyle w:val="Text1"/>
              <w:spacing w:after="120"/>
              <w:ind w:left="478" w:hanging="478"/>
              <w:rPr>
                <w:noProof/>
                <w:szCs w:val="24"/>
              </w:rPr>
            </w:pPr>
          </w:p>
        </w:tc>
      </w:tr>
      <w:tr w:rsidR="0037666B">
        <w:tc>
          <w:tcPr>
            <w:tcW w:w="3154" w:type="dxa"/>
          </w:tcPr>
          <w:p w:rsidR="0037666B" w:rsidRDefault="00C627B8">
            <w:pPr>
              <w:pStyle w:val="Text1"/>
              <w:spacing w:after="120"/>
              <w:ind w:left="-2" w:firstLine="2"/>
              <w:rPr>
                <w:noProof/>
                <w:szCs w:val="24"/>
              </w:rPr>
            </w:pPr>
            <w:r>
              <w:rPr>
                <w:noProof/>
                <w:szCs w:val="24"/>
              </w:rPr>
              <w:t>An identification of what the declaration covers (for example, product description, type and extent of management system)</w:t>
            </w:r>
          </w:p>
        </w:tc>
        <w:tc>
          <w:tcPr>
            <w:tcW w:w="3076" w:type="dxa"/>
          </w:tcPr>
          <w:p w:rsidR="0037666B" w:rsidRDefault="00C627B8">
            <w:pPr>
              <w:pStyle w:val="Text1"/>
              <w:spacing w:after="120"/>
              <w:ind w:left="289" w:hanging="289"/>
              <w:rPr>
                <w:noProof/>
                <w:szCs w:val="24"/>
              </w:rPr>
            </w:pPr>
            <w:r>
              <w:rPr>
                <w:noProof/>
                <w:szCs w:val="24"/>
              </w:rPr>
              <w:t xml:space="preserve">4. </w:t>
            </w:r>
            <w:r>
              <w:rPr>
                <w:noProof/>
                <w:szCs w:val="24"/>
              </w:rPr>
              <w:tab/>
              <w:t>Object of the declaration (identification of product allowing traceability. It may include a photograph, where appropriate)</w:t>
            </w:r>
          </w:p>
        </w:tc>
        <w:tc>
          <w:tcPr>
            <w:tcW w:w="2638" w:type="dxa"/>
          </w:tcPr>
          <w:p w:rsidR="0037666B" w:rsidRDefault="0037666B">
            <w:pPr>
              <w:pStyle w:val="Text1"/>
              <w:spacing w:after="120"/>
              <w:ind w:left="478" w:hanging="478"/>
              <w:rPr>
                <w:noProof/>
                <w:szCs w:val="24"/>
              </w:rPr>
            </w:pPr>
          </w:p>
        </w:tc>
      </w:tr>
      <w:tr w:rsidR="0037666B">
        <w:tc>
          <w:tcPr>
            <w:tcW w:w="3154" w:type="dxa"/>
            <w:vMerge w:val="restart"/>
          </w:tcPr>
          <w:p w:rsidR="0037666B" w:rsidRDefault="00C627B8">
            <w:pPr>
              <w:pStyle w:val="Text1"/>
              <w:spacing w:after="120"/>
              <w:ind w:left="-2" w:firstLine="2"/>
              <w:rPr>
                <w:noProof/>
                <w:szCs w:val="24"/>
              </w:rPr>
            </w:pPr>
            <w:r>
              <w:rPr>
                <w:noProof/>
                <w:szCs w:val="24"/>
              </w:rPr>
              <w:t>The</w:t>
            </w:r>
            <w:r>
              <w:rPr>
                <w:noProof/>
                <w:szCs w:val="24"/>
              </w:rPr>
              <w:t xml:space="preserve"> complete list of specified requirements, including standards, that the declaration is based on</w:t>
            </w:r>
            <w:r>
              <w:rPr>
                <w:noProof/>
                <w:szCs w:val="24"/>
              </w:rPr>
              <w:tab/>
            </w:r>
          </w:p>
          <w:p w:rsidR="0037666B" w:rsidRDefault="0037666B">
            <w:pPr>
              <w:pStyle w:val="Text1"/>
              <w:spacing w:after="120"/>
              <w:ind w:left="-2" w:firstLine="2"/>
              <w:rPr>
                <w:noProof/>
                <w:szCs w:val="24"/>
              </w:rPr>
            </w:pPr>
          </w:p>
        </w:tc>
        <w:tc>
          <w:tcPr>
            <w:tcW w:w="3076" w:type="dxa"/>
          </w:tcPr>
          <w:p w:rsidR="0037666B" w:rsidRDefault="00C627B8">
            <w:pPr>
              <w:pStyle w:val="Text1"/>
              <w:spacing w:after="120"/>
              <w:ind w:left="289" w:hanging="289"/>
              <w:rPr>
                <w:noProof/>
                <w:szCs w:val="24"/>
              </w:rPr>
            </w:pPr>
            <w:r>
              <w:rPr>
                <w:noProof/>
                <w:szCs w:val="24"/>
              </w:rPr>
              <w:t xml:space="preserve">5. </w:t>
            </w:r>
            <w:r>
              <w:rPr>
                <w:noProof/>
                <w:szCs w:val="24"/>
              </w:rPr>
              <w:tab/>
              <w:t>The object of the declaration described above is in conformity with the relevant Union harmonisation legislation</w:t>
            </w:r>
          </w:p>
        </w:tc>
        <w:tc>
          <w:tcPr>
            <w:tcW w:w="2638" w:type="dxa"/>
          </w:tcPr>
          <w:p w:rsidR="0037666B" w:rsidRDefault="0037666B">
            <w:pPr>
              <w:pStyle w:val="Text1"/>
              <w:spacing w:after="120"/>
              <w:ind w:left="478" w:hanging="478"/>
              <w:rPr>
                <w:noProof/>
                <w:szCs w:val="24"/>
              </w:rPr>
            </w:pPr>
          </w:p>
        </w:tc>
      </w:tr>
      <w:tr w:rsidR="0037666B">
        <w:tc>
          <w:tcPr>
            <w:tcW w:w="3154" w:type="dxa"/>
            <w:vMerge/>
          </w:tcPr>
          <w:p w:rsidR="0037666B" w:rsidRDefault="0037666B">
            <w:pPr>
              <w:pStyle w:val="Text1"/>
              <w:spacing w:after="120"/>
              <w:ind w:left="-2" w:firstLine="2"/>
              <w:rPr>
                <w:noProof/>
                <w:szCs w:val="24"/>
              </w:rPr>
            </w:pPr>
          </w:p>
        </w:tc>
        <w:tc>
          <w:tcPr>
            <w:tcW w:w="3076" w:type="dxa"/>
          </w:tcPr>
          <w:p w:rsidR="0037666B" w:rsidRDefault="00C627B8">
            <w:pPr>
              <w:pStyle w:val="Text1"/>
              <w:spacing w:after="120"/>
              <w:ind w:left="289" w:hanging="289"/>
              <w:rPr>
                <w:noProof/>
                <w:szCs w:val="24"/>
              </w:rPr>
            </w:pPr>
            <w:r>
              <w:rPr>
                <w:noProof/>
                <w:szCs w:val="24"/>
              </w:rPr>
              <w:t xml:space="preserve">6. </w:t>
            </w:r>
            <w:r>
              <w:rPr>
                <w:noProof/>
                <w:szCs w:val="24"/>
              </w:rPr>
              <w:tab/>
              <w:t xml:space="preserve">References to the relevant </w:t>
            </w:r>
            <w:r>
              <w:rPr>
                <w:noProof/>
                <w:szCs w:val="24"/>
              </w:rPr>
              <w:t>harmonised standards used or references to the specifications in relation to which conformity is declared:</w:t>
            </w:r>
          </w:p>
        </w:tc>
        <w:tc>
          <w:tcPr>
            <w:tcW w:w="2638" w:type="dxa"/>
          </w:tcPr>
          <w:p w:rsidR="0037666B" w:rsidRDefault="0037666B">
            <w:pPr>
              <w:pStyle w:val="Text1"/>
              <w:spacing w:after="120"/>
              <w:ind w:left="478" w:hanging="478"/>
              <w:rPr>
                <w:noProof/>
                <w:szCs w:val="24"/>
              </w:rPr>
            </w:pPr>
          </w:p>
        </w:tc>
      </w:tr>
      <w:tr w:rsidR="0037666B">
        <w:tc>
          <w:tcPr>
            <w:tcW w:w="3154" w:type="dxa"/>
            <w:vMerge/>
          </w:tcPr>
          <w:p w:rsidR="0037666B" w:rsidRDefault="0037666B">
            <w:pPr>
              <w:pStyle w:val="Text1"/>
              <w:spacing w:after="120"/>
              <w:ind w:left="-2" w:firstLine="2"/>
              <w:rPr>
                <w:noProof/>
                <w:szCs w:val="24"/>
              </w:rPr>
            </w:pPr>
          </w:p>
        </w:tc>
        <w:tc>
          <w:tcPr>
            <w:tcW w:w="3076" w:type="dxa"/>
          </w:tcPr>
          <w:p w:rsidR="0037666B" w:rsidRDefault="00C627B8">
            <w:pPr>
              <w:pStyle w:val="Text1"/>
              <w:spacing w:after="120"/>
              <w:ind w:left="289" w:hanging="289"/>
              <w:rPr>
                <w:noProof/>
                <w:szCs w:val="24"/>
              </w:rPr>
            </w:pPr>
            <w:r>
              <w:rPr>
                <w:noProof/>
                <w:szCs w:val="24"/>
              </w:rPr>
              <w:t xml:space="preserve">7. </w:t>
            </w:r>
            <w:r>
              <w:rPr>
                <w:noProof/>
                <w:szCs w:val="24"/>
              </w:rPr>
              <w:tab/>
              <w:t>Where applicable, the notified body ... (name, number) … performed … (description of intervention) … and issued the certificate: …</w:t>
            </w:r>
          </w:p>
        </w:tc>
        <w:tc>
          <w:tcPr>
            <w:tcW w:w="2638" w:type="dxa"/>
          </w:tcPr>
          <w:p w:rsidR="0037666B" w:rsidRDefault="0037666B">
            <w:pPr>
              <w:pStyle w:val="Text1"/>
              <w:spacing w:after="120"/>
              <w:ind w:left="478" w:hanging="478"/>
              <w:rPr>
                <w:noProof/>
                <w:szCs w:val="24"/>
              </w:rPr>
            </w:pPr>
          </w:p>
        </w:tc>
      </w:tr>
      <w:tr w:rsidR="0037666B">
        <w:tc>
          <w:tcPr>
            <w:tcW w:w="3154" w:type="dxa"/>
          </w:tcPr>
          <w:p w:rsidR="0037666B" w:rsidRDefault="00C627B8">
            <w:pPr>
              <w:pStyle w:val="Text1"/>
              <w:spacing w:after="120"/>
              <w:ind w:left="-2" w:firstLine="2"/>
              <w:rPr>
                <w:noProof/>
                <w:szCs w:val="24"/>
              </w:rPr>
            </w:pPr>
            <w:r>
              <w:rPr>
                <w:noProof/>
                <w:szCs w:val="24"/>
              </w:rPr>
              <w:t xml:space="preserve">Any </w:t>
            </w:r>
            <w:r>
              <w:rPr>
                <w:noProof/>
                <w:szCs w:val="24"/>
              </w:rPr>
              <w:t>limitation related to the validity of the declaration.</w:t>
            </w:r>
          </w:p>
        </w:tc>
        <w:tc>
          <w:tcPr>
            <w:tcW w:w="3076" w:type="dxa"/>
          </w:tcPr>
          <w:p w:rsidR="0037666B" w:rsidRDefault="00C627B8">
            <w:pPr>
              <w:pStyle w:val="Text1"/>
              <w:spacing w:after="120"/>
              <w:ind w:left="289" w:hanging="289"/>
              <w:rPr>
                <w:noProof/>
                <w:szCs w:val="24"/>
              </w:rPr>
            </w:pPr>
            <w:r>
              <w:rPr>
                <w:noProof/>
                <w:szCs w:val="24"/>
              </w:rPr>
              <w:t xml:space="preserve">8. </w:t>
            </w:r>
            <w:r>
              <w:rPr>
                <w:noProof/>
                <w:szCs w:val="24"/>
              </w:rPr>
              <w:tab/>
              <w:t>Additional information:</w:t>
            </w:r>
          </w:p>
        </w:tc>
        <w:tc>
          <w:tcPr>
            <w:tcW w:w="2638" w:type="dxa"/>
          </w:tcPr>
          <w:p w:rsidR="0037666B" w:rsidRDefault="0037666B">
            <w:pPr>
              <w:pStyle w:val="Text1"/>
              <w:spacing w:after="120"/>
              <w:ind w:left="478" w:hanging="478"/>
              <w:rPr>
                <w:noProof/>
                <w:szCs w:val="24"/>
              </w:rPr>
            </w:pPr>
          </w:p>
        </w:tc>
      </w:tr>
      <w:tr w:rsidR="0037666B">
        <w:tc>
          <w:tcPr>
            <w:tcW w:w="3154" w:type="dxa"/>
          </w:tcPr>
          <w:p w:rsidR="0037666B" w:rsidRDefault="00C627B8">
            <w:pPr>
              <w:pStyle w:val="Text1"/>
              <w:spacing w:after="120"/>
              <w:ind w:left="-2" w:firstLine="2"/>
              <w:rPr>
                <w:noProof/>
                <w:szCs w:val="24"/>
              </w:rPr>
            </w:pPr>
            <w:r>
              <w:rPr>
                <w:noProof/>
                <w:szCs w:val="24"/>
              </w:rPr>
              <w:t>Date and place of issue</w:t>
            </w:r>
          </w:p>
        </w:tc>
        <w:tc>
          <w:tcPr>
            <w:tcW w:w="3076" w:type="dxa"/>
          </w:tcPr>
          <w:p w:rsidR="0037666B" w:rsidRDefault="00C627B8">
            <w:pPr>
              <w:pStyle w:val="Text1"/>
              <w:spacing w:after="120"/>
              <w:ind w:left="478" w:hanging="478"/>
              <w:rPr>
                <w:noProof/>
                <w:szCs w:val="24"/>
              </w:rPr>
            </w:pPr>
            <w:r>
              <w:rPr>
                <w:noProof/>
                <w:szCs w:val="24"/>
              </w:rPr>
              <w:t>Signed for and on behalf of:</w:t>
            </w:r>
          </w:p>
          <w:p w:rsidR="0037666B" w:rsidRDefault="00C627B8">
            <w:pPr>
              <w:pStyle w:val="Text1"/>
              <w:spacing w:after="120"/>
              <w:ind w:left="478" w:hanging="478"/>
              <w:rPr>
                <w:noProof/>
                <w:szCs w:val="24"/>
              </w:rPr>
            </w:pPr>
            <w:r>
              <w:rPr>
                <w:noProof/>
                <w:szCs w:val="24"/>
              </w:rPr>
              <w:t>…………………………………</w:t>
            </w:r>
          </w:p>
          <w:p w:rsidR="0037666B" w:rsidRDefault="00C627B8">
            <w:pPr>
              <w:pStyle w:val="Text1"/>
              <w:spacing w:after="120"/>
              <w:ind w:left="478" w:hanging="478"/>
              <w:rPr>
                <w:noProof/>
                <w:szCs w:val="24"/>
              </w:rPr>
            </w:pPr>
            <w:r>
              <w:rPr>
                <w:noProof/>
                <w:szCs w:val="24"/>
              </w:rPr>
              <w:t>(place and date of issue):</w:t>
            </w:r>
          </w:p>
          <w:p w:rsidR="0037666B" w:rsidRDefault="00C627B8">
            <w:pPr>
              <w:pStyle w:val="Text1"/>
              <w:spacing w:after="120"/>
              <w:ind w:left="478" w:hanging="478"/>
              <w:rPr>
                <w:noProof/>
                <w:szCs w:val="24"/>
              </w:rPr>
            </w:pPr>
            <w:r>
              <w:rPr>
                <w:noProof/>
                <w:szCs w:val="24"/>
              </w:rPr>
              <w:t>(name, function) (signature):</w:t>
            </w:r>
          </w:p>
        </w:tc>
        <w:tc>
          <w:tcPr>
            <w:tcW w:w="2638" w:type="dxa"/>
          </w:tcPr>
          <w:p w:rsidR="0037666B" w:rsidRDefault="0037666B">
            <w:pPr>
              <w:pStyle w:val="Text1"/>
              <w:spacing w:after="120"/>
              <w:ind w:left="478" w:hanging="478"/>
              <w:rPr>
                <w:noProof/>
                <w:szCs w:val="24"/>
              </w:rPr>
            </w:pPr>
          </w:p>
        </w:tc>
      </w:tr>
    </w:tbl>
    <w:p w:rsidR="0037666B" w:rsidRDefault="0037666B">
      <w:pPr>
        <w:rPr>
          <w:noProof/>
          <w:szCs w:val="24"/>
        </w:rPr>
      </w:pPr>
    </w:p>
    <w:p w:rsidR="0037666B" w:rsidRDefault="0037666B">
      <w:pPr>
        <w:rPr>
          <w:noProof/>
          <w:szCs w:val="24"/>
        </w:rPr>
      </w:pPr>
    </w:p>
    <w:p w:rsidR="0037666B" w:rsidRDefault="00C627B8">
      <w:pPr>
        <w:pStyle w:val="Heading1"/>
        <w:keepNext w:val="0"/>
        <w:spacing w:before="0"/>
        <w:ind w:left="482" w:hanging="482"/>
        <w:rPr>
          <w:noProof/>
          <w:szCs w:val="24"/>
        </w:rPr>
      </w:pPr>
      <w:bookmarkStart w:id="181" w:name="_Toc483992795"/>
      <w:r>
        <w:rPr>
          <w:noProof/>
          <w:szCs w:val="24"/>
        </w:rPr>
        <w:t xml:space="preserve">The Suppliers declaration of conformity in </w:t>
      </w:r>
      <w:r>
        <w:rPr>
          <w:noProof/>
          <w:szCs w:val="24"/>
        </w:rPr>
        <w:t>international trade</w:t>
      </w:r>
      <w:bookmarkEnd w:id="181"/>
    </w:p>
    <w:p w:rsidR="0037666B" w:rsidRDefault="00C627B8">
      <w:pPr>
        <w:pStyle w:val="Heading2"/>
        <w:rPr>
          <w:noProof/>
        </w:rPr>
      </w:pPr>
      <w:bookmarkStart w:id="182" w:name="_Toc483992796"/>
      <w:r>
        <w:rPr>
          <w:noProof/>
        </w:rPr>
        <w:t>The use of the suppliers' Declaration of Conformity in global trade</w:t>
      </w:r>
      <w:bookmarkEnd w:id="182"/>
    </w:p>
    <w:p w:rsidR="0037666B" w:rsidRDefault="00C627B8">
      <w:pPr>
        <w:pStyle w:val="Text1"/>
        <w:ind w:left="0"/>
        <w:rPr>
          <w:noProof/>
          <w:szCs w:val="24"/>
        </w:rPr>
      </w:pPr>
      <w:r>
        <w:rPr>
          <w:noProof/>
          <w:szCs w:val="24"/>
        </w:rPr>
        <w:t>The suppliers' Declaration of Conformity is a widely used feature in global trade.</w:t>
      </w:r>
    </w:p>
    <w:p w:rsidR="0037666B" w:rsidRDefault="00C627B8">
      <w:pPr>
        <w:pStyle w:val="Text1"/>
        <w:ind w:left="0"/>
        <w:rPr>
          <w:noProof/>
          <w:szCs w:val="24"/>
        </w:rPr>
      </w:pPr>
      <w:r>
        <w:rPr>
          <w:noProof/>
          <w:szCs w:val="24"/>
        </w:rPr>
        <w:t>The preamble of the TBT Agreement recognizes the important contribution international</w:t>
      </w:r>
      <w:r>
        <w:rPr>
          <w:noProof/>
          <w:szCs w:val="24"/>
        </w:rPr>
        <w:t xml:space="preserve"> standards and conformity assessment systems can make by improving efficiency of production and facilitating the conduct of international trade. That is also the reason why Members are encouraged to accept other Members' conformity assessment results.</w:t>
      </w:r>
    </w:p>
    <w:p w:rsidR="0037666B" w:rsidRDefault="00C627B8">
      <w:pPr>
        <w:pStyle w:val="Text1"/>
        <w:ind w:left="0"/>
        <w:rPr>
          <w:noProof/>
          <w:szCs w:val="24"/>
        </w:rPr>
      </w:pPr>
      <w:r>
        <w:rPr>
          <w:noProof/>
          <w:szCs w:val="24"/>
        </w:rPr>
        <w:t xml:space="preserve">The </w:t>
      </w:r>
      <w:r>
        <w:rPr>
          <w:noProof/>
          <w:szCs w:val="24"/>
        </w:rPr>
        <w:t>source of the obligation to recognize other Members' conformity assessment procedures and conformity assessment results can be found in Article 6 - Recognition of Conformity Assessment by Central Government Bodies - which states that:</w:t>
      </w:r>
    </w:p>
    <w:p w:rsidR="0037666B" w:rsidRDefault="00C627B8">
      <w:pPr>
        <w:pStyle w:val="Text1"/>
        <w:pBdr>
          <w:top w:val="single" w:sz="4" w:space="1" w:color="auto"/>
          <w:left w:val="single" w:sz="4" w:space="4" w:color="auto"/>
          <w:bottom w:val="single" w:sz="4" w:space="1" w:color="auto"/>
          <w:right w:val="single" w:sz="4" w:space="4" w:color="auto"/>
        </w:pBdr>
        <w:ind w:left="0"/>
        <w:rPr>
          <w:i/>
          <w:noProof/>
          <w:szCs w:val="24"/>
        </w:rPr>
      </w:pPr>
      <w:r>
        <w:rPr>
          <w:i/>
          <w:noProof/>
          <w:szCs w:val="24"/>
        </w:rPr>
        <w:t>With respect to their</w:t>
      </w:r>
      <w:r>
        <w:rPr>
          <w:i/>
          <w:noProof/>
          <w:szCs w:val="24"/>
        </w:rPr>
        <w:t xml:space="preserve"> central government bodies:</w:t>
      </w:r>
    </w:p>
    <w:p w:rsidR="0037666B" w:rsidRDefault="00C627B8">
      <w:pPr>
        <w:pStyle w:val="Text1"/>
        <w:pBdr>
          <w:top w:val="single" w:sz="4" w:space="1" w:color="auto"/>
          <w:left w:val="single" w:sz="4" w:space="4" w:color="auto"/>
          <w:bottom w:val="single" w:sz="4" w:space="1" w:color="auto"/>
          <w:right w:val="single" w:sz="4" w:space="4" w:color="auto"/>
        </w:pBdr>
        <w:ind w:left="567" w:hanging="567"/>
        <w:rPr>
          <w:i/>
          <w:noProof/>
          <w:szCs w:val="24"/>
        </w:rPr>
      </w:pPr>
      <w:r>
        <w:rPr>
          <w:i/>
          <w:noProof/>
          <w:szCs w:val="24"/>
        </w:rPr>
        <w:t xml:space="preserve">6.1 </w:t>
      </w:r>
      <w:r>
        <w:rPr>
          <w:i/>
          <w:noProof/>
          <w:szCs w:val="24"/>
        </w:rPr>
        <w:tab/>
        <w:t>Without prejudice to the provisions of paragraphs 3 and 4, Members shall ensure, whenever possible, that results of conformity assessment procedures in other Members are accepted, even when those procedures differ from thei</w:t>
      </w:r>
      <w:r>
        <w:rPr>
          <w:i/>
          <w:noProof/>
          <w:szCs w:val="24"/>
        </w:rPr>
        <w:t>r own, provided they are satisfied that those procedures offer an assurance of conformity with applicable technical regulations or standards equivalent to their own procedures. It is recognized that prior consultations may be necessary in order to arrive a</w:t>
      </w:r>
      <w:r>
        <w:rPr>
          <w:i/>
          <w:noProof/>
          <w:szCs w:val="24"/>
        </w:rPr>
        <w:t>t a mutually satisfactory understanding regarding, in particular:</w:t>
      </w:r>
    </w:p>
    <w:p w:rsidR="0037666B" w:rsidRDefault="00C627B8">
      <w:pPr>
        <w:pStyle w:val="Text1"/>
        <w:pBdr>
          <w:top w:val="single" w:sz="4" w:space="1" w:color="auto"/>
          <w:left w:val="single" w:sz="4" w:space="4" w:color="auto"/>
          <w:bottom w:val="single" w:sz="4" w:space="1" w:color="auto"/>
          <w:right w:val="single" w:sz="4" w:space="4" w:color="auto"/>
        </w:pBdr>
        <w:ind w:left="567" w:hanging="567"/>
        <w:rPr>
          <w:i/>
          <w:noProof/>
          <w:szCs w:val="24"/>
        </w:rPr>
      </w:pPr>
      <w:r>
        <w:rPr>
          <w:i/>
          <w:noProof/>
          <w:szCs w:val="24"/>
        </w:rPr>
        <w:t xml:space="preserve">6.1.1 </w:t>
      </w:r>
      <w:r>
        <w:rPr>
          <w:i/>
          <w:noProof/>
          <w:szCs w:val="24"/>
        </w:rPr>
        <w:tab/>
        <w:t>adequate and enduring technical competence of the relevant conformity assessment bodies in the exporting Member, so that confidence in the continued reliability of their conformity as</w:t>
      </w:r>
      <w:r>
        <w:rPr>
          <w:i/>
          <w:noProof/>
          <w:szCs w:val="24"/>
        </w:rPr>
        <w:t>sessment results can exist; in this regard, verified compliance, for instance through accreditation, with relevant guides or recommendations issued by international standardizing bodies shall be taken into account as an indication of adequate technical com</w:t>
      </w:r>
      <w:r>
        <w:rPr>
          <w:i/>
          <w:noProof/>
          <w:szCs w:val="24"/>
        </w:rPr>
        <w:t>petence;</w:t>
      </w:r>
    </w:p>
    <w:p w:rsidR="0037666B" w:rsidRDefault="00C627B8">
      <w:pPr>
        <w:pStyle w:val="Text1"/>
        <w:pBdr>
          <w:top w:val="single" w:sz="4" w:space="1" w:color="auto"/>
          <w:left w:val="single" w:sz="4" w:space="4" w:color="auto"/>
          <w:bottom w:val="single" w:sz="4" w:space="1" w:color="auto"/>
          <w:right w:val="single" w:sz="4" w:space="4" w:color="auto"/>
        </w:pBdr>
        <w:ind w:left="567" w:hanging="567"/>
        <w:rPr>
          <w:i/>
          <w:noProof/>
          <w:szCs w:val="24"/>
        </w:rPr>
      </w:pPr>
      <w:r>
        <w:rPr>
          <w:i/>
          <w:noProof/>
          <w:szCs w:val="24"/>
        </w:rPr>
        <w:t xml:space="preserve">6.1.2 </w:t>
      </w:r>
      <w:r>
        <w:rPr>
          <w:i/>
          <w:noProof/>
          <w:szCs w:val="24"/>
        </w:rPr>
        <w:tab/>
        <w:t>limitation of the acceptance of conformity assessment results to those produced by designated bodies in the exporting Member.</w:t>
      </w:r>
    </w:p>
    <w:p w:rsidR="0037666B" w:rsidRDefault="00C627B8">
      <w:pPr>
        <w:pStyle w:val="Text1"/>
        <w:pBdr>
          <w:top w:val="single" w:sz="4" w:space="1" w:color="auto"/>
          <w:left w:val="single" w:sz="4" w:space="4" w:color="auto"/>
          <w:bottom w:val="single" w:sz="4" w:space="1" w:color="auto"/>
          <w:right w:val="single" w:sz="4" w:space="4" w:color="auto"/>
        </w:pBdr>
        <w:ind w:left="567" w:hanging="567"/>
        <w:rPr>
          <w:i/>
          <w:noProof/>
          <w:szCs w:val="24"/>
        </w:rPr>
      </w:pPr>
      <w:r>
        <w:rPr>
          <w:i/>
          <w:noProof/>
          <w:szCs w:val="24"/>
        </w:rPr>
        <w:t xml:space="preserve">6.2 </w:t>
      </w:r>
      <w:r>
        <w:rPr>
          <w:i/>
          <w:noProof/>
          <w:szCs w:val="24"/>
        </w:rPr>
        <w:tab/>
        <w:t>Members shall ensure that their conformity assessment procedures permit, as far as practicable, the implement</w:t>
      </w:r>
      <w:r>
        <w:rPr>
          <w:i/>
          <w:noProof/>
          <w:szCs w:val="24"/>
        </w:rPr>
        <w:t>ation of the provisions in paragraph 1.</w:t>
      </w:r>
    </w:p>
    <w:p w:rsidR="0037666B" w:rsidRDefault="00C627B8">
      <w:pPr>
        <w:pStyle w:val="Text1"/>
        <w:pBdr>
          <w:top w:val="single" w:sz="4" w:space="1" w:color="auto"/>
          <w:left w:val="single" w:sz="4" w:space="4" w:color="auto"/>
          <w:bottom w:val="single" w:sz="4" w:space="1" w:color="auto"/>
          <w:right w:val="single" w:sz="4" w:space="4" w:color="auto"/>
        </w:pBdr>
        <w:ind w:left="567" w:hanging="567"/>
        <w:rPr>
          <w:i/>
          <w:noProof/>
          <w:szCs w:val="24"/>
        </w:rPr>
      </w:pPr>
      <w:r>
        <w:rPr>
          <w:i/>
          <w:noProof/>
          <w:szCs w:val="24"/>
        </w:rPr>
        <w:t>6.3</w:t>
      </w:r>
      <w:r>
        <w:rPr>
          <w:i/>
          <w:noProof/>
          <w:szCs w:val="24"/>
        </w:rPr>
        <w:tab/>
        <w:t>Members are encouraged, at the request of other Members, to be willing to enter into negotiations for the conclusion of agreements for the mutual recognition of results of each other's conformity assessment proce</w:t>
      </w:r>
      <w:r>
        <w:rPr>
          <w:i/>
          <w:noProof/>
          <w:szCs w:val="24"/>
        </w:rPr>
        <w:t>dures. Members may require that such agreements fulfil the criteria of paragraph 1 and give mutual satisfaction regarding their potential for facilitating trade in the products concerned.</w:t>
      </w:r>
    </w:p>
    <w:p w:rsidR="0037666B" w:rsidRDefault="00C627B8">
      <w:pPr>
        <w:pStyle w:val="Text1"/>
        <w:pBdr>
          <w:top w:val="single" w:sz="4" w:space="1" w:color="auto"/>
          <w:left w:val="single" w:sz="4" w:space="4" w:color="auto"/>
          <w:bottom w:val="single" w:sz="4" w:space="1" w:color="auto"/>
          <w:right w:val="single" w:sz="4" w:space="4" w:color="auto"/>
        </w:pBdr>
        <w:ind w:left="567" w:hanging="567"/>
        <w:rPr>
          <w:i/>
          <w:noProof/>
          <w:szCs w:val="24"/>
        </w:rPr>
      </w:pPr>
      <w:r>
        <w:rPr>
          <w:i/>
          <w:noProof/>
          <w:szCs w:val="24"/>
        </w:rPr>
        <w:t xml:space="preserve">6.4 </w:t>
      </w:r>
      <w:r>
        <w:rPr>
          <w:i/>
          <w:noProof/>
          <w:szCs w:val="24"/>
        </w:rPr>
        <w:tab/>
        <w:t>Members are encouraged to permit participation of conformity as</w:t>
      </w:r>
      <w:r>
        <w:rPr>
          <w:i/>
          <w:noProof/>
          <w:szCs w:val="24"/>
        </w:rPr>
        <w:t>sessment bodies located in the territories of other Members in their conformity assessment procedures under conditions no less favourable than those accorded to bodies located within their territory or the territory of any other country.</w:t>
      </w:r>
    </w:p>
    <w:p w:rsidR="0037666B" w:rsidRDefault="00C627B8">
      <w:pPr>
        <w:pStyle w:val="Text1"/>
        <w:ind w:left="0"/>
        <w:rPr>
          <w:noProof/>
          <w:szCs w:val="24"/>
        </w:rPr>
      </w:pPr>
      <w:r>
        <w:rPr>
          <w:noProof/>
          <w:szCs w:val="24"/>
        </w:rPr>
        <w:t xml:space="preserve">The TBT Committee </w:t>
      </w:r>
      <w:r>
        <w:rPr>
          <w:noProof/>
          <w:szCs w:val="24"/>
        </w:rPr>
        <w:t>has identified five approaches to facilitate the acceptance of the conformity assessment procedures (G/TBT/9):</w:t>
      </w:r>
    </w:p>
    <w:p w:rsidR="0037666B" w:rsidRDefault="00C627B8">
      <w:pPr>
        <w:pStyle w:val="ListBullet1"/>
        <w:tabs>
          <w:tab w:val="clear" w:pos="765"/>
          <w:tab w:val="num" w:pos="283"/>
        </w:tabs>
        <w:ind w:left="567" w:hanging="567"/>
        <w:rPr>
          <w:noProof/>
          <w:szCs w:val="24"/>
        </w:rPr>
      </w:pPr>
      <w:r>
        <w:rPr>
          <w:noProof/>
          <w:szCs w:val="24"/>
        </w:rPr>
        <w:t>accreditation;</w:t>
      </w:r>
    </w:p>
    <w:p w:rsidR="0037666B" w:rsidRDefault="00C627B8">
      <w:pPr>
        <w:pStyle w:val="ListBullet1"/>
        <w:ind w:left="567" w:hanging="567"/>
        <w:rPr>
          <w:noProof/>
          <w:szCs w:val="24"/>
        </w:rPr>
      </w:pPr>
      <w:r>
        <w:rPr>
          <w:noProof/>
          <w:szCs w:val="24"/>
        </w:rPr>
        <w:t>the unilateral recognition of results of foreign conformity assessment as equivalent, including the possibility of government desi</w:t>
      </w:r>
      <w:r>
        <w:rPr>
          <w:noProof/>
          <w:szCs w:val="24"/>
        </w:rPr>
        <w:t>gnation of specific conformity assessment bodies;</w:t>
      </w:r>
    </w:p>
    <w:p w:rsidR="0037666B" w:rsidRDefault="00C627B8">
      <w:pPr>
        <w:pStyle w:val="ListBullet1"/>
        <w:ind w:left="567" w:hanging="567"/>
        <w:rPr>
          <w:noProof/>
          <w:szCs w:val="24"/>
        </w:rPr>
      </w:pPr>
      <w:r>
        <w:rPr>
          <w:noProof/>
          <w:szCs w:val="24"/>
        </w:rPr>
        <w:t>the negotiation and conclusion of Mutual Recognition Agreements (MRAs) for conformity assessment between governments;</w:t>
      </w:r>
    </w:p>
    <w:p w:rsidR="0037666B" w:rsidRDefault="00C627B8">
      <w:pPr>
        <w:pStyle w:val="ListBullet1"/>
        <w:ind w:left="567" w:hanging="567"/>
        <w:rPr>
          <w:noProof/>
          <w:szCs w:val="24"/>
        </w:rPr>
      </w:pPr>
      <w:r>
        <w:rPr>
          <w:noProof/>
          <w:szCs w:val="24"/>
        </w:rPr>
        <w:t>the conclusion of co-operative (voluntary) arrangements between domestic and foreign con</w:t>
      </w:r>
      <w:r>
        <w:rPr>
          <w:noProof/>
          <w:szCs w:val="24"/>
        </w:rPr>
        <w:t>formity assessment bodies; and</w:t>
      </w:r>
    </w:p>
    <w:p w:rsidR="0037666B" w:rsidRDefault="00C627B8">
      <w:pPr>
        <w:pStyle w:val="ListBullet1"/>
        <w:ind w:left="567" w:hanging="567"/>
        <w:rPr>
          <w:noProof/>
          <w:szCs w:val="24"/>
        </w:rPr>
      </w:pPr>
      <w:r>
        <w:rPr>
          <w:noProof/>
          <w:szCs w:val="24"/>
        </w:rPr>
        <w:t>the use of Supplier's Declaration of Conformity (SDoC).</w:t>
      </w:r>
    </w:p>
    <w:p w:rsidR="0037666B" w:rsidRDefault="00C627B8">
      <w:pPr>
        <w:pStyle w:val="Text1"/>
        <w:ind w:left="0"/>
        <w:rPr>
          <w:noProof/>
          <w:szCs w:val="24"/>
        </w:rPr>
      </w:pPr>
      <w:r>
        <w:rPr>
          <w:noProof/>
          <w:szCs w:val="24"/>
        </w:rPr>
        <w:t xml:space="preserve">Accreditation, unilateral recognition and mutual recognition agreements are expressly mentioned in the TBT Agreement. The other two approaches were proposed by the TBT </w:t>
      </w:r>
      <w:r>
        <w:rPr>
          <w:noProof/>
          <w:szCs w:val="24"/>
        </w:rPr>
        <w:t>Committee during the Second Triennial Review of the Agreement as part of an indicative list of existing mechanisms to facilitate the acceptance of conformity assessment results. This list was not intended to prescribe particular approaches that Members mig</w:t>
      </w:r>
      <w:r>
        <w:rPr>
          <w:noProof/>
          <w:szCs w:val="24"/>
        </w:rPr>
        <w:t>ht choose to adopt, as it was recognized that the application of different approaches would depend on the situation of Members and the specific sectors involved.</w:t>
      </w:r>
    </w:p>
    <w:p w:rsidR="0037666B" w:rsidRDefault="00C627B8">
      <w:pPr>
        <w:pStyle w:val="Text1"/>
        <w:ind w:left="0"/>
        <w:rPr>
          <w:noProof/>
          <w:szCs w:val="24"/>
        </w:rPr>
      </w:pPr>
      <w:r>
        <w:rPr>
          <w:noProof/>
          <w:szCs w:val="24"/>
          <w:lang w:eastAsia="en-GB"/>
        </w:rPr>
        <w:drawing>
          <wp:inline distT="0" distB="0" distL="0" distR="0">
            <wp:extent cx="5472430" cy="205027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72430" cy="2050270"/>
                    </a:xfrm>
                    <a:prstGeom prst="rect">
                      <a:avLst/>
                    </a:prstGeom>
                  </pic:spPr>
                </pic:pic>
              </a:graphicData>
            </a:graphic>
          </wp:inline>
        </w:drawing>
      </w:r>
    </w:p>
    <w:p w:rsidR="0037666B" w:rsidRDefault="00C627B8">
      <w:pPr>
        <w:pStyle w:val="Text1"/>
        <w:ind w:left="0"/>
        <w:rPr>
          <w:i/>
          <w:noProof/>
          <w:sz w:val="18"/>
          <w:szCs w:val="18"/>
        </w:rPr>
      </w:pPr>
      <w:r>
        <w:rPr>
          <w:i/>
          <w:noProof/>
          <w:sz w:val="18"/>
          <w:szCs w:val="18"/>
        </w:rPr>
        <w:t>Source: WTO</w:t>
      </w:r>
      <w:r>
        <w:rPr>
          <w:rStyle w:val="FootnoteReference"/>
          <w:i/>
          <w:noProof/>
          <w:sz w:val="18"/>
          <w:szCs w:val="18"/>
        </w:rPr>
        <w:footnoteReference w:id="201"/>
      </w:r>
    </w:p>
    <w:p w:rsidR="0037666B" w:rsidRDefault="00C627B8">
      <w:pPr>
        <w:pStyle w:val="Text1"/>
        <w:ind w:left="0"/>
        <w:rPr>
          <w:noProof/>
          <w:szCs w:val="24"/>
        </w:rPr>
      </w:pPr>
      <w:r>
        <w:rPr>
          <w:noProof/>
          <w:szCs w:val="24"/>
        </w:rPr>
        <w:t>The TBT Agreement does not contain a specific reference to SDoC. However, Membe</w:t>
      </w:r>
      <w:r>
        <w:rPr>
          <w:noProof/>
          <w:szCs w:val="24"/>
        </w:rPr>
        <w:t>rs at the TBT Committee have recognized that SDoC is a trade-friendly approach to conformity assessment: it is a flexible approach that can reduce the costs of conformity assessment, since, while it may imply certain costs for administrations, in particula</w:t>
      </w:r>
      <w:r>
        <w:rPr>
          <w:noProof/>
          <w:szCs w:val="24"/>
        </w:rPr>
        <w:t>r higher costs for market surveillance, it can involve lower costs for industries and importers, resulting in cheaper products for consumers and possibly, in the long run, higher levels of competitiveness.</w:t>
      </w:r>
    </w:p>
    <w:p w:rsidR="0037666B" w:rsidRDefault="00C627B8">
      <w:pPr>
        <w:pStyle w:val="Text1"/>
        <w:ind w:left="0"/>
        <w:rPr>
          <w:noProof/>
          <w:szCs w:val="24"/>
        </w:rPr>
      </w:pPr>
      <w:r>
        <w:rPr>
          <w:noProof/>
          <w:szCs w:val="24"/>
        </w:rPr>
        <w:t>As a minimum, an SDoC shall identify ("Development</w:t>
      </w:r>
      <w:r>
        <w:rPr>
          <w:noProof/>
          <w:szCs w:val="24"/>
        </w:rPr>
        <w:t xml:space="preserve"> Manual 2: Conformity assessment", ISO, Second edition, 1998, page 47):</w:t>
      </w:r>
    </w:p>
    <w:p w:rsidR="0037666B" w:rsidRDefault="00C627B8">
      <w:pPr>
        <w:pStyle w:val="ListBullet1"/>
        <w:tabs>
          <w:tab w:val="clear" w:pos="765"/>
          <w:tab w:val="num" w:pos="567"/>
        </w:tabs>
        <w:ind w:left="567" w:hanging="567"/>
        <w:rPr>
          <w:noProof/>
          <w:szCs w:val="24"/>
        </w:rPr>
      </w:pPr>
      <w:r>
        <w:rPr>
          <w:noProof/>
          <w:szCs w:val="24"/>
        </w:rPr>
        <w:t>the supplier making the declaration;</w:t>
      </w:r>
    </w:p>
    <w:p w:rsidR="0037666B" w:rsidRDefault="00C627B8">
      <w:pPr>
        <w:pStyle w:val="ListBullet1"/>
        <w:tabs>
          <w:tab w:val="num" w:pos="567"/>
        </w:tabs>
        <w:ind w:left="567" w:hanging="567"/>
        <w:rPr>
          <w:noProof/>
          <w:szCs w:val="24"/>
        </w:rPr>
      </w:pPr>
      <w:r>
        <w:rPr>
          <w:noProof/>
          <w:szCs w:val="24"/>
        </w:rPr>
        <w:t>the product(s) covered; and</w:t>
      </w:r>
    </w:p>
    <w:p w:rsidR="0037666B" w:rsidRDefault="00C627B8">
      <w:pPr>
        <w:pStyle w:val="ListBullet1"/>
        <w:tabs>
          <w:tab w:val="num" w:pos="567"/>
        </w:tabs>
        <w:ind w:left="567" w:hanging="567"/>
        <w:rPr>
          <w:noProof/>
          <w:szCs w:val="24"/>
        </w:rPr>
      </w:pPr>
      <w:r>
        <w:rPr>
          <w:noProof/>
          <w:szCs w:val="24"/>
        </w:rPr>
        <w:t>the relevant standard(s) or technical regulation(s).</w:t>
      </w:r>
    </w:p>
    <w:p w:rsidR="0037666B" w:rsidRDefault="00C627B8">
      <w:pPr>
        <w:pStyle w:val="Text1"/>
        <w:ind w:left="0"/>
        <w:rPr>
          <w:noProof/>
          <w:szCs w:val="24"/>
        </w:rPr>
      </w:pPr>
      <w:r>
        <w:rPr>
          <w:noProof/>
          <w:szCs w:val="24"/>
        </w:rPr>
        <w:t>SDoC may be used to declare the conformity of a product with a sta</w:t>
      </w:r>
      <w:r>
        <w:rPr>
          <w:noProof/>
          <w:szCs w:val="24"/>
        </w:rPr>
        <w:t>ndard or a technical regulation, or with both. The declaration is usually a separate document. Alternatively, it may be made in a statement, catalogue, invoice, or users instructions relevant to the product.</w:t>
      </w:r>
    </w:p>
    <w:p w:rsidR="0037666B" w:rsidRDefault="00C627B8">
      <w:pPr>
        <w:pStyle w:val="Text1"/>
        <w:ind w:left="0"/>
        <w:rPr>
          <w:noProof/>
          <w:szCs w:val="24"/>
        </w:rPr>
      </w:pPr>
      <w:r>
        <w:rPr>
          <w:noProof/>
          <w:szCs w:val="24"/>
        </w:rPr>
        <w:t>The assessment of conformity may be undertaken e</w:t>
      </w:r>
      <w:r>
        <w:rPr>
          <w:noProof/>
          <w:szCs w:val="24"/>
        </w:rPr>
        <w:t>ither by the suppliers' own internal test and inspection facilities, or by third-party test laboratories and inspection bodies. In addition, the supplier may use an accredited laboratory or inspection body and indicate this on the declaration.</w:t>
      </w:r>
    </w:p>
    <w:p w:rsidR="0037666B" w:rsidRDefault="00C627B8">
      <w:pPr>
        <w:pStyle w:val="Text1"/>
        <w:ind w:left="0"/>
        <w:rPr>
          <w:noProof/>
          <w:szCs w:val="24"/>
        </w:rPr>
      </w:pPr>
      <w:r>
        <w:rPr>
          <w:noProof/>
          <w:szCs w:val="24"/>
        </w:rPr>
        <w:t>A regulatory</w:t>
      </w:r>
      <w:r>
        <w:rPr>
          <w:noProof/>
          <w:szCs w:val="24"/>
        </w:rPr>
        <w:t xml:space="preserve"> authority may impose by law that suppliers follow certain steps in the conformity assessment process, or include certain elements in the declaration, such as the use of the proper form, the preparation of a technical file about the product and its test re</w:t>
      </w:r>
      <w:r>
        <w:rPr>
          <w:noProof/>
          <w:szCs w:val="24"/>
        </w:rPr>
        <w:t>ports, the requirement of a follow-up, etc.</w:t>
      </w:r>
    </w:p>
    <w:p w:rsidR="0037666B" w:rsidRDefault="00C627B8">
      <w:pPr>
        <w:pStyle w:val="Text1"/>
        <w:ind w:left="0"/>
        <w:rPr>
          <w:noProof/>
          <w:szCs w:val="24"/>
        </w:rPr>
      </w:pPr>
      <w:r>
        <w:rPr>
          <w:noProof/>
          <w:szCs w:val="24"/>
        </w:rPr>
        <w:t>Finally, the following elements have been mentioned by Members in relation to the decision to use SDoC</w:t>
      </w:r>
      <w:r>
        <w:rPr>
          <w:rStyle w:val="FootnoteReference"/>
          <w:noProof/>
          <w:szCs w:val="24"/>
        </w:rPr>
        <w:footnoteReference w:id="202"/>
      </w:r>
      <w:r>
        <w:rPr>
          <w:noProof/>
          <w:szCs w:val="24"/>
        </w:rPr>
        <w:t>:</w:t>
      </w:r>
    </w:p>
    <w:p w:rsidR="0037666B" w:rsidRDefault="00C627B8">
      <w:pPr>
        <w:pStyle w:val="ListBullet1"/>
        <w:tabs>
          <w:tab w:val="clear" w:pos="765"/>
          <w:tab w:val="num" w:pos="567"/>
        </w:tabs>
        <w:ind w:left="567" w:hanging="567"/>
        <w:rPr>
          <w:noProof/>
          <w:szCs w:val="24"/>
        </w:rPr>
      </w:pPr>
      <w:r>
        <w:rPr>
          <w:noProof/>
          <w:szCs w:val="24"/>
        </w:rPr>
        <w:t xml:space="preserve">Product Coverage: SDoC is mostly used for products and sectors which involve a low or medium risk to </w:t>
      </w:r>
      <w:r>
        <w:rPr>
          <w:noProof/>
          <w:szCs w:val="24"/>
        </w:rPr>
        <w:t>health, safety and the environment. In addition to the risk, consideration of the characteristics and infrastructure of the given sector; number of existing voluntary marking schemes for the product; types of production methods used; level of commercial co</w:t>
      </w:r>
      <w:r>
        <w:rPr>
          <w:noProof/>
          <w:szCs w:val="24"/>
        </w:rPr>
        <w:t>nfidence; and other economic and social factors are used.</w:t>
      </w:r>
    </w:p>
    <w:p w:rsidR="0037666B" w:rsidRDefault="00C627B8">
      <w:pPr>
        <w:pStyle w:val="ListBullet1"/>
        <w:tabs>
          <w:tab w:val="clear" w:pos="765"/>
          <w:tab w:val="num" w:pos="567"/>
        </w:tabs>
        <w:ind w:left="567" w:hanging="567"/>
        <w:rPr>
          <w:noProof/>
          <w:szCs w:val="24"/>
        </w:rPr>
      </w:pPr>
      <w:r>
        <w:rPr>
          <w:noProof/>
          <w:szCs w:val="24"/>
        </w:rPr>
        <w:t>Liability Regime: When conformity assessment is based on SDoC, it is the supplier rather than the regulatory authority that is responsible for ensuring compliance with relevant technical regulations</w:t>
      </w:r>
      <w:r>
        <w:rPr>
          <w:noProof/>
          <w:szCs w:val="24"/>
        </w:rPr>
        <w:t>. SDoC as an approach has a better chance if a product's liability law is in place and ensures that anyone suffering injury from a defective product can claim damages from the supplier of the product at the importing country.</w:t>
      </w:r>
    </w:p>
    <w:p w:rsidR="0037666B" w:rsidRDefault="00C627B8">
      <w:pPr>
        <w:pStyle w:val="ListBullet1"/>
        <w:tabs>
          <w:tab w:val="clear" w:pos="765"/>
          <w:tab w:val="num" w:pos="567"/>
        </w:tabs>
        <w:ind w:left="567" w:hanging="567"/>
        <w:rPr>
          <w:noProof/>
          <w:szCs w:val="24"/>
        </w:rPr>
      </w:pPr>
      <w:r>
        <w:rPr>
          <w:noProof/>
          <w:szCs w:val="24"/>
        </w:rPr>
        <w:t>Market Surveillance: Market su</w:t>
      </w:r>
      <w:r>
        <w:rPr>
          <w:noProof/>
          <w:szCs w:val="24"/>
        </w:rPr>
        <w:t>rveillance consists of verifying in the market the current conformity of products with existing laws and regulations. The lesser the involvement by a third party during the conformity assessment process before a product is placed on the market, the greater</w:t>
      </w:r>
      <w:r>
        <w:rPr>
          <w:noProof/>
          <w:szCs w:val="24"/>
        </w:rPr>
        <w:t xml:space="preserve"> the need for efficient market surveillance (through product samples, remedial actions, penalties for false declarations, "spot checks", etc).</w:t>
      </w:r>
    </w:p>
    <w:p w:rsidR="0037666B" w:rsidRDefault="00C627B8">
      <w:pPr>
        <w:pStyle w:val="ListBullet1"/>
        <w:tabs>
          <w:tab w:val="clear" w:pos="765"/>
          <w:tab w:val="num" w:pos="567"/>
        </w:tabs>
        <w:ind w:left="567" w:hanging="567"/>
        <w:rPr>
          <w:noProof/>
          <w:szCs w:val="24"/>
        </w:rPr>
      </w:pPr>
      <w:r>
        <w:rPr>
          <w:noProof/>
          <w:szCs w:val="24"/>
        </w:rPr>
        <w:t>International Standards: the use of relevant international standards could help to make the SDoC process more tra</w:t>
      </w:r>
      <w:r>
        <w:rPr>
          <w:noProof/>
          <w:szCs w:val="24"/>
        </w:rPr>
        <w:t>nsparent, and support its value and usability. In this context, the ISO/IEC Guide 22 on "General criteria for SDoC" developed by the ISO Committee on Conformity Assessment (CASCO) in 1996 may be relevant (nowadays, ISO/IEC 17050 standard on "Conformity ass</w:t>
      </w:r>
      <w:r>
        <w:rPr>
          <w:noProof/>
          <w:szCs w:val="24"/>
        </w:rPr>
        <w:t>essment – SDoC").</w:t>
      </w:r>
    </w:p>
    <w:p w:rsidR="0037666B" w:rsidRDefault="00C627B8">
      <w:pPr>
        <w:pStyle w:val="ListBullet1"/>
        <w:tabs>
          <w:tab w:val="clear" w:pos="765"/>
          <w:tab w:val="num" w:pos="567"/>
        </w:tabs>
        <w:ind w:left="567" w:hanging="567"/>
        <w:rPr>
          <w:noProof/>
          <w:szCs w:val="24"/>
        </w:rPr>
      </w:pPr>
      <w:r>
        <w:rPr>
          <w:noProof/>
          <w:szCs w:val="24"/>
        </w:rPr>
        <w:t>Combination of SDoC with other Conformity Assessment Procedures: The use of test/inspection reports or certification results from third parties or in-house laboratories, accredited on the basis of relevant international standards, could f</w:t>
      </w:r>
      <w:r>
        <w:rPr>
          <w:noProof/>
          <w:szCs w:val="24"/>
        </w:rPr>
        <w:t>acilitate the use of SDoC. Members have hence suggested the possibility of combining SDoC with other approaches to conformity assessment, such as accreditation and certification.</w:t>
      </w:r>
    </w:p>
    <w:p w:rsidR="0037666B" w:rsidRDefault="00C627B8">
      <w:pPr>
        <w:pStyle w:val="Heading2"/>
        <w:rPr>
          <w:noProof/>
        </w:rPr>
      </w:pPr>
      <w:bookmarkStart w:id="183" w:name="_Toc483992797"/>
      <w:r>
        <w:rPr>
          <w:noProof/>
        </w:rPr>
        <w:t>International standard EN ISO/IEC 17050-1</w:t>
      </w:r>
      <w:bookmarkEnd w:id="183"/>
      <w:r>
        <w:rPr>
          <w:noProof/>
        </w:rPr>
        <w:t xml:space="preserve"> </w:t>
      </w:r>
    </w:p>
    <w:p w:rsidR="0037666B" w:rsidRDefault="00C627B8">
      <w:pPr>
        <w:pStyle w:val="Text1"/>
        <w:ind w:left="0"/>
        <w:rPr>
          <w:noProof/>
          <w:szCs w:val="24"/>
        </w:rPr>
      </w:pPr>
      <w:r>
        <w:rPr>
          <w:noProof/>
          <w:szCs w:val="24"/>
        </w:rPr>
        <w:t xml:space="preserve">The international standard </w:t>
      </w:r>
      <w:r>
        <w:rPr>
          <w:b/>
          <w:noProof/>
          <w:szCs w:val="24"/>
        </w:rPr>
        <w:t>EN ISO/</w:t>
      </w:r>
      <w:r>
        <w:rPr>
          <w:b/>
          <w:noProof/>
          <w:szCs w:val="24"/>
        </w:rPr>
        <w:t>IEC 17050-1</w:t>
      </w:r>
      <w:r>
        <w:rPr>
          <w:noProof/>
          <w:szCs w:val="24"/>
        </w:rPr>
        <w:t xml:space="preserve"> has been drawn up with the objective of providing the general criteria for the declaration of conformity, and it can also be used as a guidance document provided it is in line with the applicable Union harmonisation legislation. ISO/IEC 17050-1</w:t>
      </w:r>
      <w:r>
        <w:rPr>
          <w:noProof/>
          <w:szCs w:val="24"/>
        </w:rPr>
        <w:t>:2004 specifies general requirements for a supplier's declaration of conformity in cases where it is desirable, or necessary, that conformity of an object to the specified requirements be attested, irrespective of the sector involved. For the purposes of I</w:t>
      </w:r>
      <w:r>
        <w:rPr>
          <w:noProof/>
          <w:szCs w:val="24"/>
        </w:rPr>
        <w:t>SO/IEC 17050-1:2004, the object of a declaration of conformity can be a product, process, management system, person or body.</w:t>
      </w:r>
    </w:p>
    <w:p w:rsidR="0037666B" w:rsidRDefault="00C627B8">
      <w:pPr>
        <w:pStyle w:val="Text1"/>
        <w:ind w:left="0"/>
        <w:rPr>
          <w:noProof/>
          <w:szCs w:val="24"/>
        </w:rPr>
      </w:pPr>
      <w:r>
        <w:rPr>
          <w:noProof/>
          <w:szCs w:val="24"/>
        </w:rPr>
        <w:t xml:space="preserve">The international standard EN ISO/IEC 17050-1 addresses one of the three types of attestation of conformity, namely </w:t>
      </w:r>
      <w:r>
        <w:rPr>
          <w:b/>
          <w:noProof/>
          <w:szCs w:val="24"/>
        </w:rPr>
        <w:t>attestation und</w:t>
      </w:r>
      <w:r>
        <w:rPr>
          <w:b/>
          <w:noProof/>
          <w:szCs w:val="24"/>
        </w:rPr>
        <w:t>ertaken by the first party</w:t>
      </w:r>
      <w:r>
        <w:rPr>
          <w:noProof/>
          <w:szCs w:val="24"/>
        </w:rPr>
        <w:t xml:space="preserve"> (e.g. the supplier of a product). Other types are </w:t>
      </w:r>
      <w:r>
        <w:rPr>
          <w:b/>
          <w:noProof/>
          <w:szCs w:val="24"/>
        </w:rPr>
        <w:t>second-party attestation</w:t>
      </w:r>
      <w:r>
        <w:rPr>
          <w:noProof/>
          <w:szCs w:val="24"/>
        </w:rPr>
        <w:t xml:space="preserve"> (e.g. where a user issues an attestation for the product the user is using) or </w:t>
      </w:r>
      <w:r>
        <w:rPr>
          <w:b/>
          <w:noProof/>
          <w:szCs w:val="24"/>
        </w:rPr>
        <w:t>third-party attestation</w:t>
      </w:r>
      <w:r>
        <w:rPr>
          <w:noProof/>
          <w:szCs w:val="24"/>
        </w:rPr>
        <w:t>. Each of these three types is used in the market in</w:t>
      </w:r>
      <w:r>
        <w:rPr>
          <w:noProof/>
          <w:szCs w:val="24"/>
        </w:rPr>
        <w:t xml:space="preserve"> order to increase confidence in the conformity of an object. </w:t>
      </w:r>
    </w:p>
    <w:tbl>
      <w:tblPr>
        <w:tblStyle w:val="TableGrid"/>
        <w:tblW w:w="0" w:type="auto"/>
        <w:tblInd w:w="108" w:type="dxa"/>
        <w:tblLook w:val="04A0" w:firstRow="1" w:lastRow="0" w:firstColumn="1" w:lastColumn="0" w:noHBand="0" w:noVBand="1"/>
      </w:tblPr>
      <w:tblGrid>
        <w:gridCol w:w="2181"/>
        <w:gridCol w:w="2182"/>
        <w:gridCol w:w="2181"/>
        <w:gridCol w:w="2182"/>
      </w:tblGrid>
      <w:tr w:rsidR="0037666B">
        <w:tc>
          <w:tcPr>
            <w:tcW w:w="2181" w:type="dxa"/>
            <w:shd w:val="pct10" w:color="auto" w:fill="FFFFFF" w:themeFill="background1"/>
            <w:vAlign w:val="center"/>
          </w:tcPr>
          <w:p w:rsidR="0037666B" w:rsidRDefault="00C627B8">
            <w:pPr>
              <w:pStyle w:val="Text1"/>
              <w:ind w:left="0"/>
              <w:jc w:val="center"/>
              <w:rPr>
                <w:b/>
                <w:noProof/>
                <w:sz w:val="20"/>
              </w:rPr>
            </w:pPr>
            <w:r>
              <w:rPr>
                <w:b/>
                <w:noProof/>
                <w:sz w:val="20"/>
              </w:rPr>
              <w:t>Item</w:t>
            </w:r>
          </w:p>
        </w:tc>
        <w:tc>
          <w:tcPr>
            <w:tcW w:w="2182" w:type="dxa"/>
            <w:shd w:val="pct10" w:color="auto" w:fill="FFFFFF" w:themeFill="background1"/>
            <w:vAlign w:val="center"/>
          </w:tcPr>
          <w:p w:rsidR="0037666B" w:rsidRDefault="00C627B8">
            <w:pPr>
              <w:pStyle w:val="Text1"/>
              <w:ind w:left="67"/>
              <w:jc w:val="center"/>
              <w:rPr>
                <w:b/>
                <w:noProof/>
                <w:sz w:val="20"/>
              </w:rPr>
            </w:pPr>
            <w:r>
              <w:rPr>
                <w:b/>
                <w:noProof/>
                <w:sz w:val="20"/>
              </w:rPr>
              <w:t xml:space="preserve">First party </w:t>
            </w:r>
            <w:r>
              <w:rPr>
                <w:noProof/>
                <w:sz w:val="20"/>
              </w:rPr>
              <w:t>(also known as supplier’s declaration of conformity, or SDoC)</w:t>
            </w:r>
          </w:p>
        </w:tc>
        <w:tc>
          <w:tcPr>
            <w:tcW w:w="2181" w:type="dxa"/>
            <w:shd w:val="pct10" w:color="auto" w:fill="FFFFFF" w:themeFill="background1"/>
            <w:vAlign w:val="center"/>
          </w:tcPr>
          <w:p w:rsidR="0037666B" w:rsidRDefault="00C627B8">
            <w:pPr>
              <w:pStyle w:val="Text1"/>
              <w:ind w:left="0"/>
              <w:jc w:val="center"/>
              <w:rPr>
                <w:b/>
                <w:noProof/>
                <w:sz w:val="20"/>
              </w:rPr>
            </w:pPr>
            <w:r>
              <w:rPr>
                <w:b/>
                <w:noProof/>
                <w:sz w:val="20"/>
              </w:rPr>
              <w:t>Second Party</w:t>
            </w:r>
          </w:p>
        </w:tc>
        <w:tc>
          <w:tcPr>
            <w:tcW w:w="2182" w:type="dxa"/>
            <w:shd w:val="pct10" w:color="auto" w:fill="FFFFFF" w:themeFill="background1"/>
            <w:vAlign w:val="center"/>
          </w:tcPr>
          <w:p w:rsidR="0037666B" w:rsidRDefault="00C627B8">
            <w:pPr>
              <w:pStyle w:val="Text1"/>
              <w:ind w:left="0"/>
              <w:jc w:val="center"/>
              <w:rPr>
                <w:b/>
                <w:noProof/>
                <w:sz w:val="20"/>
              </w:rPr>
            </w:pPr>
            <w:r>
              <w:rPr>
                <w:b/>
                <w:noProof/>
                <w:sz w:val="20"/>
              </w:rPr>
              <w:t>Third Party</w:t>
            </w:r>
          </w:p>
        </w:tc>
      </w:tr>
      <w:tr w:rsidR="0037666B">
        <w:tc>
          <w:tcPr>
            <w:tcW w:w="2181" w:type="dxa"/>
            <w:vAlign w:val="center"/>
          </w:tcPr>
          <w:p w:rsidR="0037666B" w:rsidRDefault="00C627B8">
            <w:pPr>
              <w:pStyle w:val="Text1"/>
              <w:ind w:left="-2"/>
              <w:jc w:val="center"/>
              <w:rPr>
                <w:noProof/>
                <w:sz w:val="20"/>
              </w:rPr>
            </w:pPr>
            <w:r>
              <w:rPr>
                <w:noProof/>
                <w:sz w:val="20"/>
              </w:rPr>
              <w:t>Conformity</w:t>
            </w:r>
          </w:p>
          <w:p w:rsidR="0037666B" w:rsidRDefault="00C627B8">
            <w:pPr>
              <w:pStyle w:val="Text1"/>
              <w:ind w:left="-2"/>
              <w:jc w:val="center"/>
              <w:rPr>
                <w:noProof/>
                <w:sz w:val="20"/>
              </w:rPr>
            </w:pPr>
            <w:r>
              <w:rPr>
                <w:noProof/>
                <w:sz w:val="20"/>
              </w:rPr>
              <w:t>assessment</w:t>
            </w:r>
          </w:p>
          <w:p w:rsidR="0037666B" w:rsidRDefault="00C627B8">
            <w:pPr>
              <w:pStyle w:val="Text1"/>
              <w:ind w:left="-2"/>
              <w:jc w:val="center"/>
              <w:rPr>
                <w:noProof/>
                <w:sz w:val="20"/>
              </w:rPr>
            </w:pPr>
            <w:r>
              <w:rPr>
                <w:noProof/>
                <w:sz w:val="20"/>
              </w:rPr>
              <w:t>party</w:t>
            </w:r>
          </w:p>
        </w:tc>
        <w:tc>
          <w:tcPr>
            <w:tcW w:w="2182" w:type="dxa"/>
            <w:vAlign w:val="center"/>
          </w:tcPr>
          <w:p w:rsidR="0037666B" w:rsidRDefault="00C627B8">
            <w:pPr>
              <w:pStyle w:val="Text1"/>
              <w:ind w:left="0"/>
              <w:jc w:val="center"/>
              <w:rPr>
                <w:noProof/>
                <w:sz w:val="20"/>
              </w:rPr>
            </w:pPr>
            <w:r>
              <w:rPr>
                <w:noProof/>
                <w:sz w:val="20"/>
              </w:rPr>
              <w:t>Manufacturer, importer, or other</w:t>
            </w:r>
          </w:p>
          <w:p w:rsidR="0037666B" w:rsidRDefault="00C627B8">
            <w:pPr>
              <w:pStyle w:val="Text1"/>
              <w:ind w:left="0"/>
              <w:jc w:val="center"/>
              <w:rPr>
                <w:noProof/>
                <w:sz w:val="20"/>
              </w:rPr>
            </w:pPr>
            <w:r>
              <w:rPr>
                <w:noProof/>
                <w:sz w:val="20"/>
              </w:rPr>
              <w:t>supplier</w:t>
            </w:r>
          </w:p>
        </w:tc>
        <w:tc>
          <w:tcPr>
            <w:tcW w:w="2181" w:type="dxa"/>
            <w:vAlign w:val="center"/>
          </w:tcPr>
          <w:p w:rsidR="0037666B" w:rsidRDefault="00C627B8">
            <w:pPr>
              <w:pStyle w:val="Text1"/>
              <w:ind w:left="0"/>
              <w:jc w:val="center"/>
              <w:rPr>
                <w:noProof/>
                <w:sz w:val="20"/>
              </w:rPr>
            </w:pPr>
            <w:r>
              <w:rPr>
                <w:noProof/>
                <w:sz w:val="20"/>
              </w:rPr>
              <w:t>Customer</w:t>
            </w:r>
          </w:p>
        </w:tc>
        <w:tc>
          <w:tcPr>
            <w:tcW w:w="2182" w:type="dxa"/>
            <w:vAlign w:val="center"/>
          </w:tcPr>
          <w:p w:rsidR="0037666B" w:rsidRDefault="00C627B8">
            <w:pPr>
              <w:pStyle w:val="Text1"/>
              <w:ind w:left="0"/>
              <w:jc w:val="center"/>
              <w:rPr>
                <w:noProof/>
                <w:sz w:val="20"/>
              </w:rPr>
            </w:pPr>
            <w:r>
              <w:rPr>
                <w:noProof/>
                <w:sz w:val="20"/>
              </w:rPr>
              <w:t>Regulatory body or independent testing body</w:t>
            </w:r>
          </w:p>
        </w:tc>
      </w:tr>
      <w:tr w:rsidR="0037666B">
        <w:tc>
          <w:tcPr>
            <w:tcW w:w="2181" w:type="dxa"/>
            <w:vAlign w:val="center"/>
          </w:tcPr>
          <w:p w:rsidR="0037666B" w:rsidRDefault="00C627B8">
            <w:pPr>
              <w:pStyle w:val="Text1"/>
              <w:ind w:left="-2"/>
              <w:jc w:val="center"/>
              <w:rPr>
                <w:noProof/>
                <w:sz w:val="20"/>
              </w:rPr>
            </w:pPr>
            <w:r>
              <w:rPr>
                <w:noProof/>
                <w:sz w:val="20"/>
              </w:rPr>
              <w:t>Description</w:t>
            </w:r>
          </w:p>
        </w:tc>
        <w:tc>
          <w:tcPr>
            <w:tcW w:w="2182" w:type="dxa"/>
            <w:vAlign w:val="center"/>
          </w:tcPr>
          <w:p w:rsidR="0037666B" w:rsidRDefault="00C627B8">
            <w:pPr>
              <w:pStyle w:val="Text1"/>
              <w:ind w:left="28"/>
              <w:jc w:val="center"/>
              <w:rPr>
                <w:noProof/>
                <w:sz w:val="20"/>
              </w:rPr>
            </w:pPr>
            <w:r>
              <w:rPr>
                <w:noProof/>
                <w:sz w:val="20"/>
              </w:rPr>
              <w:t>Procedure by which the manufacturer, importer, or distributor provides written assurance of the conformity of its products to specified requirements</w:t>
            </w:r>
          </w:p>
        </w:tc>
        <w:tc>
          <w:tcPr>
            <w:tcW w:w="2181" w:type="dxa"/>
            <w:vAlign w:val="center"/>
          </w:tcPr>
          <w:p w:rsidR="0037666B" w:rsidRDefault="00C627B8">
            <w:pPr>
              <w:pStyle w:val="Text1"/>
              <w:ind w:left="28"/>
              <w:jc w:val="center"/>
              <w:rPr>
                <w:noProof/>
                <w:sz w:val="20"/>
              </w:rPr>
            </w:pPr>
            <w:r>
              <w:rPr>
                <w:noProof/>
                <w:sz w:val="20"/>
              </w:rPr>
              <w:t xml:space="preserve">Buyer requires and certifies that the products it </w:t>
            </w:r>
            <w:r>
              <w:rPr>
                <w:noProof/>
                <w:sz w:val="20"/>
              </w:rPr>
              <w:t>wishes to purchase from suppliers meet one or more standards.</w:t>
            </w:r>
          </w:p>
          <w:p w:rsidR="0037666B" w:rsidRDefault="00C627B8">
            <w:pPr>
              <w:pStyle w:val="Text1"/>
              <w:ind w:left="28"/>
              <w:jc w:val="center"/>
              <w:rPr>
                <w:noProof/>
                <w:sz w:val="20"/>
              </w:rPr>
            </w:pPr>
            <w:r>
              <w:rPr>
                <w:noProof/>
                <w:sz w:val="20"/>
              </w:rPr>
              <w:t>Purchaser’s own inspectors usually perform the assessment of the supplier’s products.</w:t>
            </w:r>
          </w:p>
        </w:tc>
        <w:tc>
          <w:tcPr>
            <w:tcW w:w="2182" w:type="dxa"/>
            <w:vAlign w:val="center"/>
          </w:tcPr>
          <w:p w:rsidR="0037666B" w:rsidRDefault="00C627B8">
            <w:pPr>
              <w:pStyle w:val="Text1"/>
              <w:ind w:left="28"/>
              <w:jc w:val="center"/>
              <w:rPr>
                <w:noProof/>
                <w:sz w:val="20"/>
              </w:rPr>
            </w:pPr>
            <w:r>
              <w:rPr>
                <w:noProof/>
                <w:sz w:val="20"/>
              </w:rPr>
              <w:t xml:space="preserve">Conformity assessment by technically competent body not under control of either buyer or seller. Assessment </w:t>
            </w:r>
            <w:r>
              <w:rPr>
                <w:noProof/>
                <w:sz w:val="20"/>
              </w:rPr>
              <w:t>undertaken in government laboratories or by accredited third-party bodies.</w:t>
            </w:r>
          </w:p>
        </w:tc>
      </w:tr>
    </w:tbl>
    <w:p w:rsidR="0037666B" w:rsidRDefault="00C627B8">
      <w:pPr>
        <w:pStyle w:val="Text1"/>
        <w:spacing w:before="240"/>
        <w:ind w:left="0"/>
        <w:rPr>
          <w:noProof/>
          <w:szCs w:val="24"/>
        </w:rPr>
      </w:pPr>
      <w:r>
        <w:rPr>
          <w:noProof/>
          <w:szCs w:val="24"/>
        </w:rPr>
        <w:t>This part of ISO/IEC 17050 specifies requirements applicable when the individual or organization responsible for fulfilment of specified requirements (supplier) provides a declarat</w:t>
      </w:r>
      <w:r>
        <w:rPr>
          <w:noProof/>
          <w:szCs w:val="24"/>
        </w:rPr>
        <w:t>ion that a product (including service), process, management system, person or body is in conformity with specified requirements, which can include normative documents such as standards, guides, technical specifications, laws and regulations. Such a declara</w:t>
      </w:r>
      <w:r>
        <w:rPr>
          <w:noProof/>
          <w:szCs w:val="24"/>
        </w:rPr>
        <w:t>tion of conformity can also make reference to the results of assessments by one or more first, second or third parties. Such references are not to be interpreted as reducing the responsibility of the supplier in any way. These general requirements are appl</w:t>
      </w:r>
      <w:r>
        <w:rPr>
          <w:noProof/>
          <w:szCs w:val="24"/>
        </w:rPr>
        <w:t>icable to all sectors. However, these requirements might need to be supplemented for specific purposes, for example for use in connection with regulations.</w:t>
      </w:r>
    </w:p>
    <w:p w:rsidR="0037666B" w:rsidRDefault="00C627B8">
      <w:pPr>
        <w:pStyle w:val="Text1"/>
        <w:ind w:left="0"/>
        <w:rPr>
          <w:noProof/>
          <w:szCs w:val="24"/>
        </w:rPr>
      </w:pPr>
      <w:r>
        <w:rPr>
          <w:noProof/>
          <w:szCs w:val="24"/>
        </w:rPr>
        <w:t>The standard specifies that the content of a supplier’s declaration of conformity should contain the</w:t>
      </w:r>
      <w:r>
        <w:rPr>
          <w:noProof/>
          <w:szCs w:val="24"/>
        </w:rPr>
        <w:t xml:space="preserve"> following as a minimum:</w:t>
      </w:r>
    </w:p>
    <w:p w:rsidR="0037666B" w:rsidRDefault="00C627B8">
      <w:pPr>
        <w:pStyle w:val="ListBullet1"/>
        <w:tabs>
          <w:tab w:val="clear" w:pos="765"/>
        </w:tabs>
        <w:ind w:left="567" w:hanging="567"/>
        <w:rPr>
          <w:noProof/>
          <w:szCs w:val="24"/>
        </w:rPr>
      </w:pPr>
      <w:r>
        <w:rPr>
          <w:noProof/>
          <w:szCs w:val="24"/>
        </w:rPr>
        <w:t>unique identification;</w:t>
      </w:r>
    </w:p>
    <w:p w:rsidR="0037666B" w:rsidRDefault="00C627B8">
      <w:pPr>
        <w:pStyle w:val="ListBullet1"/>
        <w:ind w:left="567" w:hanging="567"/>
        <w:rPr>
          <w:noProof/>
          <w:szCs w:val="24"/>
        </w:rPr>
      </w:pPr>
      <w:r>
        <w:rPr>
          <w:noProof/>
          <w:szCs w:val="24"/>
        </w:rPr>
        <w:t>name, contact address and signature of the issuer;</w:t>
      </w:r>
    </w:p>
    <w:p w:rsidR="0037666B" w:rsidRDefault="00C627B8">
      <w:pPr>
        <w:pStyle w:val="ListBullet1"/>
        <w:ind w:left="567" w:hanging="567"/>
        <w:rPr>
          <w:noProof/>
          <w:szCs w:val="24"/>
        </w:rPr>
      </w:pPr>
      <w:r>
        <w:rPr>
          <w:noProof/>
          <w:szCs w:val="24"/>
        </w:rPr>
        <w:t>an identification of what the declaration covers (for example, product description, type and extent of management system);</w:t>
      </w:r>
    </w:p>
    <w:p w:rsidR="0037666B" w:rsidRDefault="00C627B8">
      <w:pPr>
        <w:pStyle w:val="ListBullet1"/>
        <w:ind w:left="567" w:hanging="567"/>
        <w:rPr>
          <w:noProof/>
          <w:szCs w:val="24"/>
        </w:rPr>
      </w:pPr>
      <w:r>
        <w:rPr>
          <w:noProof/>
          <w:szCs w:val="24"/>
        </w:rPr>
        <w:t xml:space="preserve">the complete list of specified </w:t>
      </w:r>
      <w:r>
        <w:rPr>
          <w:noProof/>
          <w:szCs w:val="24"/>
        </w:rPr>
        <w:t>requirements, including standards, that the declaration is based on;</w:t>
      </w:r>
    </w:p>
    <w:p w:rsidR="0037666B" w:rsidRDefault="00C627B8">
      <w:pPr>
        <w:pStyle w:val="ListBullet1"/>
        <w:ind w:left="567" w:hanging="567"/>
        <w:rPr>
          <w:noProof/>
          <w:szCs w:val="24"/>
        </w:rPr>
      </w:pPr>
      <w:r>
        <w:rPr>
          <w:noProof/>
          <w:szCs w:val="24"/>
        </w:rPr>
        <w:t>date and place of issue;</w:t>
      </w:r>
    </w:p>
    <w:p w:rsidR="0037666B" w:rsidRDefault="00C627B8">
      <w:pPr>
        <w:pStyle w:val="ListBullet1"/>
        <w:ind w:left="567" w:hanging="567"/>
        <w:rPr>
          <w:noProof/>
          <w:szCs w:val="24"/>
        </w:rPr>
      </w:pPr>
      <w:r>
        <w:rPr>
          <w:noProof/>
          <w:szCs w:val="24"/>
        </w:rPr>
        <w:t>any limitation related to the validity of the declaration.</w:t>
      </w:r>
    </w:p>
    <w:p w:rsidR="0037666B" w:rsidRDefault="00C627B8">
      <w:pPr>
        <w:pStyle w:val="Heading2"/>
        <w:rPr>
          <w:noProof/>
        </w:rPr>
      </w:pPr>
      <w:bookmarkStart w:id="184" w:name="_Toc483992798"/>
      <w:r>
        <w:rPr>
          <w:noProof/>
        </w:rPr>
        <w:t>U.S. International Trade Commission</w:t>
      </w:r>
      <w:bookmarkEnd w:id="184"/>
    </w:p>
    <w:p w:rsidR="0037666B" w:rsidRDefault="00C627B8">
      <w:pPr>
        <w:pStyle w:val="Text2"/>
        <w:ind w:left="0"/>
        <w:rPr>
          <w:noProof/>
          <w:szCs w:val="24"/>
        </w:rPr>
      </w:pPr>
      <w:r>
        <w:rPr>
          <w:noProof/>
          <w:szCs w:val="24"/>
        </w:rPr>
        <w:t>The Office of Industries of the U.S. International Trade Commission</w:t>
      </w:r>
      <w:r>
        <w:rPr>
          <w:noProof/>
          <w:szCs w:val="24"/>
        </w:rPr>
        <w:t xml:space="preserve"> (USITC) analysed how conformity assessment measures impede trade and raise costs in specific industries and examines different approaches for addressing them. It looked at the impact of conformity assessment barriers on exporters. The paper discussed the </w:t>
      </w:r>
      <w:r>
        <w:rPr>
          <w:noProof/>
          <w:szCs w:val="24"/>
        </w:rPr>
        <w:t>relative advantages and disadvantages of several alternatives for reducing the impact of conformity assessment barriers to trade: mutual recognition agreements (MRAs) among trading partners, unilateral recognition by a country of another country's conformi</w:t>
      </w:r>
      <w:r>
        <w:rPr>
          <w:noProof/>
          <w:szCs w:val="24"/>
        </w:rPr>
        <w:t>ty assessment results, and increased acceptance of a supplier's declaration of conformity (SDoC). It found that when conformity assessment is mandatory, companies often favour SDoC over third-party conformity assessment as it provides them with greater fle</w:t>
      </w:r>
      <w:r>
        <w:rPr>
          <w:noProof/>
          <w:szCs w:val="24"/>
        </w:rPr>
        <w:t>xibility, non-discriminatory treatment, and lower costs when entering overseas markets. The challenge for supporters of SDoC is convincing the regulatory authorities that it will not compromise regulators' obligations for reducing risks to human and animal</w:t>
      </w:r>
      <w:r>
        <w:rPr>
          <w:noProof/>
          <w:szCs w:val="24"/>
        </w:rPr>
        <w:t xml:space="preserve"> health and safety, or to the environment</w:t>
      </w:r>
      <w:r>
        <w:rPr>
          <w:rStyle w:val="FootnoteReference"/>
          <w:noProof/>
          <w:szCs w:val="24"/>
        </w:rPr>
        <w:footnoteReference w:id="203"/>
      </w:r>
      <w:r>
        <w:rPr>
          <w:noProof/>
          <w:szCs w:val="24"/>
        </w:rPr>
        <w:t>.</w:t>
      </w:r>
    </w:p>
    <w:p w:rsidR="0037666B" w:rsidRDefault="00C627B8">
      <w:pPr>
        <w:pStyle w:val="Heading2"/>
        <w:rPr>
          <w:noProof/>
        </w:rPr>
      </w:pPr>
      <w:bookmarkStart w:id="185" w:name="_Toc483992799"/>
      <w:r>
        <w:rPr>
          <w:noProof/>
        </w:rPr>
        <w:t>The Use of Supplier’s Declaration of Conformity in the U.S.</w:t>
      </w:r>
      <w:bookmarkEnd w:id="185"/>
      <w:r>
        <w:rPr>
          <w:noProof/>
        </w:rPr>
        <w:t xml:space="preserve"> </w:t>
      </w:r>
    </w:p>
    <w:p w:rsidR="0037666B" w:rsidRDefault="00C627B8">
      <w:pPr>
        <w:pStyle w:val="Text2"/>
        <w:ind w:left="0"/>
        <w:rPr>
          <w:noProof/>
          <w:szCs w:val="24"/>
        </w:rPr>
      </w:pPr>
      <w:r>
        <w:rPr>
          <w:noProof/>
          <w:szCs w:val="24"/>
        </w:rPr>
        <w:t>In the United States, some regulatory agencies promote the use of SDOC for certain, but not all, equipment. For example, the U.S. Federal Communication</w:t>
      </w:r>
      <w:r>
        <w:rPr>
          <w:noProof/>
          <w:szCs w:val="24"/>
        </w:rPr>
        <w:t>s Commission (FCC) has adopted a rule that permits recognition of Supplier’s Declaration of Conformity (SDOC; also sometimes called Self Declaration of Conformity) for certain digital devices. For other equipment, such as personal computers and attachments</w:t>
      </w:r>
      <w:r>
        <w:rPr>
          <w:noProof/>
          <w:szCs w:val="24"/>
        </w:rPr>
        <w:t xml:space="preserve"> thereto, the FCC allows the equipment declared compliant by the supplier, under a process called Declaration of Conformity, provided supporting test results are obtained from an accredited laboratory. </w:t>
      </w:r>
    </w:p>
    <w:p w:rsidR="0037666B" w:rsidRDefault="00C627B8">
      <w:pPr>
        <w:pStyle w:val="Text2"/>
        <w:ind w:left="0"/>
        <w:rPr>
          <w:noProof/>
          <w:szCs w:val="24"/>
        </w:rPr>
      </w:pPr>
      <w:r>
        <w:rPr>
          <w:noProof/>
          <w:szCs w:val="24"/>
        </w:rPr>
        <w:t>Other U.S. regulatory agencies rely upon SDOC for tec</w:t>
      </w:r>
      <w:r>
        <w:rPr>
          <w:noProof/>
          <w:szCs w:val="24"/>
        </w:rPr>
        <w:t>hnical regulations. The U.S. Department of Transportation, for example, accepts SDOC from manufacturers or importers of motor vehicles and motor vehicle equipment. Under U.S. law, manufacturers are required to certify that their products comply with all ap</w:t>
      </w:r>
      <w:r>
        <w:rPr>
          <w:noProof/>
          <w:szCs w:val="24"/>
        </w:rPr>
        <w:t>plicable Federal Motor Vehicle Safety Standards (FMVSS). This certification is in the form of a permanent label affixed to the product. This label is required for all vehicles and equipment covered by the FMVSS, and must be present if a vehicle or equipmen</w:t>
      </w:r>
      <w:r>
        <w:rPr>
          <w:noProof/>
          <w:szCs w:val="24"/>
        </w:rPr>
        <w:t>t covered by the FMVSS is to enter the United States. A manufacturer outside the United States who offers its product for importation into the U.S. must submit itself to the jurisdiction of Federal courts in the US by designating an agent in the United Sta</w:t>
      </w:r>
      <w:r>
        <w:rPr>
          <w:noProof/>
          <w:szCs w:val="24"/>
        </w:rPr>
        <w:t>tes who will receive legal papers on behalf of the manufacturer</w:t>
      </w:r>
      <w:r>
        <w:rPr>
          <w:rStyle w:val="FootnoteReference"/>
          <w:noProof/>
          <w:szCs w:val="24"/>
        </w:rPr>
        <w:footnoteReference w:id="204"/>
      </w:r>
      <w:r>
        <w:rPr>
          <w:noProof/>
          <w:szCs w:val="24"/>
        </w:rPr>
        <w:t xml:space="preserve">. </w:t>
      </w:r>
    </w:p>
    <w:p w:rsidR="0037666B" w:rsidRDefault="00C627B8">
      <w:pPr>
        <w:pStyle w:val="Heading2"/>
        <w:rPr>
          <w:noProof/>
        </w:rPr>
      </w:pPr>
      <w:bookmarkStart w:id="186" w:name="_Toc483992800"/>
      <w:r>
        <w:rPr>
          <w:noProof/>
        </w:rPr>
        <w:t>Case study: Australia</w:t>
      </w:r>
      <w:r>
        <w:rPr>
          <w:rStyle w:val="FootnoteReference"/>
          <w:noProof/>
        </w:rPr>
        <w:footnoteReference w:id="205"/>
      </w:r>
      <w:bookmarkEnd w:id="186"/>
    </w:p>
    <w:p w:rsidR="0037666B" w:rsidRDefault="00C627B8">
      <w:pPr>
        <w:pStyle w:val="Heading3"/>
        <w:rPr>
          <w:noProof/>
        </w:rPr>
      </w:pPr>
      <w:bookmarkStart w:id="187" w:name="_Toc483992801"/>
      <w:r>
        <w:rPr>
          <w:noProof/>
        </w:rPr>
        <w:t>Introduction</w:t>
      </w:r>
      <w:bookmarkEnd w:id="187"/>
    </w:p>
    <w:p w:rsidR="0037666B" w:rsidRDefault="00C627B8">
      <w:pPr>
        <w:pStyle w:val="Text2"/>
        <w:ind w:left="0"/>
        <w:rPr>
          <w:noProof/>
          <w:szCs w:val="24"/>
        </w:rPr>
      </w:pPr>
      <w:r>
        <w:rPr>
          <w:noProof/>
          <w:szCs w:val="24"/>
        </w:rPr>
        <w:t>In recent years regulation in Australia has been subject to significant scrutiny to determine its impact both in terms of effectiveness and the underlyin</w:t>
      </w:r>
      <w:r>
        <w:rPr>
          <w:noProof/>
          <w:szCs w:val="24"/>
        </w:rPr>
        <w:t xml:space="preserve">g costs to industry, government and consumers.  The high profile of the European Union in developing a Declaration based approach as part of its overall efforts to create a single market has dominated thinking in terms of product compliance.  </w:t>
      </w:r>
    </w:p>
    <w:p w:rsidR="0037666B" w:rsidRDefault="00C627B8">
      <w:pPr>
        <w:pStyle w:val="Text2"/>
        <w:ind w:left="0"/>
        <w:rPr>
          <w:noProof/>
          <w:szCs w:val="24"/>
        </w:rPr>
      </w:pPr>
      <w:r>
        <w:rPr>
          <w:noProof/>
          <w:szCs w:val="24"/>
        </w:rPr>
        <w:t>Recent regul</w:t>
      </w:r>
      <w:r>
        <w:rPr>
          <w:noProof/>
          <w:szCs w:val="24"/>
        </w:rPr>
        <w:t>atory and legislative changes have seen the introduction of the Supplier’s Declaration in place of approval processes for telecommunications and radio communications.   The introduction of electromagnetic compatibility (EMC) regulation was supported by ind</w:t>
      </w:r>
      <w:r>
        <w:rPr>
          <w:noProof/>
          <w:szCs w:val="24"/>
        </w:rPr>
        <w:t>ustry on the basis that it was to be a minimum impact compliance system based on the SDoC.</w:t>
      </w:r>
    </w:p>
    <w:p w:rsidR="0037666B" w:rsidRDefault="00C627B8">
      <w:pPr>
        <w:pStyle w:val="Text2"/>
        <w:ind w:left="0"/>
        <w:rPr>
          <w:noProof/>
          <w:szCs w:val="24"/>
        </w:rPr>
      </w:pPr>
      <w:r>
        <w:rPr>
          <w:noProof/>
          <w:szCs w:val="24"/>
        </w:rPr>
        <w:t xml:space="preserve">The information technology and communications sector has been at the forefront of supporting regulatory agencies in the development of SDoC based compliance regimes </w:t>
      </w:r>
      <w:r>
        <w:rPr>
          <w:noProof/>
          <w:szCs w:val="24"/>
        </w:rPr>
        <w:t xml:space="preserve">because of its urgent need to have compliance requirements that are consistent with short product cycles and rapid technology development. </w:t>
      </w:r>
    </w:p>
    <w:p w:rsidR="0037666B" w:rsidRDefault="00C627B8">
      <w:pPr>
        <w:pStyle w:val="Text2"/>
        <w:ind w:left="0"/>
        <w:rPr>
          <w:noProof/>
          <w:szCs w:val="24"/>
        </w:rPr>
      </w:pPr>
      <w:r>
        <w:rPr>
          <w:noProof/>
          <w:szCs w:val="24"/>
        </w:rPr>
        <w:t>The use of SDoC currently has a limited application in the area of electrical safety in Australia but was considered</w:t>
      </w:r>
      <w:r>
        <w:rPr>
          <w:noProof/>
          <w:szCs w:val="24"/>
        </w:rPr>
        <w:t xml:space="preserve"> further in the context of the development of a compliance regime based on a definition of ‘essential safety’ requirements and the means for demonstrating compliance with those requirements.  </w:t>
      </w:r>
    </w:p>
    <w:p w:rsidR="0037666B" w:rsidRDefault="00C627B8">
      <w:pPr>
        <w:pStyle w:val="Heading3"/>
        <w:rPr>
          <w:noProof/>
        </w:rPr>
      </w:pPr>
      <w:bookmarkStart w:id="188" w:name="_Toc483992802"/>
      <w:r>
        <w:rPr>
          <w:noProof/>
        </w:rPr>
        <w:t>Supplier’s Declaration: an Assessment</w:t>
      </w:r>
      <w:bookmarkEnd w:id="188"/>
    </w:p>
    <w:p w:rsidR="0037666B" w:rsidRDefault="00C627B8">
      <w:pPr>
        <w:pStyle w:val="Text2"/>
        <w:ind w:left="0"/>
        <w:rPr>
          <w:noProof/>
          <w:szCs w:val="24"/>
        </w:rPr>
      </w:pPr>
      <w:r>
        <w:rPr>
          <w:noProof/>
          <w:szCs w:val="24"/>
        </w:rPr>
        <w:t>Since the introduction of</w:t>
      </w:r>
      <w:r>
        <w:rPr>
          <w:noProof/>
          <w:szCs w:val="24"/>
        </w:rPr>
        <w:t xml:space="preserve"> SDoC, regulators and industry have learnt a great deal about the nature of the changes that this type of regulatory system brings and the preconditions for its successful use, particularly from the point of view of the small economy. </w:t>
      </w:r>
    </w:p>
    <w:p w:rsidR="0037666B" w:rsidRDefault="00C627B8">
      <w:pPr>
        <w:pStyle w:val="Text2"/>
        <w:ind w:left="0"/>
        <w:rPr>
          <w:noProof/>
          <w:szCs w:val="24"/>
        </w:rPr>
      </w:pPr>
      <w:r>
        <w:rPr>
          <w:noProof/>
          <w:szCs w:val="24"/>
        </w:rPr>
        <w:t xml:space="preserve">Overall the SDoC is </w:t>
      </w:r>
      <w:r>
        <w:rPr>
          <w:noProof/>
          <w:szCs w:val="24"/>
        </w:rPr>
        <w:t xml:space="preserve">strongly supported by industry in Australia as a system of regulation which is: </w:t>
      </w:r>
    </w:p>
    <w:p w:rsidR="0037666B" w:rsidRDefault="00C627B8">
      <w:pPr>
        <w:pStyle w:val="ListBullet2"/>
        <w:tabs>
          <w:tab w:val="clear" w:pos="1485"/>
          <w:tab w:val="num" w:pos="765"/>
        </w:tabs>
        <w:ind w:left="567" w:hanging="567"/>
        <w:rPr>
          <w:noProof/>
          <w:szCs w:val="24"/>
        </w:rPr>
      </w:pPr>
      <w:r>
        <w:rPr>
          <w:noProof/>
          <w:szCs w:val="24"/>
        </w:rPr>
        <w:t>consistent with the needs of competitive industry</w:t>
      </w:r>
    </w:p>
    <w:p w:rsidR="0037666B" w:rsidRDefault="00C627B8">
      <w:pPr>
        <w:pStyle w:val="ListBullet2"/>
        <w:ind w:left="567" w:hanging="567"/>
        <w:rPr>
          <w:noProof/>
          <w:szCs w:val="24"/>
        </w:rPr>
      </w:pPr>
      <w:r>
        <w:rPr>
          <w:noProof/>
          <w:szCs w:val="24"/>
        </w:rPr>
        <w:t>compatible with the direction of technology development; and importantly</w:t>
      </w:r>
    </w:p>
    <w:p w:rsidR="0037666B" w:rsidRDefault="00C627B8">
      <w:pPr>
        <w:pStyle w:val="ListBullet2"/>
        <w:ind w:left="567" w:hanging="567"/>
        <w:rPr>
          <w:noProof/>
          <w:szCs w:val="24"/>
        </w:rPr>
      </w:pPr>
      <w:r>
        <w:rPr>
          <w:noProof/>
          <w:szCs w:val="24"/>
        </w:rPr>
        <w:t>able to meet public objectives as expressed in legit</w:t>
      </w:r>
      <w:r>
        <w:rPr>
          <w:noProof/>
          <w:szCs w:val="24"/>
        </w:rPr>
        <w:t>imate regulatory outcomes</w:t>
      </w:r>
    </w:p>
    <w:p w:rsidR="0037666B" w:rsidRDefault="00C627B8">
      <w:pPr>
        <w:pStyle w:val="Text2"/>
        <w:ind w:left="0"/>
        <w:rPr>
          <w:noProof/>
          <w:szCs w:val="24"/>
        </w:rPr>
      </w:pPr>
      <w:r>
        <w:rPr>
          <w:noProof/>
          <w:szCs w:val="24"/>
        </w:rPr>
        <w:t xml:space="preserve">The advantages that it offers are broadly: </w:t>
      </w:r>
    </w:p>
    <w:p w:rsidR="0037666B" w:rsidRDefault="00C627B8">
      <w:pPr>
        <w:pStyle w:val="ListBullet2"/>
        <w:ind w:left="567" w:hanging="567"/>
        <w:rPr>
          <w:noProof/>
          <w:szCs w:val="24"/>
        </w:rPr>
      </w:pPr>
      <w:r>
        <w:rPr>
          <w:noProof/>
          <w:szCs w:val="24"/>
        </w:rPr>
        <w:t>Lower Cost: direct costs associated with pre-market regulatory requirements are removed.  There is much greater scope for the supplier to manage compliance costs.</w:t>
      </w:r>
    </w:p>
    <w:p w:rsidR="0037666B" w:rsidRDefault="00C627B8">
      <w:pPr>
        <w:pStyle w:val="ListBullet2"/>
        <w:ind w:left="567" w:hanging="567"/>
        <w:rPr>
          <w:noProof/>
          <w:szCs w:val="24"/>
        </w:rPr>
      </w:pPr>
      <w:r>
        <w:rPr>
          <w:noProof/>
          <w:szCs w:val="24"/>
        </w:rPr>
        <w:t>Manufacturer controls t</w:t>
      </w:r>
      <w:r>
        <w:rPr>
          <w:noProof/>
          <w:szCs w:val="24"/>
        </w:rPr>
        <w:t>ime and access to market: with product lifecycles getting shorter, this is the most significant benefit of SDoC.   Pre-market approvals could take up to 90 days in some areas.</w:t>
      </w:r>
    </w:p>
    <w:p w:rsidR="0037666B" w:rsidRDefault="00C627B8">
      <w:pPr>
        <w:pStyle w:val="ListBullet2"/>
        <w:ind w:left="567" w:hanging="567"/>
        <w:rPr>
          <w:noProof/>
          <w:szCs w:val="24"/>
        </w:rPr>
      </w:pPr>
      <w:r>
        <w:rPr>
          <w:noProof/>
          <w:szCs w:val="24"/>
        </w:rPr>
        <w:t>Design changes easier to effect: SDoC offers a stimulus to product range develop</w:t>
      </w:r>
      <w:r>
        <w:rPr>
          <w:noProof/>
          <w:szCs w:val="24"/>
        </w:rPr>
        <w:t>ment and innovation by eliminating requirements to re-submit design changes and variants for regulatory approval.  Manufacturers are able to declare ranges of products and new features.  Importers and those with less technical skill can utilise technical s</w:t>
      </w:r>
      <w:r>
        <w:rPr>
          <w:noProof/>
          <w:szCs w:val="24"/>
        </w:rPr>
        <w:t xml:space="preserve">ervices of certification/inspection bodies and testing laboratories to develop an assessment plan. </w:t>
      </w:r>
    </w:p>
    <w:p w:rsidR="0037666B" w:rsidRDefault="00C627B8">
      <w:pPr>
        <w:pStyle w:val="ListBullet2"/>
        <w:ind w:left="567" w:hanging="567"/>
        <w:rPr>
          <w:noProof/>
          <w:szCs w:val="24"/>
        </w:rPr>
      </w:pPr>
      <w:r>
        <w:rPr>
          <w:noProof/>
          <w:szCs w:val="24"/>
        </w:rPr>
        <w:t>Flexibility over choice of suppliers of components and materials: Responsibility for compliance is focussed on the compliance of the end product.   The perf</w:t>
      </w:r>
      <w:r>
        <w:rPr>
          <w:noProof/>
          <w:szCs w:val="24"/>
        </w:rPr>
        <w:t>ormance of components and materials is to some extent not critical, provided the product represents a total solution.</w:t>
      </w:r>
    </w:p>
    <w:p w:rsidR="0037666B" w:rsidRDefault="00C627B8">
      <w:pPr>
        <w:pStyle w:val="ListBullet2"/>
        <w:ind w:left="567" w:hanging="567"/>
        <w:rPr>
          <w:noProof/>
          <w:szCs w:val="24"/>
        </w:rPr>
      </w:pPr>
      <w:r>
        <w:rPr>
          <w:noProof/>
          <w:szCs w:val="24"/>
        </w:rPr>
        <w:t>Permits an innovative approach to testing and assessment: Greater flexibility in use of testing and assessment services has emerged.  Also</w:t>
      </w:r>
      <w:r>
        <w:rPr>
          <w:noProof/>
          <w:szCs w:val="24"/>
        </w:rPr>
        <w:t>, compliance documentation can be upgraded as products are enhanced.</w:t>
      </w:r>
    </w:p>
    <w:p w:rsidR="0037666B" w:rsidRDefault="00C627B8">
      <w:pPr>
        <w:pStyle w:val="Text2"/>
        <w:ind w:left="0"/>
        <w:rPr>
          <w:noProof/>
          <w:szCs w:val="24"/>
        </w:rPr>
      </w:pPr>
      <w:r>
        <w:rPr>
          <w:noProof/>
          <w:szCs w:val="24"/>
        </w:rPr>
        <w:t xml:space="preserve">In an environment of growing competition and accelerating technology development the advantages that supplier’s declaration offers as a regulatory mechanism are significant.   However, </w:t>
      </w:r>
      <w:r>
        <w:rPr>
          <w:noProof/>
          <w:szCs w:val="24"/>
        </w:rPr>
        <w:t>the SDoC is not a ‘set and forget’ solution.  Nor is it de-regulation.  It involves serious commitment on the part of suppliers and regulators to ensure that it does not:</w:t>
      </w:r>
    </w:p>
    <w:p w:rsidR="0037666B" w:rsidRDefault="00C627B8">
      <w:pPr>
        <w:pStyle w:val="ListBullet2"/>
        <w:ind w:left="567" w:hanging="567"/>
        <w:rPr>
          <w:noProof/>
          <w:szCs w:val="24"/>
        </w:rPr>
      </w:pPr>
      <w:r>
        <w:rPr>
          <w:noProof/>
          <w:szCs w:val="24"/>
        </w:rPr>
        <w:t>introduce imbalances between suppliers, or</w:t>
      </w:r>
    </w:p>
    <w:p w:rsidR="0037666B" w:rsidRDefault="00C627B8">
      <w:pPr>
        <w:pStyle w:val="ListBullet2"/>
        <w:ind w:left="567" w:hanging="567"/>
        <w:rPr>
          <w:noProof/>
          <w:szCs w:val="24"/>
        </w:rPr>
      </w:pPr>
      <w:r>
        <w:rPr>
          <w:noProof/>
          <w:szCs w:val="24"/>
        </w:rPr>
        <w:t>compromise legitimate end user protections</w:t>
      </w:r>
      <w:r>
        <w:rPr>
          <w:noProof/>
          <w:szCs w:val="24"/>
        </w:rPr>
        <w:t>.</w:t>
      </w:r>
    </w:p>
    <w:p w:rsidR="0037666B" w:rsidRDefault="00C627B8">
      <w:pPr>
        <w:pStyle w:val="Text2"/>
        <w:ind w:left="0"/>
        <w:rPr>
          <w:noProof/>
          <w:szCs w:val="24"/>
        </w:rPr>
      </w:pPr>
      <w:r>
        <w:rPr>
          <w:noProof/>
          <w:szCs w:val="24"/>
        </w:rPr>
        <w:t xml:space="preserve">To be successful in meeting regulatory objectives and industry needs SDoC requires the right regulatory environment and a constructive working relationship between industry and regulator.   </w:t>
      </w:r>
    </w:p>
    <w:p w:rsidR="0037666B" w:rsidRDefault="00C627B8">
      <w:pPr>
        <w:pStyle w:val="Heading3"/>
        <w:rPr>
          <w:noProof/>
        </w:rPr>
      </w:pPr>
      <w:bookmarkStart w:id="189" w:name="_Toc483992803"/>
      <w:r>
        <w:rPr>
          <w:noProof/>
        </w:rPr>
        <w:t>Impact of SDoC on Stakeholders</w:t>
      </w:r>
      <w:bookmarkEnd w:id="189"/>
    </w:p>
    <w:p w:rsidR="0037666B" w:rsidRDefault="00C627B8">
      <w:pPr>
        <w:pStyle w:val="Heading4"/>
        <w:keepNext w:val="0"/>
        <w:ind w:left="851" w:hanging="851"/>
        <w:rPr>
          <w:noProof/>
          <w:szCs w:val="24"/>
        </w:rPr>
      </w:pPr>
      <w:bookmarkStart w:id="190" w:name="_Toc483992804"/>
      <w:r>
        <w:rPr>
          <w:noProof/>
          <w:szCs w:val="24"/>
        </w:rPr>
        <w:t>Regulator</w:t>
      </w:r>
      <w:bookmarkEnd w:id="190"/>
    </w:p>
    <w:p w:rsidR="0037666B" w:rsidRDefault="00C627B8">
      <w:pPr>
        <w:pStyle w:val="Text2"/>
        <w:ind w:left="0"/>
        <w:rPr>
          <w:noProof/>
          <w:szCs w:val="24"/>
        </w:rPr>
      </w:pPr>
      <w:r>
        <w:rPr>
          <w:noProof/>
          <w:szCs w:val="24"/>
        </w:rPr>
        <w:t>Compliance based on su</w:t>
      </w:r>
      <w:r>
        <w:rPr>
          <w:noProof/>
          <w:szCs w:val="24"/>
        </w:rPr>
        <w:t xml:space="preserve">pplier responsibility has not eliminated the role of government and its regulatory agencies in conformity assessment; it has significantly changed the role of regulator from that of an approval body to a technical policy and audit enforcement body.  </w:t>
      </w:r>
    </w:p>
    <w:p w:rsidR="0037666B" w:rsidRDefault="00C627B8">
      <w:pPr>
        <w:pStyle w:val="Text2"/>
        <w:ind w:left="0"/>
        <w:rPr>
          <w:noProof/>
          <w:szCs w:val="24"/>
        </w:rPr>
      </w:pPr>
      <w:r>
        <w:rPr>
          <w:noProof/>
          <w:szCs w:val="24"/>
        </w:rPr>
        <w:t>An ad</w:t>
      </w:r>
      <w:r>
        <w:rPr>
          <w:noProof/>
          <w:szCs w:val="24"/>
        </w:rPr>
        <w:t>equate and visible audit enforcement mechanism has proved to be one of the most critical functions for managing SDoC.  Although much responsibility for product conformity has swung to the industry, the regulator retains a significant role in policy and als</w:t>
      </w:r>
      <w:r>
        <w:rPr>
          <w:noProof/>
          <w:szCs w:val="24"/>
        </w:rPr>
        <w:t xml:space="preserve">o in ensuring that the system of compliance is not undermined.   Post-market audit and surveillance become an essential requirement for ensuring integrity of the system. </w:t>
      </w:r>
    </w:p>
    <w:p w:rsidR="0037666B" w:rsidRDefault="00C627B8">
      <w:pPr>
        <w:pStyle w:val="Text2"/>
        <w:ind w:left="0"/>
        <w:rPr>
          <w:noProof/>
          <w:szCs w:val="24"/>
        </w:rPr>
      </w:pPr>
      <w:r>
        <w:rPr>
          <w:noProof/>
          <w:szCs w:val="24"/>
        </w:rPr>
        <w:t xml:space="preserve">It is widely accepted that without audit enforcement there are risks that imbalances </w:t>
      </w:r>
      <w:r>
        <w:rPr>
          <w:noProof/>
          <w:szCs w:val="24"/>
        </w:rPr>
        <w:t xml:space="preserve">between suppliers may emerge and regulatory objectives will not be met.  </w:t>
      </w:r>
    </w:p>
    <w:p w:rsidR="0037666B" w:rsidRDefault="00C627B8">
      <w:pPr>
        <w:pStyle w:val="Text2"/>
        <w:ind w:left="0"/>
        <w:rPr>
          <w:noProof/>
          <w:szCs w:val="24"/>
        </w:rPr>
      </w:pPr>
      <w:r>
        <w:rPr>
          <w:noProof/>
          <w:szCs w:val="24"/>
        </w:rPr>
        <w:t>Audit enforcement has been essential to ensuring that competing suppliers have not sought to gain advantage by disregarding their obligations.  In so doing it has reduced any loss in</w:t>
      </w:r>
      <w:r>
        <w:rPr>
          <w:noProof/>
          <w:szCs w:val="24"/>
        </w:rPr>
        <w:t xml:space="preserve"> market confidence through exposure to sub-standard products. </w:t>
      </w:r>
    </w:p>
    <w:p w:rsidR="0037666B" w:rsidRDefault="00C627B8">
      <w:pPr>
        <w:pStyle w:val="Text2"/>
        <w:ind w:left="0"/>
        <w:rPr>
          <w:noProof/>
          <w:szCs w:val="24"/>
        </w:rPr>
      </w:pPr>
      <w:r>
        <w:rPr>
          <w:noProof/>
          <w:szCs w:val="24"/>
        </w:rPr>
        <w:t>This changed role for the regulator has required a different set of skills and outlook than those needed to successfully manage an approval-based system.   In many respects the changing the rol</w:t>
      </w:r>
      <w:r>
        <w:rPr>
          <w:noProof/>
          <w:szCs w:val="24"/>
        </w:rPr>
        <w:t xml:space="preserve">e of regulatory staff has been one of the more difficult changes to make under the introductions of SDoC.  A managed implementation plan has been essential.  </w:t>
      </w:r>
    </w:p>
    <w:p w:rsidR="0037666B" w:rsidRDefault="00C627B8">
      <w:pPr>
        <w:pStyle w:val="Heading4"/>
        <w:keepNext w:val="0"/>
        <w:ind w:left="851" w:hanging="851"/>
        <w:rPr>
          <w:noProof/>
          <w:szCs w:val="24"/>
        </w:rPr>
      </w:pPr>
      <w:bookmarkStart w:id="191" w:name="_Toc483992805"/>
      <w:r>
        <w:rPr>
          <w:noProof/>
          <w:szCs w:val="24"/>
        </w:rPr>
        <w:t>Suppliers</w:t>
      </w:r>
      <w:bookmarkEnd w:id="191"/>
    </w:p>
    <w:p w:rsidR="0037666B" w:rsidRDefault="00C627B8">
      <w:pPr>
        <w:pStyle w:val="Text2"/>
        <w:ind w:left="0"/>
        <w:rPr>
          <w:noProof/>
          <w:szCs w:val="24"/>
        </w:rPr>
      </w:pPr>
      <w:r>
        <w:rPr>
          <w:noProof/>
          <w:szCs w:val="24"/>
        </w:rPr>
        <w:t>SDoC relates to suppliers (in the case of electromagnetic interference (EMI) regulation SDoC is required from manufacturers, wholesalers or retailers) and not just to manufacturers.  It applies the same level of obligation to any person/company responsible</w:t>
      </w:r>
      <w:r>
        <w:rPr>
          <w:noProof/>
          <w:szCs w:val="24"/>
        </w:rPr>
        <w:t xml:space="preserve"> for placing a product on the Australian market.  </w:t>
      </w:r>
    </w:p>
    <w:p w:rsidR="0037666B" w:rsidRDefault="00C627B8">
      <w:pPr>
        <w:pStyle w:val="Text2"/>
        <w:ind w:left="0"/>
        <w:rPr>
          <w:noProof/>
          <w:szCs w:val="24"/>
        </w:rPr>
      </w:pPr>
      <w:r>
        <w:rPr>
          <w:noProof/>
          <w:szCs w:val="24"/>
        </w:rPr>
        <w:t xml:space="preserve">Under the Supplier Declaration system as it has been introduced for telecommunications and EMC, the supplier is now expected to assume greater responsibility for regulatory outcomes.  As a consequence the </w:t>
      </w:r>
      <w:r>
        <w:rPr>
          <w:noProof/>
          <w:szCs w:val="24"/>
        </w:rPr>
        <w:t>level of technical skill maintained by regulators for the purpose of managing an approvals-based system has diminished.  There has been a corresponding need for suppliers to raise their level of technical skill.  Where the supplier is a manufacturer it has</w:t>
      </w:r>
      <w:r>
        <w:rPr>
          <w:noProof/>
          <w:szCs w:val="24"/>
        </w:rPr>
        <w:t xml:space="preserve"> not been difficult to respond to this need.  However, import distributors and some retailers have also fallen under the scope of suppliers and have not always been in a position to readily meet their responsibilities.</w:t>
      </w:r>
    </w:p>
    <w:p w:rsidR="0037666B" w:rsidRDefault="00C627B8">
      <w:pPr>
        <w:pStyle w:val="Text2"/>
        <w:ind w:left="0"/>
        <w:rPr>
          <w:noProof/>
          <w:szCs w:val="24"/>
        </w:rPr>
      </w:pPr>
      <w:r>
        <w:rPr>
          <w:noProof/>
          <w:szCs w:val="24"/>
        </w:rPr>
        <w:t>This has been difficult for many supp</w:t>
      </w:r>
      <w:r>
        <w:rPr>
          <w:noProof/>
          <w:szCs w:val="24"/>
        </w:rPr>
        <w:t>liers to come to terms with, as the regulator is no longer always technically skilled or empowered to exercise discretionary powers in relation to compliance.  Nor is the regulator able to provide the level of information and support that is often expected</w:t>
      </w:r>
      <w:r>
        <w:rPr>
          <w:noProof/>
          <w:szCs w:val="24"/>
        </w:rPr>
        <w:t xml:space="preserve"> from past experience.  </w:t>
      </w:r>
    </w:p>
    <w:p w:rsidR="0037666B" w:rsidRDefault="00C627B8">
      <w:pPr>
        <w:pStyle w:val="Text2"/>
        <w:ind w:left="0"/>
        <w:rPr>
          <w:noProof/>
          <w:szCs w:val="24"/>
        </w:rPr>
      </w:pPr>
      <w:r>
        <w:rPr>
          <w:noProof/>
          <w:szCs w:val="24"/>
        </w:rPr>
        <w:t xml:space="preserve">An equally acute problem for suppliers has been the increased administrative load that must be carried because of the need to support the declaration of conformity with compliance folders or technical construction files.  The need </w:t>
      </w:r>
      <w:r>
        <w:rPr>
          <w:noProof/>
          <w:szCs w:val="24"/>
        </w:rPr>
        <w:t xml:space="preserve">for suppliers to determine for themselves what constitutes an adequate compliance folder also created a good deal of uncertainty as to what was expected by the regulator.  Addressing these problems required both a lengthy phase-in period and a significant </w:t>
      </w:r>
      <w:r>
        <w:rPr>
          <w:noProof/>
          <w:szCs w:val="24"/>
        </w:rPr>
        <w:t>commitment by the regulator to information dissemination.</w:t>
      </w:r>
    </w:p>
    <w:p w:rsidR="0037666B" w:rsidRDefault="0037666B">
      <w:pPr>
        <w:pStyle w:val="Text2"/>
        <w:ind w:left="0"/>
        <w:rPr>
          <w:noProof/>
          <w:szCs w:val="24"/>
        </w:rPr>
      </w:pPr>
    </w:p>
    <w:p w:rsidR="0037666B" w:rsidRDefault="00C627B8">
      <w:pPr>
        <w:pStyle w:val="Heading4"/>
        <w:keepNext w:val="0"/>
        <w:ind w:left="851" w:hanging="851"/>
        <w:rPr>
          <w:noProof/>
          <w:szCs w:val="24"/>
        </w:rPr>
      </w:pPr>
      <w:bookmarkStart w:id="192" w:name="_Toc483992806"/>
      <w:r>
        <w:rPr>
          <w:noProof/>
          <w:szCs w:val="24"/>
        </w:rPr>
        <w:t>End User</w:t>
      </w:r>
      <w:bookmarkEnd w:id="192"/>
    </w:p>
    <w:p w:rsidR="0037666B" w:rsidRDefault="00C627B8">
      <w:pPr>
        <w:pStyle w:val="Text2"/>
        <w:ind w:left="0"/>
        <w:rPr>
          <w:noProof/>
          <w:szCs w:val="24"/>
        </w:rPr>
      </w:pPr>
      <w:r>
        <w:rPr>
          <w:noProof/>
          <w:szCs w:val="24"/>
        </w:rPr>
        <w:t xml:space="preserve">In Australia SDoC is invisible to end-users.  However, the introduction of SDoC has not reduced end user protections in any measurable way. </w:t>
      </w:r>
    </w:p>
    <w:p w:rsidR="0037666B" w:rsidRDefault="00C627B8">
      <w:pPr>
        <w:pStyle w:val="Text2"/>
        <w:ind w:left="0"/>
        <w:rPr>
          <w:b/>
          <w:noProof/>
          <w:szCs w:val="24"/>
        </w:rPr>
      </w:pPr>
      <w:r>
        <w:rPr>
          <w:b/>
          <w:noProof/>
          <w:szCs w:val="24"/>
        </w:rPr>
        <w:t xml:space="preserve">Preconditions for SDoC </w:t>
      </w:r>
    </w:p>
    <w:p w:rsidR="0037666B" w:rsidRDefault="00C627B8">
      <w:pPr>
        <w:pStyle w:val="Text2"/>
        <w:ind w:left="0"/>
        <w:rPr>
          <w:noProof/>
          <w:szCs w:val="24"/>
        </w:rPr>
      </w:pPr>
      <w:r>
        <w:rPr>
          <w:noProof/>
          <w:szCs w:val="24"/>
        </w:rPr>
        <w:t>Throughout the implemen</w:t>
      </w:r>
      <w:r>
        <w:rPr>
          <w:noProof/>
          <w:szCs w:val="24"/>
        </w:rPr>
        <w:t>tation process a number of issues have emerged as having a critical impact on the use of SDoC.  These include:</w:t>
      </w:r>
    </w:p>
    <w:p w:rsidR="0037666B" w:rsidRDefault="00C627B8">
      <w:pPr>
        <w:pStyle w:val="ListBullet2"/>
        <w:tabs>
          <w:tab w:val="clear" w:pos="1485"/>
          <w:tab w:val="num" w:pos="765"/>
        </w:tabs>
        <w:ind w:left="567" w:hanging="567"/>
        <w:rPr>
          <w:noProof/>
          <w:szCs w:val="24"/>
        </w:rPr>
      </w:pPr>
      <w:r>
        <w:rPr>
          <w:noProof/>
          <w:szCs w:val="24"/>
        </w:rPr>
        <w:t>the quality and content of standards</w:t>
      </w:r>
    </w:p>
    <w:p w:rsidR="0037666B" w:rsidRDefault="00C627B8">
      <w:pPr>
        <w:pStyle w:val="ListBullet2"/>
        <w:ind w:left="567" w:hanging="567"/>
        <w:rPr>
          <w:noProof/>
          <w:szCs w:val="24"/>
        </w:rPr>
      </w:pPr>
      <w:r>
        <w:rPr>
          <w:noProof/>
          <w:szCs w:val="24"/>
        </w:rPr>
        <w:t>the capacity to provide high-quality plain-language information</w:t>
      </w:r>
    </w:p>
    <w:p w:rsidR="0037666B" w:rsidRDefault="00C627B8">
      <w:pPr>
        <w:pStyle w:val="ListBullet2"/>
        <w:ind w:left="567" w:hanging="567"/>
        <w:rPr>
          <w:noProof/>
          <w:szCs w:val="24"/>
        </w:rPr>
      </w:pPr>
      <w:r>
        <w:rPr>
          <w:noProof/>
          <w:szCs w:val="24"/>
        </w:rPr>
        <w:t>a clearly articulated regulatory objective</w:t>
      </w:r>
    </w:p>
    <w:p w:rsidR="0037666B" w:rsidRDefault="00C627B8">
      <w:pPr>
        <w:pStyle w:val="ListBullet2"/>
        <w:ind w:left="567" w:hanging="567"/>
        <w:rPr>
          <w:noProof/>
          <w:szCs w:val="24"/>
        </w:rPr>
      </w:pPr>
      <w:r>
        <w:rPr>
          <w:noProof/>
          <w:szCs w:val="24"/>
        </w:rPr>
        <w:t>conformity assessment tools; and</w:t>
      </w:r>
    </w:p>
    <w:p w:rsidR="0037666B" w:rsidRDefault="00C627B8">
      <w:pPr>
        <w:pStyle w:val="ListBullet2"/>
        <w:ind w:left="567" w:hanging="567"/>
        <w:rPr>
          <w:noProof/>
          <w:szCs w:val="24"/>
        </w:rPr>
      </w:pPr>
      <w:r>
        <w:rPr>
          <w:noProof/>
          <w:szCs w:val="24"/>
        </w:rPr>
        <w:t xml:space="preserve">appropriate regulatory framework. </w:t>
      </w:r>
    </w:p>
    <w:p w:rsidR="0037666B" w:rsidRDefault="00C627B8">
      <w:pPr>
        <w:pStyle w:val="Text2"/>
        <w:ind w:left="0"/>
        <w:rPr>
          <w:b/>
          <w:noProof/>
          <w:szCs w:val="24"/>
        </w:rPr>
      </w:pPr>
      <w:r>
        <w:rPr>
          <w:b/>
          <w:noProof/>
          <w:szCs w:val="24"/>
        </w:rPr>
        <w:t xml:space="preserve">The Quality and Content of the Standards </w:t>
      </w:r>
    </w:p>
    <w:p w:rsidR="0037666B" w:rsidRDefault="00C627B8">
      <w:pPr>
        <w:pStyle w:val="Text2"/>
        <w:ind w:left="0"/>
        <w:rPr>
          <w:noProof/>
          <w:szCs w:val="24"/>
        </w:rPr>
      </w:pPr>
      <w:r>
        <w:rPr>
          <w:noProof/>
          <w:szCs w:val="24"/>
        </w:rPr>
        <w:t>The quality of standards is critical to the smooth operation of SDoC.   Standards are generally the means for setting the regulatory objectives re</w:t>
      </w:r>
      <w:r>
        <w:rPr>
          <w:noProof/>
          <w:szCs w:val="24"/>
        </w:rPr>
        <w:t>quired of products.  Where standards are unclear or capable of more than one interpretation it becomes increasingly difficult to exercise a declaration, particularly where regulators’ technical skills are reduced.  Other remedies may be found through testi</w:t>
      </w:r>
      <w:r>
        <w:rPr>
          <w:noProof/>
          <w:szCs w:val="24"/>
        </w:rPr>
        <w:t>ng and certification bodies, but ideally the standards themselves should be capable of use under a SDoC regime.  International standards developed by organisations such as the International Electrotechnical Commission (IEC) increasingly show awareness that</w:t>
      </w:r>
      <w:r>
        <w:rPr>
          <w:noProof/>
          <w:szCs w:val="24"/>
        </w:rPr>
        <w:t xml:space="preserve"> they are likely to be used in conjunction with SDoC and aim for greater clarity and useability.</w:t>
      </w:r>
    </w:p>
    <w:p w:rsidR="0037666B" w:rsidRDefault="00C627B8">
      <w:pPr>
        <w:pStyle w:val="Text2"/>
        <w:ind w:left="0"/>
        <w:rPr>
          <w:noProof/>
          <w:szCs w:val="24"/>
        </w:rPr>
      </w:pPr>
      <w:r>
        <w:rPr>
          <w:noProof/>
          <w:szCs w:val="24"/>
        </w:rPr>
        <w:t xml:space="preserve">WTO ITA could consider issues affecting participation by a broader range of countries in international standards writing bodies. </w:t>
      </w:r>
    </w:p>
    <w:p w:rsidR="0037666B" w:rsidRDefault="00C627B8">
      <w:pPr>
        <w:pStyle w:val="Text2"/>
        <w:ind w:left="0"/>
        <w:rPr>
          <w:b/>
          <w:noProof/>
          <w:szCs w:val="24"/>
        </w:rPr>
      </w:pPr>
      <w:r>
        <w:rPr>
          <w:b/>
          <w:noProof/>
          <w:szCs w:val="24"/>
        </w:rPr>
        <w:t>Quality of Information</w:t>
      </w:r>
    </w:p>
    <w:p w:rsidR="0037666B" w:rsidRDefault="00C627B8">
      <w:pPr>
        <w:pStyle w:val="Text2"/>
        <w:ind w:left="0"/>
        <w:rPr>
          <w:noProof/>
          <w:szCs w:val="24"/>
        </w:rPr>
      </w:pPr>
      <w:r>
        <w:rPr>
          <w:noProof/>
          <w:szCs w:val="24"/>
        </w:rPr>
        <w:t>The ch</w:t>
      </w:r>
      <w:r>
        <w:rPr>
          <w:noProof/>
          <w:szCs w:val="24"/>
        </w:rPr>
        <w:t>ange of role for regulators implied by SDoC may result in a reduction of service levels by regulators.  SDoC is a system based on the responsibility of suppliers and under this arrangement resources within regulatory organisations have been reduced or redi</w:t>
      </w:r>
      <w:r>
        <w:rPr>
          <w:noProof/>
          <w:szCs w:val="24"/>
        </w:rPr>
        <w:t>rected.  Whereas once a regulator may have been able to provide interpretations of complex regulatory documents, under SDoC they may not always be resourced to provide such advice.  One remedy to this is the publication of plain language information in the</w:t>
      </w:r>
      <w:r>
        <w:rPr>
          <w:noProof/>
          <w:szCs w:val="24"/>
        </w:rPr>
        <w:t xml:space="preserve"> form of suppliers’ guides.   </w:t>
      </w:r>
    </w:p>
    <w:p w:rsidR="0037666B" w:rsidRDefault="00C627B8">
      <w:pPr>
        <w:pStyle w:val="Text2"/>
        <w:ind w:left="0"/>
        <w:rPr>
          <w:noProof/>
          <w:szCs w:val="24"/>
        </w:rPr>
      </w:pPr>
      <w:r>
        <w:rPr>
          <w:noProof/>
          <w:szCs w:val="24"/>
        </w:rPr>
        <w:t>When written in plain language rather than legal or technical jargon guides of this kind are indispensable for communicating to suppliers—whether they be local or foreign manufacturers, retailers or distribution agents—what t</w:t>
      </w:r>
      <w:r>
        <w:rPr>
          <w:noProof/>
          <w:szCs w:val="24"/>
        </w:rPr>
        <w:t>he essential obligations are.</w:t>
      </w:r>
    </w:p>
    <w:p w:rsidR="0037666B" w:rsidRDefault="00C627B8">
      <w:pPr>
        <w:pStyle w:val="Text2"/>
        <w:ind w:left="0"/>
        <w:rPr>
          <w:noProof/>
          <w:szCs w:val="24"/>
        </w:rPr>
      </w:pPr>
      <w:r>
        <w:rPr>
          <w:noProof/>
          <w:szCs w:val="24"/>
        </w:rPr>
        <w:t>Our experience in working within the APEC Telecommunications Working Group on mutual recognition and related matters has highlighted the critical role that a common understanding of requirements in each member economy plays in</w:t>
      </w:r>
      <w:r>
        <w:rPr>
          <w:noProof/>
          <w:szCs w:val="24"/>
        </w:rPr>
        <w:t xml:space="preserve"> creating mutual confidence and a base for action on trade facilitation initiatives.  </w:t>
      </w:r>
    </w:p>
    <w:p w:rsidR="0037666B" w:rsidRDefault="00C627B8">
      <w:pPr>
        <w:pStyle w:val="Text2"/>
        <w:ind w:left="0"/>
        <w:rPr>
          <w:noProof/>
          <w:szCs w:val="24"/>
        </w:rPr>
      </w:pPr>
      <w:r>
        <w:rPr>
          <w:noProof/>
          <w:szCs w:val="24"/>
        </w:rPr>
        <w:t>The development and publication of accurate, detailed and accessible regulatory information would facilitate trade in IT products and provide a basis for considering fur</w:t>
      </w:r>
      <w:r>
        <w:rPr>
          <w:noProof/>
          <w:szCs w:val="24"/>
        </w:rPr>
        <w:t>ther mutually beneficial outcomes.  This may be something that ITA may wish to examine.  Information and communications technologies make this an achievable task at very little cost.</w:t>
      </w:r>
    </w:p>
    <w:p w:rsidR="0037666B" w:rsidRDefault="00C627B8">
      <w:pPr>
        <w:pStyle w:val="Text2"/>
        <w:ind w:left="0"/>
        <w:rPr>
          <w:b/>
          <w:noProof/>
          <w:szCs w:val="24"/>
        </w:rPr>
      </w:pPr>
      <w:r>
        <w:rPr>
          <w:b/>
          <w:noProof/>
          <w:szCs w:val="24"/>
        </w:rPr>
        <w:t>SDoC and Conformity Assessment Tools</w:t>
      </w:r>
    </w:p>
    <w:p w:rsidR="0037666B" w:rsidRDefault="00C627B8">
      <w:pPr>
        <w:pStyle w:val="Text2"/>
        <w:ind w:left="0"/>
        <w:rPr>
          <w:noProof/>
          <w:szCs w:val="24"/>
        </w:rPr>
      </w:pPr>
      <w:r>
        <w:rPr>
          <w:noProof/>
          <w:szCs w:val="24"/>
        </w:rPr>
        <w:t>The use of Supplier’s Declaration of</w:t>
      </w:r>
      <w:r>
        <w:rPr>
          <w:noProof/>
          <w:szCs w:val="24"/>
        </w:rPr>
        <w:t xml:space="preserve"> Conformity alongside specific conformity assessment requirements is a matter of much debate.  For some, SDoC is sufficient on its own; others regard it as essential that some reference is made to external third party assessment as the basis on which SDoC </w:t>
      </w:r>
      <w:r>
        <w:rPr>
          <w:noProof/>
          <w:szCs w:val="24"/>
        </w:rPr>
        <w:t>is made.</w:t>
      </w:r>
    </w:p>
    <w:p w:rsidR="0037666B" w:rsidRDefault="00C627B8">
      <w:pPr>
        <w:pStyle w:val="Text2"/>
        <w:ind w:left="0"/>
        <w:rPr>
          <w:noProof/>
          <w:szCs w:val="24"/>
        </w:rPr>
      </w:pPr>
      <w:r>
        <w:rPr>
          <w:noProof/>
          <w:szCs w:val="24"/>
        </w:rPr>
        <w:t xml:space="preserve">First and foremost the mandatory use of accredited testing as the basis for SDoC should always be a matter of risk assessment.  </w:t>
      </w:r>
    </w:p>
    <w:p w:rsidR="0037666B" w:rsidRDefault="00C627B8">
      <w:pPr>
        <w:pStyle w:val="Text2"/>
        <w:ind w:left="0"/>
        <w:rPr>
          <w:noProof/>
          <w:szCs w:val="24"/>
        </w:rPr>
      </w:pPr>
      <w:r>
        <w:rPr>
          <w:noProof/>
          <w:szCs w:val="24"/>
        </w:rPr>
        <w:t>In some circumstances a supplier’s declaration alone may well be sufficient to ensure that a given regulatory objectiv</w:t>
      </w:r>
      <w:r>
        <w:rPr>
          <w:noProof/>
          <w:szCs w:val="24"/>
        </w:rPr>
        <w:t>e is met particularly where the risk of harm to third parties is low.  But, as the risks posed by product failure become more serious it has become the case that suppliers are required to make a declaration based on the results of accredited testing, certi</w:t>
      </w:r>
      <w:r>
        <w:rPr>
          <w:noProof/>
          <w:szCs w:val="24"/>
        </w:rPr>
        <w:t>fication or inspection assessment.</w:t>
      </w:r>
    </w:p>
    <w:p w:rsidR="0037666B" w:rsidRDefault="00C627B8">
      <w:pPr>
        <w:pStyle w:val="Text2"/>
        <w:ind w:left="0"/>
        <w:rPr>
          <w:noProof/>
          <w:szCs w:val="24"/>
        </w:rPr>
      </w:pPr>
      <w:r>
        <w:rPr>
          <w:noProof/>
          <w:szCs w:val="24"/>
        </w:rPr>
        <w:t>The Australian system required the use of accredited testing (either third party or manufacturer’s testing) for telecommunications network connection.  Accredited testing is a benchmark for EMI testing, but is mandatory o</w:t>
      </w:r>
      <w:r>
        <w:rPr>
          <w:noProof/>
          <w:szCs w:val="24"/>
        </w:rPr>
        <w:t>nly for products deemed to be high risk.</w:t>
      </w:r>
    </w:p>
    <w:p w:rsidR="0037666B" w:rsidRDefault="00C627B8">
      <w:pPr>
        <w:pStyle w:val="Text2"/>
        <w:ind w:left="0"/>
        <w:rPr>
          <w:noProof/>
          <w:szCs w:val="24"/>
        </w:rPr>
      </w:pPr>
      <w:r>
        <w:rPr>
          <w:noProof/>
          <w:szCs w:val="24"/>
        </w:rPr>
        <w:t>This may appear to be contrary to the apparent intent of a SDoC system but in some cases the use of accredited testing has proven to be an essential requirement for maintaining a viable SDoC system.  The use of accr</w:t>
      </w:r>
      <w:r>
        <w:rPr>
          <w:noProof/>
          <w:szCs w:val="24"/>
        </w:rPr>
        <w:t>edited testing has been an important element is gaining acceptance for SDoC through:</w:t>
      </w:r>
    </w:p>
    <w:p w:rsidR="0037666B" w:rsidRDefault="00C627B8">
      <w:pPr>
        <w:pStyle w:val="ListBullet2"/>
        <w:ind w:left="567" w:hanging="567"/>
        <w:rPr>
          <w:noProof/>
          <w:szCs w:val="24"/>
        </w:rPr>
      </w:pPr>
      <w:r>
        <w:rPr>
          <w:noProof/>
          <w:szCs w:val="24"/>
        </w:rPr>
        <w:t xml:space="preserve">giving an initial degree of confidence to allow regulators to step back from pre-market approvals </w:t>
      </w:r>
    </w:p>
    <w:p w:rsidR="0037666B" w:rsidRDefault="00C627B8">
      <w:pPr>
        <w:pStyle w:val="ListBullet2"/>
        <w:ind w:left="567" w:hanging="567"/>
        <w:rPr>
          <w:noProof/>
          <w:szCs w:val="24"/>
        </w:rPr>
      </w:pPr>
      <w:r>
        <w:rPr>
          <w:noProof/>
          <w:szCs w:val="24"/>
        </w:rPr>
        <w:t xml:space="preserve">ensuring a common approach to testing amongst competing manufacturers </w:t>
      </w:r>
    </w:p>
    <w:p w:rsidR="0037666B" w:rsidRDefault="00C627B8">
      <w:pPr>
        <w:pStyle w:val="ListBullet2"/>
        <w:ind w:left="567" w:hanging="567"/>
        <w:rPr>
          <w:noProof/>
          <w:szCs w:val="24"/>
        </w:rPr>
      </w:pPr>
      <w:r>
        <w:rPr>
          <w:noProof/>
          <w:szCs w:val="24"/>
        </w:rPr>
        <w:t>p</w:t>
      </w:r>
      <w:r>
        <w:rPr>
          <w:noProof/>
          <w:szCs w:val="24"/>
        </w:rPr>
        <w:t>roviding regulators with a level of consistency in assessment on which to base audit enforcement</w:t>
      </w:r>
    </w:p>
    <w:p w:rsidR="0037666B" w:rsidRDefault="00C627B8">
      <w:pPr>
        <w:pStyle w:val="ListBullet2"/>
        <w:ind w:left="567" w:hanging="567"/>
        <w:rPr>
          <w:noProof/>
          <w:szCs w:val="24"/>
        </w:rPr>
      </w:pPr>
      <w:r>
        <w:rPr>
          <w:noProof/>
          <w:szCs w:val="24"/>
        </w:rPr>
        <w:t>maintaining confidence of end consumers that SDoC could assure expected protections</w:t>
      </w:r>
    </w:p>
    <w:p w:rsidR="0037666B" w:rsidRDefault="00C627B8">
      <w:pPr>
        <w:pStyle w:val="ListBullet2"/>
        <w:ind w:left="567" w:hanging="567"/>
        <w:rPr>
          <w:noProof/>
          <w:szCs w:val="24"/>
        </w:rPr>
      </w:pPr>
      <w:r>
        <w:rPr>
          <w:noProof/>
          <w:szCs w:val="24"/>
        </w:rPr>
        <w:t>providing technical confidence for sections of the supply sector that are n</w:t>
      </w:r>
      <w:r>
        <w:rPr>
          <w:noProof/>
          <w:szCs w:val="24"/>
        </w:rPr>
        <w:t>ot technically skilled.</w:t>
      </w:r>
    </w:p>
    <w:p w:rsidR="0037666B" w:rsidRDefault="00C627B8">
      <w:pPr>
        <w:pStyle w:val="Text2"/>
        <w:ind w:left="0"/>
        <w:rPr>
          <w:noProof/>
          <w:szCs w:val="24"/>
        </w:rPr>
      </w:pPr>
      <w:r>
        <w:rPr>
          <w:noProof/>
          <w:szCs w:val="24"/>
        </w:rPr>
        <w:t xml:space="preserve">Importantly, basing conformity assessment requirements on international arrangements such as IEC CB Scheme and agreements between accreditation systems have contributed to greater portability of conformity assessment. </w:t>
      </w:r>
    </w:p>
    <w:p w:rsidR="0037666B" w:rsidRDefault="00C627B8">
      <w:pPr>
        <w:pStyle w:val="Text2"/>
        <w:ind w:left="0"/>
        <w:rPr>
          <w:noProof/>
          <w:szCs w:val="24"/>
        </w:rPr>
      </w:pPr>
      <w:r>
        <w:rPr>
          <w:noProof/>
          <w:szCs w:val="24"/>
        </w:rPr>
        <w:t>Market condit</w:t>
      </w:r>
      <w:r>
        <w:rPr>
          <w:noProof/>
          <w:szCs w:val="24"/>
        </w:rPr>
        <w:t>ions are also emerging as factors in determining whether SDoC should be tied to specific conformity assessment requirements.  But it is by no means clear how this might be applied.  For instance, in a situation where suppliers to a market are characterised</w:t>
      </w:r>
      <w:r>
        <w:rPr>
          <w:noProof/>
          <w:szCs w:val="24"/>
        </w:rPr>
        <w:t xml:space="preserve"> by a small number of ethical suppliers then SDoC might be sufficient with no specific conformity assessment obligations, particularly where there are strong general consumer protection laws.  Where the supply market is highly fragmented, setting a minimum</w:t>
      </w:r>
      <w:r>
        <w:rPr>
          <w:noProof/>
          <w:szCs w:val="24"/>
        </w:rPr>
        <w:t xml:space="preserve"> level of acceptable testing or certification performance may be an acceptable and necessary constraint on SDoC.   </w:t>
      </w:r>
    </w:p>
    <w:p w:rsidR="0037666B" w:rsidRDefault="00C627B8">
      <w:pPr>
        <w:pStyle w:val="Text2"/>
        <w:ind w:left="0"/>
        <w:rPr>
          <w:noProof/>
          <w:szCs w:val="24"/>
        </w:rPr>
      </w:pPr>
      <w:r>
        <w:rPr>
          <w:noProof/>
          <w:szCs w:val="24"/>
        </w:rPr>
        <w:t xml:space="preserve">A further point worth considering in relation to conformity assessment tools is the role of third party accredited certification services.  </w:t>
      </w:r>
      <w:r>
        <w:rPr>
          <w:noProof/>
          <w:szCs w:val="24"/>
        </w:rPr>
        <w:t>It had been proposed that the introduction of SDoC in Australia would see a rapid decline in demand for certification services.  This has not been the case.  Many suppliers, particularly those without internal technical expertise, have chosen to buy in tha</w:t>
      </w:r>
      <w:r>
        <w:rPr>
          <w:noProof/>
          <w:szCs w:val="24"/>
        </w:rPr>
        <w:t>t expertise and manage their exposure to increased responsibility through the use of third party certifiers.</w:t>
      </w:r>
    </w:p>
    <w:p w:rsidR="0037666B" w:rsidRDefault="00C627B8">
      <w:pPr>
        <w:pStyle w:val="Text2"/>
        <w:ind w:left="0"/>
        <w:rPr>
          <w:noProof/>
          <w:szCs w:val="24"/>
        </w:rPr>
      </w:pPr>
      <w:r>
        <w:rPr>
          <w:noProof/>
          <w:szCs w:val="24"/>
        </w:rPr>
        <w:t>There is a need for greater risk-based assessment in setting regulation and achieving better decisions about conformity assessment requirements for</w:t>
      </w:r>
      <w:r>
        <w:rPr>
          <w:noProof/>
          <w:szCs w:val="24"/>
        </w:rPr>
        <w:t xml:space="preserve"> regulated products.</w:t>
      </w:r>
    </w:p>
    <w:p w:rsidR="0037666B" w:rsidRDefault="00C627B8">
      <w:pPr>
        <w:pStyle w:val="Text2"/>
        <w:ind w:left="0"/>
        <w:rPr>
          <w:noProof/>
          <w:szCs w:val="24"/>
        </w:rPr>
      </w:pPr>
      <w:r>
        <w:rPr>
          <w:noProof/>
          <w:szCs w:val="24"/>
        </w:rPr>
        <w:t xml:space="preserve">WTO ITA could examine the application of risk-based assessment by regulators to the setting of conformity assessment requirements. </w:t>
      </w:r>
    </w:p>
    <w:p w:rsidR="0037666B" w:rsidRDefault="00C627B8">
      <w:pPr>
        <w:pStyle w:val="Text2"/>
        <w:ind w:left="0"/>
        <w:rPr>
          <w:noProof/>
          <w:szCs w:val="24"/>
        </w:rPr>
      </w:pPr>
      <w:r>
        <w:rPr>
          <w:noProof/>
          <w:szCs w:val="24"/>
        </w:rPr>
        <w:t>WTO ITA could conduct this examination with a view to supporting the work being undertaken by organisat</w:t>
      </w:r>
      <w:r>
        <w:rPr>
          <w:noProof/>
          <w:szCs w:val="24"/>
        </w:rPr>
        <w:t>ions such as the International Laboratory Accreditation Cooperation (ILAC) and IEC to implement systems of portable conformity assessment based on equivalent processes of peer assessment and accreditation.</w:t>
      </w:r>
    </w:p>
    <w:p w:rsidR="0037666B" w:rsidRDefault="00C627B8">
      <w:pPr>
        <w:pStyle w:val="Text2"/>
        <w:ind w:left="0"/>
        <w:rPr>
          <w:b/>
          <w:noProof/>
          <w:szCs w:val="24"/>
        </w:rPr>
      </w:pPr>
      <w:r>
        <w:rPr>
          <w:b/>
          <w:noProof/>
          <w:szCs w:val="24"/>
        </w:rPr>
        <w:t xml:space="preserve">Appropriate Regulatory Framework </w:t>
      </w:r>
    </w:p>
    <w:p w:rsidR="0037666B" w:rsidRDefault="00C627B8">
      <w:pPr>
        <w:pStyle w:val="Text2"/>
        <w:ind w:left="0"/>
        <w:rPr>
          <w:noProof/>
          <w:szCs w:val="24"/>
        </w:rPr>
      </w:pPr>
      <w:r>
        <w:rPr>
          <w:noProof/>
          <w:szCs w:val="24"/>
        </w:rPr>
        <w:t xml:space="preserve">As a system of </w:t>
      </w:r>
      <w:r>
        <w:rPr>
          <w:noProof/>
          <w:szCs w:val="24"/>
        </w:rPr>
        <w:t xml:space="preserve">regulation SDoC requires a different set of skills and functions from a regulator to those required in an approval system.  The skills and functions necessary in a regulatory framework that utilises SDoC cannot be easily stated for all countries, but some </w:t>
      </w:r>
      <w:r>
        <w:rPr>
          <w:noProof/>
          <w:szCs w:val="24"/>
        </w:rPr>
        <w:t>important considerations are:</w:t>
      </w:r>
    </w:p>
    <w:p w:rsidR="0037666B" w:rsidRDefault="00C627B8">
      <w:pPr>
        <w:pStyle w:val="ListBullet2"/>
        <w:ind w:left="567" w:hanging="567"/>
        <w:rPr>
          <w:noProof/>
          <w:szCs w:val="24"/>
        </w:rPr>
      </w:pPr>
      <w:r>
        <w:rPr>
          <w:noProof/>
          <w:szCs w:val="24"/>
        </w:rPr>
        <w:t>The capacity and powers to conduct audit and market surveillance</w:t>
      </w:r>
    </w:p>
    <w:p w:rsidR="0037666B" w:rsidRDefault="00C627B8">
      <w:pPr>
        <w:pStyle w:val="ListBullet2"/>
        <w:ind w:left="567" w:hanging="567"/>
        <w:rPr>
          <w:noProof/>
          <w:szCs w:val="24"/>
        </w:rPr>
      </w:pPr>
      <w:r>
        <w:rPr>
          <w:noProof/>
          <w:szCs w:val="24"/>
        </w:rPr>
        <w:t xml:space="preserve">Ability to support multiple conformity assessment routes  </w:t>
      </w:r>
    </w:p>
    <w:p w:rsidR="0037666B" w:rsidRDefault="00C627B8">
      <w:pPr>
        <w:pStyle w:val="ListBullet2"/>
        <w:ind w:left="567" w:hanging="567"/>
        <w:rPr>
          <w:noProof/>
          <w:szCs w:val="24"/>
        </w:rPr>
      </w:pPr>
      <w:r>
        <w:rPr>
          <w:noProof/>
          <w:szCs w:val="24"/>
        </w:rPr>
        <w:t>Applying risk factors to regulation</w:t>
      </w:r>
    </w:p>
    <w:p w:rsidR="0037666B" w:rsidRDefault="00C627B8">
      <w:pPr>
        <w:pStyle w:val="ListBullet2"/>
        <w:ind w:left="567" w:hanging="567"/>
        <w:rPr>
          <w:noProof/>
          <w:szCs w:val="24"/>
        </w:rPr>
      </w:pPr>
      <w:r>
        <w:rPr>
          <w:noProof/>
          <w:szCs w:val="24"/>
        </w:rPr>
        <w:t>Properly stated regulatory objectives</w:t>
      </w:r>
    </w:p>
    <w:p w:rsidR="0037666B" w:rsidRDefault="00C627B8">
      <w:pPr>
        <w:pStyle w:val="ListBullet2"/>
        <w:ind w:left="567" w:hanging="567"/>
        <w:rPr>
          <w:noProof/>
          <w:szCs w:val="24"/>
        </w:rPr>
      </w:pPr>
      <w:r>
        <w:rPr>
          <w:noProof/>
          <w:szCs w:val="24"/>
        </w:rPr>
        <w:t xml:space="preserve">Use of international </w:t>
      </w:r>
      <w:r>
        <w:rPr>
          <w:noProof/>
          <w:szCs w:val="24"/>
        </w:rPr>
        <w:t>standards</w:t>
      </w:r>
    </w:p>
    <w:p w:rsidR="0037666B" w:rsidRDefault="00C627B8">
      <w:pPr>
        <w:pStyle w:val="ListBullet2"/>
        <w:tabs>
          <w:tab w:val="left" w:pos="567"/>
        </w:tabs>
        <w:ind w:left="567" w:hanging="567"/>
        <w:rPr>
          <w:noProof/>
          <w:szCs w:val="24"/>
        </w:rPr>
      </w:pPr>
      <w:r>
        <w:rPr>
          <w:noProof/>
          <w:szCs w:val="24"/>
        </w:rPr>
        <w:t xml:space="preserve">Open communications of requirements </w:t>
      </w:r>
    </w:p>
    <w:p w:rsidR="0037666B" w:rsidRDefault="00C627B8">
      <w:pPr>
        <w:pStyle w:val="ListBullet2"/>
        <w:tabs>
          <w:tab w:val="left" w:pos="567"/>
        </w:tabs>
        <w:ind w:left="567" w:hanging="567"/>
        <w:rPr>
          <w:noProof/>
          <w:szCs w:val="24"/>
        </w:rPr>
      </w:pPr>
      <w:r>
        <w:rPr>
          <w:noProof/>
          <w:szCs w:val="24"/>
        </w:rPr>
        <w:t>Appropriately trained staff</w:t>
      </w:r>
    </w:p>
    <w:p w:rsidR="0037666B" w:rsidRDefault="00C627B8">
      <w:pPr>
        <w:pStyle w:val="ListBullet2"/>
        <w:tabs>
          <w:tab w:val="left" w:pos="567"/>
        </w:tabs>
        <w:ind w:left="567" w:hanging="567"/>
        <w:rPr>
          <w:noProof/>
          <w:szCs w:val="24"/>
        </w:rPr>
      </w:pPr>
      <w:r>
        <w:rPr>
          <w:noProof/>
          <w:szCs w:val="24"/>
        </w:rPr>
        <w:t>Capacity to conduct and maintain industry liaison and consultation</w:t>
      </w:r>
    </w:p>
    <w:p w:rsidR="0037666B" w:rsidRDefault="00C627B8">
      <w:pPr>
        <w:pStyle w:val="ListBullet2"/>
        <w:tabs>
          <w:tab w:val="left" w:pos="567"/>
        </w:tabs>
        <w:ind w:left="567" w:hanging="567"/>
        <w:rPr>
          <w:noProof/>
          <w:szCs w:val="24"/>
        </w:rPr>
      </w:pPr>
      <w:r>
        <w:rPr>
          <w:noProof/>
          <w:szCs w:val="24"/>
        </w:rPr>
        <w:t>Adequate checks and balances to support consumer confidence</w:t>
      </w:r>
    </w:p>
    <w:p w:rsidR="0037666B" w:rsidRDefault="00C627B8">
      <w:pPr>
        <w:pStyle w:val="ListBullet2"/>
        <w:tabs>
          <w:tab w:val="left" w:pos="567"/>
        </w:tabs>
        <w:ind w:left="567" w:hanging="567"/>
        <w:rPr>
          <w:noProof/>
          <w:szCs w:val="24"/>
        </w:rPr>
      </w:pPr>
      <w:r>
        <w:rPr>
          <w:noProof/>
          <w:szCs w:val="24"/>
        </w:rPr>
        <w:t>Referral to external experts in appointment of conform</w:t>
      </w:r>
      <w:r>
        <w:rPr>
          <w:noProof/>
          <w:szCs w:val="24"/>
        </w:rPr>
        <w:t>ity assessment bodies.</w:t>
      </w:r>
    </w:p>
    <w:p w:rsidR="0037666B" w:rsidRDefault="00C627B8">
      <w:pPr>
        <w:pStyle w:val="Text2"/>
        <w:ind w:left="0"/>
        <w:rPr>
          <w:noProof/>
          <w:szCs w:val="24"/>
        </w:rPr>
      </w:pPr>
      <w:r>
        <w:rPr>
          <w:noProof/>
          <w:szCs w:val="24"/>
        </w:rPr>
        <w:t xml:space="preserve">WTO ITA could examine the principles for regulatory practice which maximise the benefits of greater trade facilitation while ensuring the integrity of legitimate regulatory protections.  </w:t>
      </w:r>
    </w:p>
    <w:p w:rsidR="0037666B" w:rsidRDefault="00C627B8">
      <w:pPr>
        <w:pStyle w:val="Heading1"/>
        <w:keepNext w:val="0"/>
        <w:spacing w:before="0"/>
        <w:rPr>
          <w:noProof/>
          <w:szCs w:val="24"/>
        </w:rPr>
      </w:pPr>
      <w:bookmarkStart w:id="193" w:name="_Toc483992807"/>
      <w:r>
        <w:rPr>
          <w:noProof/>
          <w:szCs w:val="24"/>
        </w:rPr>
        <w:t>Evaluating the trade effects of suppliers' de</w:t>
      </w:r>
      <w:r>
        <w:rPr>
          <w:noProof/>
          <w:szCs w:val="24"/>
        </w:rPr>
        <w:t>claration of conformity</w:t>
      </w:r>
      <w:bookmarkEnd w:id="193"/>
    </w:p>
    <w:p w:rsidR="0037666B" w:rsidRDefault="00C627B8">
      <w:pPr>
        <w:pStyle w:val="Text1"/>
        <w:ind w:left="0"/>
        <w:rPr>
          <w:noProof/>
          <w:szCs w:val="24"/>
        </w:rPr>
      </w:pPr>
      <w:r>
        <w:rPr>
          <w:noProof/>
          <w:szCs w:val="24"/>
        </w:rPr>
        <w:t>The OECD investigated the impact of Supplier’s Declaration of Conformity (SDOC) on trade flows</w:t>
      </w:r>
      <w:r>
        <w:rPr>
          <w:rStyle w:val="FootnoteReference"/>
          <w:noProof/>
          <w:szCs w:val="24"/>
        </w:rPr>
        <w:footnoteReference w:id="206"/>
      </w:r>
      <w:r>
        <w:rPr>
          <w:noProof/>
          <w:szCs w:val="24"/>
        </w:rPr>
        <w:t>. As under SDOC regimes suppliers themselves provide written assurance of conformity to applicable technical regulations of a market, the</w:t>
      </w:r>
      <w:r>
        <w:rPr>
          <w:noProof/>
          <w:szCs w:val="24"/>
        </w:rPr>
        <w:t xml:space="preserve"> costs of compliance are assumed to be smaller than for CA regimes requiring certification by third parties.</w:t>
      </w:r>
    </w:p>
    <w:p w:rsidR="0037666B" w:rsidRDefault="00C627B8">
      <w:pPr>
        <w:pStyle w:val="Text1"/>
        <w:ind w:left="0"/>
        <w:rPr>
          <w:noProof/>
          <w:szCs w:val="24"/>
        </w:rPr>
      </w:pPr>
      <w:r>
        <w:rPr>
          <w:noProof/>
          <w:szCs w:val="24"/>
        </w:rPr>
        <w:t>The study focuses on three cases of SDOC introduction in the European Union covering eligible products from the medical devices, telecommunications</w:t>
      </w:r>
      <w:r>
        <w:rPr>
          <w:noProof/>
          <w:szCs w:val="24"/>
        </w:rPr>
        <w:t xml:space="preserve"> equipment and machinery sectors. The paper explains the rationale for using SDOC, expected benefits and design characteristics of SDOC regimes. The quantitative analysis uses a gravity model and finds compelling evidence that the introduction of SDOC in t</w:t>
      </w:r>
      <w:r>
        <w:rPr>
          <w:noProof/>
          <w:szCs w:val="24"/>
        </w:rPr>
        <w:t>he EU was a factor that influenced the evolution of import flows into EU markets positively. Intra-EU trade flows and imports from extra-EU OECD countries increased for SDOC-eligible radio and telecommunications equipment and low-risk medical devices, wher</w:t>
      </w:r>
      <w:r>
        <w:rPr>
          <w:noProof/>
          <w:szCs w:val="24"/>
        </w:rPr>
        <w:t xml:space="preserve">eas the results for machinery are ambiguous. The most striking increases, visible in all three sectors, are found for exports to EU markets from non-OECD (developing) countries included in the sample. Analysis of the effect of SDOC for selected individual </w:t>
      </w:r>
      <w:r>
        <w:rPr>
          <w:noProof/>
          <w:szCs w:val="24"/>
        </w:rPr>
        <w:t>EU members furthermore suggest that the magnitude of effect depends on the nature of the CA regime that SDOC replaced.</w:t>
      </w:r>
    </w:p>
    <w:p w:rsidR="0037666B" w:rsidRDefault="00C627B8">
      <w:pPr>
        <w:pStyle w:val="Text1"/>
        <w:ind w:left="0"/>
        <w:rPr>
          <w:noProof/>
          <w:szCs w:val="24"/>
        </w:rPr>
      </w:pPr>
      <w:r>
        <w:rPr>
          <w:noProof/>
          <w:szCs w:val="24"/>
        </w:rPr>
        <w:t>The study concluded the following:</w:t>
      </w:r>
    </w:p>
    <w:p w:rsidR="0037666B" w:rsidRDefault="00C627B8">
      <w:pPr>
        <w:pStyle w:val="Text1"/>
        <w:ind w:left="0"/>
        <w:rPr>
          <w:noProof/>
          <w:szCs w:val="24"/>
        </w:rPr>
      </w:pPr>
      <w:r>
        <w:rPr>
          <w:noProof/>
          <w:szCs w:val="24"/>
        </w:rPr>
        <w:t>First, introduction of SDOC in the EU region was indeed one factor that influenced positively the evol</w:t>
      </w:r>
      <w:r>
        <w:rPr>
          <w:noProof/>
          <w:szCs w:val="24"/>
        </w:rPr>
        <w:t>ution of imports during the time period studied. Results from the two-stage Heckman estimation show that replacement by SDOC of CA regimes that EU members applied to RTTE and Class I medical devices and that on average were stricter, made trade easier. For</w:t>
      </w:r>
      <w:r>
        <w:rPr>
          <w:noProof/>
          <w:szCs w:val="24"/>
        </w:rPr>
        <w:t xml:space="preserve"> the products studied, the switch to SDOC enabled trade (imports) of SDOC products among country pairs that did not trade these products before, and it raised the level of trade that already existed. The situation for machinery is less clear; we have less </w:t>
      </w:r>
      <w:r>
        <w:rPr>
          <w:noProof/>
          <w:szCs w:val="24"/>
        </w:rPr>
        <w:t>confidence in the estimates obtained because of the peculiar behaviour of the machinery market, which renders the coefficients of the SDOC variables unstable across alternative equations.</w:t>
      </w:r>
    </w:p>
    <w:p w:rsidR="0037666B" w:rsidRDefault="00C627B8">
      <w:pPr>
        <w:pStyle w:val="Text1"/>
        <w:ind w:left="0"/>
        <w:rPr>
          <w:noProof/>
          <w:szCs w:val="24"/>
        </w:rPr>
      </w:pPr>
      <w:r>
        <w:rPr>
          <w:noProof/>
          <w:szCs w:val="24"/>
        </w:rPr>
        <w:t>Second, the regression analysis reveals an intriguing feature of the</w:t>
      </w:r>
      <w:r>
        <w:rPr>
          <w:noProof/>
          <w:szCs w:val="24"/>
        </w:rPr>
        <w:t xml:space="preserve"> import behaviour observed. While the EU’s SDOC policy applies without discrimination to all producers, regardless of where they are located, the impact varies across different groups of source countries. Imports from non-OECD (developing) countries have b</w:t>
      </w:r>
      <w:r>
        <w:rPr>
          <w:noProof/>
          <w:szCs w:val="24"/>
        </w:rPr>
        <w:t>enefited most.</w:t>
      </w:r>
    </w:p>
    <w:p w:rsidR="0037666B" w:rsidRDefault="00C627B8">
      <w:pPr>
        <w:pStyle w:val="Text1"/>
        <w:ind w:left="0"/>
        <w:rPr>
          <w:noProof/>
          <w:szCs w:val="24"/>
        </w:rPr>
      </w:pPr>
      <w:r>
        <w:rPr>
          <w:noProof/>
          <w:szCs w:val="24"/>
        </w:rPr>
        <w:t>Third, the regression analysis confirms that bilateral trade flows between EU markets and with extra-EU countries are influenced by a host of factors other than SDOC, some of which were explicitly taken into account in the specification of t</w:t>
      </w:r>
      <w:r>
        <w:rPr>
          <w:noProof/>
          <w:szCs w:val="24"/>
        </w:rPr>
        <w:t>he gravity equations. These were however not the variables of prime interest to this study.</w:t>
      </w:r>
    </w:p>
    <w:p w:rsidR="0037666B" w:rsidRDefault="00C627B8">
      <w:pPr>
        <w:pStyle w:val="Text1"/>
        <w:ind w:left="0"/>
        <w:rPr>
          <w:noProof/>
          <w:szCs w:val="24"/>
        </w:rPr>
      </w:pPr>
      <w:r>
        <w:rPr>
          <w:noProof/>
          <w:szCs w:val="24"/>
        </w:rPr>
        <w:t>The results from both the first stage selection and second-stage regression of the Heckman model indicate that SDOC has facilitated non-EU countries’ entry of EU ma</w:t>
      </w:r>
      <w:r>
        <w:rPr>
          <w:noProof/>
          <w:szCs w:val="24"/>
        </w:rPr>
        <w:t>rkets for eligible RTTE and Class 1 medical devices, and that in particular firms located in non-OECD (developing) countries have rather consistently profited from the EU-wide switch to SDOC in all three sectors. This lends support to the notion that the t</w:t>
      </w:r>
      <w:r>
        <w:rPr>
          <w:noProof/>
          <w:szCs w:val="24"/>
        </w:rPr>
        <w:t xml:space="preserve">esting and other requirements of the national CA regimes previously in place created important fixed costs that effectively acted as a barrier to exporting. Such costs do not vary with the volume exported to a foreign market, but they can deter firms from </w:t>
      </w:r>
      <w:r>
        <w:rPr>
          <w:noProof/>
          <w:szCs w:val="24"/>
        </w:rPr>
        <w:t>pursuing sales opportunities abroad. SDOC appears to have lowered firms’ fixed costs.</w:t>
      </w:r>
    </w:p>
    <w:p w:rsidR="0037666B" w:rsidRDefault="00C627B8">
      <w:pPr>
        <w:pStyle w:val="Text1"/>
        <w:ind w:left="0"/>
        <w:rPr>
          <w:noProof/>
          <w:szCs w:val="24"/>
        </w:rPr>
      </w:pPr>
      <w:r>
        <w:rPr>
          <w:noProof/>
          <w:szCs w:val="24"/>
        </w:rPr>
        <w:t>The evidence in this paper furthermore suggests that SDOC affects firms’ variable costs more than their fixed costs. This is because while new market entries occurred, th</w:t>
      </w:r>
      <w:r>
        <w:rPr>
          <w:noProof/>
          <w:szCs w:val="24"/>
        </w:rPr>
        <w:t>is response is weaker than the positive change found for already existing imports. Results from second-stage OLIS regressions confirm that the introduction of SDOC created more export opportunities for countries with firms already supplying EU markets. Her</w:t>
      </w:r>
      <w:r>
        <w:rPr>
          <w:noProof/>
          <w:szCs w:val="24"/>
        </w:rPr>
        <w:t>e again, there was a very favourable impact of SDOC on imports from non-OECD (developing) countries, which emerge as clear winners from the change of the CA system. For extra-EU OECD countries and for intra-EU trade, results tended to be positive and stati</w:t>
      </w:r>
      <w:r>
        <w:rPr>
          <w:noProof/>
          <w:szCs w:val="24"/>
        </w:rPr>
        <w:t>stically significant, but less consistently so - e.g., SDOC facilitated imports from OECD countries of eligible medical devices, but not of RTTE, and it contributed to higher intra-EU imports of RTTE and medical devices, but not machinery. This observed st</w:t>
      </w:r>
      <w:r>
        <w:rPr>
          <w:noProof/>
          <w:szCs w:val="24"/>
        </w:rPr>
        <w:t>ronger impact on the level of existing imports differs from what Baller (2007) found in her study of MRAs. SDOC apparently has only a modest influence on a firm’s decision whether it should enter a market, but once a supplier has entered a market SDOC make</w:t>
      </w:r>
      <w:r>
        <w:rPr>
          <w:noProof/>
          <w:szCs w:val="24"/>
        </w:rPr>
        <w:t>s a difference and strengthens sales. In the case of MRAs Baller found the market entry effect to dominate.</w:t>
      </w:r>
    </w:p>
    <w:p w:rsidR="0037666B" w:rsidRDefault="00C627B8">
      <w:pPr>
        <w:pStyle w:val="Text1"/>
        <w:ind w:left="0"/>
        <w:rPr>
          <w:noProof/>
          <w:szCs w:val="24"/>
        </w:rPr>
      </w:pPr>
      <w:r>
        <w:rPr>
          <w:noProof/>
          <w:szCs w:val="24"/>
        </w:rPr>
        <w:t>The question whether firms actually adjust their practices of demonstrating conformity with given requirements in ways that would allow them to take</w:t>
      </w:r>
      <w:r>
        <w:rPr>
          <w:noProof/>
          <w:szCs w:val="24"/>
        </w:rPr>
        <w:t xml:space="preserve"> advantage of the cost savings that the CA regime change offers is answered affirmatively by the results of this study. This clearly happened in the case of the EU’s SDOC initiative, an additional incentive perhaps being that SDOC was introduced EU-wide so</w:t>
      </w:r>
      <w:r>
        <w:rPr>
          <w:noProof/>
          <w:szCs w:val="24"/>
        </w:rPr>
        <w:t xml:space="preserve"> that potential gains were amplified by the prospect of further gains resulting from selling to a unified large market. Note also that the size of cost savings and hence the trade facilitation potential depends on the magnitude of the regime change. As thi</w:t>
      </w:r>
      <w:r>
        <w:rPr>
          <w:noProof/>
          <w:szCs w:val="24"/>
        </w:rPr>
        <w:t>s paper has explained, SDOC regimes can vary greatly in their complexity, and the EC opted for a relatively simple form of SDOC, which replaced national regulations that on average were more restrictive. The analysis of individual Member States’ imports of</w:t>
      </w:r>
      <w:r>
        <w:rPr>
          <w:noProof/>
          <w:szCs w:val="24"/>
        </w:rPr>
        <w:t xml:space="preserve"> medical devices and machinery represent the first attempt to formally estimate how variation in the magnitude of regime change affects the trade response.</w:t>
      </w:r>
    </w:p>
    <w:p w:rsidR="0037666B" w:rsidRDefault="00C627B8">
      <w:pPr>
        <w:pStyle w:val="Text1"/>
        <w:ind w:left="0"/>
        <w:rPr>
          <w:noProof/>
          <w:szCs w:val="24"/>
        </w:rPr>
      </w:pPr>
      <w:r>
        <w:rPr>
          <w:noProof/>
          <w:szCs w:val="24"/>
        </w:rPr>
        <w:t>That the estimation results of the Heckman model show that the trade effects vary depending on the d</w:t>
      </w:r>
      <w:r>
        <w:rPr>
          <w:noProof/>
          <w:szCs w:val="24"/>
        </w:rPr>
        <w:t xml:space="preserve">ifferent groups of exporters and that the difference is particularly strong for OECD and non-OECD countries does not appear to be consistent with a policy measure (SDOC) that by design is non-preferential. Logic and non-statistical evidence may offer some </w:t>
      </w:r>
      <w:r>
        <w:rPr>
          <w:noProof/>
          <w:szCs w:val="24"/>
        </w:rPr>
        <w:t>help in understanding why the variations have emerged. It is widely accepted that in what is sometimes called the SQAM field (Standards, Quality, Accreditation, Metrology) the technical infrastructure in developing countries is weak, and that its poor qual</w:t>
      </w:r>
      <w:r>
        <w:rPr>
          <w:noProof/>
          <w:szCs w:val="24"/>
        </w:rPr>
        <w:t>ity constitutes a barrier to development. In many technical assistance programmes, the SQAM field is an identifiably separate field for aid. While SQAM infrastructure remains poor, complex processes of conformity assessment will be harder to master for loc</w:t>
      </w:r>
      <w:r>
        <w:rPr>
          <w:noProof/>
          <w:szCs w:val="24"/>
        </w:rPr>
        <w:t>al producers than for producers in more developed markets. The problem is compounded when mandatory third-party conformity assessment is coupled with the requirement to use a conformity assessment body (CAB) in the destination market: for suppliers from mo</w:t>
      </w:r>
      <w:r>
        <w:rPr>
          <w:noProof/>
          <w:szCs w:val="24"/>
        </w:rPr>
        <w:t>st OECD member countries at similar stages of development, it will be relatively easy to develop a relationship with a highly competent CAB in another country – not so for a developing country supplier. The removal of mandatory third-party CAB in a destina</w:t>
      </w:r>
      <w:r>
        <w:rPr>
          <w:noProof/>
          <w:szCs w:val="24"/>
        </w:rPr>
        <w:t>tion market will therefore be an even greater benefit to a developing country supplier who did not have the capability to master it in the first place.</w:t>
      </w:r>
    </w:p>
    <w:p w:rsidR="0037666B" w:rsidRDefault="00C627B8">
      <w:pPr>
        <w:pStyle w:val="Text1"/>
        <w:ind w:left="0"/>
        <w:rPr>
          <w:noProof/>
          <w:szCs w:val="24"/>
        </w:rPr>
      </w:pPr>
      <w:r>
        <w:rPr>
          <w:noProof/>
          <w:szCs w:val="24"/>
        </w:rPr>
        <w:t xml:space="preserve">That argument, however, does not explain why imports between EU countries would be affected differently </w:t>
      </w:r>
      <w:r>
        <w:rPr>
          <w:noProof/>
          <w:szCs w:val="24"/>
        </w:rPr>
        <w:t xml:space="preserve">by SDOC than imports coming from other OECD countries outside the region – i.e., why exporters located in OECD countries benefit less from SDOC than their counterparts in EU countries. A logical explanation for that might be simply that EU suppliers would </w:t>
      </w:r>
      <w:r>
        <w:rPr>
          <w:noProof/>
          <w:szCs w:val="24"/>
        </w:rPr>
        <w:t>generally be more keen to take advantage of significant new benefits offered in their home market, which in many cases will count for a higher proportion of total revenues than for suppliers outside.</w:t>
      </w:r>
    </w:p>
    <w:p w:rsidR="0037666B" w:rsidRDefault="00C627B8">
      <w:pPr>
        <w:pStyle w:val="Text1"/>
        <w:ind w:left="0"/>
        <w:rPr>
          <w:noProof/>
          <w:szCs w:val="24"/>
        </w:rPr>
      </w:pPr>
      <w:r>
        <w:rPr>
          <w:noProof/>
          <w:szCs w:val="24"/>
        </w:rPr>
        <w:t xml:space="preserve">One less palatable argument may also be mentioned – and </w:t>
      </w:r>
      <w:r>
        <w:rPr>
          <w:noProof/>
          <w:szCs w:val="24"/>
        </w:rPr>
        <w:t>indeed sometimes is mentioned – to explain the apparently disproportionate benefit to developing countries: that imports from non-OECD countries into the EU have increased because of widespread rogue practices of manufacturers operating in developing count</w:t>
      </w:r>
      <w:r>
        <w:rPr>
          <w:noProof/>
          <w:szCs w:val="24"/>
        </w:rPr>
        <w:t>ries. They self-certify compliance with the standards in the EU but in practice may not verify. This way they save most of the costs associated with SDOC and can offer their products at very competitive prices. Concern about the dangers to public safety pr</w:t>
      </w:r>
      <w:r>
        <w:rPr>
          <w:noProof/>
          <w:szCs w:val="24"/>
        </w:rPr>
        <w:t>esented by the abandonment of ex ante technical checks by bodies under the direct authority of government in the import market is well known and understood, and is consistent with this fear of rogue practice. The authors have, however, not come across offi</w:t>
      </w:r>
      <w:r>
        <w:rPr>
          <w:noProof/>
          <w:szCs w:val="24"/>
        </w:rPr>
        <w:t>cial records that would indicate that such practices are indeed common in the three sectors studied.</w:t>
      </w:r>
    </w:p>
    <w:p w:rsidR="0037666B" w:rsidRDefault="00C627B8">
      <w:pPr>
        <w:pStyle w:val="Text1"/>
        <w:ind w:left="0"/>
        <w:rPr>
          <w:noProof/>
          <w:szCs w:val="24"/>
        </w:rPr>
      </w:pPr>
      <w:r>
        <w:rPr>
          <w:noProof/>
          <w:szCs w:val="24"/>
        </w:rPr>
        <w:t>The authors made a special comment on the results for machinery, which are partly ambiguous and partly contradict the statistical conclusions from the othe</w:t>
      </w:r>
      <w:r>
        <w:rPr>
          <w:noProof/>
          <w:szCs w:val="24"/>
        </w:rPr>
        <w:t>r two sectors. Only for non-OECD (developing) countries are the results for machinery consistent with those for the other two sectors: SDOC can be demonstrated to have led to increased exports by developing countries to the EU. But for intra-EU trade and f</w:t>
      </w:r>
      <w:r>
        <w:rPr>
          <w:noProof/>
          <w:szCs w:val="24"/>
        </w:rPr>
        <w:t>or imports from OECD countries, the results are ambiguous or negative. No statistical explanation for this exception emerges from the study, and a wider debate may be justified.</w:t>
      </w:r>
    </w:p>
    <w:p w:rsidR="0037666B" w:rsidRDefault="00C627B8">
      <w:pPr>
        <w:pStyle w:val="Text1"/>
        <w:ind w:left="0"/>
        <w:rPr>
          <w:noProof/>
          <w:szCs w:val="24"/>
        </w:rPr>
      </w:pPr>
      <w:r>
        <w:rPr>
          <w:noProof/>
          <w:szCs w:val="24"/>
        </w:rPr>
        <w:t>The authors do feel, however, that it is possible to offer a logical hypothesi</w:t>
      </w:r>
      <w:r>
        <w:rPr>
          <w:noProof/>
          <w:szCs w:val="24"/>
        </w:rPr>
        <w:t>s to explain the difference. It is based on the complexity of the other changes to EU technical regulation introduced simultaneously by the same technical regulation which introduced SDOC in this sector: notably, the commissioning of an entire new generati</w:t>
      </w:r>
      <w:r>
        <w:rPr>
          <w:noProof/>
          <w:szCs w:val="24"/>
        </w:rPr>
        <w:t xml:space="preserve">on of European standards which may have led in some cases to radical changes in manufacturing processes or documentation even for established, domestic suppliers. The changes were far more complex than those involved in the other two cases in this study – </w:t>
      </w:r>
      <w:r>
        <w:rPr>
          <w:noProof/>
          <w:szCs w:val="24"/>
        </w:rPr>
        <w:t>remember notably that in the (admittedly often complex) medical devices sector, this study covered only the simple Class I medical devices, with a relatively limited number of standards. In machinery, on the other hand, several hundred new standards were i</w:t>
      </w:r>
      <w:r>
        <w:rPr>
          <w:noProof/>
          <w:szCs w:val="24"/>
        </w:rPr>
        <w:t>nvolved, and the process of identifying the combination standards applicable to a specific product was initially complex, and complicated further by the fact that for many products, product specific standards took years to develop, forcing suppliers to det</w:t>
      </w:r>
      <w:r>
        <w:rPr>
          <w:noProof/>
          <w:szCs w:val="24"/>
        </w:rPr>
        <w:t>ermine for themselves – or with the help of external specialists – how to meet the – also new – essential requirements of the directive itself. The process of adaptation might have been more disruptive for producers in developed countries than for new supp</w:t>
      </w:r>
      <w:r>
        <w:rPr>
          <w:noProof/>
          <w:szCs w:val="24"/>
        </w:rPr>
        <w:t>liers in the developing world, who would have seen the simplification and uniformity across the entire EU as an opportunity rather than a burden.</w:t>
      </w:r>
    </w:p>
    <w:p w:rsidR="0037666B" w:rsidRDefault="00C627B8">
      <w:pPr>
        <w:pStyle w:val="Text1"/>
        <w:ind w:left="0"/>
        <w:rPr>
          <w:noProof/>
          <w:szCs w:val="24"/>
        </w:rPr>
      </w:pPr>
      <w:r>
        <w:rPr>
          <w:noProof/>
          <w:szCs w:val="24"/>
        </w:rPr>
        <w:t xml:space="preserve">There are two ways in which regulatory complexity affects measurement of the trade impact of SDOC in the case </w:t>
      </w:r>
      <w:r>
        <w:rPr>
          <w:noProof/>
          <w:szCs w:val="24"/>
        </w:rPr>
        <w:t>of the EU. First, when SDOC was introduced it replaced all previous national systems at the same time; i.e. SDOC was harmonised across the region for applicable product classes. Second, in two of our three sectors the Directives which introduce SDOC also i</w:t>
      </w:r>
      <w:r>
        <w:rPr>
          <w:noProof/>
          <w:szCs w:val="24"/>
        </w:rPr>
        <w:t>ntroduce other changes unrelated to SDOC, such as the harmonisation of standards. This study’s model specification has tried to separate SDOC introduction from its EU-wide harmonisation and from the Directives’ other provisions by including a set of produc</w:t>
      </w:r>
      <w:r>
        <w:rPr>
          <w:noProof/>
          <w:szCs w:val="24"/>
        </w:rPr>
        <w:t xml:space="preserve">ts in each sector that are not eligible for SDOC and taking into account also the imports of three countries that did not join the EU’s SDOC initiative. In addition, the authors have worked with product fixed effects that should also cover effects such as </w:t>
      </w:r>
      <w:r>
        <w:rPr>
          <w:noProof/>
          <w:szCs w:val="24"/>
        </w:rPr>
        <w:t xml:space="preserve">those generated by SDOC harmonisation. These are first estimates, and while the authors think their model has been well specified, they think that it would be useful to replicate this study for individual countries that have adopted SDOC in the absence of </w:t>
      </w:r>
      <w:r>
        <w:rPr>
          <w:noProof/>
          <w:szCs w:val="24"/>
        </w:rPr>
        <w:t>other regulatory changes.</w:t>
      </w:r>
    </w:p>
    <w:p w:rsidR="0037666B" w:rsidRDefault="00C627B8">
      <w:pPr>
        <w:pStyle w:val="Text1"/>
        <w:ind w:left="0"/>
        <w:rPr>
          <w:noProof/>
          <w:szCs w:val="24"/>
        </w:rPr>
      </w:pPr>
      <w:r>
        <w:rPr>
          <w:noProof/>
          <w:szCs w:val="24"/>
        </w:rPr>
        <w:t>Factors such as economic growth and technological developments, have undoubtedly contributed to a significant expansion over the last decade of exports of RTTE and other manufactured products from such countries as Brazil, China a</w:t>
      </w:r>
      <w:r>
        <w:rPr>
          <w:noProof/>
          <w:szCs w:val="24"/>
        </w:rPr>
        <w:t>nd India, which are included in this study’s sample of non-OECD countries. But exports from these countries driven by such factors have increased not only with respect to Europe but also with respect to the United States and other major markets of the worl</w:t>
      </w:r>
      <w:r>
        <w:rPr>
          <w:noProof/>
          <w:szCs w:val="24"/>
        </w:rPr>
        <w:t>d. By differentiating the EU from the control group countries and adding country and time fixed effects, the specifications of the gravity equation have controlled for the interference of these factors in the measurement of SDOC impact.</w:t>
      </w:r>
    </w:p>
    <w:p w:rsidR="0037666B" w:rsidRDefault="00C627B8">
      <w:pPr>
        <w:pStyle w:val="Text1"/>
        <w:ind w:left="0"/>
        <w:rPr>
          <w:noProof/>
          <w:szCs w:val="24"/>
        </w:rPr>
      </w:pPr>
      <w:r>
        <w:rPr>
          <w:noProof/>
          <w:szCs w:val="24"/>
        </w:rPr>
        <w:t>The authors argue t</w:t>
      </w:r>
      <w:r>
        <w:rPr>
          <w:noProof/>
          <w:szCs w:val="24"/>
        </w:rPr>
        <w:t>hat the econometric procedures used are appropriate and, with the exception of the machinery sector, the specifications have performed well enough to create confidence about the sign of the coefficients of the SDOC variable. The size of the effect (i.e., s</w:t>
      </w:r>
      <w:r>
        <w:rPr>
          <w:noProof/>
          <w:szCs w:val="24"/>
        </w:rPr>
        <w:t>ize of SDOC coefficients) is best taken as indicative, for two reasons:</w:t>
      </w:r>
    </w:p>
    <w:p w:rsidR="0037666B" w:rsidRDefault="00C627B8">
      <w:pPr>
        <w:pStyle w:val="ListDash1"/>
        <w:tabs>
          <w:tab w:val="clear" w:pos="765"/>
          <w:tab w:val="num" w:pos="567"/>
        </w:tabs>
        <w:ind w:left="567" w:hanging="567"/>
        <w:rPr>
          <w:noProof/>
          <w:szCs w:val="24"/>
        </w:rPr>
      </w:pPr>
      <w:r>
        <w:rPr>
          <w:noProof/>
          <w:szCs w:val="24"/>
        </w:rPr>
        <w:t>First, the effect of SDOC is for the set of (SDOC and non-SDOC) products included in the study, and the specific products covered could explain the big effects observed for SDOC in the</w:t>
      </w:r>
      <w:r>
        <w:rPr>
          <w:noProof/>
          <w:szCs w:val="24"/>
        </w:rPr>
        <w:t xml:space="preserve"> estimations. Import behaviour in other sectors could be different, although it would be reasonable to expect to find SDOC having a positive effect where the transition is from a more restrictive regime.</w:t>
      </w:r>
    </w:p>
    <w:p w:rsidR="0037666B" w:rsidRDefault="00C627B8">
      <w:pPr>
        <w:pStyle w:val="ListDash1"/>
        <w:tabs>
          <w:tab w:val="num" w:pos="567"/>
        </w:tabs>
        <w:ind w:left="567" w:hanging="567"/>
        <w:rPr>
          <w:noProof/>
          <w:szCs w:val="24"/>
        </w:rPr>
      </w:pPr>
      <w:r>
        <w:rPr>
          <w:noProof/>
          <w:szCs w:val="24"/>
        </w:rPr>
        <w:t>Second, the gravity model is most widely used and ha</w:t>
      </w:r>
      <w:r>
        <w:rPr>
          <w:noProof/>
          <w:szCs w:val="24"/>
        </w:rPr>
        <w:t>s proven itself when modelling uses bilateral flows of trade at the aggregate level. Here, it was applied to trade in product segments in three sectors, making use of highly disaggregated trade data. Other empirical work has shown that the gravity model re</w:t>
      </w:r>
      <w:r>
        <w:rPr>
          <w:noProof/>
          <w:szCs w:val="24"/>
        </w:rPr>
        <w:t>mains a useful analytical tool even at a disaggregated level of trade; however, disaggregation heightens the sensitivity of explanatory variables and this may lead to surprising results. This warrants caution not to take the magnitude of the coefficients o</w:t>
      </w:r>
      <w:r>
        <w:rPr>
          <w:noProof/>
          <w:szCs w:val="24"/>
        </w:rPr>
        <w:t>f the SDOC variable at face value. At this time it is not possible to provide external tests for our estimates, as other studies assessing SDOC’s trade effects are nonexistent to the authors' knowledge.</w:t>
      </w:r>
      <w:r>
        <w:rPr>
          <w:noProof/>
          <w:szCs w:val="24"/>
        </w:rPr>
        <w:br w:type="page"/>
      </w:r>
    </w:p>
    <w:p w:rsidR="0037666B" w:rsidRDefault="00C627B8">
      <w:pPr>
        <w:pStyle w:val="Heading1"/>
        <w:keepNext w:val="0"/>
        <w:numPr>
          <w:ilvl w:val="0"/>
          <w:numId w:val="0"/>
        </w:numPr>
        <w:spacing w:before="0"/>
        <w:rPr>
          <w:noProof/>
          <w:szCs w:val="24"/>
        </w:rPr>
      </w:pPr>
      <w:bookmarkStart w:id="194" w:name="_Toc483992808"/>
      <w:r>
        <w:rPr>
          <w:noProof/>
          <w:szCs w:val="24"/>
        </w:rPr>
        <w:t>Annex 9 The SME Test – Summary of results</w:t>
      </w:r>
      <w:bookmarkEnd w:id="194"/>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7"/>
        <w:gridCol w:w="2410"/>
      </w:tblGrid>
      <w:tr w:rsidR="0037666B">
        <w:tc>
          <w:tcPr>
            <w:tcW w:w="8647" w:type="dxa"/>
            <w:gridSpan w:val="2"/>
          </w:tcPr>
          <w:p w:rsidR="0037666B" w:rsidRDefault="00C627B8">
            <w:pPr>
              <w:rPr>
                <w:noProof/>
                <w:szCs w:val="24"/>
              </w:rPr>
            </w:pPr>
            <w:r>
              <w:rPr>
                <w:b/>
                <w:bCs/>
                <w:noProof/>
                <w:szCs w:val="24"/>
              </w:rPr>
              <w:t>(1) Prelim</w:t>
            </w:r>
            <w:r>
              <w:rPr>
                <w:b/>
                <w:bCs/>
                <w:noProof/>
                <w:szCs w:val="24"/>
              </w:rPr>
              <w:t xml:space="preserve">inary assessment of businesses likely to be affected </w:t>
            </w:r>
          </w:p>
        </w:tc>
      </w:tr>
      <w:tr w:rsidR="0037666B">
        <w:tc>
          <w:tcPr>
            <w:tcW w:w="6237" w:type="dxa"/>
          </w:tcPr>
          <w:p w:rsidR="0037666B" w:rsidRDefault="00C627B8">
            <w:pPr>
              <w:rPr>
                <w:noProof/>
                <w:szCs w:val="24"/>
              </w:rPr>
            </w:pPr>
            <w:r>
              <w:rPr>
                <w:noProof/>
                <w:szCs w:val="24"/>
              </w:rPr>
              <w:t xml:space="preserve">Around </w:t>
            </w:r>
            <w:r>
              <w:rPr>
                <w:b/>
                <w:noProof/>
                <w:szCs w:val="24"/>
              </w:rPr>
              <w:t>87%</w:t>
            </w:r>
            <w:r>
              <w:rPr>
                <w:noProof/>
                <w:szCs w:val="24"/>
              </w:rPr>
              <w:t xml:space="preserve"> of the enterprises operating within the non-harmonised sectors </w:t>
            </w:r>
            <w:r>
              <w:rPr>
                <w:b/>
                <w:noProof/>
                <w:szCs w:val="24"/>
              </w:rPr>
              <w:t>are micro enterprises</w:t>
            </w:r>
            <w:r>
              <w:rPr>
                <w:noProof/>
                <w:szCs w:val="24"/>
              </w:rPr>
              <w:t xml:space="preserve"> (i.e. with less than 9 employees) and around </w:t>
            </w:r>
            <w:r>
              <w:rPr>
                <w:b/>
                <w:noProof/>
                <w:szCs w:val="24"/>
              </w:rPr>
              <w:t>11% are small and medium enterprises</w:t>
            </w:r>
            <w:r>
              <w:rPr>
                <w:noProof/>
                <w:szCs w:val="24"/>
              </w:rPr>
              <w:t xml:space="preserve"> (i.e. with a number of </w:t>
            </w:r>
            <w:r>
              <w:rPr>
                <w:noProof/>
                <w:szCs w:val="24"/>
              </w:rPr>
              <w:t>employees between 50 and 250)</w:t>
            </w:r>
            <w:r>
              <w:rPr>
                <w:noProof/>
                <w:szCs w:val="24"/>
                <w:vertAlign w:val="superscript"/>
              </w:rPr>
              <w:footnoteReference w:id="207"/>
            </w:r>
            <w:r>
              <w:rPr>
                <w:noProof/>
                <w:szCs w:val="24"/>
              </w:rPr>
              <w:t>.</w:t>
            </w:r>
          </w:p>
          <w:p w:rsidR="0037666B" w:rsidRDefault="00C627B8">
            <w:pPr>
              <w:rPr>
                <w:b/>
                <w:bCs/>
                <w:noProof/>
                <w:szCs w:val="24"/>
              </w:rPr>
            </w:pPr>
            <w:r>
              <w:rPr>
                <w:noProof/>
                <w:szCs w:val="24"/>
              </w:rPr>
              <w:t>Therefore, the problem is likely to particularly affect SMEs.</w:t>
            </w:r>
          </w:p>
        </w:tc>
        <w:tc>
          <w:tcPr>
            <w:tcW w:w="2410" w:type="dxa"/>
          </w:tcPr>
          <w:p w:rsidR="0037666B" w:rsidRDefault="00C627B8">
            <w:pPr>
              <w:jc w:val="left"/>
              <w:rPr>
                <w:noProof/>
                <w:szCs w:val="24"/>
              </w:rPr>
            </w:pPr>
            <w:r>
              <w:rPr>
                <w:noProof/>
                <w:szCs w:val="24"/>
              </w:rPr>
              <w:t xml:space="preserve">(See section 2 – Economic context and 3.2  - The consequences of the problem as well as Annex 3- Who is affected and how and Annex 4 – Analytical tools and </w:t>
            </w:r>
            <w:r>
              <w:rPr>
                <w:noProof/>
                <w:szCs w:val="24"/>
              </w:rPr>
              <w:t>economic context)</w:t>
            </w:r>
          </w:p>
        </w:tc>
      </w:tr>
      <w:tr w:rsidR="0037666B">
        <w:tc>
          <w:tcPr>
            <w:tcW w:w="8647" w:type="dxa"/>
            <w:gridSpan w:val="2"/>
          </w:tcPr>
          <w:p w:rsidR="0037666B" w:rsidRDefault="00C627B8">
            <w:pPr>
              <w:jc w:val="left"/>
              <w:rPr>
                <w:b/>
                <w:bCs/>
                <w:noProof/>
                <w:szCs w:val="24"/>
              </w:rPr>
            </w:pPr>
            <w:r>
              <w:rPr>
                <w:b/>
                <w:bCs/>
                <w:noProof/>
                <w:szCs w:val="24"/>
              </w:rPr>
              <w:t>(2) Consultation with SMEs representatives</w:t>
            </w:r>
          </w:p>
        </w:tc>
      </w:tr>
      <w:tr w:rsidR="0037666B">
        <w:tc>
          <w:tcPr>
            <w:tcW w:w="6237" w:type="dxa"/>
          </w:tcPr>
          <w:p w:rsidR="0037666B" w:rsidRDefault="00C627B8">
            <w:pPr>
              <w:rPr>
                <w:noProof/>
                <w:szCs w:val="24"/>
              </w:rPr>
            </w:pPr>
            <w:r>
              <w:rPr>
                <w:noProof/>
                <w:szCs w:val="24"/>
              </w:rPr>
              <w:t>An online public consultation was carried on from the 1</w:t>
            </w:r>
            <w:r>
              <w:rPr>
                <w:noProof/>
                <w:szCs w:val="24"/>
                <w:vertAlign w:val="superscript"/>
              </w:rPr>
              <w:t>st</w:t>
            </w:r>
            <w:r>
              <w:rPr>
                <w:noProof/>
                <w:szCs w:val="24"/>
              </w:rPr>
              <w:t xml:space="preserve"> of June until the 30 of September 2016 (17 weeks) accessible via the </w:t>
            </w:r>
            <w:r>
              <w:rPr>
                <w:i/>
                <w:noProof/>
                <w:szCs w:val="24"/>
              </w:rPr>
              <w:t>Your voice in Europe</w:t>
            </w:r>
            <w:r>
              <w:rPr>
                <w:noProof/>
                <w:szCs w:val="24"/>
              </w:rPr>
              <w:t xml:space="preserve"> website. The consultation was made available to the general public, and aimed at gathering data on the functioning of mutual recognition, the current problems as well as possible options for improvement. </w:t>
            </w:r>
            <w:r>
              <w:rPr>
                <w:b/>
                <w:noProof/>
                <w:szCs w:val="24"/>
              </w:rPr>
              <w:t>153</w:t>
            </w:r>
            <w:r>
              <w:rPr>
                <w:noProof/>
                <w:szCs w:val="24"/>
              </w:rPr>
              <w:t xml:space="preserve"> replies were received during the public consult</w:t>
            </w:r>
            <w:r>
              <w:rPr>
                <w:noProof/>
                <w:szCs w:val="24"/>
              </w:rPr>
              <w:t xml:space="preserve">ation. </w:t>
            </w:r>
          </w:p>
          <w:p w:rsidR="0037666B" w:rsidRDefault="00C627B8">
            <w:pPr>
              <w:rPr>
                <w:noProof/>
                <w:szCs w:val="24"/>
              </w:rPr>
            </w:pPr>
            <w:r>
              <w:rPr>
                <w:noProof/>
                <w:szCs w:val="24"/>
              </w:rPr>
              <w:t xml:space="preserve">Many business associations which replied to the consultation represented SMEs and, in addition, 22 SMEs and 8 micro enterprises submitted an individual reply to the consultation. The results show that the majority of SMEs, when faced with national </w:t>
            </w:r>
            <w:r>
              <w:rPr>
                <w:noProof/>
                <w:szCs w:val="24"/>
              </w:rPr>
              <w:t>rules preventing them from selling their products as such tend to adapt their products instead on relying on mutual recognition. This happen despite the fact that the majority of SMEs tried to rely on mutual recognition for entering the market.  Market acc</w:t>
            </w:r>
            <w:r>
              <w:rPr>
                <w:noProof/>
                <w:szCs w:val="24"/>
              </w:rPr>
              <w:t>ess denial also affected SMEs, as up to 71% of SMEs were faced with a market access denial decision after using mutual recognition for entering a market. As regards challenging these decisions, 7% of SMEs successfully challenging such decision (0% for micr</w:t>
            </w:r>
            <w:r>
              <w:rPr>
                <w:noProof/>
                <w:szCs w:val="24"/>
              </w:rPr>
              <w:t xml:space="preserve">o and medium enterprises). </w:t>
            </w:r>
          </w:p>
          <w:p w:rsidR="0037666B" w:rsidRDefault="00C627B8">
            <w:pPr>
              <w:rPr>
                <w:noProof/>
                <w:szCs w:val="24"/>
              </w:rPr>
            </w:pPr>
            <w:r>
              <w:rPr>
                <w:noProof/>
                <w:szCs w:val="24"/>
              </w:rPr>
              <w:t xml:space="preserve">The Commission presented the initiative and sought the views of SMEs at the Small Business Act regular meeting with European SME associations on 7 December 2016. </w:t>
            </w:r>
          </w:p>
          <w:p w:rsidR="0037666B" w:rsidRDefault="0037666B">
            <w:pPr>
              <w:rPr>
                <w:noProof/>
                <w:szCs w:val="24"/>
              </w:rPr>
            </w:pPr>
          </w:p>
          <w:p w:rsidR="0037666B" w:rsidRDefault="0037666B">
            <w:pPr>
              <w:rPr>
                <w:noProof/>
                <w:szCs w:val="24"/>
              </w:rPr>
            </w:pPr>
          </w:p>
        </w:tc>
        <w:tc>
          <w:tcPr>
            <w:tcW w:w="2410" w:type="dxa"/>
          </w:tcPr>
          <w:p w:rsidR="0037666B" w:rsidRDefault="00C627B8">
            <w:pPr>
              <w:jc w:val="left"/>
              <w:rPr>
                <w:noProof/>
                <w:szCs w:val="24"/>
              </w:rPr>
            </w:pPr>
            <w:r>
              <w:rPr>
                <w:noProof/>
                <w:szCs w:val="24"/>
              </w:rPr>
              <w:t xml:space="preserve">(See Annex 1 - Procedural issues and Annex 2 – Synopsis report </w:t>
            </w:r>
            <w:r>
              <w:rPr>
                <w:noProof/>
                <w:szCs w:val="24"/>
              </w:rPr>
              <w:t>of the stakeholder consultation)</w:t>
            </w:r>
          </w:p>
        </w:tc>
      </w:tr>
      <w:tr w:rsidR="0037666B">
        <w:tc>
          <w:tcPr>
            <w:tcW w:w="8647" w:type="dxa"/>
            <w:gridSpan w:val="2"/>
          </w:tcPr>
          <w:p w:rsidR="0037666B" w:rsidRDefault="00C627B8">
            <w:pPr>
              <w:rPr>
                <w:b/>
                <w:bCs/>
                <w:noProof/>
                <w:szCs w:val="24"/>
              </w:rPr>
            </w:pPr>
            <w:r>
              <w:rPr>
                <w:b/>
                <w:bCs/>
                <w:noProof/>
                <w:szCs w:val="24"/>
              </w:rPr>
              <w:t>(3) Measurement of the impact on SMEs</w:t>
            </w:r>
          </w:p>
        </w:tc>
      </w:tr>
      <w:tr w:rsidR="0037666B">
        <w:tc>
          <w:tcPr>
            <w:tcW w:w="6237" w:type="dxa"/>
          </w:tcPr>
          <w:p w:rsidR="0037666B" w:rsidRDefault="00C627B8">
            <w:pPr>
              <w:rPr>
                <w:noProof/>
                <w:szCs w:val="24"/>
              </w:rPr>
            </w:pPr>
            <w:r>
              <w:rPr>
                <w:noProof/>
                <w:szCs w:val="24"/>
              </w:rPr>
              <w:t>More than half of SMEs say that administrative procedures related to exporting to other Member States are too difficult to comply with and therefore deter many firms from exporting.</w:t>
            </w:r>
            <w:r>
              <w:rPr>
                <w:noProof/>
                <w:szCs w:val="24"/>
                <w:vertAlign w:val="superscript"/>
              </w:rPr>
              <w:footnoteReference w:id="208"/>
            </w:r>
            <w:r>
              <w:rPr>
                <w:noProof/>
                <w:szCs w:val="24"/>
              </w:rPr>
              <w:t xml:space="preserve"> According to the Commission’s 2014 Competitiveness report, only 14% of SMEs are trading across borders in the EU compared to 85.4 % of large manufacturing firms</w:t>
            </w:r>
            <w:r>
              <w:rPr>
                <w:noProof/>
                <w:szCs w:val="24"/>
                <w:vertAlign w:val="superscript"/>
              </w:rPr>
              <w:footnoteReference w:id="209"/>
            </w:r>
            <w:r>
              <w:rPr>
                <w:noProof/>
                <w:szCs w:val="24"/>
              </w:rPr>
              <w:t xml:space="preserve">.  This translates into </w:t>
            </w:r>
            <w:r>
              <w:rPr>
                <w:b/>
                <w:noProof/>
                <w:szCs w:val="24"/>
              </w:rPr>
              <w:t>lost opportunities</w:t>
            </w:r>
            <w:r>
              <w:rPr>
                <w:noProof/>
                <w:szCs w:val="24"/>
              </w:rPr>
              <w:t xml:space="preserve"> for businesses as well as costs resulting from </w:t>
            </w:r>
            <w:r>
              <w:rPr>
                <w:b/>
                <w:noProof/>
                <w:szCs w:val="24"/>
              </w:rPr>
              <w:t>dela</w:t>
            </w:r>
            <w:r>
              <w:rPr>
                <w:b/>
                <w:noProof/>
                <w:szCs w:val="24"/>
              </w:rPr>
              <w:t>ys for entering a market</w:t>
            </w:r>
            <w:r>
              <w:rPr>
                <w:noProof/>
                <w:szCs w:val="24"/>
              </w:rPr>
              <w:t>. In addition, it also generates a loss of competitiveness and innovation.</w:t>
            </w:r>
          </w:p>
          <w:p w:rsidR="0037666B" w:rsidRDefault="00C627B8">
            <w:pPr>
              <w:rPr>
                <w:bCs/>
                <w:noProof/>
                <w:szCs w:val="24"/>
              </w:rPr>
            </w:pPr>
            <w:r>
              <w:rPr>
                <w:noProof/>
                <w:szCs w:val="24"/>
              </w:rPr>
              <w:t xml:space="preserve">Furthermore, SMEs are more impacted by information costs, as they don't have the necessary internal resources to allocate to finding the applicable rules in </w:t>
            </w:r>
            <w:r>
              <w:rPr>
                <w:noProof/>
                <w:szCs w:val="24"/>
              </w:rPr>
              <w:t>the member State where they want to sell their products, nor the financial means to externalise this research. Alike, SMEs are heavily impacted by the lack of efficient means to challenge administrative decisions denying market access, because they don’t h</w:t>
            </w:r>
            <w:r>
              <w:rPr>
                <w:noProof/>
                <w:szCs w:val="24"/>
              </w:rPr>
              <w:t>ave internal legal departments to deal with these long and costly procedures. For a fact, 83% of businesses using alternative disputes resolution systems such as SOLVIT are SMEs</w:t>
            </w:r>
            <w:r>
              <w:rPr>
                <w:rStyle w:val="FootnoteReference"/>
                <w:noProof/>
                <w:szCs w:val="24"/>
              </w:rPr>
              <w:footnoteReference w:id="210"/>
            </w:r>
            <w:r>
              <w:rPr>
                <w:noProof/>
                <w:szCs w:val="24"/>
              </w:rPr>
              <w:t xml:space="preserve">. </w:t>
            </w:r>
          </w:p>
        </w:tc>
        <w:tc>
          <w:tcPr>
            <w:tcW w:w="2410" w:type="dxa"/>
          </w:tcPr>
          <w:p w:rsidR="0037666B" w:rsidRDefault="00C627B8">
            <w:pPr>
              <w:rPr>
                <w:noProof/>
                <w:szCs w:val="24"/>
              </w:rPr>
            </w:pPr>
            <w:r>
              <w:rPr>
                <w:noProof/>
                <w:szCs w:val="24"/>
              </w:rPr>
              <w:t xml:space="preserve">(See section 7 – Analysis of the impacts and Annex 3 – Who is affected and </w:t>
            </w:r>
            <w:r>
              <w:rPr>
                <w:noProof/>
                <w:szCs w:val="24"/>
              </w:rPr>
              <w:t>how)</w:t>
            </w:r>
          </w:p>
        </w:tc>
      </w:tr>
      <w:tr w:rsidR="0037666B">
        <w:tc>
          <w:tcPr>
            <w:tcW w:w="8647" w:type="dxa"/>
            <w:gridSpan w:val="2"/>
          </w:tcPr>
          <w:p w:rsidR="0037666B" w:rsidRDefault="00C627B8">
            <w:pPr>
              <w:rPr>
                <w:b/>
                <w:bCs/>
                <w:noProof/>
                <w:szCs w:val="24"/>
              </w:rPr>
            </w:pPr>
            <w:r>
              <w:rPr>
                <w:b/>
                <w:bCs/>
                <w:noProof/>
                <w:szCs w:val="24"/>
              </w:rPr>
              <w:t>4) Assess alternative options and mitigating measures</w:t>
            </w:r>
          </w:p>
        </w:tc>
      </w:tr>
      <w:tr w:rsidR="0037666B">
        <w:tc>
          <w:tcPr>
            <w:tcW w:w="6237" w:type="dxa"/>
          </w:tcPr>
          <w:p w:rsidR="0037666B" w:rsidRDefault="00C627B8">
            <w:pPr>
              <w:rPr>
                <w:bCs/>
                <w:noProof/>
                <w:szCs w:val="24"/>
              </w:rPr>
            </w:pPr>
            <w:r>
              <w:rPr>
                <w:bCs/>
                <w:noProof/>
                <w:szCs w:val="24"/>
              </w:rPr>
              <w:t>At the end of the impact assessment, the selected option shows that the initiative might have a very positive economic impact on the stakeholders in general, including SMEs. Consequently, there i</w:t>
            </w:r>
            <w:r>
              <w:rPr>
                <w:bCs/>
                <w:noProof/>
                <w:szCs w:val="24"/>
              </w:rPr>
              <w:t>s no element showing the need for SME specific measures in order to ensure compliance with the proportionality principle.</w:t>
            </w:r>
            <w:r>
              <w:rPr>
                <w:noProof/>
                <w:szCs w:val="24"/>
              </w:rPr>
              <w:t xml:space="preserve"> </w:t>
            </w:r>
          </w:p>
        </w:tc>
        <w:tc>
          <w:tcPr>
            <w:tcW w:w="2410" w:type="dxa"/>
          </w:tcPr>
          <w:p w:rsidR="0037666B" w:rsidRDefault="00C627B8">
            <w:pPr>
              <w:rPr>
                <w:noProof/>
                <w:szCs w:val="24"/>
              </w:rPr>
            </w:pPr>
            <w:r>
              <w:rPr>
                <w:noProof/>
                <w:szCs w:val="24"/>
              </w:rPr>
              <w:t>(See section 7 – Analysis of the impacts and Annex 3 – Who is affected and how)</w:t>
            </w:r>
          </w:p>
        </w:tc>
      </w:tr>
    </w:tbl>
    <w:p w:rsidR="0037666B" w:rsidRDefault="0037666B">
      <w:pPr>
        <w:rPr>
          <w:noProof/>
          <w:szCs w:val="24"/>
        </w:rPr>
      </w:pPr>
    </w:p>
    <w:p w:rsidR="0037666B" w:rsidRDefault="00C627B8">
      <w:pPr>
        <w:rPr>
          <w:noProof/>
          <w:szCs w:val="24"/>
        </w:rPr>
      </w:pPr>
      <w:r>
        <w:rPr>
          <w:noProof/>
          <w:szCs w:val="24"/>
        </w:rPr>
        <w:tab/>
      </w:r>
      <w:r>
        <w:rPr>
          <w:noProof/>
          <w:szCs w:val="24"/>
        </w:rPr>
        <w:br w:type="page"/>
      </w:r>
    </w:p>
    <w:p w:rsidR="0037666B" w:rsidRDefault="00C627B8">
      <w:pPr>
        <w:pStyle w:val="Heading1"/>
        <w:keepNext w:val="0"/>
        <w:numPr>
          <w:ilvl w:val="0"/>
          <w:numId w:val="0"/>
        </w:numPr>
        <w:spacing w:before="0"/>
        <w:rPr>
          <w:noProof/>
          <w:szCs w:val="24"/>
        </w:rPr>
      </w:pPr>
      <w:bookmarkStart w:id="195" w:name="_Toc483992809"/>
      <w:r>
        <w:rPr>
          <w:noProof/>
          <w:szCs w:val="24"/>
        </w:rPr>
        <w:t>Annex 10 Glossary</w:t>
      </w:r>
      <w:r>
        <w:rPr>
          <w:i/>
          <w:iCs/>
          <w:noProof/>
          <w:szCs w:val="24"/>
        </w:rPr>
        <w:t xml:space="preserve"> </w:t>
      </w:r>
      <w:r>
        <w:rPr>
          <w:noProof/>
          <w:szCs w:val="24"/>
        </w:rPr>
        <w:t>of</w:t>
      </w:r>
      <w:r>
        <w:rPr>
          <w:i/>
          <w:iCs/>
          <w:noProof/>
          <w:szCs w:val="24"/>
        </w:rPr>
        <w:t xml:space="preserve"> </w:t>
      </w:r>
      <w:r>
        <w:rPr>
          <w:noProof/>
          <w:szCs w:val="24"/>
        </w:rPr>
        <w:t>Technical</w:t>
      </w:r>
      <w:r>
        <w:rPr>
          <w:i/>
          <w:iCs/>
          <w:noProof/>
          <w:szCs w:val="24"/>
        </w:rPr>
        <w:t xml:space="preserve"> </w:t>
      </w:r>
      <w:r>
        <w:rPr>
          <w:noProof/>
          <w:szCs w:val="24"/>
        </w:rPr>
        <w:t>Terms</w:t>
      </w:r>
      <w:r>
        <w:rPr>
          <w:i/>
          <w:iCs/>
          <w:noProof/>
          <w:szCs w:val="24"/>
        </w:rPr>
        <w:t xml:space="preserve"> </w:t>
      </w:r>
      <w:r>
        <w:rPr>
          <w:noProof/>
          <w:szCs w:val="24"/>
        </w:rPr>
        <w:t>and</w:t>
      </w:r>
      <w:r>
        <w:rPr>
          <w:i/>
          <w:iCs/>
          <w:noProof/>
          <w:szCs w:val="24"/>
        </w:rPr>
        <w:t xml:space="preserve"> </w:t>
      </w:r>
      <w:r>
        <w:rPr>
          <w:noProof/>
          <w:szCs w:val="24"/>
        </w:rPr>
        <w:t>Abbreviations</w:t>
      </w:r>
      <w:bookmarkEnd w:id="195"/>
    </w:p>
    <w:p w:rsidR="0037666B" w:rsidRDefault="00C627B8">
      <w:pPr>
        <w:jc w:val="left"/>
        <w:rPr>
          <w:b/>
          <w:noProof/>
          <w:szCs w:val="24"/>
        </w:rPr>
      </w:pPr>
      <w:r>
        <w:rPr>
          <w:b/>
          <w:noProof/>
          <w:szCs w:val="24"/>
        </w:rPr>
        <w:t xml:space="preserve">List of acronyms and abbreviations </w:t>
      </w:r>
    </w:p>
    <w:tbl>
      <w:tblPr>
        <w:tblStyle w:val="LightShading"/>
        <w:tblW w:w="0" w:type="auto"/>
        <w:tblLook w:val="04A0" w:firstRow="1" w:lastRow="0" w:firstColumn="1" w:lastColumn="0" w:noHBand="0" w:noVBand="1"/>
      </w:tblPr>
      <w:tblGrid>
        <w:gridCol w:w="1242"/>
        <w:gridCol w:w="7592"/>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BIS</w:t>
            </w:r>
          </w:p>
        </w:tc>
        <w:tc>
          <w:tcPr>
            <w:tcW w:w="7592" w:type="dxa"/>
          </w:tcPr>
          <w:p w:rsidR="0037666B" w:rsidRDefault="00C627B8">
            <w:pPr>
              <w:jc w:val="left"/>
              <w:cnfStyle w:val="100000000000" w:firstRow="1" w:lastRow="0" w:firstColumn="0" w:lastColumn="0" w:oddVBand="0" w:evenVBand="0" w:oddHBand="0" w:evenHBand="0" w:firstRowFirstColumn="0" w:firstRowLastColumn="0" w:lastRowFirstColumn="0" w:lastRowLastColumn="0"/>
              <w:rPr>
                <w:b w:val="0"/>
                <w:noProof/>
                <w:szCs w:val="24"/>
              </w:rPr>
            </w:pPr>
            <w:r>
              <w:rPr>
                <w:b w:val="0"/>
                <w:noProof/>
                <w:szCs w:val="24"/>
              </w:rPr>
              <w:t xml:space="preserve">Business Innovation and skills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CBA</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Cost benefits analysis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CBT</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Computer based training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CE</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Conformité Européenne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CPCP</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Construction Products Contact Point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DG</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Directorate General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EEA</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European </w:t>
            </w:r>
            <w:r>
              <w:rPr>
                <w:noProof/>
                <w:szCs w:val="24"/>
              </w:rPr>
              <w:t>Economic Area</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EC</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European Commission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EEN</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Enterprise Europe Network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ECJ</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European Court of Justice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EFTA</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European Free trade Association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ESO</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European standardisation organisations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EU</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European Union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IA</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Impact assessment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ICSMS</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Information and Communication System on Market Surveillance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IMI</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Internal Market information System</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IT</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Information Technologies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MR</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Mutual Recognition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MS</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Member States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NLF</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New legislative framework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OECD</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Organisation for Economic Co-operation and development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PCP</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Product Contact Point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RAMON</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Reference and Management of Nomenclatures</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SITC</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Standard international Trade Classification</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SME</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Small And Medium Enterprises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SOLVIT</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Service provided by national </w:t>
            </w:r>
            <w:r>
              <w:rPr>
                <w:noProof/>
                <w:szCs w:val="24"/>
              </w:rPr>
              <w:t>administrations offering assistance when your rights as a citizen or business are breached  by public authorities in another Member State</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SWOT</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Strengths, Weaknesses, Opportunities, Threats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TFEU</w:t>
            </w:r>
          </w:p>
        </w:tc>
        <w:tc>
          <w:tcPr>
            <w:tcW w:w="7592"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Treaty on the Functioning of the European Union </w:t>
            </w:r>
          </w:p>
        </w:tc>
      </w:tr>
      <w:tr w:rsidR="0037666B" w:rsidTr="0037666B">
        <w:tc>
          <w:tcPr>
            <w:cnfStyle w:val="001000000000" w:firstRow="0" w:lastRow="0" w:firstColumn="1" w:lastColumn="0" w:oddVBand="0" w:evenVBand="0" w:oddHBand="0" w:evenHBand="0" w:firstRowFirstColumn="0" w:firstRowLastColumn="0" w:lastRowFirstColumn="0" w:lastRowLastColumn="0"/>
            <w:tcW w:w="1242" w:type="dxa"/>
          </w:tcPr>
          <w:p w:rsidR="0037666B" w:rsidRDefault="00C627B8">
            <w:pPr>
              <w:jc w:val="left"/>
              <w:rPr>
                <w:b w:val="0"/>
                <w:noProof/>
                <w:szCs w:val="24"/>
              </w:rPr>
            </w:pPr>
            <w:r>
              <w:rPr>
                <w:b w:val="0"/>
                <w:noProof/>
                <w:szCs w:val="24"/>
              </w:rPr>
              <w:t>TRIS</w:t>
            </w:r>
          </w:p>
        </w:tc>
        <w:tc>
          <w:tcPr>
            <w:tcW w:w="7592"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Technical regulations Information Systems</w:t>
            </w:r>
          </w:p>
        </w:tc>
      </w:tr>
    </w:tbl>
    <w:p w:rsidR="0037666B" w:rsidRDefault="0037666B">
      <w:pPr>
        <w:jc w:val="left"/>
        <w:rPr>
          <w:b/>
          <w:noProof/>
          <w:szCs w:val="24"/>
        </w:rPr>
      </w:pPr>
    </w:p>
    <w:p w:rsidR="0037666B" w:rsidRDefault="00C627B8">
      <w:pPr>
        <w:jc w:val="left"/>
        <w:rPr>
          <w:b/>
          <w:noProof/>
          <w:szCs w:val="24"/>
        </w:rPr>
      </w:pPr>
      <w:r>
        <w:rPr>
          <w:b/>
          <w:noProof/>
          <w:szCs w:val="24"/>
        </w:rPr>
        <w:t xml:space="preserve">List of countries </w:t>
      </w:r>
    </w:p>
    <w:tbl>
      <w:tblPr>
        <w:tblStyle w:val="LightShading"/>
        <w:tblW w:w="0" w:type="auto"/>
        <w:tblLook w:val="04A0" w:firstRow="1" w:lastRow="0" w:firstColumn="1" w:lastColumn="0" w:noHBand="0" w:noVBand="1"/>
      </w:tblPr>
      <w:tblGrid>
        <w:gridCol w:w="959"/>
        <w:gridCol w:w="7875"/>
      </w:tblGrid>
      <w:tr w:rsidR="0037666B" w:rsidTr="00376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AT</w:t>
            </w:r>
          </w:p>
        </w:tc>
        <w:tc>
          <w:tcPr>
            <w:tcW w:w="7875" w:type="dxa"/>
          </w:tcPr>
          <w:p w:rsidR="0037666B" w:rsidRDefault="00C627B8">
            <w:pPr>
              <w:jc w:val="left"/>
              <w:cnfStyle w:val="100000000000" w:firstRow="1" w:lastRow="0" w:firstColumn="0" w:lastColumn="0" w:oddVBand="0" w:evenVBand="0" w:oddHBand="0" w:evenHBand="0" w:firstRowFirstColumn="0" w:firstRowLastColumn="0" w:lastRowFirstColumn="0" w:lastRowLastColumn="0"/>
              <w:rPr>
                <w:b w:val="0"/>
                <w:noProof/>
                <w:szCs w:val="24"/>
              </w:rPr>
            </w:pPr>
            <w:r>
              <w:rPr>
                <w:b w:val="0"/>
                <w:noProof/>
                <w:szCs w:val="24"/>
              </w:rPr>
              <w:t xml:space="preserve">Austria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BE</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Belgium</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BG</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Bulgaria</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CY</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Cyprus </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CZ</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Czech Republic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DE</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Germany </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DK</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Denmark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EE</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Estonia</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EL</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Greece</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ES</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Spain </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FI</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Finland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FR</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France</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HR</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Croatia</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HU</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Hungary</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IE</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 xml:space="preserve">Ireland </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IT</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Italy</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LT</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Lithuania</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LU</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Luxemburg</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LV</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Latvia</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MT</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Malta</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NL</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The Netherlands</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PL</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 xml:space="preserve">Poland </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PT</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Portugal</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RO</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Romania</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SE</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Sweden</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SI</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Slovenia</w:t>
            </w:r>
          </w:p>
        </w:tc>
      </w:tr>
      <w:tr w:rsidR="0037666B" w:rsidTr="0037666B">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SK</w:t>
            </w:r>
          </w:p>
        </w:tc>
        <w:tc>
          <w:tcPr>
            <w:tcW w:w="7875" w:type="dxa"/>
          </w:tcPr>
          <w:p w:rsidR="0037666B" w:rsidRDefault="00C627B8">
            <w:pPr>
              <w:jc w:val="left"/>
              <w:cnfStyle w:val="000000000000" w:firstRow="0" w:lastRow="0" w:firstColumn="0" w:lastColumn="0" w:oddVBand="0" w:evenVBand="0" w:oddHBand="0" w:evenHBand="0" w:firstRowFirstColumn="0" w:firstRowLastColumn="0" w:lastRowFirstColumn="0" w:lastRowLastColumn="0"/>
              <w:rPr>
                <w:noProof/>
                <w:szCs w:val="24"/>
              </w:rPr>
            </w:pPr>
            <w:r>
              <w:rPr>
                <w:noProof/>
                <w:szCs w:val="24"/>
              </w:rPr>
              <w:t>Slovakia</w:t>
            </w:r>
          </w:p>
        </w:tc>
      </w:tr>
      <w:tr w:rsidR="0037666B" w:rsidTr="00376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7666B" w:rsidRDefault="00C627B8">
            <w:pPr>
              <w:jc w:val="left"/>
              <w:rPr>
                <w:b w:val="0"/>
                <w:noProof/>
                <w:szCs w:val="24"/>
              </w:rPr>
            </w:pPr>
            <w:r>
              <w:rPr>
                <w:b w:val="0"/>
                <w:noProof/>
                <w:szCs w:val="24"/>
              </w:rPr>
              <w:t>UK</w:t>
            </w:r>
          </w:p>
        </w:tc>
        <w:tc>
          <w:tcPr>
            <w:tcW w:w="7875" w:type="dxa"/>
          </w:tcPr>
          <w:p w:rsidR="0037666B" w:rsidRDefault="00C627B8">
            <w:pPr>
              <w:jc w:val="left"/>
              <w:cnfStyle w:val="000000100000" w:firstRow="0" w:lastRow="0" w:firstColumn="0" w:lastColumn="0" w:oddVBand="0" w:evenVBand="0" w:oddHBand="1" w:evenHBand="0" w:firstRowFirstColumn="0" w:firstRowLastColumn="0" w:lastRowFirstColumn="0" w:lastRowLastColumn="0"/>
              <w:rPr>
                <w:noProof/>
                <w:szCs w:val="24"/>
              </w:rPr>
            </w:pPr>
            <w:r>
              <w:rPr>
                <w:noProof/>
                <w:szCs w:val="24"/>
              </w:rPr>
              <w:t>United Kingdom</w:t>
            </w:r>
          </w:p>
        </w:tc>
      </w:tr>
    </w:tbl>
    <w:p w:rsidR="0037666B" w:rsidRDefault="0037666B">
      <w:pPr>
        <w:jc w:val="left"/>
        <w:rPr>
          <w:b/>
          <w:noProof/>
          <w:szCs w:val="24"/>
        </w:rPr>
      </w:pPr>
      <w:bookmarkStart w:id="196" w:name="_GoBack"/>
      <w:bookmarkEnd w:id="196"/>
    </w:p>
    <w:sectPr w:rsidR="0037666B">
      <w:headerReference w:type="even" r:id="rId60"/>
      <w:headerReference w:type="default" r:id="rId61"/>
      <w:footerReference w:type="even" r:id="rId62"/>
      <w:footerReference w:type="default" r:id="rId63"/>
      <w:headerReference w:type="first" r:id="rId64"/>
      <w:footerReference w:type="first" r:id="rId65"/>
      <w:pgSz w:w="11906" w:h="16838"/>
      <w:pgMar w:top="1020" w:right="1701" w:bottom="1020" w:left="1587" w:header="601" w:footer="107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66B" w:rsidRDefault="00C627B8">
      <w:pPr>
        <w:spacing w:after="0"/>
      </w:pPr>
      <w:r>
        <w:separator/>
      </w:r>
    </w:p>
  </w:endnote>
  <w:endnote w:type="continuationSeparator" w:id="0">
    <w:p w:rsidR="0037666B" w:rsidRDefault="00C627B8">
      <w:pPr>
        <w:spacing w:after="0"/>
      </w:pPr>
      <w:r>
        <w:continuationSeparator/>
      </w:r>
    </w:p>
  </w:endnote>
  <w:endnote w:type="continuationNotice" w:id="1">
    <w:p w:rsidR="0037666B" w:rsidRDefault="003766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charset w:val="00"/>
    <w:family w:val="auto"/>
    <w:pitch w:val="variable"/>
    <w:sig w:usb0="00000001" w:usb1="5000206A" w:usb2="00000000" w:usb3="00000000" w:csb0="0000009F" w:csb1="00000000"/>
  </w:font>
  <w:font w:name="GungsuhChe">
    <w:panose1 w:val="02030609000101010101"/>
    <w:charset w:val="81"/>
    <w:family w:val="modern"/>
    <w:pitch w:val="fixed"/>
    <w:sig w:usb0="B00002AF" w:usb1="69D77CFB" w:usb2="00000030" w:usb3="00000000" w:csb0="0008009F" w:csb1="00000000"/>
  </w:font>
  <w:font w:name="@Gulim">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Ital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C627B8">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130254"/>
      <w:docPartObj>
        <w:docPartGallery w:val="Page Numbers (Bottom of Page)"/>
        <w:docPartUnique/>
      </w:docPartObj>
    </w:sdtPr>
    <w:sdtEndPr>
      <w:rPr>
        <w:noProof/>
      </w:rPr>
    </w:sdtEndPr>
    <w:sdtContent>
      <w:p w:rsidR="0037666B" w:rsidRDefault="00C627B8">
        <w:pPr>
          <w:pStyle w:val="Footer"/>
          <w:jc w:val="center"/>
        </w:pPr>
        <w:r>
          <w:fldChar w:fldCharType="begin"/>
        </w:r>
        <w:r>
          <w:instrText xml:space="preserve"> PAGE   \* MERGEFORMAT </w:instrText>
        </w:r>
        <w:r>
          <w:fldChar w:fldCharType="separate"/>
        </w:r>
        <w:r>
          <w:rPr>
            <w:noProof/>
          </w:rPr>
          <w:t>176</w:t>
        </w:r>
        <w:r>
          <w:rPr>
            <w:noProof/>
          </w:rPr>
          <w:fldChar w:fldCharType="end"/>
        </w:r>
      </w:p>
    </w:sdtContent>
  </w:sdt>
  <w:p w:rsidR="0037666B" w:rsidRDefault="0037666B">
    <w:pPr>
      <w:pStyle w:val="Footer"/>
      <w:spacing w:before="240"/>
      <w:rPr>
        <w:rFonts w:cs="Arial"/>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155611145"/>
      <w:docPartObj>
        <w:docPartGallery w:val="Page Numbers (Bottom of Page)"/>
        <w:docPartUnique/>
      </w:docPartObj>
    </w:sdtPr>
    <w:sdtEndPr>
      <w:rPr>
        <w:noProof/>
      </w:rPr>
    </w:sdtEndPr>
    <w:sdtContent>
      <w:p w:rsidR="0037666B" w:rsidRDefault="00C627B8">
        <w:pPr>
          <w:pStyle w:val="Footer"/>
          <w:rPr>
            <w:szCs w:val="24"/>
          </w:rPr>
        </w:pPr>
        <w:r>
          <w:rPr>
            <w:szCs w:val="24"/>
          </w:rPr>
          <w:fldChar w:fldCharType="begin"/>
        </w:r>
        <w:r>
          <w:rPr>
            <w:szCs w:val="24"/>
          </w:rPr>
          <w:instrText xml:space="preserve"> PAGE   \* MERGEFORMAT </w:instrText>
        </w:r>
        <w:r>
          <w:rPr>
            <w:szCs w:val="24"/>
          </w:rPr>
          <w:fldChar w:fldCharType="separate"/>
        </w:r>
        <w:r>
          <w:rPr>
            <w:noProof/>
            <w:szCs w:val="24"/>
          </w:rPr>
          <w:t>1</w:t>
        </w:r>
        <w:r>
          <w:rPr>
            <w:noProof/>
            <w:szCs w:val="24"/>
          </w:rPr>
          <w:fldChar w:fldCharType="end"/>
        </w:r>
      </w:p>
    </w:sdtContent>
  </w:sdt>
  <w:p w:rsidR="0037666B" w:rsidRDefault="0037666B">
    <w:pPr>
      <w:pStyle w:val="BodyTextIndent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66B" w:rsidRDefault="00C627B8">
      <w:pPr>
        <w:spacing w:after="0"/>
      </w:pPr>
      <w:r>
        <w:separator/>
      </w:r>
    </w:p>
  </w:footnote>
  <w:footnote w:type="continuationSeparator" w:id="0">
    <w:p w:rsidR="0037666B" w:rsidRDefault="00C627B8">
      <w:pPr>
        <w:spacing w:after="0"/>
      </w:pPr>
      <w:r>
        <w:continuationSeparator/>
      </w:r>
    </w:p>
  </w:footnote>
  <w:footnote w:type="continuationNotice" w:id="1">
    <w:p w:rsidR="0037666B" w:rsidRDefault="0037666B">
      <w:pPr>
        <w:spacing w:after="0"/>
      </w:pPr>
    </w:p>
  </w:footnote>
  <w:footnote w:id="2">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sz w:val="16"/>
          <w:szCs w:val="16"/>
        </w:rPr>
        <w:t xml:space="preserve">Jean-Claude Juncker, ‘A New Start for Europe: My Agenda for Jobs, Growth, Fairness and Democratic Change’, Political Guidelines for the next European Commission, Opening Statement in the European Parliament Plenary Session, 15 July 2014: </w:t>
      </w:r>
      <w:hyperlink r:id="rId1" w:history="1">
        <w:r>
          <w:rPr>
            <w:sz w:val="16"/>
            <w:szCs w:val="16"/>
          </w:rPr>
          <w:t>http://ec.europa.eu/about/juncker-commission/priorities/index_en.htm</w:t>
        </w:r>
      </w:hyperlink>
      <w:r>
        <w:rPr>
          <w:sz w:val="16"/>
          <w:szCs w:val="16"/>
        </w:rPr>
        <w:t>.</w:t>
      </w:r>
    </w:p>
  </w:footnote>
  <w:footnote w:id="3">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t>Communication from Commission to the European Parliament, the Council, the European Economic and Social Committee an</w:t>
      </w:r>
      <w:r>
        <w:rPr>
          <w:sz w:val="16"/>
          <w:szCs w:val="16"/>
        </w:rPr>
        <w:t>d the Committee of the Regions, Upgrading the Single Market: more opportunities for people and business, COM 2015 550/2.</w:t>
      </w:r>
    </w:p>
  </w:footnote>
  <w:footnote w:id="4">
    <w:p w:rsidR="0037666B" w:rsidRDefault="00C627B8">
      <w:pPr>
        <w:pStyle w:val="FootnoteText"/>
        <w:spacing w:after="0"/>
        <w:ind w:left="567" w:hanging="567"/>
        <w:rPr>
          <w:rStyle w:val="FootnoteReference"/>
          <w:sz w:val="16"/>
          <w:szCs w:val="16"/>
          <w:vertAlign w:val="baseline"/>
          <w:lang w:val="pt-PT"/>
        </w:rPr>
      </w:pPr>
      <w:r>
        <w:rPr>
          <w:rStyle w:val="FootnoteReference"/>
          <w:sz w:val="16"/>
          <w:szCs w:val="16"/>
          <w:vertAlign w:val="baseline"/>
        </w:rPr>
        <w:footnoteRef/>
      </w:r>
      <w:r>
        <w:rPr>
          <w:rStyle w:val="FootnoteReference"/>
          <w:sz w:val="16"/>
          <w:szCs w:val="16"/>
          <w:vertAlign w:val="baseline"/>
          <w:lang w:val="pt-PT"/>
        </w:rPr>
        <w:t xml:space="preserve"> </w:t>
      </w:r>
      <w:r>
        <w:rPr>
          <w:sz w:val="16"/>
          <w:szCs w:val="16"/>
          <w:lang w:val="pt-PT"/>
        </w:rPr>
        <w:tab/>
        <w:t>COM(2016) 710 final: http://ec.europa.eu/atwork/key-documents/index_en.htm</w:t>
      </w:r>
    </w:p>
  </w:footnote>
  <w:footnote w:id="5">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Source Eurostat. </w:t>
      </w:r>
    </w:p>
  </w:footnote>
  <w:footnote w:id="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COM(2014) 910 final: </w:t>
      </w:r>
      <w:hyperlink r:id="rId2" w:history="1">
        <w:r>
          <w:rPr>
            <w:sz w:val="16"/>
            <w:szCs w:val="16"/>
          </w:rPr>
          <w:t>http://ec.europa.eu/atwork/pdf/cwp_2015_en.pdf</w:t>
        </w:r>
      </w:hyperlink>
      <w:r>
        <w:rPr>
          <w:sz w:val="16"/>
          <w:szCs w:val="16"/>
        </w:rPr>
        <w:t>.</w:t>
      </w:r>
    </w:p>
  </w:footnote>
  <w:footnote w:id="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Several other tools allow for the correct application of the mutual recognition principle, such as the mutual recognition clause and the complain</w:t>
      </w:r>
      <w:r>
        <w:rPr>
          <w:sz w:val="16"/>
          <w:szCs w:val="16"/>
        </w:rPr>
        <w:t xml:space="preserve">ts and infringements related to articles 34-36 TFEU. For more information, see the Evaluation </w:t>
      </w:r>
    </w:p>
  </w:footnote>
  <w:footnote w:id="8">
    <w:p w:rsidR="0037666B" w:rsidRDefault="00C627B8">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t>See the Evaluation.</w:t>
      </w:r>
    </w:p>
  </w:footnote>
  <w:footnote w:id="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Conclusions on Single Market Policy, Competitiveness Council meeting; Brussels 2 and 3 December 2013: </w:t>
      </w:r>
      <w:hyperlink r:id="rId3" w:history="1">
        <w:r>
          <w:rPr>
            <w:rStyle w:val="Hyperlink"/>
            <w:sz w:val="16"/>
            <w:szCs w:val="16"/>
          </w:rPr>
          <w:t>http://www.consilium.europa.eu/uedocs/cms_data/docs/pressdata/en/intm/139846.pdf</w:t>
        </w:r>
      </w:hyperlink>
      <w:r>
        <w:rPr>
          <w:sz w:val="16"/>
          <w:szCs w:val="16"/>
        </w:rPr>
        <w:t xml:space="preserve">.   </w:t>
      </w:r>
    </w:p>
  </w:footnote>
  <w:footnote w:id="1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Conclusions on Single Market Policy, Competitiveness Council meeting; Brussels 2-3 March 2015: </w:t>
      </w:r>
      <w:hyperlink r:id="rId4" w:history="1">
        <w:r>
          <w:rPr>
            <w:rStyle w:val="Hyperlink"/>
            <w:sz w:val="16"/>
            <w:szCs w:val="16"/>
          </w:rPr>
          <w:t>http://register.consilium.europa.eu/doc/srv?l=EN&amp;f=ST%206197%202015%20INIT</w:t>
        </w:r>
      </w:hyperlink>
      <w:r>
        <w:rPr>
          <w:sz w:val="16"/>
          <w:szCs w:val="16"/>
        </w:rPr>
        <w:t xml:space="preserve"> </w:t>
      </w:r>
    </w:p>
  </w:footnote>
  <w:footnote w:id="1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European Commission, Study commissioned  to Technopolis Group (2015): ‘Evaluation of the applic</w:t>
      </w:r>
      <w:r>
        <w:rPr>
          <w:sz w:val="16"/>
          <w:szCs w:val="16"/>
        </w:rPr>
        <w:t xml:space="preserve">ation of the principle of mutual recognition in the field of goods,’ ENTR/172/PP/2012/FC – LOT 4 carried out between April 2014 and May 2015: </w:t>
      </w:r>
      <w:hyperlink r:id="rId5" w:history="1">
        <w:r>
          <w:rPr>
            <w:rStyle w:val="Hyperlink"/>
            <w:sz w:val="16"/>
            <w:szCs w:val="16"/>
          </w:rPr>
          <w:t>http://ec.europa.eu/growth/single-market/goods/free-movement-sectors/mutual-recognition/index_en.htm</w:t>
        </w:r>
      </w:hyperlink>
      <w:r>
        <w:rPr>
          <w:sz w:val="16"/>
          <w:szCs w:val="16"/>
          <w:u w:val="single"/>
        </w:rPr>
        <w:t>.</w:t>
      </w:r>
    </w:p>
  </w:footnote>
  <w:footnote w:id="12">
    <w:p w:rsidR="0037666B" w:rsidRDefault="00C627B8">
      <w:pPr>
        <w:pStyle w:val="FootnoteText"/>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w:t>
      </w:r>
      <w:r>
        <w:rPr>
          <w:rStyle w:val="FootnoteReference"/>
          <w:sz w:val="16"/>
          <w:szCs w:val="16"/>
          <w:vertAlign w:val="baseline"/>
        </w:rPr>
        <w:t>ee annex 6 for a summary of the res</w:t>
      </w:r>
      <w:r>
        <w:rPr>
          <w:rStyle w:val="FootnoteReference"/>
          <w:sz w:val="16"/>
          <w:szCs w:val="16"/>
          <w:vertAlign w:val="baseline"/>
        </w:rPr>
        <w:t>ults of the Evaluation.</w:t>
      </w:r>
    </w:p>
  </w:footnote>
  <w:footnote w:id="1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for example, J. Pelkmans, Mutual Recognition: economic and regulatory logic in goods and services, Bruges European Economic Research Papers 24/2012, p 5 : "The lesson of four decades of EU harmonisation is that one has to fi</w:t>
      </w:r>
      <w:r>
        <w:rPr>
          <w:sz w:val="16"/>
          <w:szCs w:val="16"/>
        </w:rPr>
        <w:t>nd a suitable balance between, on the one hand, not suppressing the preferences of the (or some) Member States too much (as this may be welfare decreasing), and, on the other hand, avoiding overly costly common regulation by incorporating each and every sp</w:t>
      </w:r>
      <w:r>
        <w:rPr>
          <w:sz w:val="16"/>
          <w:szCs w:val="16"/>
        </w:rPr>
        <w:t>ecific element of national (often diverse) rules, prompting 'regulatory failure'".</w:t>
      </w:r>
    </w:p>
  </w:footnote>
  <w:footnote w:id="1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Directive (EU) 2015/1535 of the European Parliament and of the Council of 9 September 2015 laying down a procedure for the provision of information in the field of techni</w:t>
      </w:r>
      <w:r>
        <w:rPr>
          <w:sz w:val="16"/>
          <w:szCs w:val="16"/>
        </w:rPr>
        <w:t>cal regulations and of rules on Information Society services (codification). OJ L 241, 17.9.2015, p. 1</w:t>
      </w:r>
    </w:p>
  </w:footnote>
  <w:footnote w:id="1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Judgement of the Court of Justice of 20 February 1979 – Rewe-Zentral AG v Bundesmonopolverwaltung für Branntwein C 120/78.</w:t>
      </w:r>
    </w:p>
  </w:footnote>
  <w:footnote w:id="1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For instance, ground 37 </w:t>
      </w:r>
      <w:r>
        <w:rPr>
          <w:sz w:val="16"/>
          <w:szCs w:val="16"/>
        </w:rPr>
        <w:t>of the Judgment of the Court of 22 January 2002, Canal Satélite Digital SL v Administración General del Estado, in the presence of Distribuidora de Televisión Digital SA (DTS), case C-390/99, confirms this principle: ‘It is well established in case law tha</w:t>
      </w:r>
      <w:r>
        <w:rPr>
          <w:sz w:val="16"/>
          <w:szCs w:val="16"/>
        </w:rPr>
        <w:t>t a product which is lawfully marketed in one Member State must in principle be able to be marketed in any other Member States without being subject to additional control, save in the case of exceptions provided for or allowed by [EU] law.’</w:t>
      </w:r>
    </w:p>
  </w:footnote>
  <w:footnote w:id="17">
    <w:p w:rsidR="0037666B" w:rsidRDefault="00C627B8">
      <w:pPr>
        <w:pStyle w:val="FootnoteText"/>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Source: Comm</w:t>
      </w:r>
      <w:r>
        <w:rPr>
          <w:sz w:val="16"/>
          <w:szCs w:val="16"/>
        </w:rPr>
        <w:t>ission services</w:t>
      </w:r>
    </w:p>
  </w:footnote>
  <w:footnote w:id="1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Fonts w:eastAsiaTheme="minorHAnsi"/>
          <w:sz w:val="16"/>
          <w:szCs w:val="16"/>
        </w:rPr>
        <w:t>The mutual recognition clause, when inserted in national regulations, raises awareness about the application of the mutual recognition principle and the Mutual Recognition Regulation to products coming from other</w:t>
      </w:r>
      <w:r>
        <w:rPr>
          <w:sz w:val="16"/>
          <w:szCs w:val="16"/>
        </w:rPr>
        <w:t xml:space="preserve"> </w:t>
      </w:r>
      <w:r>
        <w:rPr>
          <w:rFonts w:eastAsiaTheme="minorHAnsi"/>
          <w:sz w:val="16"/>
          <w:szCs w:val="16"/>
        </w:rPr>
        <w:t xml:space="preserve">Member States and which </w:t>
      </w:r>
      <w:r>
        <w:rPr>
          <w:rFonts w:eastAsiaTheme="minorHAnsi"/>
          <w:sz w:val="16"/>
          <w:szCs w:val="16"/>
        </w:rPr>
        <w:t>are not in line with that particular technical rule.</w:t>
      </w:r>
    </w:p>
  </w:footnote>
  <w:footnote w:id="19">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Around 2 million active enterprises are operating under Section C of NACE classification named Manufacturing. The correspondence between the list of NACE DIGIT-3 codes and the way they have been cons</w:t>
      </w:r>
      <w:r>
        <w:rPr>
          <w:sz w:val="16"/>
          <w:szCs w:val="16"/>
        </w:rPr>
        <w:t>idered in the analysis (i.e. harmonised or non/partially harmonised) can be found in annex 5</w:t>
      </w:r>
    </w:p>
  </w:footnote>
  <w:footnote w:id="2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These figures have been computed for the period 2011 – 2013 since the enterprise statistics by size class for aggregates of activities (NACE rev.2) are only ava</w:t>
      </w:r>
      <w:r>
        <w:rPr>
          <w:sz w:val="16"/>
          <w:szCs w:val="16"/>
        </w:rPr>
        <w:t>ilable for this period.</w:t>
      </w:r>
    </w:p>
  </w:footnote>
  <w:footnote w:id="2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Style w:val="FootnoteReference"/>
          <w:sz w:val="16"/>
          <w:szCs w:val="16"/>
          <w:vertAlign w:val="baseline"/>
        </w:rPr>
        <w:t xml:space="preserve">For more information see </w:t>
      </w:r>
      <w:r>
        <w:rPr>
          <w:sz w:val="16"/>
          <w:szCs w:val="16"/>
        </w:rPr>
        <w:t xml:space="preserve">the Evaluation. </w:t>
      </w:r>
    </w:p>
  </w:footnote>
  <w:footnote w:id="22">
    <w:p w:rsidR="0037666B" w:rsidRDefault="00C627B8">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 xml:space="preserve"> </w:t>
      </w:r>
      <w:r>
        <w:rPr>
          <w:sz w:val="16"/>
          <w:szCs w:val="16"/>
        </w:rPr>
        <w:tab/>
        <w:t>Data from the public consultation carried out in 2016.</w:t>
      </w:r>
    </w:p>
  </w:footnote>
  <w:footnote w:id="2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noProof/>
          <w:sz w:val="16"/>
          <w:szCs w:val="16"/>
        </w:rPr>
        <w:t xml:space="preserve">More than half of SMEs say that administrative procedures related to exporting to other Member States are too difficult to </w:t>
      </w:r>
      <w:r>
        <w:rPr>
          <w:noProof/>
          <w:sz w:val="16"/>
          <w:szCs w:val="16"/>
        </w:rPr>
        <w:t>comply with and therefore deter many firms from exporting.</w:t>
      </w:r>
      <w:r>
        <w:rPr>
          <w:sz w:val="16"/>
          <w:szCs w:val="16"/>
        </w:rPr>
        <w:t xml:space="preserve"> Flash Eurobarometer 421: Internationalisation of Small and Medium-sized Enterprises </w:t>
      </w:r>
      <w:r>
        <w:rPr>
          <w:sz w:val="16"/>
          <w:szCs w:val="16"/>
        </w:rPr>
        <w:tab/>
      </w:r>
      <w:r>
        <w:rPr>
          <w:sz w:val="16"/>
          <w:szCs w:val="16"/>
        </w:rPr>
        <w:br/>
      </w:r>
      <w:hyperlink r:id="rId6" w:history="1">
        <w:r>
          <w:rPr>
            <w:rStyle w:val="Hyperlink"/>
            <w:sz w:val="16"/>
            <w:szCs w:val="16"/>
          </w:rPr>
          <w:t>https://data.europa.eu/euodp/en/data</w:t>
        </w:r>
        <w:r>
          <w:rPr>
            <w:rStyle w:val="Hyperlink"/>
            <w:sz w:val="16"/>
            <w:szCs w:val="16"/>
          </w:rPr>
          <w:t>/dataset/S2090_421_ENG</w:t>
        </w:r>
      </w:hyperlink>
      <w:r>
        <w:rPr>
          <w:sz w:val="16"/>
          <w:szCs w:val="16"/>
        </w:rPr>
        <w:t xml:space="preserve">              </w:t>
      </w:r>
    </w:p>
  </w:footnote>
  <w:footnote w:id="2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Only 2% of companies challenged this decision successfully. Data from the 2016 public consultation</w:t>
      </w:r>
    </w:p>
  </w:footnote>
  <w:footnote w:id="2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construction sector is a major economic activity in the European Union, with a total value of production corre</w:t>
      </w:r>
      <w:r>
        <w:rPr>
          <w:sz w:val="16"/>
          <w:szCs w:val="16"/>
        </w:rPr>
        <w:t>sponding to over 9% of GDP, and a value added contributing for 3.1% to GDP formation in the EU28 countries in 2012. In 2014, there were over 3 million firms active in the construction of buildings, with a total turnover of about € 1,300 billion and a workf</w:t>
      </w:r>
      <w:r>
        <w:rPr>
          <w:sz w:val="16"/>
          <w:szCs w:val="16"/>
        </w:rPr>
        <w:t xml:space="preserve">orce of nearly 11 million persons. The EU fertilising product market is an economic sector that has between EUR 20 billion and EUR 25 billion in annual turnover and approximately 100 000 million jobs (see </w:t>
      </w:r>
      <w:hyperlink r:id="rId7" w:history="1">
        <w:r>
          <w:rPr>
            <w:rStyle w:val="Hyperlink"/>
            <w:sz w:val="16"/>
            <w:szCs w:val="16"/>
          </w:rPr>
          <w:t>http://ec.europa.eu/enterprise/sectors/chemicals/files/fertilizers/final_report__23jan2012_en.pdf</w:t>
        </w:r>
      </w:hyperlink>
      <w:r>
        <w:rPr>
          <w:sz w:val="16"/>
          <w:szCs w:val="16"/>
        </w:rPr>
        <w:t>.). The food and drink industry stands as the largest manufacturing sector in the EU in terms of</w:t>
      </w:r>
      <w:r>
        <w:rPr>
          <w:sz w:val="16"/>
          <w:szCs w:val="16"/>
        </w:rPr>
        <w:t xml:space="preserve"> turnover (14.9%) and value added (12.9%) and the leading employer in the EU manufacturing sector (15% representing 4.25 million jobs) and generates 7% of GDP.</w:t>
      </w:r>
    </w:p>
  </w:footnote>
  <w:footnote w:id="26">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See annex 2 </w:t>
      </w:r>
    </w:p>
  </w:footnote>
  <w:footnote w:id="27">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The full description and methodology used for this model are described in An</w:t>
      </w:r>
      <w:r>
        <w:rPr>
          <w:sz w:val="16"/>
          <w:szCs w:val="16"/>
        </w:rPr>
        <w:t>nex 4</w:t>
      </w:r>
    </w:p>
  </w:footnote>
  <w:footnote w:id="2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Study on the costs and benefits of mutual recognition performed by E&amp;Y and J. Pelkmans, Draft Final Report February 2017 (Service Request No 567/PP/GRO/IMA/16/1133/8852).</w:t>
      </w:r>
    </w:p>
  </w:footnote>
  <w:footnote w:id="2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 xml:space="preserve">9 stakeholders interviewed on February 2017 , with very consistent results among them </w:t>
      </w:r>
    </w:p>
  </w:footnote>
  <w:footnote w:id="3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Value of production-value of extra EU exports +value of intra EU imports </w:t>
      </w:r>
    </w:p>
  </w:footnote>
  <w:footnote w:id="31">
    <w:p w:rsidR="0037666B" w:rsidRDefault="00C627B8">
      <w:pPr>
        <w:pStyle w:val="FootnoteText"/>
        <w:spacing w:after="0"/>
        <w:ind w:left="567" w:hanging="567"/>
        <w:rPr>
          <w:sz w:val="16"/>
          <w:szCs w:val="16"/>
        </w:rPr>
      </w:pPr>
      <w:r>
        <w:rPr>
          <w:rFonts w:eastAsiaTheme="minorHAnsi"/>
          <w:sz w:val="16"/>
          <w:szCs w:val="16"/>
        </w:rPr>
        <w:footnoteRef/>
      </w:r>
      <w:r>
        <w:rPr>
          <w:rFonts w:eastAsiaTheme="minorHAnsi"/>
          <w:sz w:val="16"/>
          <w:szCs w:val="16"/>
        </w:rPr>
        <w:t xml:space="preserve">  </w:t>
      </w:r>
      <w:r>
        <w:rPr>
          <w:rFonts w:eastAsiaTheme="minorHAnsi"/>
          <w:sz w:val="16"/>
          <w:szCs w:val="16"/>
        </w:rPr>
        <w:tab/>
        <w:t>Source: PRODCOM statistics, EUROSTAT (2016)</w:t>
      </w:r>
    </w:p>
  </w:footnote>
  <w:footnote w:id="3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Cost of Non- Europe in the Single Ma</w:t>
      </w:r>
      <w:r>
        <w:rPr>
          <w:sz w:val="16"/>
          <w:szCs w:val="16"/>
        </w:rPr>
        <w:t>rket, 'Cecchini Revisited', An overview of the potential economic gains from further completion of the European Single Market, CoNE 1/2014</w:t>
      </w:r>
    </w:p>
    <w:p w:rsidR="0037666B" w:rsidRDefault="00C627B8">
      <w:pPr>
        <w:pStyle w:val="FootnoteText"/>
        <w:spacing w:after="0"/>
        <w:ind w:left="567" w:hanging="567"/>
        <w:rPr>
          <w:sz w:val="16"/>
          <w:szCs w:val="16"/>
        </w:rPr>
      </w:pPr>
      <w:r>
        <w:rPr>
          <w:sz w:val="16"/>
          <w:szCs w:val="16"/>
        </w:rPr>
        <w:t xml:space="preserve"> </w:t>
      </w:r>
      <w:r>
        <w:rPr>
          <w:sz w:val="16"/>
          <w:szCs w:val="16"/>
        </w:rPr>
        <w:tab/>
        <w:t>http://www.europarl.europa.eu/RegData/etudes/STUD/2014/510981/EPRS_STU(2014)510981_REV1_EN.pdf</w:t>
      </w:r>
    </w:p>
  </w:footnote>
  <w:footnote w:id="3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rFonts w:eastAsiaTheme="minorHAnsi"/>
          <w:sz w:val="16"/>
          <w:szCs w:val="16"/>
        </w:rPr>
        <w:t>62% of responden</w:t>
      </w:r>
      <w:r>
        <w:rPr>
          <w:rFonts w:eastAsiaTheme="minorHAnsi"/>
          <w:sz w:val="16"/>
          <w:szCs w:val="16"/>
        </w:rPr>
        <w:t>ts ranked this obstacle as being the most important one.</w:t>
      </w:r>
    </w:p>
  </w:footnote>
  <w:footnote w:id="3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This issue was already highlighted in the First Report on the application of the Mutual Recognition Regulation, COM (2012)292 final: </w:t>
      </w:r>
      <w:hyperlink r:id="rId8" w:history="1">
        <w:r>
          <w:rPr>
            <w:rStyle w:val="Hyperlink"/>
            <w:sz w:val="16"/>
            <w:szCs w:val="16"/>
          </w:rPr>
          <w:t>http://eur-lex.europa.eu/LexUriServ.do?uri=COM:2012:0292:FIN:EN:PDF</w:t>
        </w:r>
      </w:hyperlink>
      <w:r>
        <w:rPr>
          <w:sz w:val="16"/>
          <w:szCs w:val="16"/>
        </w:rPr>
        <w:t xml:space="preserve"> </w:t>
      </w:r>
    </w:p>
  </w:footnote>
  <w:footnote w:id="35">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r>
      <w:r>
        <w:rPr>
          <w:sz w:val="16"/>
          <w:szCs w:val="16"/>
        </w:rPr>
        <w:t>As indicated in the Evaluation, according to the 2014 survey, more than 40% of the companies simply assumed it was necessary to undertake steps to adapt their prod</w:t>
      </w:r>
      <w:r>
        <w:rPr>
          <w:sz w:val="16"/>
          <w:szCs w:val="16"/>
        </w:rPr>
        <w:t>uct to the requirements of the country of destination as they did not know if the mutual recognition principle applied to their product; more than 30% considered such steps because they were required for acceptance in the local market and did not check whe</w:t>
      </w:r>
      <w:r>
        <w:rPr>
          <w:sz w:val="16"/>
          <w:szCs w:val="16"/>
        </w:rPr>
        <w:t>ther mutual recognition could apply, and nearly 30% relied on the principle, but it turned out it did not work in practice, as the national authorities still asked for testing or adaptation.</w:t>
      </w:r>
      <w:r>
        <w:rPr>
          <w:rStyle w:val="FootnoteReference"/>
          <w:sz w:val="16"/>
          <w:szCs w:val="16"/>
          <w:vertAlign w:val="baseline"/>
        </w:rPr>
        <w:t xml:space="preserve"> </w:t>
      </w:r>
    </w:p>
  </w:footnote>
  <w:footnote w:id="3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Survey carried out in the framework of the impact assessment </w:t>
      </w:r>
      <w:r>
        <w:rPr>
          <w:sz w:val="16"/>
          <w:szCs w:val="16"/>
        </w:rPr>
        <w:t>supporting the proposal for the Mutual Recognition Regulation</w:t>
      </w:r>
    </w:p>
  </w:footnote>
  <w:footnote w:id="37">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European Commission, Study commissioned to Technopolis Group (2015): ‘Evaluation of the application of the principle of mutual recognition in the field of goods,’ ENTR/172/PP/2012/FC – LOT 4 </w:t>
      </w:r>
      <w:r>
        <w:rPr>
          <w:sz w:val="16"/>
          <w:szCs w:val="16"/>
        </w:rPr>
        <w:t xml:space="preserve">carried out between April 2014 and May 2015: </w:t>
      </w:r>
      <w:hyperlink r:id="rId9" w:history="1">
        <w:r>
          <w:rPr>
            <w:rStyle w:val="Hyperlink"/>
            <w:sz w:val="16"/>
            <w:szCs w:val="16"/>
          </w:rPr>
          <w:t>http://ec.europa.eu/growth/single-market/goods/free-movement-sectors/mutual-recognition/index_</w:t>
        </w:r>
        <w:r>
          <w:rPr>
            <w:rStyle w:val="Hyperlink"/>
            <w:sz w:val="16"/>
            <w:szCs w:val="16"/>
          </w:rPr>
          <w:t>en.htm</w:t>
        </w:r>
      </w:hyperlink>
      <w:r>
        <w:rPr>
          <w:sz w:val="16"/>
          <w:szCs w:val="16"/>
          <w:u w:val="single"/>
        </w:rPr>
        <w:t>.</w:t>
      </w:r>
    </w:p>
  </w:footnote>
  <w:footnote w:id="3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5</w:t>
      </w:r>
    </w:p>
  </w:footnote>
  <w:footnote w:id="39">
    <w:p w:rsidR="0037666B" w:rsidRDefault="00C627B8">
      <w:pPr>
        <w:pStyle w:val="FootnoteText"/>
        <w:spacing w:after="0"/>
        <w:ind w:left="567" w:hanging="567"/>
        <w:rPr>
          <w:sz w:val="16"/>
          <w:szCs w:val="16"/>
        </w:rPr>
      </w:pPr>
      <w:r>
        <w:rPr>
          <w:rFonts w:eastAsiaTheme="minorHAnsi"/>
          <w:sz w:val="16"/>
          <w:szCs w:val="16"/>
        </w:rPr>
        <w:footnoteRef/>
      </w:r>
      <w:r>
        <w:rPr>
          <w:rFonts w:eastAsiaTheme="minorHAnsi"/>
          <w:sz w:val="16"/>
          <w:szCs w:val="16"/>
        </w:rPr>
        <w:t xml:space="preserve"> </w:t>
      </w:r>
      <w:r>
        <w:rPr>
          <w:rFonts w:eastAsiaTheme="minorHAnsi"/>
          <w:sz w:val="16"/>
          <w:szCs w:val="16"/>
        </w:rPr>
        <w:tab/>
        <w:t>See recital 12 of the Mutual Recognition Regulation</w:t>
      </w:r>
      <w:r>
        <w:rPr>
          <w:sz w:val="16"/>
          <w:szCs w:val="16"/>
        </w:rPr>
        <w:t xml:space="preserve"> </w:t>
      </w:r>
    </w:p>
  </w:footnote>
  <w:footnote w:id="4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5</w:t>
      </w:r>
    </w:p>
  </w:footnote>
  <w:footnote w:id="4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5</w:t>
      </w:r>
    </w:p>
  </w:footnote>
  <w:footnote w:id="4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annex 2. </w:t>
      </w:r>
    </w:p>
  </w:footnote>
  <w:footnote w:id="43">
    <w:p w:rsidR="0037666B" w:rsidRDefault="00C627B8">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ab/>
        <w:t>See for instance Court judgment of 8 May 2003, ATRAL SA v État belge, (Case C-14/02) concerning alarm systems regulated by no</w:t>
      </w:r>
      <w:r>
        <w:rPr>
          <w:sz w:val="16"/>
          <w:szCs w:val="16"/>
        </w:rPr>
        <w:t>thing less than three instruments of EU law (Low Voltage Directive 73/23/EEC, Electromagnetic Compatibility Directive 89/336/EEC, and Radio Equipment and Telecommunications Directive 1999/5/EEC). Still, the functionality testing, climatic tests and efficie</w:t>
      </w:r>
      <w:r>
        <w:rPr>
          <w:sz w:val="16"/>
          <w:szCs w:val="16"/>
        </w:rPr>
        <w:t>ncy testing of these products are not covered by the mentioned EU common rules and, therefore, fall within the scope of the principle of mutual recognition.</w:t>
      </w:r>
    </w:p>
  </w:footnote>
  <w:footnote w:id="44">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Requests received in 2016 are not taken into account, as these will be reported by Member States</w:t>
      </w:r>
      <w:r>
        <w:rPr>
          <w:sz w:val="16"/>
          <w:szCs w:val="16"/>
        </w:rPr>
        <w:t xml:space="preserve"> in the 2017 reports</w:t>
      </w:r>
    </w:p>
  </w:footnote>
  <w:footnote w:id="4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reporting in annual since 2012. However, the number of questions indicated above is only indicative and does not constitute an accurate picture of all questions received or treated by the PCPs.  This is because not all Member St</w:t>
      </w:r>
      <w:r>
        <w:rPr>
          <w:sz w:val="16"/>
          <w:szCs w:val="16"/>
        </w:rPr>
        <w:t xml:space="preserve">ates are indicating in their annual reports the number of questions received and treated by the PCPs.   </w:t>
      </w:r>
    </w:p>
  </w:footnote>
  <w:footnote w:id="4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is also supported by the 2016: 72% of economic operators declared that they have never contacted a PCP and 46% were not aware of them.</w:t>
      </w:r>
    </w:p>
  </w:footnote>
  <w:footnote w:id="4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w:t>
      </w:r>
      <w:r>
        <w:rPr>
          <w:sz w:val="16"/>
          <w:szCs w:val="16"/>
        </w:rPr>
        <w:t>Common Nomenclature is a method for designating goods and merchandise which was established to meet, at one and the same time, the requirements both of the Common Customs Tariff and of the external trade statistics of the Community. See http://ec.europa.eu</w:t>
      </w:r>
      <w:r>
        <w:rPr>
          <w:sz w:val="16"/>
          <w:szCs w:val="16"/>
        </w:rPr>
        <w:t>/taxation_customs/business/calculation-customs-duties/what-is-common-customs-tariff/combined-nomenclature_en</w:t>
      </w:r>
    </w:p>
  </w:footnote>
  <w:footnote w:id="4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"Commission interpretative communication on facilitating the access of products to the markets of other Member States: the practical applica</w:t>
      </w:r>
      <w:r>
        <w:rPr>
          <w:sz w:val="16"/>
          <w:szCs w:val="16"/>
        </w:rPr>
        <w:t xml:space="preserve">tion of mutual recognition" (OJEU, 2003/C 265/2) provides a standard example of a mutual recognition clause. </w:t>
      </w:r>
    </w:p>
  </w:footnote>
  <w:footnote w:id="49">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8% replied that MRCs are not used at all, 20% replied that MRCs are included in few rules, and 44% replied that MRCs are included in more than </w:t>
      </w:r>
      <w:r>
        <w:rPr>
          <w:sz w:val="16"/>
          <w:szCs w:val="16"/>
        </w:rPr>
        <w:t xml:space="preserve">half of the adopted national rules.  </w:t>
      </w:r>
    </w:p>
  </w:footnote>
  <w:footnote w:id="5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Carried out  internally by the Commission services</w:t>
      </w:r>
    </w:p>
  </w:footnote>
  <w:footnote w:id="51">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Mutual recognition clause</w:t>
      </w:r>
    </w:p>
  </w:footnote>
  <w:footnote w:id="5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 xml:space="preserve">Like those demanding for instance that solely the official language(s) of the country of destination be used in the labelling, barring the use of multilingual labels. </w:t>
      </w:r>
    </w:p>
  </w:footnote>
  <w:footnote w:id="53">
    <w:p w:rsidR="0037666B" w:rsidRDefault="00C627B8">
      <w:pPr>
        <w:pStyle w:val="FootnoteText"/>
        <w:spacing w:after="0"/>
        <w:ind w:left="567" w:hanging="567"/>
        <w:rPr>
          <w:rFonts w:eastAsiaTheme="minorHAnsi"/>
          <w:sz w:val="16"/>
          <w:szCs w:val="16"/>
        </w:rPr>
      </w:pPr>
      <w:r>
        <w:rPr>
          <w:rStyle w:val="FootnoteReference"/>
          <w:sz w:val="16"/>
          <w:szCs w:val="16"/>
          <w:vertAlign w:val="baseline"/>
        </w:rPr>
        <w:footnoteRef/>
      </w:r>
      <w:r>
        <w:rPr>
          <w:sz w:val="16"/>
          <w:szCs w:val="16"/>
        </w:rPr>
        <w:t xml:space="preserve"> </w:t>
      </w:r>
      <w:r>
        <w:rPr>
          <w:sz w:val="16"/>
          <w:szCs w:val="16"/>
        </w:rPr>
        <w:tab/>
        <w:t xml:space="preserve">A recent study </w:t>
      </w:r>
      <w:r>
        <w:rPr>
          <w:rFonts w:eastAsiaTheme="minorHAnsi"/>
          <w:sz w:val="16"/>
          <w:szCs w:val="16"/>
        </w:rPr>
        <w:t>on the EU harmonisation of the requirements for the road circulation o</w:t>
      </w:r>
      <w:r>
        <w:rPr>
          <w:rFonts w:eastAsiaTheme="minorHAnsi"/>
          <w:sz w:val="16"/>
          <w:szCs w:val="16"/>
        </w:rPr>
        <w:t>f mobile machinery (FWC ENTR/172/PP/2012/FC/Lot1) indicated that the fees of the national type approval and third party testing bodies are estimated to be of about €75 million across the EU. In total, type approval is estimated to generate costs of €78 mil</w:t>
      </w:r>
      <w:r>
        <w:rPr>
          <w:rFonts w:eastAsiaTheme="minorHAnsi"/>
          <w:sz w:val="16"/>
          <w:szCs w:val="16"/>
        </w:rPr>
        <w:t xml:space="preserve">lion for the sector, representing 1.2% of their turnover. </w:t>
      </w:r>
    </w:p>
    <w:p w:rsidR="0037666B" w:rsidRDefault="00C627B8">
      <w:pPr>
        <w:pStyle w:val="FootnoteText"/>
        <w:spacing w:after="0"/>
        <w:ind w:left="567" w:hanging="567"/>
        <w:rPr>
          <w:sz w:val="16"/>
          <w:szCs w:val="16"/>
        </w:rPr>
      </w:pPr>
      <w:r>
        <w:rPr>
          <w:rFonts w:eastAsiaTheme="minorHAnsi"/>
          <w:sz w:val="16"/>
          <w:szCs w:val="16"/>
        </w:rPr>
        <w:tab/>
      </w:r>
      <w:hyperlink r:id="rId10" w:history="1">
        <w:r>
          <w:rPr>
            <w:rStyle w:val="Hyperlink"/>
            <w:rFonts w:eastAsiaTheme="minorHAnsi"/>
            <w:sz w:val="16"/>
            <w:szCs w:val="16"/>
          </w:rPr>
          <w:t>http://ec.europa.eu/DocsRoom/documents/17786/attachments/1/translations/en/renditions/n</w:t>
        </w:r>
        <w:r>
          <w:rPr>
            <w:rStyle w:val="Hyperlink"/>
            <w:rFonts w:eastAsiaTheme="minorHAnsi"/>
            <w:sz w:val="16"/>
            <w:szCs w:val="16"/>
          </w:rPr>
          <w:t>ative</w:t>
        </w:r>
      </w:hyperlink>
      <w:r>
        <w:rPr>
          <w:rFonts w:eastAsiaTheme="minorHAnsi"/>
          <w:sz w:val="16"/>
          <w:szCs w:val="16"/>
        </w:rPr>
        <w:t xml:space="preserve"> </w:t>
      </w:r>
    </w:p>
  </w:footnote>
  <w:footnote w:id="5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for example the Judgments of the Court of 6 September 2012 in case C-150/11, Commission v Belgium, paragraph 54; and of 23 September 2003 in case C-192/01, </w:t>
      </w:r>
      <w:r>
        <w:rPr>
          <w:iCs/>
          <w:sz w:val="16"/>
          <w:szCs w:val="16"/>
        </w:rPr>
        <w:t>Commission v Denmark.</w:t>
      </w:r>
    </w:p>
  </w:footnote>
  <w:footnote w:id="5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to that effect, the Judgment of the Court of 28 January </w:t>
      </w:r>
      <w:r>
        <w:rPr>
          <w:sz w:val="16"/>
          <w:szCs w:val="16"/>
        </w:rPr>
        <w:t>2010 in case C-333/08 Commission v France, paragraph 87.</w:t>
      </w:r>
    </w:p>
  </w:footnote>
  <w:footnote w:id="5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Public consultation 1.06.2016-30.09.2016; 11% of respondents indicated an estimate of the costs incurred, the other choose not to reply or indicated that such estimation is impossible. There are c</w:t>
      </w:r>
      <w:r>
        <w:rPr>
          <w:sz w:val="16"/>
          <w:szCs w:val="16"/>
        </w:rPr>
        <w:t xml:space="preserve">onsiderable variations in the answers. </w:t>
      </w:r>
    </w:p>
  </w:footnote>
  <w:footnote w:id="5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Source: SOLVIT database </w:t>
      </w:r>
    </w:p>
  </w:footnote>
  <w:footnote w:id="5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Public consultation 1.06.2016-30.09.2016; the other obstacles and priorities indicated are listed in annex 2 and in the Evaluation</w:t>
      </w:r>
    </w:p>
  </w:footnote>
  <w:footnote w:id="59">
    <w:p w:rsidR="0037666B" w:rsidRDefault="00C627B8">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r>
      <w:r>
        <w:rPr>
          <w:rFonts w:eastAsiaTheme="minorHAnsi"/>
          <w:sz w:val="16"/>
          <w:szCs w:val="16"/>
        </w:rPr>
        <w:t>Article 11 of the Regulation</w:t>
      </w:r>
    </w:p>
  </w:footnote>
  <w:footnote w:id="6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the Evaluatio</w:t>
      </w:r>
      <w:r>
        <w:rPr>
          <w:sz w:val="16"/>
          <w:szCs w:val="16"/>
        </w:rPr>
        <w:t>n.</w:t>
      </w:r>
    </w:p>
  </w:footnote>
  <w:footnote w:id="61">
    <w:p w:rsidR="0037666B" w:rsidRDefault="00C627B8">
      <w:pPr>
        <w:pStyle w:val="FootnoteText"/>
        <w:tabs>
          <w:tab w:val="left" w:pos="284"/>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Public consultation of the start-up and scale-up initiative available at http://ec.europa.eu/DocsRoom/documents/20222.</w:t>
      </w:r>
    </w:p>
  </w:footnote>
  <w:footnote w:id="62">
    <w:p w:rsidR="0037666B" w:rsidRDefault="00C627B8">
      <w:pPr>
        <w:pStyle w:val="FootnoteText"/>
        <w:spacing w:after="0"/>
        <w:ind w:left="567" w:hanging="567"/>
        <w:rPr>
          <w:sz w:val="16"/>
          <w:szCs w:val="16"/>
        </w:rPr>
      </w:pPr>
      <w:r>
        <w:rPr>
          <w:rStyle w:val="FootnoteReference"/>
          <w:rFonts w:eastAsia="Calibri"/>
          <w:sz w:val="16"/>
          <w:szCs w:val="16"/>
          <w:vertAlign w:val="baseline"/>
        </w:rPr>
        <w:footnoteRef/>
      </w:r>
      <w:r>
        <w:rPr>
          <w:sz w:val="16"/>
          <w:szCs w:val="16"/>
        </w:rPr>
        <w:t xml:space="preserve"> </w:t>
      </w:r>
      <w:r>
        <w:rPr>
          <w:sz w:val="16"/>
          <w:szCs w:val="16"/>
        </w:rPr>
        <w:tab/>
        <w:t>26% of respondents indicated an estimate of the costs incurred, the other choose not to reply or indicated that such estimation</w:t>
      </w:r>
      <w:r>
        <w:rPr>
          <w:sz w:val="16"/>
          <w:szCs w:val="16"/>
        </w:rPr>
        <w:t xml:space="preserve"> is impossible</w:t>
      </w:r>
    </w:p>
  </w:footnote>
  <w:footnote w:id="63">
    <w:p w:rsidR="0037666B" w:rsidRDefault="00C627B8">
      <w:pPr>
        <w:pStyle w:val="FootnoteText"/>
        <w:tabs>
          <w:tab w:val="left" w:pos="284"/>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 xml:space="preserve">Flash Eurobarometer 421: Internationalisation of Small and Medium-sized Enterprises </w:t>
      </w:r>
      <w:r>
        <w:rPr>
          <w:sz w:val="16"/>
          <w:szCs w:val="16"/>
        </w:rPr>
        <w:tab/>
      </w:r>
      <w:r>
        <w:rPr>
          <w:sz w:val="16"/>
          <w:szCs w:val="16"/>
        </w:rPr>
        <w:br/>
      </w:r>
      <w:hyperlink r:id="rId11" w:history="1">
        <w:r>
          <w:rPr>
            <w:rStyle w:val="Hyperlink"/>
            <w:sz w:val="16"/>
            <w:szCs w:val="16"/>
          </w:rPr>
          <w:t>https://data.europa.eu/euodp/en/data/dataset/S2090_421_ENG</w:t>
        </w:r>
      </w:hyperlink>
      <w:r>
        <w:rPr>
          <w:sz w:val="16"/>
          <w:szCs w:val="16"/>
        </w:rPr>
        <w:t xml:space="preserve">  and Flash Eurobarometer 413: Companies engaged in online activities </w:t>
      </w:r>
      <w:r>
        <w:rPr>
          <w:rStyle w:val="Hyperlink"/>
          <w:sz w:val="16"/>
          <w:szCs w:val="16"/>
        </w:rPr>
        <w:t>https://data.europa.eu/euodp/en/data/dataset/S2058_413_ENG</w:t>
      </w:r>
    </w:p>
  </w:footnote>
  <w:footnote w:id="6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More specifically, the 2014 Competitiveness report indicates that among the roughly two million manufacturing SMEs (0-249 em</w:t>
      </w:r>
      <w:r>
        <w:rPr>
          <w:sz w:val="16"/>
          <w:szCs w:val="16"/>
        </w:rPr>
        <w:t>ployees) in the EU-28, 14.3 % export goods to EU countries. One can observe that export participation increases strongly with firm size. Meanwhile, 7.9 % of micro enterprises, 37.5 % of small firms, and 67.0 % of medium-sized enterprises export to internal</w:t>
      </w:r>
      <w:r>
        <w:rPr>
          <w:sz w:val="16"/>
          <w:szCs w:val="16"/>
        </w:rPr>
        <w:t xml:space="preserve"> markets, compared to 85.4 % of large manufacturing firms. This indicates that the export participation of large firms is about 10 times higher than that of micro enterprises. SWD(2014)277 final: </w:t>
      </w:r>
      <w:hyperlink r:id="rId12" w:history="1">
        <w:r>
          <w:rPr>
            <w:rStyle w:val="Hyperlink"/>
            <w:sz w:val="16"/>
            <w:szCs w:val="16"/>
            <w:lang w:val="en-US"/>
          </w:rPr>
          <w:t>http://ec.europa.eu/DocsRoom/documents/6706/attachments/1/translations/en/renditions/native</w:t>
        </w:r>
      </w:hyperlink>
    </w:p>
  </w:footnote>
  <w:footnote w:id="65">
    <w:p w:rsidR="0037666B" w:rsidRDefault="00C627B8">
      <w:pPr>
        <w:pStyle w:val="FootnoteText"/>
        <w:spacing w:after="0"/>
        <w:ind w:left="567" w:hanging="567"/>
        <w:rPr>
          <w:sz w:val="16"/>
          <w:szCs w:val="16"/>
        </w:rPr>
      </w:pPr>
      <w:r>
        <w:rPr>
          <w:rStyle w:val="FootnoteReference"/>
          <w:rFonts w:eastAsia="Calibri"/>
          <w:sz w:val="16"/>
          <w:szCs w:val="16"/>
          <w:vertAlign w:val="baseline"/>
        </w:rPr>
        <w:footnoteRef/>
      </w:r>
      <w:r>
        <w:rPr>
          <w:sz w:val="16"/>
          <w:szCs w:val="16"/>
        </w:rPr>
        <w:t xml:space="preserve"> </w:t>
      </w:r>
      <w:r>
        <w:rPr>
          <w:sz w:val="16"/>
          <w:szCs w:val="16"/>
        </w:rPr>
        <w:tab/>
        <w:t>20% of respondents indicated an estimate of the costs incurred, the other choose not to reply or indicated that s</w:t>
      </w:r>
      <w:r>
        <w:rPr>
          <w:sz w:val="16"/>
          <w:szCs w:val="16"/>
        </w:rPr>
        <w:t>uch estimation is impossible</w:t>
      </w:r>
    </w:p>
  </w:footnote>
  <w:footnote w:id="66">
    <w:p w:rsidR="0037666B" w:rsidRDefault="00C627B8">
      <w:pPr>
        <w:pStyle w:val="FootnoteText"/>
        <w:spacing w:after="0"/>
        <w:ind w:left="567" w:hanging="567"/>
        <w:rPr>
          <w:sz w:val="16"/>
          <w:szCs w:val="16"/>
        </w:rPr>
      </w:pPr>
      <w:r>
        <w:rPr>
          <w:rStyle w:val="FootnoteReference"/>
          <w:rFonts w:eastAsia="Calibri"/>
          <w:sz w:val="16"/>
          <w:szCs w:val="16"/>
          <w:vertAlign w:val="baseline"/>
        </w:rPr>
        <w:footnoteRef/>
      </w:r>
      <w:r>
        <w:rPr>
          <w:sz w:val="16"/>
          <w:szCs w:val="16"/>
        </w:rPr>
        <w:t xml:space="preserve"> </w:t>
      </w:r>
      <w:r>
        <w:rPr>
          <w:sz w:val="16"/>
          <w:szCs w:val="16"/>
        </w:rPr>
        <w:tab/>
        <w:t>13% of respondents indicated an estimate of the costs incurred, the other choose not to reply or indicated that such estimation is impossible</w:t>
      </w:r>
    </w:p>
  </w:footnote>
  <w:footnote w:id="6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OECD Economic Surveys: European Union 2014, Thematic Chapter Reinvigorating</w:t>
      </w:r>
      <w:r>
        <w:rPr>
          <w:sz w:val="16"/>
          <w:szCs w:val="16"/>
        </w:rPr>
        <w:t xml:space="preserve"> the EU single market: </w:t>
      </w:r>
      <w:hyperlink r:id="rId13" w:history="1">
        <w:r>
          <w:rPr>
            <w:rStyle w:val="Hyperlink"/>
            <w:rFonts w:eastAsia="Calibri"/>
            <w:sz w:val="16"/>
            <w:szCs w:val="16"/>
          </w:rPr>
          <w:t>http://www.oecd-ilibrary.org/economics/reinvigorating-the-eu-single-market_5jxx3d3hk437-en</w:t>
        </w:r>
      </w:hyperlink>
      <w:r>
        <w:rPr>
          <w:rStyle w:val="Hyperlink"/>
          <w:rFonts w:eastAsia="Calibri"/>
          <w:sz w:val="16"/>
          <w:szCs w:val="16"/>
        </w:rPr>
        <w:t xml:space="preserve">. </w:t>
      </w:r>
      <w:r>
        <w:rPr>
          <w:sz w:val="16"/>
          <w:szCs w:val="16"/>
        </w:rPr>
        <w:t>It is argued that the small size o</w:t>
      </w:r>
      <w:r>
        <w:rPr>
          <w:sz w:val="16"/>
          <w:szCs w:val="16"/>
        </w:rPr>
        <w:t xml:space="preserve">f firms in the EU relative to the United States is one indicator of costs of fragmentation. Van Ark </w:t>
      </w:r>
      <w:r>
        <w:rPr>
          <w:iCs/>
          <w:sz w:val="16"/>
          <w:szCs w:val="16"/>
        </w:rPr>
        <w:t xml:space="preserve">et al. </w:t>
      </w:r>
      <w:r>
        <w:rPr>
          <w:sz w:val="16"/>
          <w:szCs w:val="16"/>
        </w:rPr>
        <w:t>(2013) suggest substantial growth gains from further Single Market integration, in large part due to scale advantages. The correlation between the si</w:t>
      </w:r>
      <w:r>
        <w:rPr>
          <w:sz w:val="16"/>
          <w:szCs w:val="16"/>
        </w:rPr>
        <w:t xml:space="preserve">ze of firms and their productivity in the manufacturing sector suggests that firms may have some potential to generate economies of scale. </w:t>
      </w:r>
    </w:p>
  </w:footnote>
  <w:footnote w:id="68">
    <w:p w:rsidR="0037666B" w:rsidRDefault="00C627B8">
      <w:pPr>
        <w:pStyle w:val="FootnoteText"/>
        <w:spacing w:after="0"/>
        <w:ind w:left="567" w:hanging="567"/>
        <w:rPr>
          <w:sz w:val="16"/>
          <w:szCs w:val="16"/>
        </w:rPr>
      </w:pPr>
      <w:r>
        <w:rPr>
          <w:rStyle w:val="FootnoteReference"/>
          <w:rFonts w:eastAsia="Calibri"/>
          <w:sz w:val="16"/>
          <w:szCs w:val="16"/>
          <w:vertAlign w:val="baseline"/>
        </w:rPr>
        <w:footnoteRef/>
      </w:r>
      <w:r>
        <w:rPr>
          <w:sz w:val="16"/>
          <w:szCs w:val="16"/>
        </w:rPr>
        <w:t xml:space="preserve"> </w:t>
      </w:r>
      <w:r>
        <w:rPr>
          <w:sz w:val="16"/>
          <w:szCs w:val="16"/>
        </w:rPr>
        <w:tab/>
        <w:t>11% of respondents indicated an estimate of the costs incurred, the other choose not to reply or indicated that s</w:t>
      </w:r>
      <w:r>
        <w:rPr>
          <w:sz w:val="16"/>
          <w:szCs w:val="16"/>
        </w:rPr>
        <w:t>uch estimation is impossible</w:t>
      </w:r>
    </w:p>
  </w:footnote>
  <w:footnote w:id="69">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the Evaluation.</w:t>
      </w:r>
    </w:p>
  </w:footnote>
  <w:footnote w:id="7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Source: Questionnaire survey among companies, running from 9 October 2014 to 5 January 2015, carried out by DTI</w:t>
      </w:r>
    </w:p>
  </w:footnote>
  <w:footnote w:id="71">
    <w:p w:rsidR="0037666B" w:rsidRDefault="00C627B8">
      <w:pPr>
        <w:pStyle w:val="FootnoteText"/>
        <w:tabs>
          <w:tab w:val="left" w:pos="284"/>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For example, good practices on how to provide product information can be found in Aus</w:t>
      </w:r>
      <w:r>
        <w:rPr>
          <w:sz w:val="16"/>
          <w:szCs w:val="16"/>
        </w:rPr>
        <w:t>tria, France, Denmark and the UK. See Annex 12 of the Evaluation.</w:t>
      </w:r>
    </w:p>
  </w:footnote>
  <w:footnote w:id="7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Proposal for a Regulation of the European Parliament and of the Council laying down rules on the making available on the market of CE marked fertilising products and amending Regulations </w:t>
      </w:r>
      <w:r>
        <w:rPr>
          <w:sz w:val="16"/>
          <w:szCs w:val="16"/>
        </w:rPr>
        <w:t>(EC) No 1069/2009 and (EC) No 1107/2009 (COM(2016) 157 final)</w:t>
      </w:r>
    </w:p>
  </w:footnote>
  <w:footnote w:id="7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52% of businesses believe that the Regulation did not bring more legal certainty, whilst only 8% of Member States authorities share this view. Also, 60% of businesses responded that the </w:t>
      </w:r>
      <w:r>
        <w:rPr>
          <w:sz w:val="16"/>
          <w:szCs w:val="16"/>
        </w:rPr>
        <w:t>Regulation did not reduce the risk of having market access denied whilst only 15% of Member States authorities share this view.</w:t>
      </w:r>
    </w:p>
  </w:footnote>
  <w:footnote w:id="7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Subject to the Low Voltage Directive 2014/35/EU.</w:t>
      </w:r>
    </w:p>
  </w:footnote>
  <w:footnote w:id="7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Subject to the Lifts Directive 2014/33/EU.</w:t>
      </w:r>
    </w:p>
  </w:footnote>
  <w:footnote w:id="7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Subject to the Measuring In</w:t>
      </w:r>
      <w:r>
        <w:rPr>
          <w:sz w:val="16"/>
          <w:szCs w:val="16"/>
        </w:rPr>
        <w:t>struments Directive 2014/32/EU.</w:t>
      </w:r>
    </w:p>
  </w:footnote>
  <w:footnote w:id="7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Evaluation of the Internal Market Legislation for Industrial Products Accompanying the document the Communication from the Commission to the European Parliament, the Council and the European Economic and Social Commit</w:t>
      </w:r>
      <w:r>
        <w:rPr>
          <w:sz w:val="16"/>
          <w:szCs w:val="16"/>
        </w:rPr>
        <w:t>tee - A vision for the internal market for products (SWD (2014)23 final) indicated in its case studies that in the sector for gardening equipment the annual budget of firms for services of Notified Bodies is in the range of €30-80k, around €4,000 for certi</w:t>
      </w:r>
      <w:r>
        <w:rPr>
          <w:sz w:val="16"/>
          <w:szCs w:val="16"/>
        </w:rPr>
        <w:t>fication of a single product and representing 20-25% of the total estimated costs for compliance. Similar figures were provided by manufacturers of fuel dispensers. Manufacturers of fuel dispensers estimated that Notified Bodies fees represented 55% of the</w:t>
      </w:r>
      <w:r>
        <w:rPr>
          <w:sz w:val="16"/>
          <w:szCs w:val="16"/>
        </w:rPr>
        <w:t xml:space="preserve"> conformity assessment costs, 35% relating to initial inspections and 20% to periodic inspections.</w:t>
      </w:r>
    </w:p>
  </w:footnote>
  <w:footnote w:id="7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2003/C 265/02</w:t>
      </w:r>
    </w:p>
  </w:footnote>
  <w:footnote w:id="79">
    <w:p w:rsidR="0037666B" w:rsidRDefault="00C627B8">
      <w:pPr>
        <w:pStyle w:val="FootnoteText"/>
        <w:ind w:left="567" w:hanging="567"/>
        <w:rPr>
          <w:sz w:val="16"/>
          <w:szCs w:val="16"/>
        </w:rPr>
      </w:pPr>
      <w:r>
        <w:rPr>
          <w:rStyle w:val="FootnoteReference"/>
          <w:sz w:val="16"/>
          <w:szCs w:val="16"/>
          <w:vertAlign w:val="baseline"/>
        </w:rPr>
        <w:footnoteRef/>
      </w:r>
      <w:r>
        <w:rPr>
          <w:sz w:val="16"/>
          <w:szCs w:val="16"/>
        </w:rPr>
        <w:t xml:space="preserve"> See articles R31 and 32 of Decision No 768/2008/EC which has been incorporated into most pieces of Union harmonisation legislation, provid</w:t>
      </w:r>
      <w:r>
        <w:rPr>
          <w:sz w:val="16"/>
          <w:szCs w:val="16"/>
        </w:rPr>
        <w:t>ing for a Union safeguard procedure.</w:t>
      </w:r>
    </w:p>
  </w:footnote>
  <w:footnote w:id="8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Adriaan Dierx, Fabienne Ilzkovitz and Khalid Sekkat (Ed.), European Integration and the Functioning of Product Markets, Edward Elgar Publshing Ltd, 2004</w:t>
      </w:r>
    </w:p>
  </w:footnote>
  <w:footnote w:id="8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 Late Payment Information Campaign was organised fro</w:t>
      </w:r>
      <w:r>
        <w:rPr>
          <w:sz w:val="16"/>
          <w:szCs w:val="16"/>
        </w:rPr>
        <w:t>m October 2012 to November 2014to support the transposition of the new Late Payment Directive 2011/7/EU. See https://ec.europa.eu/growth/smes/support/late-payment/campaign/</w:t>
      </w:r>
    </w:p>
  </w:footnote>
  <w:footnote w:id="8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http://ec.europa.eu/chafea/consumers/exchange-of-officials-index_en.html</w:t>
      </w:r>
    </w:p>
  </w:footnote>
  <w:footnote w:id="8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 xml:space="preserve">See Annex 2 </w:t>
      </w:r>
    </w:p>
  </w:footnote>
  <w:footnote w:id="8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Economic operators</w:t>
      </w:r>
    </w:p>
  </w:footnote>
  <w:footnote w:id="8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case study on Food supplements, annex to the Evaluation.</w:t>
      </w:r>
    </w:p>
  </w:footnote>
  <w:footnote w:id="8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Evaluation of the internal market for products, see footnote </w:t>
      </w:r>
      <w:r>
        <w:rPr>
          <w:sz w:val="16"/>
          <w:szCs w:val="16"/>
        </w:rPr>
        <w:fldChar w:fldCharType="begin"/>
      </w:r>
      <w:r>
        <w:rPr>
          <w:sz w:val="16"/>
          <w:szCs w:val="16"/>
        </w:rPr>
        <w:instrText xml:space="preserve"> NOTEREF _Ref476736177 \h  \* MERGEFORMAT </w:instrText>
      </w:r>
      <w:r>
        <w:rPr>
          <w:sz w:val="16"/>
          <w:szCs w:val="16"/>
        </w:rPr>
      </w:r>
      <w:r>
        <w:rPr>
          <w:sz w:val="16"/>
          <w:szCs w:val="16"/>
        </w:rPr>
        <w:fldChar w:fldCharType="separate"/>
      </w:r>
      <w:r>
        <w:rPr>
          <w:sz w:val="16"/>
          <w:szCs w:val="16"/>
        </w:rPr>
        <w:t>76</w:t>
      </w:r>
      <w:r>
        <w:rPr>
          <w:sz w:val="16"/>
          <w:szCs w:val="16"/>
        </w:rPr>
        <w:fldChar w:fldCharType="end"/>
      </w:r>
      <w:r>
        <w:rPr>
          <w:sz w:val="16"/>
          <w:szCs w:val="16"/>
        </w:rPr>
        <w:t>.</w:t>
      </w:r>
    </w:p>
  </w:footnote>
  <w:footnote w:id="8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the Joint Initiative for Standardisation; while the presence of SMEs and their associations is already improving at European level, more should be done to ensure appropriate representation and effective participation in internati</w:t>
      </w:r>
      <w:r>
        <w:rPr>
          <w:sz w:val="16"/>
          <w:szCs w:val="16"/>
        </w:rPr>
        <w:t>onal standardisation processes. http://ec.europa.eu/growth/tools-databases/newsroom/cf/itemdetail.cfm?item_id=8852</w:t>
      </w:r>
    </w:p>
  </w:footnote>
  <w:footnote w:id="88">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the Evaluation</w:t>
      </w:r>
    </w:p>
  </w:footnote>
  <w:footnote w:id="8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This assumption is based on the current number of FTEs employed in the PCP network in the different Member States (s</w:t>
      </w:r>
      <w:r>
        <w:rPr>
          <w:sz w:val="16"/>
          <w:szCs w:val="16"/>
        </w:rPr>
        <w:t>ee the Evaluation, section 7).</w:t>
      </w:r>
    </w:p>
  </w:footnote>
  <w:footnote w:id="9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lang w:val="en"/>
        </w:rPr>
        <w:t>The Information and Communication System on Market Surveillance (ICSMS) is an IT platform to facilitate communication between market surveillance bodies in the EU and in EFTA countries.</w:t>
      </w:r>
    </w:p>
  </w:footnote>
  <w:footnote w:id="91">
    <w:p w:rsidR="0037666B" w:rsidRDefault="00C627B8">
      <w:pPr>
        <w:pStyle w:val="FootnoteText"/>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Internal Market Information Tool.</w:t>
      </w:r>
    </w:p>
  </w:footnote>
  <w:footnote w:id="9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Annex 2 </w:t>
      </w:r>
    </w:p>
  </w:footnote>
  <w:footnote w:id="9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Economic operators</w:t>
      </w:r>
    </w:p>
  </w:footnote>
  <w:footnote w:id="9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8for detailed information on this option.</w:t>
      </w:r>
    </w:p>
  </w:footnote>
  <w:footnote w:id="9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Annex 8. </w:t>
      </w:r>
    </w:p>
  </w:footnote>
  <w:footnote w:id="9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footnote </w:t>
      </w:r>
      <w:r>
        <w:rPr>
          <w:sz w:val="16"/>
          <w:szCs w:val="16"/>
          <w:highlight w:val="yellow"/>
        </w:rPr>
        <w:fldChar w:fldCharType="begin"/>
      </w:r>
      <w:r>
        <w:rPr>
          <w:sz w:val="16"/>
          <w:szCs w:val="16"/>
        </w:rPr>
        <w:instrText xml:space="preserve"> NOTEREF _Ref476736177 \h </w:instrText>
      </w:r>
      <w:r>
        <w:rPr>
          <w:sz w:val="16"/>
          <w:szCs w:val="16"/>
          <w:highlight w:val="yellow"/>
        </w:rPr>
        <w:instrText xml:space="preserve"> \* MERGEFORMAT </w:instrText>
      </w:r>
      <w:r>
        <w:rPr>
          <w:sz w:val="16"/>
          <w:szCs w:val="16"/>
          <w:highlight w:val="yellow"/>
        </w:rPr>
      </w:r>
      <w:r>
        <w:rPr>
          <w:sz w:val="16"/>
          <w:szCs w:val="16"/>
          <w:highlight w:val="yellow"/>
        </w:rPr>
        <w:fldChar w:fldCharType="separate"/>
      </w:r>
      <w:r>
        <w:rPr>
          <w:sz w:val="16"/>
          <w:szCs w:val="16"/>
        </w:rPr>
        <w:t>76</w:t>
      </w:r>
      <w:r>
        <w:rPr>
          <w:sz w:val="16"/>
          <w:szCs w:val="16"/>
          <w:highlight w:val="yellow"/>
        </w:rPr>
        <w:fldChar w:fldCharType="end"/>
      </w:r>
      <w:r>
        <w:rPr>
          <w:sz w:val="16"/>
          <w:szCs w:val="16"/>
        </w:rPr>
        <w:t>.</w:t>
      </w:r>
    </w:p>
  </w:footnote>
  <w:footnote w:id="9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As estimated </w:t>
      </w:r>
      <w:r>
        <w:rPr>
          <w:sz w:val="16"/>
          <w:szCs w:val="16"/>
        </w:rPr>
        <w:t>based on case studies performed in sectors such as lifts, air conditioning, domestic refrigerators and freezers, electric motors, see study supporting the evaluation of the internal market for goods quoted above. For example, for electric motors it was est</w:t>
      </w:r>
      <w:r>
        <w:rPr>
          <w:sz w:val="16"/>
          <w:szCs w:val="16"/>
        </w:rPr>
        <w:t>imated that the average costs for declaration of conformity or other statement of compliance and CE marking of the interviewed companies amount to approximately 0.1% of turnover.  More than 90% of these costs are costs of human resources.</w:t>
      </w:r>
    </w:p>
  </w:footnote>
  <w:footnote w:id="9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Following the</w:t>
      </w:r>
      <w:r>
        <w:rPr>
          <w:sz w:val="16"/>
          <w:szCs w:val="16"/>
        </w:rPr>
        <w:t xml:space="preserve"> 2016 public consultation (see annex 2), adaptation costs were estimated between 1000 and 150 000 Euro per product and per market. Delays for entering a market were estimated between 3000 and 500 000 Euro per product and per market, and lost opportunities,</w:t>
      </w:r>
      <w:r>
        <w:rPr>
          <w:sz w:val="16"/>
          <w:szCs w:val="16"/>
        </w:rPr>
        <w:t xml:space="preserve"> were estimated between 10 000 and 500 000 Euro per product and per market.</w:t>
      </w:r>
    </w:p>
  </w:footnote>
  <w:footnote w:id="99">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annex 7 to the Evaluation.</w:t>
      </w:r>
    </w:p>
  </w:footnote>
  <w:footnote w:id="10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r>
      <w:r>
        <w:rPr>
          <w:sz w:val="16"/>
          <w:szCs w:val="16"/>
        </w:rPr>
        <w:t xml:space="preserve">This covers the organisation of the networking meetings, the refund of travel fees for the participants and for the person in charge of the administrative secretariat (e.g. preparation of the agenda of the meetings and relevant documents).    </w:t>
      </w:r>
      <w:r>
        <w:rPr>
          <w:sz w:val="16"/>
          <w:szCs w:val="16"/>
        </w:rPr>
        <w:tab/>
      </w:r>
    </w:p>
  </w:footnote>
  <w:footnote w:id="101">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Annex 5 </w:t>
      </w:r>
      <w:r>
        <w:rPr>
          <w:sz w:val="16"/>
          <w:szCs w:val="16"/>
        </w:rPr>
        <w:t xml:space="preserve">offers an overview of harmonised and non-harmonised sectors </w:t>
      </w:r>
    </w:p>
  </w:footnote>
  <w:footnote w:id="102">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The reasons for this low number of cases are provided in section 3.2.3</w:t>
      </w:r>
    </w:p>
  </w:footnote>
  <w:footnote w:id="10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SWD Assessment of the performance of SOLVIT and SOLVIT database.</w:t>
      </w:r>
    </w:p>
  </w:footnote>
  <w:footnote w:id="10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 xml:space="preserve">[Communication on an action plan on the reinforcing of SOLVIT] </w:t>
      </w:r>
    </w:p>
  </w:footnote>
  <w:footnote w:id="10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section 2 and Annex 4</w:t>
      </w:r>
    </w:p>
  </w:footnote>
  <w:footnote w:id="10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2</w:t>
      </w:r>
    </w:p>
  </w:footnote>
  <w:footnote w:id="10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Annex 2 </w:t>
      </w:r>
    </w:p>
  </w:footnote>
  <w:footnote w:id="10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Economic operators</w:t>
      </w:r>
    </w:p>
  </w:footnote>
  <w:footnote w:id="10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section 2 and Annex 5</w:t>
      </w:r>
    </w:p>
  </w:footnote>
  <w:footnote w:id="11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Annex 4</w:t>
      </w:r>
    </w:p>
  </w:footnote>
  <w:footnote w:id="11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SWD Accompanying document to the Proposal for a Regulation </w:t>
      </w:r>
      <w:r>
        <w:rPr>
          <w:sz w:val="16"/>
          <w:szCs w:val="16"/>
        </w:rPr>
        <w:t>Of The European Parliament And Of The Council concerning the placing on the market and use of biocidal products, SEC(2009) 773 Final</w:t>
      </w:r>
    </w:p>
  </w:footnote>
  <w:footnote w:id="11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C-390/99 Canal Satelite Digital, where the Court sets very strict conditions for prior authorisations procedures, wh</w:t>
      </w:r>
      <w:r>
        <w:rPr>
          <w:sz w:val="16"/>
          <w:szCs w:val="16"/>
        </w:rPr>
        <w:t xml:space="preserve">ich are measures having an effect equivalent to a quantitative restriction on imports. </w:t>
      </w:r>
    </w:p>
  </w:footnote>
  <w:footnote w:id="11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Annex 2 </w:t>
      </w:r>
    </w:p>
  </w:footnote>
  <w:footnote w:id="11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Economic operators</w:t>
      </w:r>
    </w:p>
  </w:footnote>
  <w:footnote w:id="11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See the current work towards an Action Plan for Reinforcing SOLVIT. </w:t>
      </w:r>
    </w:p>
  </w:footnote>
  <w:footnote w:id="116">
    <w:p w:rsidR="0037666B" w:rsidRDefault="00C627B8">
      <w:pPr>
        <w:pStyle w:val="FootnoteText"/>
        <w:spacing w:after="0"/>
        <w:ind w:left="567" w:hanging="567"/>
        <w:rPr>
          <w:iCs/>
          <w:sz w:val="16"/>
          <w:szCs w:val="16"/>
        </w:rPr>
      </w:pPr>
      <w:r>
        <w:rPr>
          <w:iCs/>
          <w:sz w:val="16"/>
          <w:szCs w:val="16"/>
        </w:rPr>
        <w:footnoteRef/>
      </w:r>
      <w:r>
        <w:rPr>
          <w:iCs/>
          <w:sz w:val="16"/>
          <w:szCs w:val="16"/>
        </w:rPr>
        <w:t xml:space="preserve"> </w:t>
      </w:r>
      <w:r>
        <w:rPr>
          <w:iCs/>
          <w:sz w:val="16"/>
          <w:szCs w:val="16"/>
        </w:rPr>
        <w:tab/>
        <w:t>The Cost of Non- Europe in the Single Market, 'Cecchini</w:t>
      </w:r>
      <w:r>
        <w:rPr>
          <w:iCs/>
          <w:sz w:val="16"/>
          <w:szCs w:val="16"/>
        </w:rPr>
        <w:t xml:space="preserve"> Revisited', An overview of the potential economic gains from further completion of the European Single Market, CoNE 1/2014</w:t>
      </w:r>
    </w:p>
    <w:p w:rsidR="0037666B" w:rsidRDefault="00C627B8">
      <w:pPr>
        <w:pStyle w:val="FootnoteText"/>
        <w:spacing w:after="0"/>
        <w:ind w:left="567" w:hanging="567"/>
        <w:rPr>
          <w:sz w:val="16"/>
          <w:szCs w:val="16"/>
        </w:rPr>
      </w:pPr>
      <w:r>
        <w:rPr>
          <w:iCs/>
          <w:sz w:val="16"/>
          <w:szCs w:val="16"/>
        </w:rPr>
        <w:t xml:space="preserve"> </w:t>
      </w:r>
      <w:r>
        <w:rPr>
          <w:iCs/>
          <w:sz w:val="16"/>
          <w:szCs w:val="16"/>
        </w:rPr>
        <w:tab/>
        <w:t>http://www.europarl.europa.eu/RegData/etudes/STUD/2014/510981/EPRS_STU(2014)510981_REV1_EN.pdf</w:t>
      </w:r>
    </w:p>
  </w:footnote>
  <w:footnote w:id="11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http://ec.europa.eu/growth/indus</w:t>
      </w:r>
      <w:r>
        <w:rPr>
          <w:sz w:val="16"/>
          <w:szCs w:val="16"/>
        </w:rPr>
        <w:t>try/innovation/facts-figures/innobarometer_fr</w:t>
      </w:r>
    </w:p>
  </w:footnote>
  <w:footnote w:id="11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Commission Staff Working Document "Evaluation of the functioning of mutual recognition in the area of goods".</w:t>
      </w:r>
    </w:p>
  </w:footnote>
  <w:footnote w:id="119">
    <w:p w:rsidR="0037666B" w:rsidRDefault="00C627B8">
      <w:pPr>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sz w:val="16"/>
          <w:szCs w:val="16"/>
        </w:rPr>
        <w:t xml:space="preserve"> </w:t>
      </w:r>
      <w:r>
        <w:rPr>
          <w:sz w:val="16"/>
          <w:szCs w:val="16"/>
        </w:rPr>
        <w:tab/>
        <w:t>European Commission, Study commissioned to Technopolis Group (2015): ‘Evaluation of the appli</w:t>
      </w:r>
      <w:r>
        <w:rPr>
          <w:sz w:val="16"/>
          <w:szCs w:val="16"/>
        </w:rPr>
        <w:t xml:space="preserve">cation of the principle of mutual recognition in the field of goods,’ ENTR/172/PP/2012/FC – LOT 4 carried out between April 2014 and May 2015: </w:t>
      </w:r>
      <w:hyperlink r:id="rId14" w:history="1">
        <w:r>
          <w:rPr>
            <w:sz w:val="16"/>
            <w:szCs w:val="16"/>
          </w:rPr>
          <w:t>http://ec.europa.eu/growth/single-market/goods/free-movement-sectors/mutual-recognition/index_en.htm</w:t>
        </w:r>
      </w:hyperlink>
      <w:r>
        <w:rPr>
          <w:sz w:val="16"/>
          <w:szCs w:val="16"/>
        </w:rPr>
        <w:t>.</w:t>
      </w:r>
    </w:p>
  </w:footnote>
  <w:footnote w:id="12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Notifications of national administrative decisions denying or restricting market access, on the basis of article 6 of the Regulation</w:t>
      </w:r>
    </w:p>
  </w:footnote>
  <w:footnote w:id="12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See for mor</w:t>
      </w:r>
      <w:r>
        <w:rPr>
          <w:sz w:val="16"/>
          <w:szCs w:val="16"/>
        </w:rPr>
        <w:t>e details section 7.1</w:t>
      </w:r>
    </w:p>
  </w:footnote>
  <w:footnote w:id="122">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http://ec.europa.eu/growth/smes_en</w:t>
      </w:r>
    </w:p>
  </w:footnote>
  <w:footnote w:id="123">
    <w:p w:rsidR="0037666B" w:rsidRDefault="00C627B8">
      <w:pPr>
        <w:pStyle w:val="FootnoteText"/>
        <w:spacing w:after="0"/>
        <w:ind w:left="567" w:hanging="567"/>
        <w:rPr>
          <w:sz w:val="16"/>
          <w:szCs w:val="16"/>
        </w:rPr>
      </w:pPr>
      <w:r>
        <w:rPr>
          <w:iCs/>
          <w:sz w:val="16"/>
          <w:szCs w:val="16"/>
        </w:rPr>
        <w:footnoteRef/>
      </w:r>
      <w:r>
        <w:rPr>
          <w:iCs/>
          <w:sz w:val="16"/>
          <w:szCs w:val="16"/>
        </w:rPr>
        <w:t xml:space="preserve"> </w:t>
      </w:r>
      <w:r>
        <w:rPr>
          <w:iCs/>
          <w:sz w:val="16"/>
          <w:szCs w:val="16"/>
        </w:rPr>
        <w:tab/>
        <w:t>Some of these Member States choose sending a position paper instead of participating in the public consultation, e.g. Denmark and France</w:t>
      </w:r>
    </w:p>
  </w:footnote>
  <w:footnote w:id="124">
    <w:p w:rsidR="0037666B" w:rsidRDefault="00C627B8">
      <w:pPr>
        <w:pStyle w:val="FootnoteText"/>
        <w:spacing w:after="0"/>
        <w:ind w:left="567" w:hanging="567"/>
        <w:rPr>
          <w:sz w:val="16"/>
          <w:szCs w:val="16"/>
        </w:rPr>
      </w:pPr>
      <w:r>
        <w:rPr>
          <w:iCs/>
          <w:sz w:val="16"/>
          <w:szCs w:val="16"/>
        </w:rPr>
        <w:footnoteRef/>
      </w:r>
      <w:r>
        <w:rPr>
          <w:iCs/>
          <w:sz w:val="16"/>
          <w:szCs w:val="16"/>
        </w:rPr>
        <w:t xml:space="preserve"> </w:t>
      </w:r>
      <w:r>
        <w:rPr>
          <w:iCs/>
          <w:sz w:val="16"/>
          <w:szCs w:val="16"/>
        </w:rPr>
        <w:tab/>
        <w:t xml:space="preserve">Latest report available: </w:t>
      </w:r>
      <w:r>
        <w:rPr>
          <w:iCs/>
          <w:sz w:val="16"/>
          <w:szCs w:val="16"/>
        </w:rPr>
        <w:t>http://ec.europa.eu/growth/tools-databases/tris/en/the-20151535-and-you/being-informed/reports/report-to-the-european-parliament-2011-2013/</w:t>
      </w:r>
    </w:p>
  </w:footnote>
  <w:footnote w:id="12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 xml:space="preserve">The members of this Committee are the national authorities responsible for mutual recognition in the 28 Member States and in Iceland, Liechtenstein, Norway, Switzerland and Turkey. </w:t>
      </w:r>
      <w:r>
        <w:rPr>
          <w:noProof/>
          <w:sz w:val="16"/>
          <w:szCs w:val="16"/>
        </w:rPr>
        <w:t>Representatives of other third parties or other experts may be invited to p</w:t>
      </w:r>
      <w:r>
        <w:rPr>
          <w:noProof/>
          <w:sz w:val="16"/>
          <w:szCs w:val="16"/>
        </w:rPr>
        <w:t>articipate on a specifc topic, on a case by case basis.</w:t>
      </w:r>
    </w:p>
  </w:footnote>
  <w:footnote w:id="126">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Enterprises can be classified in different categories according to their size; for this purpose different criteria may be used (e.g. number of persons employed, employees, balance sheet total, inve</w:t>
      </w:r>
      <w:r>
        <w:rPr>
          <w:sz w:val="16"/>
          <w:szCs w:val="16"/>
        </w:rPr>
        <w:t>stments, ...), but the one most common in a statistical context is number of persons employed : small and medium-sized enterprises, abbreviated as SMEs: fewer than 250 persons employed (</w:t>
      </w:r>
      <w:r>
        <w:rPr>
          <w:sz w:val="16"/>
          <w:szCs w:val="16"/>
        </w:rPr>
        <w:tab/>
        <w:t>SMEs are further subdivided into: micro enterprises: fewer than 10 pe</w:t>
      </w:r>
      <w:r>
        <w:rPr>
          <w:sz w:val="16"/>
          <w:szCs w:val="16"/>
        </w:rPr>
        <w:t>rsons employed; small enterprises: 10 to 49 persons employed; medium-sized enterprises: 50 to 249 persons employed); large enterprises: 250 or more persons employed.</w:t>
      </w:r>
    </w:p>
  </w:footnote>
  <w:footnote w:id="12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26% of respondents indicated an estimate of the costs incurred, the other choose not to</w:t>
      </w:r>
      <w:r>
        <w:rPr>
          <w:sz w:val="16"/>
          <w:szCs w:val="16"/>
        </w:rPr>
        <w:t xml:space="preserve"> reply or indicated that such estimation is impossible</w:t>
      </w:r>
    </w:p>
  </w:footnote>
  <w:footnote w:id="12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20% of respondents indicated an estimate of the costs incurred, the other choose not to reply or indicated that such estimation is impossible</w:t>
      </w:r>
    </w:p>
  </w:footnote>
  <w:footnote w:id="12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13% of respondents indicated an estimate of the costs</w:t>
      </w:r>
      <w:r>
        <w:rPr>
          <w:sz w:val="16"/>
          <w:szCs w:val="16"/>
        </w:rPr>
        <w:t xml:space="preserve"> incurred, the other choose not to reply or indicated that such estimation is impossible</w:t>
      </w:r>
    </w:p>
  </w:footnote>
  <w:footnote w:id="13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11% of respondents indicated an estimate of the costs incurred, the other choose not to reply or indicated that such estimation is impossible</w:t>
      </w:r>
    </w:p>
  </w:footnote>
  <w:footnote w:id="13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http://ec.europa.eu</w:t>
      </w:r>
      <w:r>
        <w:rPr>
          <w:sz w:val="16"/>
          <w:szCs w:val="16"/>
        </w:rPr>
        <w:t>/DocsRoom/documents/13381</w:t>
      </w:r>
    </w:p>
  </w:footnote>
  <w:footnote w:id="13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Each time we refer to non harmonised products/sectors we also include partially harmonised sectors/products.</w:t>
      </w:r>
    </w:p>
  </w:footnote>
  <w:footnote w:id="13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5" w:history="1">
        <w:r>
          <w:rPr>
            <w:rStyle w:val="Hyperlink"/>
            <w:sz w:val="16"/>
            <w:szCs w:val="16"/>
          </w:rPr>
          <w:t>http://ec.europa.eu/eurostat/web/st</w:t>
        </w:r>
        <w:r>
          <w:rPr>
            <w:rStyle w:val="Hyperlink"/>
            <w:sz w:val="16"/>
            <w:szCs w:val="16"/>
          </w:rPr>
          <w:t>ructural-business-statistics</w:t>
        </w:r>
      </w:hyperlink>
      <w:r>
        <w:rPr>
          <w:sz w:val="16"/>
          <w:szCs w:val="16"/>
        </w:rPr>
        <w:t xml:space="preserve"> </w:t>
      </w:r>
    </w:p>
  </w:footnote>
  <w:footnote w:id="13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6" w:history="1">
        <w:r>
          <w:rPr>
            <w:rStyle w:val="Hyperlink"/>
            <w:sz w:val="16"/>
            <w:szCs w:val="16"/>
          </w:rPr>
          <w:t>http://ec.europa.eu/eurostat/web/international-trade-in-goods/data/database</w:t>
        </w:r>
      </w:hyperlink>
    </w:p>
  </w:footnote>
  <w:footnote w:id="13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The materials covered only by national measures are </w:t>
      </w:r>
      <w:r>
        <w:rPr>
          <w:sz w:val="16"/>
          <w:szCs w:val="16"/>
        </w:rPr>
        <w:t>adhesives, printing inks, coatings, glass, ion exchange resins, waxes, metals, cork, wood, paper and board, silicones, rubber, textiles and combinations of materials.</w:t>
      </w:r>
    </w:p>
  </w:footnote>
  <w:footnote w:id="136">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F</w:t>
      </w:r>
      <w:r>
        <w:rPr>
          <w:bCs/>
          <w:sz w:val="16"/>
          <w:szCs w:val="16"/>
          <w:lang w:val="en-US"/>
        </w:rPr>
        <w:t>ood supplements are foodstuffs that are meant to supplement the normal diet and which</w:t>
      </w:r>
      <w:r>
        <w:rPr>
          <w:bCs/>
          <w:sz w:val="16"/>
          <w:szCs w:val="16"/>
          <w:lang w:val="en-US"/>
        </w:rPr>
        <w:t xml:space="preserve"> are concentrated sources of nutrients or other substances with a nutritional or physiological effect. These can be found alone or in combination, marketed in dose form, namely forms such as capsules, pastilles, tablets, pills and other similar forms, sach</w:t>
      </w:r>
      <w:r>
        <w:rPr>
          <w:bCs/>
          <w:sz w:val="16"/>
          <w:szCs w:val="16"/>
          <w:lang w:val="en-US"/>
        </w:rPr>
        <w:t>ets of powder, ampoules of liquids, drop dispensing bottles, and other similar forms of liquids and powders designed to be taken in measured small unit quantities. Moreover nutrients could be vitamins, minerals, herbal extracts and other ingredients.</w:t>
      </w:r>
    </w:p>
  </w:footnote>
  <w:footnote w:id="13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ab/>
      </w:r>
      <w:hyperlink r:id="rId17" w:history="1">
        <w:r>
          <w:rPr>
            <w:rStyle w:val="Hyperlink"/>
            <w:sz w:val="16"/>
            <w:szCs w:val="16"/>
          </w:rPr>
          <w:t>http://ec.europa.eu/eurostat/ramon/nomenclatures/index.cfm?TargetUrl=DSP_GLOSSARY_NOM_DTL_VIEW&amp;StrNo‌‌m‌=‌CODED2&amp;StrLanguageCode=EN&amp;IntKey=16619885&amp;RdoSearch=BEGIN&amp;TxtSearch=value%20added%20at%20factor%20co‌s‌t‌&amp;‌‌CboTheme=&amp;IsTer=&amp;IntCurrentPage=1&amp;</w:t>
        </w:r>
        <w:r>
          <w:rPr>
            <w:rStyle w:val="Hyperlink"/>
            <w:sz w:val="16"/>
            <w:szCs w:val="16"/>
          </w:rPr>
          <w:t>ter_valid=0</w:t>
        </w:r>
      </w:hyperlink>
      <w:r>
        <w:rPr>
          <w:sz w:val="16"/>
          <w:szCs w:val="16"/>
        </w:rPr>
        <w:t xml:space="preserve"> </w:t>
      </w:r>
    </w:p>
  </w:footnote>
  <w:footnote w:id="13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It includes all duties and taxes on the goods or services invoiced by the unit with the exception of the VAT invoiced by the unit vis-à-vis its customer and other similar deductible taxes directly linked to turnover.</w:t>
      </w:r>
    </w:p>
    <w:p w:rsidR="0037666B" w:rsidRDefault="00C627B8">
      <w:pPr>
        <w:pStyle w:val="FootnoteText"/>
        <w:spacing w:after="0"/>
        <w:ind w:left="567" w:hanging="567"/>
        <w:rPr>
          <w:sz w:val="16"/>
          <w:szCs w:val="16"/>
        </w:rPr>
      </w:pPr>
      <w:r>
        <w:rPr>
          <w:sz w:val="16"/>
          <w:szCs w:val="16"/>
        </w:rPr>
        <w:tab/>
        <w:t>It also includes all o</w:t>
      </w:r>
      <w:r>
        <w:rPr>
          <w:sz w:val="16"/>
          <w:szCs w:val="16"/>
        </w:rPr>
        <w:t>ther charges (transport, packaging, etc.) passed on to the customer, even if these charges are listed separately in the invoice. Reduction in prices, rebates and discounts as well as the value of returned packing must be deducted.</w:t>
      </w:r>
    </w:p>
    <w:p w:rsidR="0037666B" w:rsidRDefault="00C627B8">
      <w:pPr>
        <w:pStyle w:val="FootnoteText"/>
        <w:spacing w:after="0"/>
        <w:ind w:left="567" w:hanging="567"/>
        <w:rPr>
          <w:sz w:val="16"/>
          <w:szCs w:val="16"/>
        </w:rPr>
      </w:pPr>
      <w:r>
        <w:rPr>
          <w:sz w:val="16"/>
          <w:szCs w:val="16"/>
        </w:rPr>
        <w:tab/>
        <w:t>Income classified as oth</w:t>
      </w:r>
      <w:r>
        <w:rPr>
          <w:sz w:val="16"/>
          <w:szCs w:val="16"/>
        </w:rPr>
        <w:t>er operating income, financial income and extra-ordinary income in company accounts is excluded from turnover. Operating subsidies received from public authorities or the institutions of the European Union are also excluded.</w:t>
      </w:r>
    </w:p>
  </w:footnote>
  <w:footnote w:id="13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Only intra EU exports are co</w:t>
      </w:r>
      <w:r>
        <w:rPr>
          <w:sz w:val="16"/>
          <w:szCs w:val="16"/>
        </w:rPr>
        <w:t>nsidered for the analysis.</w:t>
      </w:r>
    </w:p>
  </w:footnote>
  <w:footnote w:id="140">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18" w:history="1">
        <w:r>
          <w:rPr>
            <w:rStyle w:val="Hyperlink"/>
            <w:sz w:val="16"/>
            <w:szCs w:val="16"/>
          </w:rPr>
          <w:t>http://ec.europa.eu/eurostat/web/international-trade-in-goods/data/database</w:t>
        </w:r>
      </w:hyperlink>
      <w:r>
        <w:rPr>
          <w:sz w:val="16"/>
          <w:szCs w:val="16"/>
        </w:rPr>
        <w:t xml:space="preserve"> </w:t>
      </w:r>
    </w:p>
  </w:footnote>
  <w:footnote w:id="141">
    <w:p w:rsidR="0037666B" w:rsidRDefault="00C627B8">
      <w:pPr>
        <w:pStyle w:val="FootnoteText"/>
        <w:spacing w:after="0"/>
        <w:ind w:left="567" w:hanging="567"/>
        <w:rPr>
          <w:sz w:val="16"/>
          <w:szCs w:val="16"/>
          <w:lang w:val="nl-NL"/>
        </w:rPr>
      </w:pPr>
      <w:r>
        <w:rPr>
          <w:rStyle w:val="FootnoteReference"/>
          <w:sz w:val="16"/>
          <w:szCs w:val="16"/>
          <w:vertAlign w:val="baseline"/>
        </w:rPr>
        <w:footnoteRef/>
      </w:r>
      <w:r>
        <w:rPr>
          <w:sz w:val="16"/>
          <w:szCs w:val="16"/>
          <w:lang w:val="nl-NL"/>
        </w:rPr>
        <w:tab/>
      </w:r>
      <w:hyperlink r:id="rId19" w:history="1">
        <w:r>
          <w:rPr>
            <w:rStyle w:val="Hyperlink"/>
            <w:sz w:val="16"/>
            <w:szCs w:val="16"/>
            <w:lang w:val="nl-NL"/>
          </w:rPr>
          <w:t>http://ec.europa.eu/eurostat/documents/3859598/5902521/KS-RA-07-015-EN.PDF</w:t>
        </w:r>
      </w:hyperlink>
      <w:r>
        <w:rPr>
          <w:sz w:val="16"/>
          <w:szCs w:val="16"/>
          <w:lang w:val="nl-NL"/>
        </w:rPr>
        <w:t xml:space="preserve"> (pag. 44)</w:t>
      </w:r>
    </w:p>
  </w:footnote>
  <w:footnote w:id="14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Renda A et al.  2014.  Towards indicators for measuring the performance of the </w:t>
      </w:r>
      <w:r>
        <w:rPr>
          <w:sz w:val="16"/>
          <w:szCs w:val="16"/>
        </w:rPr>
        <w:t xml:space="preserve">Single Market.  Briefing for the IMCO Committee.  Directorate General for Internal Policy. A theoretical-economic approach is developed from the work of Ronald Coase from 1937 onwards on transaction costs and the nature of the firm and Oliver Williamson’s </w:t>
      </w:r>
      <w:r>
        <w:rPr>
          <w:sz w:val="16"/>
          <w:szCs w:val="16"/>
        </w:rPr>
        <w:t>work in the 1990’s on transaction cost economics. These approaches employ a very different idea of ‘transaction costs’ and cannot be employed for this empirical study.</w:t>
      </w:r>
    </w:p>
  </w:footnote>
  <w:footnote w:id="143">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Pelkmans J.  2003.  Mutual recognition in goods and services: An economic perspective</w:t>
      </w:r>
      <w:r>
        <w:rPr>
          <w:sz w:val="16"/>
          <w:szCs w:val="16"/>
          <w:lang w:val="en-US"/>
        </w:rPr>
        <w:t>.  European Network of Economic Policy Research Institutes. Working Paper 16.  p14.</w:t>
      </w:r>
    </w:p>
  </w:footnote>
  <w:footnote w:id="144">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Ibid  Pelkmans. 2003. p8.</w:t>
      </w:r>
    </w:p>
  </w:footnote>
  <w:footnote w:id="145">
    <w:p w:rsidR="0037666B" w:rsidRDefault="00C627B8">
      <w:pPr>
        <w:pStyle w:val="FootnoteText"/>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It is useful to highlight that Pelkmans’ earlier work highlighted that Mutual Recognition, if implemented properly, also has costs.  But t</w:t>
      </w:r>
      <w:r>
        <w:rPr>
          <w:sz w:val="16"/>
          <w:szCs w:val="16"/>
        </w:rPr>
        <w:t>hese have rarely been considered in studies that generally examine benefits. Consideration of these is not within the scope of this study.</w:t>
      </w:r>
    </w:p>
  </w:footnote>
  <w:footnote w:id="146">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The average turnover of an intra-EU exporting enterprises is €215,000 per annum, see later research.  Assuming pro</w:t>
      </w:r>
      <w:r>
        <w:rPr>
          <w:sz w:val="16"/>
          <w:szCs w:val="16"/>
        </w:rPr>
        <w:t>duction of a single product two per cent would represent €4,300.  For the sake of simplicity, and to prevent making inaccurate assumptions about production costs in relation to turnover, it assumed that production costs of a single product could be equal t</w:t>
      </w:r>
      <w:r>
        <w:rPr>
          <w:sz w:val="16"/>
          <w:szCs w:val="16"/>
        </w:rPr>
        <w:t xml:space="preserve">o turnover (if margins on a product were small or the company was operating at break-even levels).  This assumption could be a slight over-estimation, but users are able to adjust the model to reduce this assumption if this value is considered too high. </w:t>
      </w:r>
    </w:p>
  </w:footnote>
  <w:footnote w:id="147">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See the above footnote for an explanation of turnover in relation to production costs. </w:t>
      </w:r>
    </w:p>
  </w:footnote>
  <w:footnote w:id="148">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http://ec.europa.eu/eurostat/statistics-explained/index.php/Glossary:Statistical_classification_of_economic _activities_in_the_European_Community_(NACE). </w:t>
      </w:r>
    </w:p>
  </w:footnote>
  <w:footnote w:id="149">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The p</w:t>
      </w:r>
      <w:r>
        <w:rPr>
          <w:sz w:val="16"/>
          <w:szCs w:val="16"/>
          <w:lang w:val="en-US"/>
        </w:rPr>
        <w:t>revious SITC model was not based on enterprises so assumptions were generally ‘unfounded’.</w:t>
      </w:r>
    </w:p>
  </w:footnote>
  <w:footnote w:id="150">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r>
      <w:r>
        <w:rPr>
          <w:sz w:val="16"/>
          <w:szCs w:val="16"/>
          <w:lang w:val="en-US"/>
        </w:rPr>
        <w:t xml:space="preserve">Eight in total as at 24th February.  But results are surprisingly consistent between enterprises.  The decision tree and model have evolved as the product has </w:t>
      </w:r>
      <w:r>
        <w:rPr>
          <w:sz w:val="16"/>
          <w:szCs w:val="16"/>
          <w:lang w:val="en-US"/>
        </w:rPr>
        <w:t>developed (this has posed new areas to discuss with enterprises as the study has developed); so further information is being sought during case study interviews.</w:t>
      </w:r>
    </w:p>
  </w:footnote>
  <w:footnote w:id="15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 level 3 (three-digit code) of the hierarchy of codes in NACE was used</w:t>
      </w:r>
    </w:p>
  </w:footnote>
  <w:footnote w:id="152">
    <w:p w:rsidR="0037666B" w:rsidRDefault="00C627B8">
      <w:pPr>
        <w:pStyle w:val="FootnoteText"/>
        <w:tabs>
          <w:tab w:val="left" w:pos="8100"/>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All PRODCOM code</w:t>
      </w:r>
      <w:r>
        <w:rPr>
          <w:sz w:val="16"/>
          <w:szCs w:val="16"/>
        </w:rPr>
        <w:t xml:space="preserve">s under the level 4 (four-digit code) NACE hierarchy included in the table </w:t>
      </w:r>
      <w:r>
        <w:rPr>
          <w:b/>
          <w:sz w:val="16"/>
          <w:szCs w:val="16"/>
          <w:u w:val="single"/>
        </w:rPr>
        <w:t>are considered as non or partially harmonised</w:t>
      </w:r>
      <w:r>
        <w:rPr>
          <w:sz w:val="16"/>
          <w:szCs w:val="16"/>
        </w:rPr>
        <w:t xml:space="preserve"> in the Market Analysis at product level.</w:t>
      </w:r>
    </w:p>
  </w:footnote>
  <w:footnote w:id="153">
    <w:p w:rsidR="0037666B" w:rsidRDefault="00C627B8">
      <w:pPr>
        <w:spacing w:after="0"/>
        <w:ind w:left="567" w:hanging="567"/>
        <w:rPr>
          <w:sz w:val="16"/>
          <w:szCs w:val="16"/>
        </w:rPr>
      </w:pPr>
      <w:r>
        <w:rPr>
          <w:sz w:val="16"/>
          <w:szCs w:val="16"/>
        </w:rPr>
        <w:footnoteRef/>
      </w:r>
      <w:r>
        <w:rPr>
          <w:sz w:val="16"/>
          <w:szCs w:val="16"/>
        </w:rPr>
        <w:t xml:space="preserve">    </w:t>
      </w:r>
      <w:r>
        <w:rPr>
          <w:sz w:val="16"/>
          <w:szCs w:val="16"/>
        </w:rPr>
        <w:tab/>
        <w:t>Applies also to EEA products</w:t>
      </w:r>
    </w:p>
  </w:footnote>
  <w:footnote w:id="154">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OJ L 241, 17.9.2015, p. 1–15</w:t>
      </w:r>
    </w:p>
  </w:footnote>
  <w:footnote w:id="155">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Value of production-val</w:t>
      </w:r>
      <w:r>
        <w:rPr>
          <w:sz w:val="16"/>
          <w:szCs w:val="16"/>
        </w:rPr>
        <w:t xml:space="preserve">ue of extra EU exports +value of intra EU imports </w:t>
      </w:r>
    </w:p>
  </w:footnote>
  <w:footnote w:id="156">
    <w:p w:rsidR="0037666B" w:rsidRDefault="00C627B8">
      <w:pPr>
        <w:pStyle w:val="FootnoteText"/>
        <w:spacing w:after="0"/>
        <w:ind w:left="567" w:hanging="567"/>
        <w:rPr>
          <w:iCs/>
          <w:sz w:val="16"/>
          <w:szCs w:val="16"/>
        </w:rPr>
      </w:pPr>
      <w:r>
        <w:rPr>
          <w:iCs/>
          <w:sz w:val="16"/>
          <w:szCs w:val="16"/>
        </w:rPr>
        <w:footnoteRef/>
      </w:r>
      <w:r>
        <w:rPr>
          <w:iCs/>
          <w:sz w:val="16"/>
          <w:szCs w:val="16"/>
        </w:rPr>
        <w:t xml:space="preserve"> </w:t>
      </w:r>
      <w:r>
        <w:rPr>
          <w:iCs/>
          <w:sz w:val="16"/>
          <w:szCs w:val="16"/>
        </w:rPr>
        <w:tab/>
        <w:t>The Cost of Non- Europe in the Single Market, 'Cecchini Revisited', An overview of the potential economic gains from further completion of the European Single Market, CoNE 1/2014</w:t>
      </w:r>
    </w:p>
    <w:p w:rsidR="0037666B" w:rsidRDefault="00C627B8">
      <w:pPr>
        <w:pStyle w:val="FootnoteText"/>
        <w:spacing w:after="0"/>
        <w:ind w:left="567" w:hanging="567"/>
        <w:rPr>
          <w:sz w:val="16"/>
          <w:szCs w:val="16"/>
        </w:rPr>
      </w:pPr>
      <w:r>
        <w:rPr>
          <w:iCs/>
          <w:sz w:val="16"/>
          <w:szCs w:val="16"/>
        </w:rPr>
        <w:t xml:space="preserve"> </w:t>
      </w:r>
      <w:r>
        <w:rPr>
          <w:iCs/>
          <w:sz w:val="16"/>
          <w:szCs w:val="16"/>
        </w:rPr>
        <w:tab/>
      </w:r>
      <w:r>
        <w:rPr>
          <w:iCs/>
          <w:sz w:val="16"/>
          <w:szCs w:val="16"/>
        </w:rPr>
        <w:t>http://www.europarl.europa.eu/RegData/etudes/STUD/2014/510981/EPRS_STU(2014)510981_REV1_EN.pdf</w:t>
      </w:r>
    </w:p>
  </w:footnote>
  <w:footnote w:id="157">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See </w:t>
      </w:r>
      <w:hyperlink r:id="rId20" w:history="1">
        <w:r>
          <w:rPr>
            <w:sz w:val="16"/>
            <w:szCs w:val="16"/>
          </w:rPr>
          <w:t>http://ec.europa.eu/enterprise/sectors/c</w:t>
        </w:r>
        <w:r>
          <w:rPr>
            <w:sz w:val="16"/>
            <w:szCs w:val="16"/>
          </w:rPr>
          <w:t>hemicals/files/fertilizers/final_report__23jan2012_en.pdf</w:t>
        </w:r>
      </w:hyperlink>
    </w:p>
  </w:footnote>
  <w:footnote w:id="158">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Regulation (EC) No 2003/2003 of the European Parliament and of the Council of 13 October 2003 relating to fertilisers, OJ L 304, 21.11.2003, p. 1</w:t>
      </w:r>
    </w:p>
  </w:footnote>
  <w:footnote w:id="159">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also the guidance document on the applicat</w:t>
      </w:r>
      <w:r>
        <w:rPr>
          <w:sz w:val="16"/>
          <w:szCs w:val="16"/>
        </w:rPr>
        <w:t xml:space="preserve">ion of the Mutual Recognition Regulation to prior authorisation procedures, 2010: </w:t>
      </w:r>
      <w:hyperlink r:id="rId21" w:history="1">
        <w:r>
          <w:rPr>
            <w:sz w:val="16"/>
            <w:szCs w:val="16"/>
          </w:rPr>
          <w:t>http://ec.europa.eu/growth/single-market/goods/free-movem</w:t>
        </w:r>
        <w:r>
          <w:rPr>
            <w:sz w:val="16"/>
            <w:szCs w:val="16"/>
          </w:rPr>
          <w:t>ent-sectors/mutual-recognition/index_en.htm</w:t>
        </w:r>
      </w:hyperlink>
      <w:r>
        <w:rPr>
          <w:sz w:val="16"/>
          <w:szCs w:val="16"/>
        </w:rPr>
        <w:t xml:space="preserve">  </w:t>
      </w:r>
    </w:p>
  </w:footnote>
  <w:footnote w:id="16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Available at: </w:t>
      </w:r>
      <w:hyperlink r:id="rId22" w:history="1">
        <w:r>
          <w:rPr>
            <w:sz w:val="16"/>
            <w:szCs w:val="16"/>
          </w:rPr>
          <w:t>http://ec.europa.eu/growth/sectors/chemicals/specific-chemicals/index_en.htmas</w:t>
        </w:r>
      </w:hyperlink>
    </w:p>
  </w:footnote>
  <w:footnote w:id="161">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the Commissi</w:t>
      </w:r>
      <w:r>
        <w:rPr>
          <w:sz w:val="16"/>
          <w:szCs w:val="16"/>
        </w:rPr>
        <w:t>on Staff Working Document - Impact Assessment accompanying the Proposal for a Regulation of the European Parliament and of the Council laying down rules on the making available on the market of CE marked fertilising products and amending Regulations (EC) N</w:t>
      </w:r>
      <w:r>
        <w:rPr>
          <w:sz w:val="16"/>
          <w:szCs w:val="16"/>
        </w:rPr>
        <w:t>o 1069/2009 and (EC) No 1107/2009 (COM(2016) 157 final)</w:t>
      </w:r>
    </w:p>
  </w:footnote>
  <w:footnote w:id="162">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See the Commission Proposal for a Regulation of the European Parliament and of the Council laying down rules on the making available on the market of CE marked fertilising products and amending Reg</w:t>
      </w:r>
      <w:r>
        <w:rPr>
          <w:sz w:val="16"/>
          <w:szCs w:val="16"/>
        </w:rPr>
        <w:t>ulations (EC) No 1069/2009 and (EC) No 1107/2009, (COM(2016) 157 final).</w:t>
      </w:r>
    </w:p>
  </w:footnote>
  <w:footnote w:id="163">
    <w:p w:rsidR="0037666B" w:rsidRDefault="00C627B8">
      <w:pPr>
        <w:pStyle w:val="FootnoteText"/>
        <w:spacing w:after="0"/>
        <w:ind w:left="567" w:hanging="567"/>
        <w:jc w:val="left"/>
        <w:rPr>
          <w:sz w:val="16"/>
          <w:szCs w:val="16"/>
        </w:rPr>
      </w:pPr>
      <w:r>
        <w:rPr>
          <w:sz w:val="16"/>
          <w:szCs w:val="16"/>
        </w:rPr>
        <w:footnoteRef/>
      </w:r>
      <w:r>
        <w:rPr>
          <w:sz w:val="16"/>
          <w:szCs w:val="16"/>
        </w:rPr>
        <w:t xml:space="preserve"> </w:t>
      </w:r>
      <w:r>
        <w:rPr>
          <w:sz w:val="16"/>
          <w:szCs w:val="16"/>
        </w:rPr>
        <w:tab/>
        <w:t xml:space="preserve">See annex 13 of the Evaluation for the full case study on food supplements </w:t>
      </w:r>
    </w:p>
  </w:footnote>
  <w:footnote w:id="164">
    <w:p w:rsidR="0037666B" w:rsidRDefault="00C627B8">
      <w:pPr>
        <w:pStyle w:val="FootnoteText"/>
        <w:spacing w:after="0"/>
        <w:ind w:left="567" w:hanging="567"/>
        <w:jc w:val="left"/>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Plant parts, concentrated sources of plants or their extracts or derivatives with a physiological eff</w:t>
      </w:r>
      <w:r>
        <w:rPr>
          <w:sz w:val="16"/>
          <w:szCs w:val="16"/>
          <w:lang w:val="en-US"/>
        </w:rPr>
        <w:t>ect.</w:t>
      </w:r>
    </w:p>
  </w:footnote>
  <w:footnote w:id="165">
    <w:p w:rsidR="0037666B" w:rsidRDefault="00C627B8">
      <w:pPr>
        <w:pStyle w:val="FootnoteText"/>
        <w:spacing w:after="0"/>
        <w:ind w:left="567" w:hanging="567"/>
        <w:jc w:val="left"/>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Food Supplement Europe (2016), </w:t>
      </w:r>
      <w:r>
        <w:rPr>
          <w:i/>
          <w:sz w:val="16"/>
          <w:szCs w:val="16"/>
          <w:lang w:val="en-US"/>
        </w:rPr>
        <w:t>Input into the REFIT of the Mutual Recognition Regulation 764/2008</w:t>
      </w:r>
      <w:r>
        <w:rPr>
          <w:sz w:val="16"/>
          <w:szCs w:val="16"/>
          <w:lang w:val="en-US"/>
        </w:rPr>
        <w:t>.</w:t>
      </w:r>
    </w:p>
  </w:footnote>
  <w:footnote w:id="166">
    <w:p w:rsidR="0037666B" w:rsidRDefault="00C627B8">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Many</w:t>
      </w:r>
      <w:r>
        <w:rPr>
          <w:b/>
          <w:sz w:val="16"/>
          <w:szCs w:val="16"/>
        </w:rPr>
        <w:t xml:space="preserve"> </w:t>
      </w:r>
      <w:r>
        <w:rPr>
          <w:sz w:val="16"/>
          <w:szCs w:val="16"/>
        </w:rPr>
        <w:t>Member States established national maximum levels for the amounts of vitamins and minerals in food supplements, while others preferred not to</w:t>
      </w:r>
      <w:r>
        <w:rPr>
          <w:sz w:val="16"/>
          <w:szCs w:val="16"/>
        </w:rPr>
        <w:t xml:space="preserve"> have specific maximum levels. The existence of particularly low levels applied in certain Member States, together with the large differences between the levels applied for the same substances across the EU, make it extremely difficult for companies to man</w:t>
      </w:r>
      <w:r>
        <w:rPr>
          <w:sz w:val="16"/>
          <w:szCs w:val="16"/>
        </w:rPr>
        <w:t>ufacture one single product for whole of the EU</w:t>
      </w:r>
    </w:p>
  </w:footnote>
  <w:footnote w:id="167">
    <w:p w:rsidR="0037666B" w:rsidRDefault="00C627B8">
      <w:pPr>
        <w:pStyle w:val="FootnoteText"/>
        <w:spacing w:after="0"/>
        <w:ind w:left="567" w:hanging="567"/>
        <w:jc w:val="left"/>
        <w:rPr>
          <w:sz w:val="16"/>
          <w:szCs w:val="16"/>
        </w:rPr>
      </w:pPr>
      <w:r>
        <w:rPr>
          <w:rStyle w:val="FootnoteReference"/>
          <w:sz w:val="16"/>
          <w:szCs w:val="16"/>
          <w:vertAlign w:val="baseline"/>
        </w:rPr>
        <w:footnoteRef/>
      </w:r>
      <w:r>
        <w:rPr>
          <w:sz w:val="16"/>
          <w:szCs w:val="16"/>
        </w:rPr>
        <w:t xml:space="preserve"> </w:t>
      </w:r>
      <w:r>
        <w:rPr>
          <w:sz w:val="16"/>
          <w:szCs w:val="16"/>
        </w:rPr>
        <w:tab/>
        <w:t>Some Member States apply positive lists</w:t>
      </w:r>
      <w:r>
        <w:rPr>
          <w:rStyle w:val="FootnoteReference"/>
          <w:sz w:val="16"/>
          <w:szCs w:val="16"/>
          <w:vertAlign w:val="baseline"/>
        </w:rPr>
        <w:footnoteRef/>
      </w:r>
      <w:r>
        <w:rPr>
          <w:sz w:val="16"/>
          <w:szCs w:val="16"/>
        </w:rPr>
        <w:t xml:space="preserve"> with specific conditions to their use. In addition, some Member States may consider certain ingredients as for medicinal use only</w:t>
      </w:r>
    </w:p>
  </w:footnote>
  <w:footnote w:id="168">
    <w:p w:rsidR="0037666B" w:rsidRDefault="00C627B8">
      <w:pPr>
        <w:pStyle w:val="Bulletpoint1"/>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Botanicals are used in a wide </w:t>
      </w:r>
      <w:r>
        <w:rPr>
          <w:rFonts w:ascii="Times New Roman" w:hAnsi="Times New Roman"/>
          <w:sz w:val="16"/>
          <w:szCs w:val="16"/>
        </w:rPr>
        <w:t>variety of food supplements. Many Member States have positive lists, including conditions of use. The content of these lists differ widely, and certain botanicals are banned in different Member States because of medicinal status, while they are widely mark</w:t>
      </w:r>
      <w:r>
        <w:rPr>
          <w:rFonts w:ascii="Times New Roman" w:hAnsi="Times New Roman"/>
          <w:sz w:val="16"/>
          <w:szCs w:val="16"/>
        </w:rPr>
        <w:t>eted as food supplements in others.</w:t>
      </w:r>
    </w:p>
  </w:footnote>
  <w:footnote w:id="169">
    <w:p w:rsidR="0037666B" w:rsidRDefault="00C627B8">
      <w:pPr>
        <w:pStyle w:val="FootnoteText"/>
        <w:spacing w:after="0"/>
        <w:ind w:left="567" w:hanging="567"/>
        <w:jc w:val="left"/>
        <w:rPr>
          <w:sz w:val="16"/>
          <w:szCs w:val="16"/>
          <w:lang w:val="en-US"/>
        </w:rPr>
      </w:pPr>
      <w:r>
        <w:rPr>
          <w:sz w:val="16"/>
          <w:szCs w:val="16"/>
        </w:rPr>
        <w:footnoteRef/>
      </w:r>
      <w:r>
        <w:rPr>
          <w:sz w:val="16"/>
          <w:szCs w:val="16"/>
        </w:rPr>
        <w:t xml:space="preserve"> </w:t>
      </w:r>
      <w:r>
        <w:rPr>
          <w:sz w:val="16"/>
          <w:szCs w:val="16"/>
        </w:rPr>
        <w:tab/>
        <w:t>This is particularly true for botanical products: while the use of botanicals and other derived preparations need to be compliant with requirements of Regulation (EC) No 178/2002, stakeholders underlined how no real s</w:t>
      </w:r>
      <w:r>
        <w:rPr>
          <w:sz w:val="16"/>
          <w:szCs w:val="16"/>
        </w:rPr>
        <w:t>teps forward seem to have been made to clarify the framework, without a centralised authorisation procedure – which would be extremely helpful – for the use of botanicals or to determine the classification of botanicals as either medicines or food suppleme</w:t>
      </w:r>
      <w:r>
        <w:rPr>
          <w:sz w:val="16"/>
          <w:szCs w:val="16"/>
        </w:rPr>
        <w:t>nts. This, as well as the large differences among Member States in the definition of botanicals and lists of products/ingredients which are allowed or not, create an uncertain and difficult environment for companies to operate.</w:t>
      </w:r>
    </w:p>
  </w:footnote>
  <w:footnote w:id="170">
    <w:p w:rsidR="0037666B" w:rsidRDefault="00C627B8">
      <w:pPr>
        <w:pStyle w:val="FootnoteText"/>
        <w:spacing w:after="0"/>
        <w:ind w:left="567" w:hanging="567"/>
        <w:jc w:val="left"/>
        <w:rPr>
          <w:sz w:val="16"/>
          <w:szCs w:val="16"/>
          <w:lang w:val="en-US"/>
        </w:rPr>
      </w:pPr>
      <w:r>
        <w:rPr>
          <w:sz w:val="16"/>
          <w:szCs w:val="16"/>
        </w:rPr>
        <w:footnoteRef/>
      </w:r>
      <w:r>
        <w:rPr>
          <w:sz w:val="16"/>
          <w:szCs w:val="16"/>
        </w:rPr>
        <w:t xml:space="preserve"> </w:t>
      </w:r>
      <w:r>
        <w:rPr>
          <w:sz w:val="16"/>
          <w:szCs w:val="16"/>
        </w:rPr>
        <w:tab/>
        <w:t xml:space="preserve">Some exceptions include </w:t>
      </w:r>
      <w:r>
        <w:rPr>
          <w:sz w:val="16"/>
          <w:szCs w:val="16"/>
        </w:rPr>
        <w:t>the Regulation (EC) No 1924/2006 on nutrition and health claims, or Directive 2002/46/EC, with a list of substances that can be used for food supplement production, but whose implementation and monitoring is entrusted to the individual Member States.</w:t>
      </w:r>
    </w:p>
  </w:footnote>
  <w:footnote w:id="171">
    <w:p w:rsidR="0037666B" w:rsidRDefault="00C627B8">
      <w:pPr>
        <w:pStyle w:val="FootnoteText"/>
        <w:spacing w:after="0"/>
        <w:ind w:left="567" w:hanging="567"/>
        <w:rPr>
          <w:sz w:val="16"/>
          <w:szCs w:val="16"/>
          <w:lang w:val="nb-NO"/>
        </w:rPr>
      </w:pPr>
      <w:r>
        <w:rPr>
          <w:rStyle w:val="FootnoteReference"/>
          <w:sz w:val="16"/>
          <w:szCs w:val="16"/>
          <w:vertAlign w:val="baseline"/>
        </w:rPr>
        <w:footnoteRef/>
      </w:r>
      <w:r>
        <w:rPr>
          <w:sz w:val="16"/>
          <w:szCs w:val="16"/>
          <w:lang w:val="nb-NO"/>
        </w:rPr>
        <w:t xml:space="preserve"> </w:t>
      </w:r>
      <w:r>
        <w:rPr>
          <w:sz w:val="16"/>
          <w:szCs w:val="16"/>
          <w:lang w:val="nb-NO"/>
        </w:rPr>
        <w:tab/>
        <w:t>AT</w:t>
      </w:r>
      <w:r>
        <w:rPr>
          <w:sz w:val="16"/>
          <w:szCs w:val="16"/>
          <w:lang w:val="nb-NO"/>
        </w:rPr>
        <w:t xml:space="preserve">, NL, SE, SI and UK. </w:t>
      </w:r>
    </w:p>
  </w:footnote>
  <w:footnote w:id="172">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Such as AT, DE, FI, HR, SE.</w:t>
      </w:r>
    </w:p>
  </w:footnote>
  <w:footnote w:id="173">
    <w:p w:rsidR="0037666B" w:rsidRDefault="00C627B8">
      <w:pPr>
        <w:pStyle w:val="FootnoteText"/>
        <w:spacing w:after="0"/>
        <w:ind w:left="567" w:hanging="567"/>
        <w:rPr>
          <w:sz w:val="16"/>
          <w:szCs w:val="16"/>
        </w:rPr>
      </w:pPr>
      <w:r>
        <w:rPr>
          <w:sz w:val="16"/>
          <w:szCs w:val="16"/>
          <w:lang w:val="en-US"/>
        </w:rPr>
        <w:footnoteRef/>
      </w:r>
      <w:r>
        <w:rPr>
          <w:sz w:val="16"/>
          <w:szCs w:val="16"/>
          <w:lang w:val="en-US"/>
        </w:rPr>
        <w:t xml:space="preserve"> </w:t>
      </w:r>
      <w:r>
        <w:rPr>
          <w:sz w:val="16"/>
          <w:szCs w:val="16"/>
          <w:lang w:val="en-US"/>
        </w:rPr>
        <w:tab/>
        <w:t>See annex 13 of the Evaluation for the full case study on products in contact with drinking water</w:t>
      </w:r>
      <w:r>
        <w:rPr>
          <w:sz w:val="16"/>
          <w:szCs w:val="16"/>
        </w:rPr>
        <w:t xml:space="preserve"> </w:t>
      </w:r>
    </w:p>
  </w:footnote>
  <w:footnote w:id="174">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Eurostat data for product categories is not specific to drinking water contact products, some esti</w:t>
      </w:r>
      <w:r>
        <w:rPr>
          <w:sz w:val="16"/>
          <w:szCs w:val="16"/>
          <w:lang w:val="en-US"/>
        </w:rPr>
        <w:t>mation based on expert evaluation are available thanks to data and document collection</w:t>
      </w:r>
    </w:p>
  </w:footnote>
  <w:footnote w:id="175">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Panteia, </w:t>
      </w:r>
      <w:r>
        <w:rPr>
          <w:i/>
          <w:sz w:val="16"/>
          <w:szCs w:val="16"/>
          <w:lang w:val="en-US"/>
        </w:rPr>
        <w:t>Economic Effects of Article 10 of the Drinking Water Directive,</w:t>
      </w:r>
      <w:r>
        <w:rPr>
          <w:sz w:val="16"/>
          <w:szCs w:val="16"/>
          <w:lang w:val="en-US"/>
        </w:rPr>
        <w:t xml:space="preserve"> 2016</w:t>
      </w:r>
    </w:p>
  </w:footnote>
  <w:footnote w:id="176">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 xml:space="preserve">Figawa, </w:t>
      </w:r>
      <w:r>
        <w:rPr>
          <w:i/>
          <w:sz w:val="16"/>
          <w:szCs w:val="16"/>
          <w:lang w:val="en-US"/>
        </w:rPr>
        <w:t>Member Survey</w:t>
      </w:r>
      <w:r>
        <w:rPr>
          <w:sz w:val="16"/>
          <w:szCs w:val="16"/>
          <w:lang w:val="en-US"/>
        </w:rPr>
        <w:t>, 2016</w:t>
      </w:r>
    </w:p>
  </w:footnote>
  <w:footnote w:id="177">
    <w:p w:rsidR="0037666B" w:rsidRDefault="00C627B8">
      <w:pPr>
        <w:pStyle w:val="FootnoteText"/>
        <w:spacing w:after="0"/>
        <w:ind w:left="567" w:hanging="567"/>
        <w:rPr>
          <w:sz w:val="16"/>
          <w:szCs w:val="16"/>
        </w:rPr>
      </w:pPr>
      <w:r>
        <w:rPr>
          <w:sz w:val="16"/>
          <w:szCs w:val="16"/>
          <w:lang w:val="en-US"/>
        </w:rPr>
        <w:footnoteRef/>
      </w:r>
      <w:r>
        <w:rPr>
          <w:sz w:val="16"/>
          <w:szCs w:val="16"/>
          <w:lang w:val="en-US"/>
        </w:rPr>
        <w:t xml:space="preserve"> </w:t>
      </w:r>
      <w:r>
        <w:rPr>
          <w:sz w:val="16"/>
          <w:szCs w:val="16"/>
          <w:lang w:val="en-US"/>
        </w:rPr>
        <w:tab/>
        <w:t>Concerning the quality assurance of treatment, equipme</w:t>
      </w:r>
      <w:r>
        <w:rPr>
          <w:sz w:val="16"/>
          <w:szCs w:val="16"/>
          <w:lang w:val="en-US"/>
        </w:rPr>
        <w:t>nt and materials in contact with drinking water.</w:t>
      </w:r>
    </w:p>
  </w:footnote>
  <w:footnote w:id="178">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FIGAWA reports the following list of national test and certification bodies: Österreichische Vereinigung für das Gas- und Wasserfach (AT), BELGAQUA (BE), Sekretariatet for byggevarer godkendt til drikkeva</w:t>
      </w:r>
      <w:r>
        <w:rPr>
          <w:sz w:val="16"/>
          <w:szCs w:val="16"/>
          <w:lang w:val="en-US"/>
        </w:rPr>
        <w:t>nd (DK), VTT Expert Services (FI), Centre Scientifique et Technique du Bâtiment (FR), Deutscher Verein des Gas- und Wasserfaches (DE), National Institute of Environmental Health (HU), Ministerio della Salute (IT), Kiwa NL (NL), Państwowy Zakład Higieny (PL</w:t>
      </w:r>
      <w:r>
        <w:rPr>
          <w:sz w:val="16"/>
          <w:szCs w:val="16"/>
          <w:lang w:val="en-US"/>
        </w:rPr>
        <w:t xml:space="preserve">), Instituto Nacional de Saude (PT), Institut Za Varovanje Zdravja Republike Slovenije (SI),  Asociación Española de Normalización y Certificación (ES), Kiwa Swedcert (SE),  Schweizerischer Verein des Gas- und Wasserfaches (CH), Water Regulations Advisory </w:t>
      </w:r>
      <w:r>
        <w:rPr>
          <w:sz w:val="16"/>
          <w:szCs w:val="16"/>
          <w:lang w:val="en-US"/>
        </w:rPr>
        <w:t>Scheme (UK).</w:t>
      </w:r>
    </w:p>
  </w:footnote>
  <w:footnote w:id="179">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lang w:val="en-US"/>
        </w:rPr>
        <w:t xml:space="preserve"> </w:t>
      </w:r>
      <w:r>
        <w:rPr>
          <w:sz w:val="16"/>
          <w:szCs w:val="16"/>
          <w:lang w:val="en-US"/>
        </w:rPr>
        <w:tab/>
        <w:t>The countries mentioned by the interviewee in these respect are AT, DE, and NL. Indeed, the interviewee stated that initial product certifications are sought and obtained in these MS, as the laboratories having the necessary technical instr</w:t>
      </w:r>
      <w:r>
        <w:rPr>
          <w:sz w:val="16"/>
          <w:szCs w:val="16"/>
          <w:lang w:val="en-US"/>
        </w:rPr>
        <w:t>umentation and know-how for complex (mechanical and hygiene) testing are mainly settled there. Moreover, the interviewee company has a preference for German speaking countries due to the absence of language barrier in interacting with test and certificatio</w:t>
      </w:r>
      <w:r>
        <w:rPr>
          <w:sz w:val="16"/>
          <w:szCs w:val="16"/>
          <w:lang w:val="en-US"/>
        </w:rPr>
        <w:t>n bodies.</w:t>
      </w:r>
    </w:p>
  </w:footnote>
  <w:footnote w:id="18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See annex 13 of the Evaluation for the full case study </w:t>
      </w:r>
    </w:p>
  </w:footnote>
  <w:footnote w:id="181">
    <w:p w:rsidR="0037666B" w:rsidRDefault="00C627B8">
      <w:pPr>
        <w:pStyle w:val="FootnoteText"/>
        <w:spacing w:after="0"/>
        <w:ind w:left="567" w:hanging="567"/>
        <w:rPr>
          <w:sz w:val="16"/>
          <w:szCs w:val="16"/>
          <w:lang w:val="en-US"/>
        </w:rPr>
      </w:pPr>
      <w:r>
        <w:rPr>
          <w:rStyle w:val="FootnoteReference"/>
          <w:sz w:val="16"/>
          <w:szCs w:val="16"/>
          <w:vertAlign w:val="baseline"/>
        </w:rPr>
        <w:footnoteRef/>
      </w:r>
      <w:r>
        <w:rPr>
          <w:sz w:val="16"/>
          <w:szCs w:val="16"/>
        </w:rPr>
        <w:t xml:space="preserve"> </w:t>
      </w:r>
      <w:r>
        <w:rPr>
          <w:sz w:val="16"/>
          <w:szCs w:val="16"/>
        </w:rPr>
        <w:tab/>
        <w:t xml:space="preserve">Non-harmonised food contact materials in the EU: regulatory and market situation, 2016, JRC; </w:t>
      </w:r>
      <w:r>
        <w:rPr>
          <w:sz w:val="16"/>
          <w:szCs w:val="16"/>
          <w:lang w:val="en-US"/>
        </w:rPr>
        <w:t xml:space="preserve">see </w:t>
      </w:r>
      <w:hyperlink r:id="rId23" w:history="1">
        <w:r>
          <w:rPr>
            <w:rStyle w:val="Hyperlink"/>
            <w:sz w:val="16"/>
            <w:szCs w:val="16"/>
            <w:lang w:val="en-US"/>
          </w:rPr>
          <w:t>https://ec.europa.eu/jrc/en/publication/eur-scientific-and-technical-research-reports/non-harmonised-food-contact-materials-eu-regulatory-and-market-si</w:t>
        </w:r>
        <w:r>
          <w:rPr>
            <w:rStyle w:val="Hyperlink"/>
            <w:sz w:val="16"/>
            <w:szCs w:val="16"/>
            <w:lang w:val="en-US"/>
          </w:rPr>
          <w:t>tuation-baseline-study</w:t>
        </w:r>
      </w:hyperlink>
      <w:r>
        <w:rPr>
          <w:sz w:val="16"/>
          <w:szCs w:val="16"/>
          <w:lang w:val="en-US"/>
        </w:rPr>
        <w:t xml:space="preserve"> </w:t>
      </w:r>
    </w:p>
  </w:footnote>
  <w:footnote w:id="18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European food and safety authority </w:t>
      </w:r>
    </w:p>
  </w:footnote>
  <w:footnote w:id="183">
    <w:p w:rsidR="0037666B" w:rsidRDefault="00C627B8">
      <w:pPr>
        <w:pStyle w:val="Body"/>
        <w:spacing w:before="0" w:after="0"/>
        <w:ind w:left="567" w:hanging="567"/>
        <w:jc w:val="both"/>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 xml:space="preserve">Mobile machinery refers to any self-propelled mobile machine or vehicle, with a maximum design speed higher than 6 km/h, running on tyres and that is not intended for carrying passengers </w:t>
      </w:r>
      <w:r>
        <w:rPr>
          <w:rFonts w:ascii="Times New Roman" w:eastAsiaTheme="minorHAnsi" w:hAnsi="Times New Roman"/>
          <w:sz w:val="16"/>
          <w:szCs w:val="16"/>
        </w:rPr>
        <w:t>or goods on public roads</w:t>
      </w:r>
    </w:p>
  </w:footnote>
  <w:footnote w:id="184">
    <w:p w:rsidR="0037666B" w:rsidRDefault="00C627B8">
      <w:pPr>
        <w:pStyle w:val="Body"/>
        <w:spacing w:before="0" w:after="0"/>
        <w:ind w:left="567" w:hanging="567"/>
        <w:jc w:val="both"/>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Study on the EU harmonisation of the requirements for the road circulation of mobile machinery – FWC ENTR/172/PP/2012/FC/Lot1. http://ec.europa.eu/DocsRoom/documents/17786/attachments/1/translations/en/renditions/native</w:t>
      </w:r>
    </w:p>
  </w:footnote>
  <w:footnote w:id="185">
    <w:p w:rsidR="0037666B" w:rsidRDefault="00C627B8">
      <w:pPr>
        <w:pStyle w:val="Body"/>
        <w:spacing w:before="0" w:after="0"/>
        <w:ind w:left="567" w:hanging="567"/>
        <w:jc w:val="both"/>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Among</w:t>
      </w:r>
      <w:r>
        <w:rPr>
          <w:rFonts w:ascii="Times New Roman" w:eastAsiaTheme="minorHAnsi" w:hAnsi="Times New Roman"/>
          <w:sz w:val="16"/>
          <w:szCs w:val="16"/>
        </w:rPr>
        <w:t>st others: NRMM Directive 97/68/EC, Outdoor Noise Equipment Directive 2000/14/EC, Machinery Directive 2006/42/EC, Regulation (EU) No 167/2013</w:t>
      </w:r>
    </w:p>
  </w:footnote>
  <w:footnote w:id="18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Directive (EU) 2015/1535 laying down a procedure for the provision of information in the field of technical reg</w:t>
      </w:r>
      <w:r>
        <w:rPr>
          <w:sz w:val="16"/>
          <w:szCs w:val="16"/>
        </w:rPr>
        <w:t>ulations and of rules on Information Society services</w:t>
      </w:r>
      <w:r>
        <w:rPr>
          <w:iCs/>
          <w:sz w:val="16"/>
          <w:szCs w:val="16"/>
        </w:rPr>
        <w:t xml:space="preserve"> OJ L 241, 17.9.2015, p. 1–15</w:t>
      </w:r>
    </w:p>
  </w:footnote>
  <w:footnote w:id="18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Regulation (EU) No 305/2011 on Construction products OJ L 88, 4.4.2011, p. 5–43</w:t>
      </w:r>
    </w:p>
  </w:footnote>
  <w:footnote w:id="188">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4" w:history="1">
        <w:r>
          <w:rPr>
            <w:rStyle w:val="Hyperlink"/>
            <w:sz w:val="16"/>
            <w:szCs w:val="16"/>
          </w:rPr>
          <w:t>http://ec.europa</w:t>
        </w:r>
        <w:r>
          <w:rPr>
            <w:rStyle w:val="Hyperlink"/>
            <w:sz w:val="16"/>
            <w:szCs w:val="16"/>
          </w:rPr>
          <w:t>.eu/solvit/what-is-solvit/index_en.htm</w:t>
        </w:r>
      </w:hyperlink>
      <w:r>
        <w:rPr>
          <w:sz w:val="16"/>
          <w:szCs w:val="16"/>
        </w:rPr>
        <w:t xml:space="preserve"> </w:t>
      </w:r>
    </w:p>
  </w:footnote>
  <w:footnote w:id="189">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 xml:space="preserve">See above 139 </w:t>
      </w:r>
    </w:p>
  </w:footnote>
  <w:footnote w:id="190">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Internet-supported information and communication system for the pan-European market surveillance</w:t>
      </w:r>
    </w:p>
  </w:footnote>
  <w:footnote w:id="191">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OJ L 218/30, 13.08.2008</w:t>
      </w:r>
    </w:p>
  </w:footnote>
  <w:footnote w:id="192">
    <w:p w:rsidR="0037666B" w:rsidRDefault="00C627B8">
      <w:pPr>
        <w:pStyle w:val="FootnoteText"/>
        <w:spacing w:after="0"/>
        <w:ind w:left="567" w:hanging="567"/>
        <w:rPr>
          <w:sz w:val="16"/>
          <w:szCs w:val="16"/>
        </w:rPr>
      </w:pPr>
      <w:r>
        <w:rPr>
          <w:sz w:val="16"/>
          <w:szCs w:val="16"/>
        </w:rPr>
        <w:footnoteRef/>
      </w:r>
      <w:r>
        <w:rPr>
          <w:sz w:val="16"/>
          <w:szCs w:val="16"/>
        </w:rPr>
        <w:t xml:space="preserve"> </w:t>
      </w:r>
      <w:r>
        <w:rPr>
          <w:sz w:val="16"/>
          <w:szCs w:val="16"/>
        </w:rPr>
        <w:tab/>
        <w:t>"Mutual recognition: economic and regulatory logic in goods and serv</w:t>
      </w:r>
      <w:r>
        <w:rPr>
          <w:sz w:val="16"/>
          <w:szCs w:val="16"/>
        </w:rPr>
        <w:t>ices", Bruges European Economic Research Papers, 2012, Jacques Pelkmans</w:t>
      </w:r>
    </w:p>
  </w:footnote>
  <w:footnote w:id="193">
    <w:p w:rsidR="0037666B" w:rsidRDefault="00C627B8">
      <w:pPr>
        <w:pStyle w:val="FootnoteText"/>
        <w:spacing w:after="0"/>
        <w:ind w:left="567" w:hanging="567"/>
        <w:rPr>
          <w:sz w:val="16"/>
          <w:szCs w:val="16"/>
          <w:lang w:val="fr-BE"/>
        </w:rPr>
      </w:pPr>
      <w:r>
        <w:rPr>
          <w:rStyle w:val="FootnoteReference"/>
          <w:sz w:val="16"/>
          <w:szCs w:val="16"/>
          <w:vertAlign w:val="baseline"/>
        </w:rPr>
        <w:footnoteRef/>
      </w:r>
      <w:r>
        <w:rPr>
          <w:sz w:val="16"/>
          <w:szCs w:val="16"/>
        </w:rPr>
        <w:t xml:space="preserve"> </w:t>
      </w:r>
      <w:r>
        <w:rPr>
          <w:sz w:val="16"/>
          <w:szCs w:val="16"/>
          <w:lang w:val="fr-BE"/>
        </w:rPr>
        <w:tab/>
        <w:t>OJ C 136, 4.6.1985, p. 1.</w:t>
      </w:r>
    </w:p>
  </w:footnote>
  <w:footnote w:id="194">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sz w:val="16"/>
          <w:szCs w:val="16"/>
        </w:rPr>
        <w:tab/>
      </w:r>
      <w:r>
        <w:rPr>
          <w:rStyle w:val="FootnoteReference"/>
          <w:sz w:val="16"/>
          <w:szCs w:val="16"/>
          <w:vertAlign w:val="baseline"/>
        </w:rPr>
        <w:t>Please note that the Machinery Directive 2006/42/EC foresees the placing on the market of “partly completed machinery” to be accompanied by a so- called</w:t>
      </w:r>
      <w:r>
        <w:rPr>
          <w:rStyle w:val="FootnoteReference"/>
          <w:sz w:val="16"/>
          <w:szCs w:val="16"/>
          <w:vertAlign w:val="baseline"/>
        </w:rPr>
        <w:t xml:space="preserve"> declaration of incorporation which is different from the EU Declaration of conformity. According to Regulation (EC) No 552/2004, constituents of the European Air Traffic Management network are accompanied either by a declaration of conformity or a declara</w:t>
      </w:r>
      <w:r>
        <w:rPr>
          <w:rStyle w:val="FootnoteReference"/>
          <w:sz w:val="16"/>
          <w:szCs w:val="16"/>
          <w:vertAlign w:val="baseline"/>
        </w:rPr>
        <w:t>tion of suitability for use.</w:t>
      </w:r>
    </w:p>
  </w:footnote>
  <w:footnote w:id="195">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According to the Directives relating to medical devices and in vitro diagnostic medical devices the EU Declaration of Conformity must be kept for 5 years and in the case of implantable medical devices for 15 years.</w:t>
      </w:r>
    </w:p>
  </w:footnote>
  <w:footnote w:id="196">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 xml:space="preserve">For </w:t>
      </w:r>
      <w:r>
        <w:rPr>
          <w:rStyle w:val="FootnoteReference"/>
          <w:sz w:val="16"/>
          <w:szCs w:val="16"/>
          <w:vertAlign w:val="baseline"/>
        </w:rPr>
        <w:t>responsibilities of the manufacturer, the authorised representative and the importer, see Chapter 3.</w:t>
      </w:r>
    </w:p>
  </w:footnote>
  <w:footnote w:id="197">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Article 5 from Decision No 768/2008/EC</w:t>
      </w:r>
      <w:r>
        <w:rPr>
          <w:sz w:val="16"/>
          <w:szCs w:val="16"/>
        </w:rPr>
        <w:t>.</w:t>
      </w:r>
    </w:p>
  </w:footnote>
  <w:footnote w:id="198">
    <w:p w:rsidR="0037666B" w:rsidRDefault="00C627B8">
      <w:pPr>
        <w:pStyle w:val="FootnoteText"/>
        <w:spacing w:after="0"/>
        <w:ind w:left="567" w:hanging="567"/>
        <w:rPr>
          <w:sz w:val="16"/>
          <w:szCs w:val="16"/>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See for example recital 22 of Directive 2014/35/EU, or the similar recital 24 of Directive 2014/34/EU.</w:t>
      </w:r>
    </w:p>
  </w:footnote>
  <w:footnote w:id="199">
    <w:p w:rsidR="0037666B" w:rsidRDefault="00C627B8">
      <w:pPr>
        <w:pStyle w:val="FootnoteText"/>
        <w:spacing w:after="0"/>
        <w:ind w:left="567" w:hanging="567"/>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Art</w:t>
      </w:r>
      <w:r>
        <w:rPr>
          <w:rStyle w:val="FootnoteReference"/>
          <w:sz w:val="16"/>
          <w:szCs w:val="16"/>
          <w:vertAlign w:val="baseline"/>
        </w:rPr>
        <w:t>icle R10(2) of Annex I of Decision No 768/2008/EC</w:t>
      </w:r>
      <w:r>
        <w:rPr>
          <w:sz w:val="16"/>
          <w:szCs w:val="16"/>
        </w:rPr>
        <w:t>.</w:t>
      </w:r>
    </w:p>
  </w:footnote>
  <w:footnote w:id="200">
    <w:p w:rsidR="0037666B" w:rsidRDefault="00C627B8">
      <w:pPr>
        <w:pStyle w:val="FootnoteText"/>
        <w:spacing w:after="0"/>
        <w:ind w:left="567" w:hanging="567"/>
        <w:rPr>
          <w:i/>
          <w:sz w:val="16"/>
          <w:szCs w:val="16"/>
        </w:rPr>
      </w:pPr>
      <w:r>
        <w:rPr>
          <w:rStyle w:val="FootnoteReference"/>
          <w:sz w:val="16"/>
          <w:szCs w:val="16"/>
          <w:vertAlign w:val="baseline"/>
        </w:rPr>
        <w:footnoteRef/>
      </w:r>
      <w:r>
        <w:rPr>
          <w:sz w:val="16"/>
          <w:szCs w:val="16"/>
        </w:rPr>
        <w:t xml:space="preserve"> </w:t>
      </w:r>
      <w:r>
        <w:rPr>
          <w:sz w:val="16"/>
          <w:szCs w:val="16"/>
        </w:rPr>
        <w:tab/>
      </w:r>
      <w:r>
        <w:rPr>
          <w:rStyle w:val="HTMLCite"/>
          <w:i w:val="0"/>
          <w:sz w:val="16"/>
          <w:szCs w:val="16"/>
        </w:rPr>
        <w:t>eur-lex.europa.eu/LexUriServ/LexUriServ.do?uri=OJ:L:2008:218:0082:0128:en</w:t>
      </w:r>
    </w:p>
  </w:footnote>
  <w:footnote w:id="201">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https://ecampus.wto.org/admin/files/Course_399/Module_608/ModuleDocuments/TBT_M5_E.pdf</w:t>
      </w:r>
    </w:p>
  </w:footnote>
  <w:footnote w:id="202">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https://ecampus.wto.org/admin/files</w:t>
      </w:r>
      <w:r>
        <w:rPr>
          <w:sz w:val="16"/>
          <w:szCs w:val="16"/>
        </w:rPr>
        <w:t xml:space="preserve">/Course_399/Module_608/ModuleDocuments/TBT_M5_E.pdf </w:t>
      </w:r>
    </w:p>
  </w:footnote>
  <w:footnote w:id="203">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 xml:space="preserve">Johnson C., 'Technical Barriers to Trade: Reducing the Impact of Conformity Assessment Measures', Office of Industries of the U.S. International Trade Commission (USITC),  </w:t>
      </w:r>
      <w:hyperlink r:id="rId25" w:history="1">
        <w:r>
          <w:rPr>
            <w:rStyle w:val="Hyperlink"/>
            <w:sz w:val="16"/>
            <w:szCs w:val="16"/>
          </w:rPr>
          <w:t>https://www.usitc.gov/publications/332/ca-dft-rev-final082008.pdf</w:t>
        </w:r>
      </w:hyperlink>
      <w:r>
        <w:rPr>
          <w:sz w:val="16"/>
          <w:szCs w:val="16"/>
        </w:rPr>
        <w:t xml:space="preserve">. </w:t>
      </w:r>
    </w:p>
  </w:footnote>
  <w:footnote w:id="204">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6" w:history="1">
        <w:r>
          <w:rPr>
            <w:rStyle w:val="Hyperlink"/>
            <w:sz w:val="16"/>
            <w:szCs w:val="16"/>
          </w:rPr>
          <w:t>https://www.nist.gov/standardsgov/use-suppli</w:t>
        </w:r>
        <w:r>
          <w:rPr>
            <w:rStyle w:val="Hyperlink"/>
            <w:sz w:val="16"/>
            <w:szCs w:val="16"/>
          </w:rPr>
          <w:t>ers-declaration-conformity</w:t>
        </w:r>
      </w:hyperlink>
      <w:r>
        <w:rPr>
          <w:sz w:val="16"/>
          <w:szCs w:val="16"/>
        </w:rPr>
        <w:t xml:space="preserve"> </w:t>
      </w:r>
    </w:p>
  </w:footnote>
  <w:footnote w:id="205">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hyperlink r:id="rId27" w:history="1">
        <w:r>
          <w:rPr>
            <w:rStyle w:val="Hyperlink"/>
            <w:sz w:val="16"/>
            <w:szCs w:val="16"/>
          </w:rPr>
          <w:t>https://www.wto.org/english/tratop_e/inftec_e/gall.doc</w:t>
        </w:r>
      </w:hyperlink>
      <w:r>
        <w:rPr>
          <w:sz w:val="16"/>
          <w:szCs w:val="16"/>
        </w:rPr>
        <w:t xml:space="preserve"> </w:t>
      </w:r>
    </w:p>
  </w:footnote>
  <w:footnote w:id="206">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Fliess, B., F. Gonzales and R. Schonfeld (2008), “Technical Barriers to Trade: Evaluating the T</w:t>
      </w:r>
      <w:r>
        <w:rPr>
          <w:sz w:val="16"/>
          <w:szCs w:val="16"/>
        </w:rPr>
        <w:t>rade Effects of Supplier's Declaration of Conformity”, OECD Trade Policy Papers, No. 78, OECD Publishing, Paris.</w:t>
      </w:r>
    </w:p>
  </w:footnote>
  <w:footnote w:id="207">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These figures have been computed for the period 2011 – 2013 since the enterprise statistics by size class for aggregates of activities (NACE</w:t>
      </w:r>
      <w:r>
        <w:rPr>
          <w:sz w:val="16"/>
          <w:szCs w:val="16"/>
        </w:rPr>
        <w:t xml:space="preserve"> rev.2) are only available for this period.</w:t>
      </w:r>
    </w:p>
  </w:footnote>
  <w:footnote w:id="208">
    <w:p w:rsidR="0037666B" w:rsidRDefault="00C627B8">
      <w:pPr>
        <w:pStyle w:val="FootnoteText"/>
        <w:tabs>
          <w:tab w:val="left" w:pos="284"/>
        </w:tabs>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r>
      <w:r>
        <w:rPr>
          <w:sz w:val="16"/>
          <w:szCs w:val="16"/>
        </w:rPr>
        <w:tab/>
        <w:t xml:space="preserve">Flash Eurobarometer 421: Internationalisation of Small and Medium-sized Enterprises </w:t>
      </w:r>
      <w:r>
        <w:rPr>
          <w:sz w:val="16"/>
          <w:szCs w:val="16"/>
        </w:rPr>
        <w:tab/>
      </w:r>
      <w:r>
        <w:rPr>
          <w:sz w:val="16"/>
          <w:szCs w:val="16"/>
        </w:rPr>
        <w:br/>
      </w:r>
      <w:hyperlink r:id="rId28" w:history="1">
        <w:r>
          <w:rPr>
            <w:rStyle w:val="Hyperlink"/>
            <w:sz w:val="16"/>
            <w:szCs w:val="16"/>
          </w:rPr>
          <w:t>https://data.europa.eu/euodp/en/data/dataset/S2</w:t>
        </w:r>
        <w:r>
          <w:rPr>
            <w:rStyle w:val="Hyperlink"/>
            <w:sz w:val="16"/>
            <w:szCs w:val="16"/>
          </w:rPr>
          <w:t>090_421_ENG</w:t>
        </w:r>
      </w:hyperlink>
      <w:r>
        <w:rPr>
          <w:sz w:val="16"/>
          <w:szCs w:val="16"/>
        </w:rPr>
        <w:t xml:space="preserve">  and Flash Eurobarometer 413: Companies engaged in online activities </w:t>
      </w:r>
      <w:r>
        <w:rPr>
          <w:rStyle w:val="Hyperlink"/>
          <w:sz w:val="16"/>
          <w:szCs w:val="16"/>
        </w:rPr>
        <w:t>https://data.europa.eu/euodp/en/data/dataset/S2058_413_ENG</w:t>
      </w:r>
    </w:p>
  </w:footnote>
  <w:footnote w:id="209">
    <w:p w:rsidR="0037666B" w:rsidRDefault="00C627B8">
      <w:pPr>
        <w:pStyle w:val="FootnoteText"/>
        <w:spacing w:after="0"/>
        <w:ind w:left="567" w:hanging="567"/>
        <w:rPr>
          <w:sz w:val="16"/>
          <w:szCs w:val="16"/>
        </w:rPr>
      </w:pPr>
      <w:r>
        <w:rPr>
          <w:rStyle w:val="FootnoteReference"/>
          <w:sz w:val="16"/>
          <w:szCs w:val="16"/>
          <w:vertAlign w:val="baseline"/>
        </w:rPr>
        <w:footnoteRef/>
      </w:r>
      <w:r>
        <w:rPr>
          <w:sz w:val="16"/>
          <w:szCs w:val="16"/>
        </w:rPr>
        <w:t xml:space="preserve"> </w:t>
      </w:r>
      <w:r>
        <w:rPr>
          <w:sz w:val="16"/>
          <w:szCs w:val="16"/>
        </w:rPr>
        <w:tab/>
        <w:t>More specifically, the 2014 Competitiveness report indicates that among the roughly two million manufacturing SME</w:t>
      </w:r>
      <w:r>
        <w:rPr>
          <w:sz w:val="16"/>
          <w:szCs w:val="16"/>
        </w:rPr>
        <w:t xml:space="preserve">s (0-249 employees) in the EU-28, 14.3 % export goods to EU countries. One can observe that export participation increases strongly with firm size. Meanwhile, 7.9 % of micro enterprises, 37.5 % of small firms, and 67.0 % of medium-sized enterprises export </w:t>
      </w:r>
      <w:r>
        <w:rPr>
          <w:sz w:val="16"/>
          <w:szCs w:val="16"/>
        </w:rPr>
        <w:t xml:space="preserve">to internal markets, compared to 85.4 % of large manufacturing firms. This indicates that the export participation of large firms is about 10 times higher than that of micro enterprises. SWD(2014)277 final: </w:t>
      </w:r>
      <w:hyperlink r:id="rId29" w:history="1">
        <w:r>
          <w:rPr>
            <w:rStyle w:val="Hyperlink"/>
            <w:sz w:val="16"/>
            <w:szCs w:val="16"/>
            <w:lang w:val="en-US"/>
          </w:rPr>
          <w:t>http://ec.europa.eu/DocsRoom/documents/6706/attachments/1/translations/en/renditions/native</w:t>
        </w:r>
      </w:hyperlink>
    </w:p>
  </w:footnote>
  <w:footnote w:id="210">
    <w:p w:rsidR="0037666B" w:rsidRDefault="00C627B8">
      <w:pPr>
        <w:pStyle w:val="FootnoteText"/>
        <w:spacing w:after="0"/>
        <w:ind w:left="567" w:hanging="567"/>
        <w:rPr>
          <w:sz w:val="16"/>
          <w:szCs w:val="16"/>
          <w:lang w:val="fr-BE"/>
        </w:rPr>
      </w:pPr>
      <w:r>
        <w:rPr>
          <w:sz w:val="16"/>
          <w:szCs w:val="16"/>
        </w:rPr>
        <w:footnoteRef/>
      </w:r>
      <w:r>
        <w:rPr>
          <w:sz w:val="16"/>
          <w:szCs w:val="16"/>
        </w:rPr>
        <w:t xml:space="preserve">       Source: SOLVIT database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66B" w:rsidRDefault="0037666B">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EC03A8"/>
    <w:multiLevelType w:val="hybridMultilevel"/>
    <w:tmpl w:val="F8A8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347FF2"/>
    <w:multiLevelType w:val="hybridMultilevel"/>
    <w:tmpl w:val="EBE07E3C"/>
    <w:lvl w:ilvl="0" w:tplc="08090001">
      <w:start w:val="1"/>
      <w:numFmt w:val="bullet"/>
      <w:lvlText w:val=""/>
      <w:lvlJc w:val="left"/>
      <w:pPr>
        <w:ind w:left="720" w:hanging="360"/>
      </w:pPr>
      <w:rPr>
        <w:rFonts w:ascii="Symbol" w:hAnsi="Symbol" w:hint="default"/>
      </w:rPr>
    </w:lvl>
    <w:lvl w:ilvl="1" w:tplc="34AAB54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48426E"/>
    <w:multiLevelType w:val="hybridMultilevel"/>
    <w:tmpl w:val="BA5E4426"/>
    <w:lvl w:ilvl="0" w:tplc="98708106">
      <w:start w:val="1"/>
      <w:numFmt w:val="bullet"/>
      <w:lvlText w:val=""/>
      <w:lvlJc w:val="left"/>
      <w:pPr>
        <w:ind w:left="717" w:hanging="360"/>
      </w:pPr>
      <w:rPr>
        <w:rFonts w:ascii="Symbol" w:hAnsi="Symbol" w:hint="default"/>
        <w:color w:val="auto"/>
        <w:sz w:val="24"/>
      </w:rPr>
    </w:lvl>
    <w:lvl w:ilvl="1" w:tplc="BDE241E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5B2C4B"/>
    <w:multiLevelType w:val="hybridMultilevel"/>
    <w:tmpl w:val="CA1C148A"/>
    <w:lvl w:ilvl="0" w:tplc="08090001">
      <w:start w:val="1"/>
      <w:numFmt w:val="bullet"/>
      <w:lvlText w:val=""/>
      <w:lvlJc w:val="left"/>
      <w:pPr>
        <w:ind w:left="1922" w:hanging="360"/>
      </w:pPr>
      <w:rPr>
        <w:rFonts w:ascii="Symbol" w:hAnsi="Symbol" w:hint="default"/>
      </w:rPr>
    </w:lvl>
    <w:lvl w:ilvl="1" w:tplc="08090003" w:tentative="1">
      <w:start w:val="1"/>
      <w:numFmt w:val="bullet"/>
      <w:lvlText w:val="o"/>
      <w:lvlJc w:val="left"/>
      <w:pPr>
        <w:ind w:left="2642" w:hanging="360"/>
      </w:pPr>
      <w:rPr>
        <w:rFonts w:ascii="Courier New" w:hAnsi="Courier New" w:cs="Courier New" w:hint="default"/>
      </w:rPr>
    </w:lvl>
    <w:lvl w:ilvl="2" w:tplc="08090005" w:tentative="1">
      <w:start w:val="1"/>
      <w:numFmt w:val="bullet"/>
      <w:lvlText w:val=""/>
      <w:lvlJc w:val="left"/>
      <w:pPr>
        <w:ind w:left="3362" w:hanging="360"/>
      </w:pPr>
      <w:rPr>
        <w:rFonts w:ascii="Wingdings" w:hAnsi="Wingdings" w:hint="default"/>
      </w:rPr>
    </w:lvl>
    <w:lvl w:ilvl="3" w:tplc="08090001" w:tentative="1">
      <w:start w:val="1"/>
      <w:numFmt w:val="bullet"/>
      <w:lvlText w:val=""/>
      <w:lvlJc w:val="left"/>
      <w:pPr>
        <w:ind w:left="4082" w:hanging="360"/>
      </w:pPr>
      <w:rPr>
        <w:rFonts w:ascii="Symbol" w:hAnsi="Symbol" w:hint="default"/>
      </w:rPr>
    </w:lvl>
    <w:lvl w:ilvl="4" w:tplc="08090003" w:tentative="1">
      <w:start w:val="1"/>
      <w:numFmt w:val="bullet"/>
      <w:lvlText w:val="o"/>
      <w:lvlJc w:val="left"/>
      <w:pPr>
        <w:ind w:left="4802" w:hanging="360"/>
      </w:pPr>
      <w:rPr>
        <w:rFonts w:ascii="Courier New" w:hAnsi="Courier New" w:cs="Courier New" w:hint="default"/>
      </w:rPr>
    </w:lvl>
    <w:lvl w:ilvl="5" w:tplc="08090005" w:tentative="1">
      <w:start w:val="1"/>
      <w:numFmt w:val="bullet"/>
      <w:lvlText w:val=""/>
      <w:lvlJc w:val="left"/>
      <w:pPr>
        <w:ind w:left="5522" w:hanging="360"/>
      </w:pPr>
      <w:rPr>
        <w:rFonts w:ascii="Wingdings" w:hAnsi="Wingdings" w:hint="default"/>
      </w:rPr>
    </w:lvl>
    <w:lvl w:ilvl="6" w:tplc="08090001" w:tentative="1">
      <w:start w:val="1"/>
      <w:numFmt w:val="bullet"/>
      <w:lvlText w:val=""/>
      <w:lvlJc w:val="left"/>
      <w:pPr>
        <w:ind w:left="6242" w:hanging="360"/>
      </w:pPr>
      <w:rPr>
        <w:rFonts w:ascii="Symbol" w:hAnsi="Symbol" w:hint="default"/>
      </w:rPr>
    </w:lvl>
    <w:lvl w:ilvl="7" w:tplc="08090003" w:tentative="1">
      <w:start w:val="1"/>
      <w:numFmt w:val="bullet"/>
      <w:lvlText w:val="o"/>
      <w:lvlJc w:val="left"/>
      <w:pPr>
        <w:ind w:left="6962" w:hanging="360"/>
      </w:pPr>
      <w:rPr>
        <w:rFonts w:ascii="Courier New" w:hAnsi="Courier New" w:cs="Courier New" w:hint="default"/>
      </w:rPr>
    </w:lvl>
    <w:lvl w:ilvl="8" w:tplc="08090005" w:tentative="1">
      <w:start w:val="1"/>
      <w:numFmt w:val="bullet"/>
      <w:lvlText w:val=""/>
      <w:lvlJc w:val="left"/>
      <w:pPr>
        <w:ind w:left="7682"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F734306"/>
    <w:multiLevelType w:val="multilevel"/>
    <w:tmpl w:val="B2DC5318"/>
    <w:lvl w:ilvl="0">
      <w:start w:val="1"/>
      <w:numFmt w:val="decimal"/>
      <w:pStyle w:val="Heading1"/>
      <w:lvlText w:val="%1."/>
      <w:lvlJc w:val="left"/>
      <w:pPr>
        <w:tabs>
          <w:tab w:val="num" w:pos="480"/>
        </w:tabs>
        <w:ind w:left="480" w:hanging="480"/>
      </w:pPr>
      <w:rPr>
        <w:rFonts w:hint="default"/>
        <w:i w:val="0"/>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49E7385"/>
    <w:multiLevelType w:val="hybridMultilevel"/>
    <w:tmpl w:val="12187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353906A5"/>
    <w:multiLevelType w:val="hybridMultilevel"/>
    <w:tmpl w:val="AC04BA34"/>
    <w:lvl w:ilvl="0" w:tplc="08090017">
      <w:start w:val="1"/>
      <w:numFmt w:val="lowerLetter"/>
      <w:lvlText w:val="%1)"/>
      <w:lvlJc w:val="left"/>
      <w:pPr>
        <w:ind w:left="720" w:hanging="360"/>
      </w:pPr>
    </w:lvl>
    <w:lvl w:ilvl="1" w:tplc="08090015">
      <w:start w:val="1"/>
      <w:numFmt w:val="upp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3F561A88"/>
    <w:multiLevelType w:val="hybridMultilevel"/>
    <w:tmpl w:val="F408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1">
    <w:nsid w:val="469E51D7"/>
    <w:multiLevelType w:val="hybridMultilevel"/>
    <w:tmpl w:val="FC6E9B52"/>
    <w:lvl w:ilvl="0" w:tplc="0809000F">
      <w:start w:val="1"/>
      <w:numFmt w:val="decimal"/>
      <w:lvlText w:val="%1."/>
      <w:lvlJc w:val="left"/>
      <w:pPr>
        <w:ind w:left="1473" w:hanging="360"/>
      </w:pPr>
    </w:lvl>
    <w:lvl w:ilvl="1" w:tplc="08090019" w:tentative="1">
      <w:start w:val="1"/>
      <w:numFmt w:val="lowerLetter"/>
      <w:lvlText w:val="%2."/>
      <w:lvlJc w:val="left"/>
      <w:pPr>
        <w:ind w:left="2193" w:hanging="360"/>
      </w:pPr>
    </w:lvl>
    <w:lvl w:ilvl="2" w:tplc="0809001B" w:tentative="1">
      <w:start w:val="1"/>
      <w:numFmt w:val="lowerRoman"/>
      <w:lvlText w:val="%3."/>
      <w:lvlJc w:val="right"/>
      <w:pPr>
        <w:ind w:left="2913" w:hanging="180"/>
      </w:pPr>
    </w:lvl>
    <w:lvl w:ilvl="3" w:tplc="0809000F" w:tentative="1">
      <w:start w:val="1"/>
      <w:numFmt w:val="decimal"/>
      <w:lvlText w:val="%4."/>
      <w:lvlJc w:val="left"/>
      <w:pPr>
        <w:ind w:left="3633" w:hanging="360"/>
      </w:pPr>
    </w:lvl>
    <w:lvl w:ilvl="4" w:tplc="08090019" w:tentative="1">
      <w:start w:val="1"/>
      <w:numFmt w:val="lowerLetter"/>
      <w:lvlText w:val="%5."/>
      <w:lvlJc w:val="left"/>
      <w:pPr>
        <w:ind w:left="4353" w:hanging="360"/>
      </w:pPr>
    </w:lvl>
    <w:lvl w:ilvl="5" w:tplc="0809001B" w:tentative="1">
      <w:start w:val="1"/>
      <w:numFmt w:val="lowerRoman"/>
      <w:lvlText w:val="%6."/>
      <w:lvlJc w:val="right"/>
      <w:pPr>
        <w:ind w:left="5073" w:hanging="180"/>
      </w:pPr>
    </w:lvl>
    <w:lvl w:ilvl="6" w:tplc="0809000F" w:tentative="1">
      <w:start w:val="1"/>
      <w:numFmt w:val="decimal"/>
      <w:lvlText w:val="%7."/>
      <w:lvlJc w:val="left"/>
      <w:pPr>
        <w:ind w:left="5793" w:hanging="360"/>
      </w:pPr>
    </w:lvl>
    <w:lvl w:ilvl="7" w:tplc="08090019" w:tentative="1">
      <w:start w:val="1"/>
      <w:numFmt w:val="lowerLetter"/>
      <w:lvlText w:val="%8."/>
      <w:lvlJc w:val="left"/>
      <w:pPr>
        <w:ind w:left="6513" w:hanging="360"/>
      </w:pPr>
    </w:lvl>
    <w:lvl w:ilvl="8" w:tplc="0809001B" w:tentative="1">
      <w:start w:val="1"/>
      <w:numFmt w:val="lowerRoman"/>
      <w:lvlText w:val="%9."/>
      <w:lvlJc w:val="right"/>
      <w:pPr>
        <w:ind w:left="7233" w:hanging="180"/>
      </w:pPr>
    </w:lvl>
  </w:abstractNum>
  <w:abstractNum w:abstractNumId="22">
    <w:nsid w:val="4A432656"/>
    <w:multiLevelType w:val="multilevel"/>
    <w:tmpl w:val="600644AC"/>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B5E1DF9"/>
    <w:multiLevelType w:val="hybridMultilevel"/>
    <w:tmpl w:val="D2FEDE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116294"/>
    <w:multiLevelType w:val="hybridMultilevel"/>
    <w:tmpl w:val="05EE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B15799"/>
    <w:multiLevelType w:val="hybridMultilevel"/>
    <w:tmpl w:val="A764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7">
    <w:nsid w:val="587B214E"/>
    <w:multiLevelType w:val="hybridMultilevel"/>
    <w:tmpl w:val="221C045E"/>
    <w:lvl w:ilvl="0" w:tplc="08090017">
      <w:start w:val="1"/>
      <w:numFmt w:val="lowerLetter"/>
      <w:lvlText w:val="%1)"/>
      <w:lvlJc w:val="left"/>
      <w:pPr>
        <w:ind w:left="720" w:hanging="360"/>
      </w:pPr>
    </w:lvl>
    <w:lvl w:ilvl="1" w:tplc="0BB6933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D82300"/>
    <w:multiLevelType w:val="hybridMultilevel"/>
    <w:tmpl w:val="D14E1A50"/>
    <w:lvl w:ilvl="0" w:tplc="E1700A9C">
      <w:start w:val="1"/>
      <w:numFmt w:val="bullet"/>
      <w:pStyle w:val="BulletNormal"/>
      <w:lvlText w:val=""/>
      <w:lvlJc w:val="left"/>
      <w:pPr>
        <w:ind w:left="1420" w:hanging="360"/>
      </w:pPr>
      <w:rPr>
        <w:rFonts w:ascii="Symbol" w:hAnsi="Symbol" w:hint="default"/>
      </w:rPr>
    </w:lvl>
    <w:lvl w:ilvl="1" w:tplc="04100003">
      <w:start w:val="1"/>
      <w:numFmt w:val="bullet"/>
      <w:lvlText w:val="o"/>
      <w:lvlJc w:val="left"/>
      <w:pPr>
        <w:ind w:left="2140" w:hanging="360"/>
      </w:pPr>
      <w:rPr>
        <w:rFonts w:ascii="Courier New" w:hAnsi="Courier New" w:cs="Courier New" w:hint="default"/>
      </w:rPr>
    </w:lvl>
    <w:lvl w:ilvl="2" w:tplc="04100005">
      <w:start w:val="1"/>
      <w:numFmt w:val="bullet"/>
      <w:lvlText w:val=""/>
      <w:lvlJc w:val="left"/>
      <w:pPr>
        <w:ind w:left="2860" w:hanging="360"/>
      </w:pPr>
      <w:rPr>
        <w:rFonts w:ascii="Wingdings" w:hAnsi="Wingdings" w:hint="default"/>
      </w:rPr>
    </w:lvl>
    <w:lvl w:ilvl="3" w:tplc="04100001" w:tentative="1">
      <w:start w:val="1"/>
      <w:numFmt w:val="bullet"/>
      <w:lvlText w:val=""/>
      <w:lvlJc w:val="left"/>
      <w:pPr>
        <w:ind w:left="3580" w:hanging="360"/>
      </w:pPr>
      <w:rPr>
        <w:rFonts w:ascii="Symbol" w:hAnsi="Symbol" w:hint="default"/>
      </w:rPr>
    </w:lvl>
    <w:lvl w:ilvl="4" w:tplc="04100003" w:tentative="1">
      <w:start w:val="1"/>
      <w:numFmt w:val="bullet"/>
      <w:lvlText w:val="o"/>
      <w:lvlJc w:val="left"/>
      <w:pPr>
        <w:ind w:left="4300" w:hanging="360"/>
      </w:pPr>
      <w:rPr>
        <w:rFonts w:ascii="Courier New" w:hAnsi="Courier New" w:cs="Courier New" w:hint="default"/>
      </w:rPr>
    </w:lvl>
    <w:lvl w:ilvl="5" w:tplc="04100005" w:tentative="1">
      <w:start w:val="1"/>
      <w:numFmt w:val="bullet"/>
      <w:lvlText w:val=""/>
      <w:lvlJc w:val="left"/>
      <w:pPr>
        <w:ind w:left="5020" w:hanging="360"/>
      </w:pPr>
      <w:rPr>
        <w:rFonts w:ascii="Wingdings" w:hAnsi="Wingdings" w:hint="default"/>
      </w:rPr>
    </w:lvl>
    <w:lvl w:ilvl="6" w:tplc="04100001" w:tentative="1">
      <w:start w:val="1"/>
      <w:numFmt w:val="bullet"/>
      <w:lvlText w:val=""/>
      <w:lvlJc w:val="left"/>
      <w:pPr>
        <w:ind w:left="5740" w:hanging="360"/>
      </w:pPr>
      <w:rPr>
        <w:rFonts w:ascii="Symbol" w:hAnsi="Symbol" w:hint="default"/>
      </w:rPr>
    </w:lvl>
    <w:lvl w:ilvl="7" w:tplc="04100003" w:tentative="1">
      <w:start w:val="1"/>
      <w:numFmt w:val="bullet"/>
      <w:lvlText w:val="o"/>
      <w:lvlJc w:val="left"/>
      <w:pPr>
        <w:ind w:left="6460" w:hanging="360"/>
      </w:pPr>
      <w:rPr>
        <w:rFonts w:ascii="Courier New" w:hAnsi="Courier New" w:cs="Courier New" w:hint="default"/>
      </w:rPr>
    </w:lvl>
    <w:lvl w:ilvl="8" w:tplc="04100005" w:tentative="1">
      <w:start w:val="1"/>
      <w:numFmt w:val="bullet"/>
      <w:lvlText w:val=""/>
      <w:lvlJc w:val="left"/>
      <w:pPr>
        <w:ind w:left="7180" w:hanging="360"/>
      </w:pPr>
      <w:rPr>
        <w:rFonts w:ascii="Wingdings" w:hAnsi="Wingdings" w:hint="default"/>
      </w:rPr>
    </w:lvl>
  </w:abstractNum>
  <w:abstractNum w:abstractNumId="29">
    <w:nsid w:val="591377B5"/>
    <w:multiLevelType w:val="hybridMultilevel"/>
    <w:tmpl w:val="808C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A86A75"/>
    <w:multiLevelType w:val="hybridMultilevel"/>
    <w:tmpl w:val="E7F2D15A"/>
    <w:lvl w:ilvl="0" w:tplc="A63E123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2">
    <w:nsid w:val="5ED27437"/>
    <w:multiLevelType w:val="hybridMultilevel"/>
    <w:tmpl w:val="8210041A"/>
    <w:lvl w:ilvl="0" w:tplc="0809000F">
      <w:start w:val="1"/>
      <w:numFmt w:val="decimal"/>
      <w:lvlText w:val="%1."/>
      <w:lvlJc w:val="left"/>
      <w:pPr>
        <w:ind w:left="1636" w:hanging="360"/>
      </w:p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5">
    <w:nsid w:val="669B0298"/>
    <w:multiLevelType w:val="hybridMultilevel"/>
    <w:tmpl w:val="81866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126869"/>
    <w:multiLevelType w:val="hybridMultilevel"/>
    <w:tmpl w:val="B556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nsid w:val="6E51759D"/>
    <w:multiLevelType w:val="hybridMultilevel"/>
    <w:tmpl w:val="E2E4D9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C53F0F"/>
    <w:multiLevelType w:val="hybridMultilevel"/>
    <w:tmpl w:val="BA50FFB2"/>
    <w:lvl w:ilvl="0" w:tplc="82B4C164">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A757D4"/>
    <w:multiLevelType w:val="hybridMultilevel"/>
    <w:tmpl w:val="E2E4D9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8"/>
  </w:num>
  <w:num w:numId="4">
    <w:abstractNumId w:val="18"/>
  </w:num>
  <w:num w:numId="5">
    <w:abstractNumId w:val="11"/>
  </w:num>
  <w:num w:numId="6">
    <w:abstractNumId w:val="17"/>
  </w:num>
  <w:num w:numId="7">
    <w:abstractNumId w:val="34"/>
  </w:num>
  <w:num w:numId="8">
    <w:abstractNumId w:val="37"/>
  </w:num>
  <w:num w:numId="9">
    <w:abstractNumId w:val="14"/>
  </w:num>
  <w:num w:numId="10">
    <w:abstractNumId w:val="33"/>
  </w:num>
  <w:num w:numId="11">
    <w:abstractNumId w:val="31"/>
  </w:num>
  <w:num w:numId="12">
    <w:abstractNumId w:val="20"/>
  </w:num>
  <w:num w:numId="13">
    <w:abstractNumId w:val="26"/>
  </w:num>
  <w:num w:numId="14">
    <w:abstractNumId w:val="9"/>
  </w:num>
  <w:num w:numId="15">
    <w:abstractNumId w:val="16"/>
  </w:num>
  <w:num w:numId="16">
    <w:abstractNumId w:val="7"/>
  </w:num>
  <w:num w:numId="17">
    <w:abstractNumId w:val="12"/>
  </w:num>
  <w:num w:numId="18">
    <w:abstractNumId w:val="41"/>
  </w:num>
  <w:num w:numId="19">
    <w:abstractNumId w:val="13"/>
  </w:num>
  <w:num w:numId="20">
    <w:abstractNumId w:val="4"/>
  </w:num>
  <w:num w:numId="21">
    <w:abstractNumId w:val="29"/>
  </w:num>
  <w:num w:numId="22">
    <w:abstractNumId w:val="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8"/>
  </w:num>
  <w:num w:numId="26">
    <w:abstractNumId w:val="40"/>
  </w:num>
  <w:num w:numId="27">
    <w:abstractNumId w:val="21"/>
  </w:num>
  <w:num w:numId="28">
    <w:abstractNumId w:val="32"/>
  </w:num>
  <w:num w:numId="29">
    <w:abstractNumId w:val="27"/>
  </w:num>
  <w:num w:numId="30">
    <w:abstractNumId w:val="28"/>
  </w:num>
  <w:num w:numId="31">
    <w:abstractNumId w:val="30"/>
  </w:num>
  <w:num w:numId="32">
    <w:abstractNumId w:val="19"/>
  </w:num>
  <w:num w:numId="33">
    <w:abstractNumId w:val="2"/>
  </w:num>
  <w:num w:numId="34">
    <w:abstractNumId w:val="36"/>
  </w:num>
  <w:num w:numId="35">
    <w:abstractNumId w:val="2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3"/>
  </w:num>
  <w:num w:numId="46">
    <w:abstractNumId w:val="15"/>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8"/>
  </w:num>
  <w:num w:numId="60">
    <w:abstractNumId w:val="6"/>
  </w:num>
  <w:num w:numId="61">
    <w:abstractNumId w:val="8"/>
  </w:num>
  <w:num w:numId="62">
    <w:abstractNumId w:val="11"/>
  </w:num>
  <w:num w:numId="63">
    <w:abstractNumId w:val="8"/>
  </w:num>
  <w:num w:numId="64">
    <w:abstractNumId w:val="22"/>
  </w:num>
  <w:num w:numId="65">
    <w:abstractNumId w:val="8"/>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num>
  <w:num w:numId="6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A8B9798-1D2F-4227-A2EF-C0F1135182B5"/>
    <w:docVar w:name="LW_COVERPAGE_TYPE" w:val="1"/>
    <w:docVar w:name="LW_CROSSREFERENCE" w:val="{COM(2017) 796 final}_x000b_{SWD(2017) 472 final}_x000b_{SWD(2017) 475 final}_x000b_{SWD(2017) 476 final}_x000b_{SWD(2017) 477 final}"/>
    <w:docVar w:name="LW_DocType" w:val="REP"/>
    <w:docVar w:name="LW_EMISSION" w:val="19.12.2017"/>
    <w:docVar w:name="LW_EMISSION_ISODATE" w:val="2017-12-19"/>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the mutual recognition on goods lawfully marketed in another Member State"/>
    <w:docVar w:name="LW_PART_NBR" w:val="1"/>
    <w:docVar w:name="LW_PART_NBR_TOTAL" w:val="1"/>
    <w:docVar w:name="LW_REF.INST.NEW" w:val="SWD"/>
    <w:docVar w:name="LW_REF.INST.NEW_ADOPTED" w:val="final"/>
    <w:docVar w:name="LW_REF.INST.NEW_TEXT" w:val="(2017) 4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
  </w:docVars>
  <w:rsids>
    <w:rsidRoot w:val="0037666B"/>
    <w:rsid w:val="0037666B"/>
    <w:rsid w:val="00C627B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numPr>
        <w:ilvl w:val="1"/>
        <w:numId w:val="3"/>
      </w:numPr>
      <w:tabs>
        <w:tab w:val="clear" w:pos="1200"/>
        <w:tab w:val="num" w:pos="567"/>
      </w:tabs>
      <w:ind w:left="567" w:hanging="567"/>
      <w:outlineLvl w:val="1"/>
    </w:pPr>
    <w:rPr>
      <w:b/>
      <w:szCs w:val="24"/>
    </w:rPr>
  </w:style>
  <w:style w:type="paragraph" w:styleId="Heading3">
    <w:name w:val="heading 3"/>
    <w:basedOn w:val="Normal"/>
    <w:next w:val="Text3"/>
    <w:qFormat/>
    <w:pPr>
      <w:numPr>
        <w:ilvl w:val="2"/>
        <w:numId w:val="3"/>
      </w:numPr>
      <w:tabs>
        <w:tab w:val="clear" w:pos="720"/>
        <w:tab w:val="num" w:pos="567"/>
      </w:tabs>
      <w:ind w:left="567" w:hanging="567"/>
      <w:outlineLvl w:val="2"/>
    </w:pPr>
    <w:rPr>
      <w:i/>
      <w:szCs w:val="24"/>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rPr>
      <w:i/>
      <w:iCs/>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Figuroverskrift"/>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outlineLvl w:val="9"/>
    </w:pPr>
    <w:rPr>
      <w:b w:val="0"/>
    </w:rPr>
  </w:style>
  <w:style w:type="paragraph" w:customStyle="1" w:styleId="NumPar3">
    <w:name w:val="NumPar 3"/>
    <w:basedOn w:val="Heading3"/>
    <w:next w:val="Text3"/>
    <w:pPr>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Typedudocument">
    <w:name w:val="Type du document"/>
    <w:basedOn w:val="Normal"/>
    <w:next w:val="Normal"/>
    <w:link w:val="TypedudocumentChar"/>
    <w:pPr>
      <w:spacing w:before="360" w:after="0"/>
      <w:jc w:val="center"/>
    </w:pPr>
    <w:rPr>
      <w:b/>
      <w:szCs w:val="24"/>
    </w:rPr>
  </w:style>
  <w:style w:type="paragraph" w:customStyle="1" w:styleId="Accompagnant">
    <w:name w:val="Accompagnant"/>
    <w:basedOn w:val="Normal"/>
    <w:next w:val="Normal"/>
    <w:pPr>
      <w:jc w:val="center"/>
    </w:pPr>
    <w:rPr>
      <w:b/>
      <w:i/>
      <w:szCs w:val="24"/>
    </w:rPr>
  </w:style>
  <w:style w:type="paragraph" w:customStyle="1" w:styleId="Objetacteprincipal">
    <w:name w:val="Objet acte principal"/>
    <w:basedOn w:val="Normal"/>
    <w:next w:val="Normal"/>
    <w:pPr>
      <w:spacing w:after="360"/>
      <w:jc w:val="center"/>
    </w:pPr>
    <w:rPr>
      <w:b/>
      <w:szCs w:val="24"/>
    </w:rPr>
  </w:style>
  <w:style w:type="character" w:customStyle="1" w:styleId="TypedudocumentChar">
    <w:name w:val="Type du document Char"/>
    <w:link w:val="Typedudocument"/>
    <w:rPr>
      <w:b/>
      <w:sz w:val="24"/>
      <w:szCs w:val="24"/>
      <w:lang w:eastAsia="en-US"/>
    </w:rPr>
  </w:style>
  <w:style w:type="paragraph" w:customStyle="1" w:styleId="Default">
    <w:name w:val="Default"/>
    <w:pPr>
      <w:autoSpaceDE w:val="0"/>
      <w:autoSpaceDN w:val="0"/>
      <w:adjustRightInd w:val="0"/>
    </w:pPr>
    <w:rPr>
      <w:color w:val="000000"/>
      <w:sz w:val="24"/>
      <w:szCs w:val="24"/>
    </w:rPr>
  </w:style>
  <w:style w:type="paragraph" w:customStyle="1" w:styleId="Disclaimer">
    <w:name w:val="Disclaimer"/>
    <w:basedOn w:val="Normal"/>
    <w:pPr>
      <w:spacing w:before="5280" w:after="5280"/>
    </w:pPr>
    <w:rPr>
      <w:bCs/>
      <w:szCs w:val="24"/>
      <w:lang w:eastAsia="de-DE"/>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table" w:styleId="TableGrid">
    <w:name w:val="Table Grid"/>
    <w:aliases w:val="Document Tabl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customStyle="1" w:styleId="ListParagraphChar">
    <w:name w:val="List Paragraph Char"/>
    <w:link w:val="ListParagraph"/>
    <w:uiPriority w:val="34"/>
    <w:rPr>
      <w:sz w:val="24"/>
      <w:lang w:eastAsia="en-US"/>
    </w:rPr>
  </w:style>
  <w:style w:type="table" w:styleId="LightList-Accent1">
    <w:name w:val="Light List Accent 1"/>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outputecli">
    <w:name w:val="outputecli"/>
  </w:style>
  <w:style w:type="character" w:customStyle="1" w:styleId="st">
    <w:name w:val="st"/>
  </w:style>
  <w:style w:type="character" w:customStyle="1" w:styleId="Text1Char">
    <w:name w:val="Text 1 Char"/>
    <w:link w:val="Text1"/>
    <w:rPr>
      <w:sz w:val="24"/>
      <w:lang w:eastAsia="en-US"/>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basedOn w:val="DefaultParagraphFont"/>
    <w:link w:val="Caption"/>
    <w:rPr>
      <w:b/>
      <w:sz w:val="24"/>
      <w:lang w:eastAsia="en-US"/>
    </w:rPr>
  </w:style>
  <w:style w:type="paragraph" w:customStyle="1" w:styleId="source">
    <w:name w:val="source"/>
    <w:basedOn w:val="Normal"/>
    <w:link w:val="sourceChar"/>
    <w:qFormat/>
    <w:pPr>
      <w:spacing w:after="120"/>
      <w:jc w:val="center"/>
    </w:pPr>
    <w:rPr>
      <w:rFonts w:ascii="Verdana" w:hAnsi="Verdana"/>
      <w:sz w:val="16"/>
      <w:szCs w:val="2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60" w:line="240" w:lineRule="exact"/>
    </w:pPr>
    <w:rPr>
      <w:rFonts w:ascii="Verdana" w:hAnsi="Verdana"/>
      <w:color w:val="000000"/>
      <w:sz w:val="22"/>
      <w:szCs w:val="24"/>
      <w:vertAlign w:val="superscript"/>
      <w:lang w:eastAsia="en-GB"/>
    </w:rPr>
  </w:style>
  <w:style w:type="character" w:customStyle="1" w:styleId="sourceChar">
    <w:name w:val="source Char"/>
    <w:link w:val="source"/>
    <w:rPr>
      <w:rFonts w:ascii="Verdana" w:hAnsi="Verdana"/>
      <w:sz w:val="16"/>
      <w:szCs w:val="24"/>
      <w:lang w:eastAsia="en-US"/>
    </w:rPr>
  </w:style>
  <w:style w:type="character" w:customStyle="1" w:styleId="BalloonTextChar1">
    <w:name w:val="Balloon Text Char1"/>
    <w:basedOn w:val="DefaultParagraphFont"/>
    <w:rPr>
      <w:rFonts w:ascii="Tahoma" w:hAnsi="Tahoma" w:cs="Tahoma"/>
      <w:sz w:val="16"/>
      <w:szCs w:val="16"/>
      <w:lang w:eastAsia="en-US"/>
    </w:rPr>
  </w:style>
  <w:style w:type="character" w:customStyle="1" w:styleId="Bulletpoint1Char">
    <w:name w:val="Bullet point1 Char"/>
    <w:link w:val="Bulletpoint1"/>
    <w:locked/>
    <w:rPr>
      <w:rFonts w:ascii="Verdana" w:hAnsi="Verdana"/>
      <w:lang w:eastAsia="en-US"/>
    </w:rPr>
  </w:style>
  <w:style w:type="paragraph" w:customStyle="1" w:styleId="Bulletpoint1">
    <w:name w:val="Bullet point1"/>
    <w:basedOn w:val="NormalIndent"/>
    <w:link w:val="Bulletpoint1Char"/>
    <w:qFormat/>
    <w:pPr>
      <w:spacing w:after="120"/>
      <w:ind w:left="0"/>
    </w:pPr>
    <w:rPr>
      <w:rFonts w:ascii="Verdana" w:hAnsi="Verdana"/>
      <w:sz w:val="20"/>
    </w:rPr>
  </w:style>
  <w:style w:type="paragraph" w:customStyle="1" w:styleId="bullet2">
    <w:name w:val="bullet 2"/>
    <w:basedOn w:val="Bulletpoint1"/>
    <w:qFormat/>
    <w:pPr>
      <w:numPr>
        <w:ilvl w:val="1"/>
      </w:numPr>
      <w:tabs>
        <w:tab w:val="num" w:pos="1200"/>
      </w:tabs>
      <w:ind w:left="1200" w:hanging="720"/>
    </w:pPr>
  </w:style>
  <w:style w:type="table" w:customStyle="1" w:styleId="DocumentTable1">
    <w:name w:val="Document Table1"/>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table">
    <w:name w:val="table"/>
    <w:basedOn w:val="Normal"/>
    <w:qFormat/>
    <w:pPr>
      <w:spacing w:before="120" w:after="120" w:line="276" w:lineRule="auto"/>
      <w:contextualSpacing/>
      <w:jc w:val="left"/>
    </w:pPr>
    <w:rPr>
      <w:rFonts w:ascii="EYInterstate Light" w:hAnsi="EYInterstate Light"/>
      <w:sz w:val="18"/>
      <w:szCs w:val="18"/>
      <w:lang w:val="en-US"/>
    </w:rPr>
  </w:style>
  <w:style w:type="table" w:customStyle="1" w:styleId="TableforEC1">
    <w:name w:val="Table for EC1"/>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ngsuhChe" w:hAnsi="GungsuhChe"/>
      </w:rPr>
      <w:tblPr/>
      <w:tcPr>
        <w:shd w:val="clear" w:color="auto" w:fill="000099"/>
      </w:tcPr>
    </w:tblStylePr>
  </w:style>
  <w:style w:type="table" w:customStyle="1" w:styleId="TableforEC3">
    <w:name w:val="Table for EC3"/>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ngsuhChe" w:hAnsi="GungsuhChe"/>
      </w:rPr>
      <w:tblPr/>
      <w:tcPr>
        <w:shd w:val="clear" w:color="auto" w:fill="000099"/>
      </w:tcPr>
    </w:tblStylePr>
  </w:style>
  <w:style w:type="paragraph" w:customStyle="1" w:styleId="BulletNormal">
    <w:name w:val="Bullet Normal"/>
    <w:basedOn w:val="Bulletpoint1"/>
    <w:link w:val="BulletNormalChar"/>
    <w:qFormat/>
    <w:pPr>
      <w:numPr>
        <w:numId w:val="30"/>
      </w:numPr>
      <w:ind w:left="907" w:hanging="340"/>
    </w:pPr>
    <w:rPr>
      <w:rFonts w:eastAsiaTheme="minorHAnsi" w:cstheme="minorBidi"/>
      <w:szCs w:val="22"/>
      <w:lang w:val="it-IT"/>
    </w:rPr>
  </w:style>
  <w:style w:type="character" w:customStyle="1" w:styleId="BulletNormalChar">
    <w:name w:val="Bullet Normal Char"/>
    <w:basedOn w:val="Bulletpoint1Char"/>
    <w:link w:val="BulletNormal"/>
    <w:rPr>
      <w:rFonts w:ascii="Verdana" w:eastAsiaTheme="minorHAnsi" w:hAnsi="Verdana" w:cstheme="minorBidi"/>
      <w:szCs w:val="22"/>
      <w:lang w:val="it-IT" w:eastAsia="en-US"/>
    </w:rPr>
  </w:style>
  <w:style w:type="table" w:customStyle="1" w:styleId="TableforEC21">
    <w:name w:val="Table for EC21"/>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lim" w:hAnsi="@Gulim"/>
      </w:rPr>
      <w:tblPr/>
      <w:tcPr>
        <w:shd w:val="clear" w:color="auto" w:fill="000099"/>
      </w:tcPr>
    </w:tblStylePr>
  </w:style>
  <w:style w:type="table" w:customStyle="1" w:styleId="TableforEC22">
    <w:name w:val="Table for EC22"/>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lim" w:hAnsi="@Gulim"/>
      </w:rPr>
      <w:tblPr/>
      <w:tcPr>
        <w:shd w:val="clear" w:color="auto" w:fill="000099"/>
      </w:tcPr>
    </w:tblStylePr>
  </w:style>
  <w:style w:type="table" w:customStyle="1" w:styleId="TableforEC4">
    <w:name w:val="Table for EC4"/>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lim" w:hAnsi="@Gulim"/>
      </w:rPr>
      <w:tblPr/>
      <w:tcPr>
        <w:shd w:val="clear" w:color="auto" w:fill="000099"/>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forEC">
    <w:name w:val="Table for EC"/>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ngsuhChe" w:hAnsi="GungsuhChe"/>
      </w:rPr>
      <w:tblPr/>
      <w:tcPr>
        <w:shd w:val="clear" w:color="auto" w:fill="000099"/>
      </w:tcPr>
    </w:tblStylePr>
  </w:style>
  <w:style w:type="paragraph" w:customStyle="1" w:styleId="Sourcetablesandfigures">
    <w:name w:val="Source tables and figures"/>
    <w:basedOn w:val="Normal"/>
    <w:link w:val="SourcetablesandfiguresChar"/>
    <w:qFormat/>
    <w:pPr>
      <w:spacing w:after="120"/>
      <w:jc w:val="center"/>
    </w:pPr>
    <w:rPr>
      <w:rFonts w:ascii="Verdana" w:hAnsi="Verdana"/>
      <w:i/>
      <w:sz w:val="16"/>
      <w:szCs w:val="16"/>
    </w:rPr>
  </w:style>
  <w:style w:type="character" w:customStyle="1" w:styleId="SourcetablesandfiguresChar">
    <w:name w:val="Source tables and figures Char"/>
    <w:basedOn w:val="DefaultParagraphFont"/>
    <w:link w:val="Sourcetablesandfigures"/>
    <w:rPr>
      <w:rFonts w:ascii="Verdana" w:hAnsi="Verdana"/>
      <w:i/>
      <w:sz w:val="16"/>
      <w:szCs w:val="16"/>
      <w:lang w:eastAsia="en-US"/>
    </w:rPr>
  </w:style>
  <w:style w:type="paragraph" w:customStyle="1" w:styleId="Annex11">
    <w:name w:val="Annex 1.1"/>
    <w:basedOn w:val="Heading2"/>
    <w:link w:val="Annex11Char"/>
    <w:qFormat/>
    <w:pPr>
      <w:numPr>
        <w:ilvl w:val="0"/>
        <w:numId w:val="0"/>
      </w:numPr>
      <w:spacing w:before="240" w:after="80"/>
      <w:ind w:left="720" w:hanging="360"/>
    </w:pPr>
    <w:rPr>
      <w:rFonts w:ascii="Verdana" w:hAnsi="Verdana"/>
      <w:sz w:val="20"/>
    </w:rPr>
  </w:style>
  <w:style w:type="character" w:customStyle="1" w:styleId="Annex11Char">
    <w:name w:val="Annex 1.1 Char"/>
    <w:basedOn w:val="DefaultParagraphFont"/>
    <w:link w:val="Annex11"/>
    <w:rPr>
      <w:rFonts w:ascii="Verdana" w:hAnsi="Verdana"/>
      <w:b/>
      <w:szCs w:val="24"/>
      <w:lang w:eastAsia="en-US"/>
    </w:rPr>
  </w:style>
  <w:style w:type="table" w:customStyle="1" w:styleId="TableforEC5">
    <w:name w:val="Table for EC5"/>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lim" w:hAnsi="@Gulim"/>
      </w:rPr>
      <w:tblPr/>
      <w:tcPr>
        <w:shd w:val="clear" w:color="auto" w:fill="000099"/>
      </w:tcPr>
    </w:tblStylePr>
  </w:style>
  <w:style w:type="table" w:customStyle="1" w:styleId="TableforEC2">
    <w:name w:val="Table for EC2"/>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ngsuhChe" w:hAnsi="GungsuhChe"/>
      </w:rPr>
      <w:tblPr/>
      <w:tcPr>
        <w:shd w:val="clear" w:color="auto" w:fill="000099"/>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ite">
    <w:name w:val="HTML Cite"/>
    <w:basedOn w:val="DefaultParagraphFont"/>
    <w:uiPriority w:val="99"/>
    <w:semiHidden/>
    <w:unhideWhenUsed/>
    <w:rPr>
      <w:i/>
      <w:iCs/>
    </w:rPr>
  </w:style>
  <w:style w:type="table" w:customStyle="1" w:styleId="TableforEC41">
    <w:name w:val="Table for EC41"/>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lim" w:hAnsi="@Gulim"/>
      </w:rPr>
      <w:tblPr/>
      <w:tcPr>
        <w:shd w:val="clear" w:color="auto" w:fill="000099"/>
      </w:tcPr>
    </w:tblStylePr>
  </w:style>
  <w:style w:type="character" w:customStyle="1" w:styleId="Heading4Char">
    <w:name w:val="Heading 4 Char"/>
    <w:basedOn w:val="DefaultParagraphFont"/>
    <w:link w:val="Heading4"/>
    <w:rPr>
      <w:sz w:val="24"/>
      <w:lang w:eastAsia="en-US"/>
    </w:rPr>
  </w:style>
  <w:style w:type="table" w:customStyle="1" w:styleId="TableforEC42">
    <w:name w:val="Table for EC42"/>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lim" w:hAnsi="@Gulim"/>
      </w:rPr>
      <w:tblPr/>
      <w:tcPr>
        <w:shd w:val="clear" w:color="auto" w:fill="000099"/>
      </w:tcPr>
    </w:tblStylePr>
  </w:style>
  <w:style w:type="paragraph" w:customStyle="1" w:styleId="Body">
    <w:name w:val="Body"/>
    <w:basedOn w:val="Normal"/>
    <w:link w:val="BodyChar"/>
    <w:qFormat/>
    <w:pPr>
      <w:spacing w:before="120" w:after="120" w:line="276" w:lineRule="auto"/>
      <w:jc w:val="left"/>
    </w:pPr>
    <w:rPr>
      <w:rFonts w:ascii="Verdana" w:hAnsi="Verdana"/>
      <w:sz w:val="20"/>
    </w:rPr>
  </w:style>
  <w:style w:type="character" w:customStyle="1" w:styleId="BodyChar">
    <w:name w:val="Body Char"/>
    <w:link w:val="Body"/>
    <w:rPr>
      <w:rFonts w:ascii="Verdana" w:hAnsi="Verdana"/>
      <w:lang w:eastAsia="en-US"/>
    </w:rPr>
  </w:style>
  <w:style w:type="table" w:customStyle="1" w:styleId="DocumentTable2">
    <w:name w:val="Document Table2"/>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LightList1">
    <w:name w:val="Light List1"/>
    <w:basedOn w:val="TableNormal"/>
    <w:next w:val="LightList"/>
    <w:uiPriority w:val="61"/>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Pr>
      <w:b/>
    </w:rPr>
  </w:style>
  <w:style w:type="paragraph" w:styleId="Revision">
    <w:name w:val="Revision"/>
    <w:hidden/>
    <w:uiPriority w:val="99"/>
    <w:semiHidden/>
    <w:rPr>
      <w:sz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numPr>
        <w:ilvl w:val="1"/>
        <w:numId w:val="3"/>
      </w:numPr>
      <w:tabs>
        <w:tab w:val="clear" w:pos="1200"/>
        <w:tab w:val="num" w:pos="567"/>
      </w:tabs>
      <w:ind w:left="567" w:hanging="567"/>
      <w:outlineLvl w:val="1"/>
    </w:pPr>
    <w:rPr>
      <w:b/>
      <w:szCs w:val="24"/>
    </w:rPr>
  </w:style>
  <w:style w:type="paragraph" w:styleId="Heading3">
    <w:name w:val="heading 3"/>
    <w:basedOn w:val="Normal"/>
    <w:next w:val="Text3"/>
    <w:qFormat/>
    <w:pPr>
      <w:numPr>
        <w:ilvl w:val="2"/>
        <w:numId w:val="3"/>
      </w:numPr>
      <w:tabs>
        <w:tab w:val="clear" w:pos="720"/>
        <w:tab w:val="num" w:pos="567"/>
      </w:tabs>
      <w:ind w:left="567" w:hanging="567"/>
      <w:outlineLvl w:val="2"/>
    </w:pPr>
    <w:rPr>
      <w:i/>
      <w:szCs w:val="24"/>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rPr>
      <w:i/>
      <w:iCs/>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Char Char Char,Caption1 Char Char Char Char Char Char Char Char Tegn Tegn Tegn Tegn Tegn,Caption1 Char Char Char Char Char Char Char Char Tegn Tegn Tegn,Caption1 Char Char Char Char Char Char Char Char Tegn Tegn,Ch,Inscription,C,Figuroverskrift"/>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outlineLvl w:val="9"/>
    </w:pPr>
    <w:rPr>
      <w:b w:val="0"/>
    </w:rPr>
  </w:style>
  <w:style w:type="paragraph" w:customStyle="1" w:styleId="NumPar3">
    <w:name w:val="NumPar 3"/>
    <w:basedOn w:val="Heading3"/>
    <w:next w:val="Text3"/>
    <w:pPr>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Typedudocument">
    <w:name w:val="Type du document"/>
    <w:basedOn w:val="Normal"/>
    <w:next w:val="Normal"/>
    <w:link w:val="TypedudocumentChar"/>
    <w:pPr>
      <w:spacing w:before="360" w:after="0"/>
      <w:jc w:val="center"/>
    </w:pPr>
    <w:rPr>
      <w:b/>
      <w:szCs w:val="24"/>
    </w:rPr>
  </w:style>
  <w:style w:type="paragraph" w:customStyle="1" w:styleId="Accompagnant">
    <w:name w:val="Accompagnant"/>
    <w:basedOn w:val="Normal"/>
    <w:next w:val="Normal"/>
    <w:pPr>
      <w:jc w:val="center"/>
    </w:pPr>
    <w:rPr>
      <w:b/>
      <w:i/>
      <w:szCs w:val="24"/>
    </w:rPr>
  </w:style>
  <w:style w:type="paragraph" w:customStyle="1" w:styleId="Objetacteprincipal">
    <w:name w:val="Objet acte principal"/>
    <w:basedOn w:val="Normal"/>
    <w:next w:val="Normal"/>
    <w:pPr>
      <w:spacing w:after="360"/>
      <w:jc w:val="center"/>
    </w:pPr>
    <w:rPr>
      <w:b/>
      <w:szCs w:val="24"/>
    </w:rPr>
  </w:style>
  <w:style w:type="character" w:customStyle="1" w:styleId="TypedudocumentChar">
    <w:name w:val="Type du document Char"/>
    <w:link w:val="Typedudocument"/>
    <w:rPr>
      <w:b/>
      <w:sz w:val="24"/>
      <w:szCs w:val="24"/>
      <w:lang w:eastAsia="en-US"/>
    </w:rPr>
  </w:style>
  <w:style w:type="paragraph" w:customStyle="1" w:styleId="Default">
    <w:name w:val="Default"/>
    <w:pPr>
      <w:autoSpaceDE w:val="0"/>
      <w:autoSpaceDN w:val="0"/>
      <w:adjustRightInd w:val="0"/>
    </w:pPr>
    <w:rPr>
      <w:color w:val="000000"/>
      <w:sz w:val="24"/>
      <w:szCs w:val="24"/>
    </w:rPr>
  </w:style>
  <w:style w:type="paragraph" w:customStyle="1" w:styleId="Disclaimer">
    <w:name w:val="Disclaimer"/>
    <w:basedOn w:val="Normal"/>
    <w:pPr>
      <w:spacing w:before="5280" w:after="5280"/>
    </w:pPr>
    <w:rPr>
      <w:bCs/>
      <w:szCs w:val="24"/>
      <w:lang w:eastAsia="de-DE"/>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table" w:styleId="TableGrid">
    <w:name w:val="Table Grid"/>
    <w:aliases w:val="Document Table"/>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R,F"/>
    <w:link w:val="FootnotesymbolCarZchn"/>
    <w:uiPriority w:val="99"/>
    <w:qFormat/>
    <w:rPr>
      <w:vertAlign w:val="superscript"/>
    </w:rPr>
  </w:style>
  <w:style w:type="paragraph" w:styleId="NormalWeb">
    <w:name w:val="Normal (Web)"/>
    <w:basedOn w:val="Normal"/>
    <w:uiPriority w:val="99"/>
    <w:semiHidden/>
    <w:unhideWhenUsed/>
    <w:pPr>
      <w:spacing w:before="100" w:beforeAutospacing="1" w:after="100" w:afterAutospacing="1"/>
      <w:jc w:val="left"/>
    </w:pPr>
    <w:rPr>
      <w:szCs w:val="24"/>
      <w:lang w:eastAsia="en-GB"/>
    </w:r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vertAlign w:val="superscript"/>
      <w:lang w:eastAsia="en-GB"/>
    </w:rPr>
  </w:style>
  <w:style w:type="character" w:customStyle="1" w:styleId="ListParagraphChar">
    <w:name w:val="List Paragraph Char"/>
    <w:link w:val="ListParagraph"/>
    <w:uiPriority w:val="34"/>
    <w:rPr>
      <w:sz w:val="24"/>
      <w:lang w:eastAsia="en-US"/>
    </w:rPr>
  </w:style>
  <w:style w:type="table" w:styleId="LightList-Accent1">
    <w:name w:val="Light List Accent 1"/>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outputecli">
    <w:name w:val="outputecli"/>
  </w:style>
  <w:style w:type="character" w:customStyle="1" w:styleId="st">
    <w:name w:val="st"/>
  </w:style>
  <w:style w:type="character" w:customStyle="1" w:styleId="Text1Char">
    <w:name w:val="Text 1 Char"/>
    <w:link w:val="Text1"/>
    <w:rPr>
      <w:sz w:val="24"/>
      <w:lang w:eastAsia="en-US"/>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CaptionChar">
    <w:name w:val="Caption Char"/>
    <w:aliases w:val="Char Char Char Char,Caption1 Char Char Char Char Char Char Char Char Tegn Tegn Tegn Tegn Tegn Char,Caption1 Char Char Char Char Char Char Char Char Tegn Tegn Tegn Char,Caption1 Char Char Char Char Char Char Char Char Tegn Tegn Char,Ch Char"/>
    <w:basedOn w:val="DefaultParagraphFont"/>
    <w:link w:val="Caption"/>
    <w:rPr>
      <w:b/>
      <w:sz w:val="24"/>
      <w:lang w:eastAsia="en-US"/>
    </w:rPr>
  </w:style>
  <w:style w:type="paragraph" w:customStyle="1" w:styleId="source">
    <w:name w:val="source"/>
    <w:basedOn w:val="Normal"/>
    <w:link w:val="sourceChar"/>
    <w:qFormat/>
    <w:pPr>
      <w:spacing w:after="120"/>
      <w:jc w:val="center"/>
    </w:pPr>
    <w:rPr>
      <w:rFonts w:ascii="Verdana" w:hAnsi="Verdana"/>
      <w:sz w:val="16"/>
      <w:szCs w:val="24"/>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60" w:line="240" w:lineRule="exact"/>
    </w:pPr>
    <w:rPr>
      <w:rFonts w:ascii="Verdana" w:hAnsi="Verdana"/>
      <w:color w:val="000000"/>
      <w:sz w:val="22"/>
      <w:szCs w:val="24"/>
      <w:vertAlign w:val="superscript"/>
      <w:lang w:eastAsia="en-GB"/>
    </w:rPr>
  </w:style>
  <w:style w:type="character" w:customStyle="1" w:styleId="sourceChar">
    <w:name w:val="source Char"/>
    <w:link w:val="source"/>
    <w:rPr>
      <w:rFonts w:ascii="Verdana" w:hAnsi="Verdana"/>
      <w:sz w:val="16"/>
      <w:szCs w:val="24"/>
      <w:lang w:eastAsia="en-US"/>
    </w:rPr>
  </w:style>
  <w:style w:type="character" w:customStyle="1" w:styleId="BalloonTextChar1">
    <w:name w:val="Balloon Text Char1"/>
    <w:basedOn w:val="DefaultParagraphFont"/>
    <w:rPr>
      <w:rFonts w:ascii="Tahoma" w:hAnsi="Tahoma" w:cs="Tahoma"/>
      <w:sz w:val="16"/>
      <w:szCs w:val="16"/>
      <w:lang w:eastAsia="en-US"/>
    </w:rPr>
  </w:style>
  <w:style w:type="character" w:customStyle="1" w:styleId="Bulletpoint1Char">
    <w:name w:val="Bullet point1 Char"/>
    <w:link w:val="Bulletpoint1"/>
    <w:locked/>
    <w:rPr>
      <w:rFonts w:ascii="Verdana" w:hAnsi="Verdana"/>
      <w:lang w:eastAsia="en-US"/>
    </w:rPr>
  </w:style>
  <w:style w:type="paragraph" w:customStyle="1" w:styleId="Bulletpoint1">
    <w:name w:val="Bullet point1"/>
    <w:basedOn w:val="NormalIndent"/>
    <w:link w:val="Bulletpoint1Char"/>
    <w:qFormat/>
    <w:pPr>
      <w:spacing w:after="120"/>
      <w:ind w:left="0"/>
    </w:pPr>
    <w:rPr>
      <w:rFonts w:ascii="Verdana" w:hAnsi="Verdana"/>
      <w:sz w:val="20"/>
    </w:rPr>
  </w:style>
  <w:style w:type="paragraph" w:customStyle="1" w:styleId="bullet2">
    <w:name w:val="bullet 2"/>
    <w:basedOn w:val="Bulletpoint1"/>
    <w:qFormat/>
    <w:pPr>
      <w:numPr>
        <w:ilvl w:val="1"/>
      </w:numPr>
      <w:tabs>
        <w:tab w:val="num" w:pos="1200"/>
      </w:tabs>
      <w:ind w:left="1200" w:hanging="720"/>
    </w:pPr>
  </w:style>
  <w:style w:type="table" w:customStyle="1" w:styleId="DocumentTable1">
    <w:name w:val="Document Table1"/>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table">
    <w:name w:val="table"/>
    <w:basedOn w:val="Normal"/>
    <w:qFormat/>
    <w:pPr>
      <w:spacing w:before="120" w:after="120" w:line="276" w:lineRule="auto"/>
      <w:contextualSpacing/>
      <w:jc w:val="left"/>
    </w:pPr>
    <w:rPr>
      <w:rFonts w:ascii="EYInterstate Light" w:hAnsi="EYInterstate Light"/>
      <w:sz w:val="18"/>
      <w:szCs w:val="18"/>
      <w:lang w:val="en-US"/>
    </w:rPr>
  </w:style>
  <w:style w:type="table" w:customStyle="1" w:styleId="TableforEC1">
    <w:name w:val="Table for EC1"/>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ngsuhChe" w:hAnsi="GungsuhChe"/>
      </w:rPr>
      <w:tblPr/>
      <w:tcPr>
        <w:shd w:val="clear" w:color="auto" w:fill="000099"/>
      </w:tcPr>
    </w:tblStylePr>
  </w:style>
  <w:style w:type="table" w:customStyle="1" w:styleId="TableforEC3">
    <w:name w:val="Table for EC3"/>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ngsuhChe" w:hAnsi="GungsuhChe"/>
      </w:rPr>
      <w:tblPr/>
      <w:tcPr>
        <w:shd w:val="clear" w:color="auto" w:fill="000099"/>
      </w:tcPr>
    </w:tblStylePr>
  </w:style>
  <w:style w:type="paragraph" w:customStyle="1" w:styleId="BulletNormal">
    <w:name w:val="Bullet Normal"/>
    <w:basedOn w:val="Bulletpoint1"/>
    <w:link w:val="BulletNormalChar"/>
    <w:qFormat/>
    <w:pPr>
      <w:numPr>
        <w:numId w:val="30"/>
      </w:numPr>
      <w:ind w:left="907" w:hanging="340"/>
    </w:pPr>
    <w:rPr>
      <w:rFonts w:eastAsiaTheme="minorHAnsi" w:cstheme="minorBidi"/>
      <w:szCs w:val="22"/>
      <w:lang w:val="it-IT"/>
    </w:rPr>
  </w:style>
  <w:style w:type="character" w:customStyle="1" w:styleId="BulletNormalChar">
    <w:name w:val="Bullet Normal Char"/>
    <w:basedOn w:val="Bulletpoint1Char"/>
    <w:link w:val="BulletNormal"/>
    <w:rPr>
      <w:rFonts w:ascii="Verdana" w:eastAsiaTheme="minorHAnsi" w:hAnsi="Verdana" w:cstheme="minorBidi"/>
      <w:szCs w:val="22"/>
      <w:lang w:val="it-IT" w:eastAsia="en-US"/>
    </w:rPr>
  </w:style>
  <w:style w:type="table" w:customStyle="1" w:styleId="TableforEC21">
    <w:name w:val="Table for EC21"/>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lim" w:hAnsi="@Gulim"/>
      </w:rPr>
      <w:tblPr/>
      <w:tcPr>
        <w:shd w:val="clear" w:color="auto" w:fill="000099"/>
      </w:tcPr>
    </w:tblStylePr>
  </w:style>
  <w:style w:type="table" w:customStyle="1" w:styleId="TableforEC22">
    <w:name w:val="Table for EC22"/>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lim" w:hAnsi="@Gulim"/>
      </w:rPr>
      <w:tblPr/>
      <w:tcPr>
        <w:shd w:val="clear" w:color="auto" w:fill="000099"/>
      </w:tcPr>
    </w:tblStylePr>
  </w:style>
  <w:style w:type="table" w:customStyle="1" w:styleId="TableforEC4">
    <w:name w:val="Table for EC4"/>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lim" w:hAnsi="@Gulim"/>
      </w:rPr>
      <w:tblPr/>
      <w:tcPr>
        <w:shd w:val="clear" w:color="auto" w:fill="000099"/>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forEC">
    <w:name w:val="Table for EC"/>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ngsuhChe" w:hAnsi="GungsuhChe"/>
      </w:rPr>
      <w:tblPr/>
      <w:tcPr>
        <w:shd w:val="clear" w:color="auto" w:fill="000099"/>
      </w:tcPr>
    </w:tblStylePr>
  </w:style>
  <w:style w:type="paragraph" w:customStyle="1" w:styleId="Sourcetablesandfigures">
    <w:name w:val="Source tables and figures"/>
    <w:basedOn w:val="Normal"/>
    <w:link w:val="SourcetablesandfiguresChar"/>
    <w:qFormat/>
    <w:pPr>
      <w:spacing w:after="120"/>
      <w:jc w:val="center"/>
    </w:pPr>
    <w:rPr>
      <w:rFonts w:ascii="Verdana" w:hAnsi="Verdana"/>
      <w:i/>
      <w:sz w:val="16"/>
      <w:szCs w:val="16"/>
    </w:rPr>
  </w:style>
  <w:style w:type="character" w:customStyle="1" w:styleId="SourcetablesandfiguresChar">
    <w:name w:val="Source tables and figures Char"/>
    <w:basedOn w:val="DefaultParagraphFont"/>
    <w:link w:val="Sourcetablesandfigures"/>
    <w:rPr>
      <w:rFonts w:ascii="Verdana" w:hAnsi="Verdana"/>
      <w:i/>
      <w:sz w:val="16"/>
      <w:szCs w:val="16"/>
      <w:lang w:eastAsia="en-US"/>
    </w:rPr>
  </w:style>
  <w:style w:type="paragraph" w:customStyle="1" w:styleId="Annex11">
    <w:name w:val="Annex 1.1"/>
    <w:basedOn w:val="Heading2"/>
    <w:link w:val="Annex11Char"/>
    <w:qFormat/>
    <w:pPr>
      <w:numPr>
        <w:ilvl w:val="0"/>
        <w:numId w:val="0"/>
      </w:numPr>
      <w:spacing w:before="240" w:after="80"/>
      <w:ind w:left="720" w:hanging="360"/>
    </w:pPr>
    <w:rPr>
      <w:rFonts w:ascii="Verdana" w:hAnsi="Verdana"/>
      <w:sz w:val="20"/>
    </w:rPr>
  </w:style>
  <w:style w:type="character" w:customStyle="1" w:styleId="Annex11Char">
    <w:name w:val="Annex 1.1 Char"/>
    <w:basedOn w:val="DefaultParagraphFont"/>
    <w:link w:val="Annex11"/>
    <w:rPr>
      <w:rFonts w:ascii="Verdana" w:hAnsi="Verdana"/>
      <w:b/>
      <w:szCs w:val="24"/>
      <w:lang w:eastAsia="en-US"/>
    </w:rPr>
  </w:style>
  <w:style w:type="table" w:customStyle="1" w:styleId="TableforEC5">
    <w:name w:val="Table for EC5"/>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lim" w:hAnsi="@Gulim"/>
      </w:rPr>
      <w:tblPr/>
      <w:tcPr>
        <w:shd w:val="clear" w:color="auto" w:fill="000099"/>
      </w:tcPr>
    </w:tblStylePr>
  </w:style>
  <w:style w:type="table" w:customStyle="1" w:styleId="TableforEC2">
    <w:name w:val="Table for EC2"/>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ngsuhChe" w:hAnsi="GungsuhChe"/>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ngsuhChe" w:hAnsi="GungsuhChe"/>
      </w:rPr>
      <w:tblPr/>
      <w:tcPr>
        <w:shd w:val="clear" w:color="auto" w:fill="000099"/>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ite">
    <w:name w:val="HTML Cite"/>
    <w:basedOn w:val="DefaultParagraphFont"/>
    <w:uiPriority w:val="99"/>
    <w:semiHidden/>
    <w:unhideWhenUsed/>
    <w:rPr>
      <w:i/>
      <w:iCs/>
    </w:rPr>
  </w:style>
  <w:style w:type="table" w:customStyle="1" w:styleId="TableforEC41">
    <w:name w:val="Table for EC41"/>
    <w:basedOn w:val="TableNormal"/>
    <w:rPr>
      <w:rFonts w:ascii="Verdana" w:hAnsi="Verdana"/>
      <w:sz w:val="16"/>
      <w:szCs w:val="16"/>
      <w:lang w:val="fr-FR" w:eastAsia="fr-FR"/>
    </w:rPr>
    <w:tblPr>
      <w:tblStyleRowBandSize w:val="1"/>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hemeFill="background1" w:themeFillShade="F2"/>
      </w:tcPr>
    </w:tblStylePr>
    <w:tblStylePr w:type="nwCell">
      <w:pPr>
        <w:wordWrap/>
        <w:spacing w:line="240" w:lineRule="auto"/>
      </w:pPr>
      <w:rPr>
        <w:rFonts w:ascii="@Gulim" w:hAnsi="@Gulim"/>
      </w:rPr>
      <w:tblPr/>
      <w:tcPr>
        <w:shd w:val="clear" w:color="auto" w:fill="000099"/>
      </w:tcPr>
    </w:tblStylePr>
  </w:style>
  <w:style w:type="character" w:customStyle="1" w:styleId="Heading4Char">
    <w:name w:val="Heading 4 Char"/>
    <w:basedOn w:val="DefaultParagraphFont"/>
    <w:link w:val="Heading4"/>
    <w:rPr>
      <w:sz w:val="24"/>
      <w:lang w:eastAsia="en-US"/>
    </w:rPr>
  </w:style>
  <w:style w:type="table" w:customStyle="1" w:styleId="TableforEC42">
    <w:name w:val="Table for EC42"/>
    <w:basedOn w:val="TableNormal"/>
    <w:rPr>
      <w:rFonts w:ascii="Verdana" w:hAnsi="Verdana"/>
      <w:sz w:val="16"/>
      <w:szCs w:val="16"/>
      <w:lang w:val="fr-FR" w:eastAsia="fr-FR"/>
    </w:rPr>
    <w:tblPr>
      <w:tblStyleRowBandSize w:val="1"/>
      <w:tblBorders>
        <w:top w:val="single" w:sz="2" w:space="0" w:color="D9D9D9"/>
        <w:bottom w:val="single" w:sz="2" w:space="0" w:color="D9D9D9"/>
        <w:insideH w:val="single" w:sz="2" w:space="0" w:color="D9D9D9"/>
      </w:tblBorders>
      <w:tblCellMar>
        <w:top w:w="85" w:type="dxa"/>
      </w:tblCellMar>
    </w:tblPr>
    <w:tcPr>
      <w:shd w:val="clear" w:color="auto" w:fill="auto"/>
    </w:tcPr>
    <w:tblStylePr w:type="firstRow">
      <w:pPr>
        <w:wordWrap/>
        <w:spacing w:line="240" w:lineRule="auto"/>
      </w:pPr>
      <w:rPr>
        <w:rFonts w:ascii="@Gulim" w:hAnsi="@Gulim"/>
        <w:b w:val="0"/>
        <w:bCs/>
        <w:color w:val="auto"/>
        <w:sz w:val="16"/>
      </w:rPr>
      <w:tblPr/>
      <w:trPr>
        <w:tblHeader/>
      </w:trPr>
      <w:tcPr>
        <w:shd w:val="clear" w:color="auto" w:fill="000099"/>
      </w:tcPr>
    </w:tblStylePr>
    <w:tblStylePr w:type="band1Horz">
      <w:tblPr/>
      <w:tcPr>
        <w:shd w:val="clear" w:color="auto" w:fill="F2F2F2"/>
      </w:tcPr>
    </w:tblStylePr>
    <w:tblStylePr w:type="nwCell">
      <w:pPr>
        <w:wordWrap/>
        <w:spacing w:line="240" w:lineRule="auto"/>
      </w:pPr>
      <w:rPr>
        <w:rFonts w:ascii="@Gulim" w:hAnsi="@Gulim"/>
      </w:rPr>
      <w:tblPr/>
      <w:tcPr>
        <w:shd w:val="clear" w:color="auto" w:fill="000099"/>
      </w:tcPr>
    </w:tblStylePr>
  </w:style>
  <w:style w:type="paragraph" w:customStyle="1" w:styleId="Body">
    <w:name w:val="Body"/>
    <w:basedOn w:val="Normal"/>
    <w:link w:val="BodyChar"/>
    <w:qFormat/>
    <w:pPr>
      <w:spacing w:before="120" w:after="120" w:line="276" w:lineRule="auto"/>
      <w:jc w:val="left"/>
    </w:pPr>
    <w:rPr>
      <w:rFonts w:ascii="Verdana" w:hAnsi="Verdana"/>
      <w:sz w:val="20"/>
    </w:rPr>
  </w:style>
  <w:style w:type="character" w:customStyle="1" w:styleId="BodyChar">
    <w:name w:val="Body Char"/>
    <w:link w:val="Body"/>
    <w:rPr>
      <w:rFonts w:ascii="Verdana" w:hAnsi="Verdana"/>
      <w:lang w:eastAsia="en-US"/>
    </w:rPr>
  </w:style>
  <w:style w:type="table" w:customStyle="1" w:styleId="DocumentTable2">
    <w:name w:val="Document Table2"/>
    <w:basedOn w:val="TableNormal"/>
    <w:next w:val="TableGrid"/>
    <w:rPr>
      <w:rFonts w:ascii="Verdana" w:hAnsi="Verdana"/>
      <w:sz w:val="18"/>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LightList1">
    <w:name w:val="Light List1"/>
    <w:basedOn w:val="TableNormal"/>
    <w:next w:val="LightList"/>
    <w:uiPriority w:val="61"/>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Pr>
      <w:b/>
    </w:rPr>
  </w:style>
  <w:style w:type="paragraph" w:styleId="Revision">
    <w:name w:val="Revision"/>
    <w:hidden/>
    <w:uiPriority w:val="99"/>
    <w:semiHidden/>
    <w:rPr>
      <w:sz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9783">
      <w:bodyDiv w:val="1"/>
      <w:marLeft w:val="0"/>
      <w:marRight w:val="0"/>
      <w:marTop w:val="0"/>
      <w:marBottom w:val="0"/>
      <w:divBdr>
        <w:top w:val="none" w:sz="0" w:space="0" w:color="auto"/>
        <w:left w:val="none" w:sz="0" w:space="0" w:color="auto"/>
        <w:bottom w:val="none" w:sz="0" w:space="0" w:color="auto"/>
        <w:right w:val="none" w:sz="0" w:space="0" w:color="auto"/>
      </w:divBdr>
    </w:div>
    <w:div w:id="313921593">
      <w:bodyDiv w:val="1"/>
      <w:marLeft w:val="0"/>
      <w:marRight w:val="0"/>
      <w:marTop w:val="0"/>
      <w:marBottom w:val="0"/>
      <w:divBdr>
        <w:top w:val="none" w:sz="0" w:space="0" w:color="auto"/>
        <w:left w:val="none" w:sz="0" w:space="0" w:color="auto"/>
        <w:bottom w:val="none" w:sz="0" w:space="0" w:color="auto"/>
        <w:right w:val="none" w:sz="0" w:space="0" w:color="auto"/>
      </w:divBdr>
    </w:div>
    <w:div w:id="376853565">
      <w:bodyDiv w:val="1"/>
      <w:marLeft w:val="0"/>
      <w:marRight w:val="0"/>
      <w:marTop w:val="0"/>
      <w:marBottom w:val="0"/>
      <w:divBdr>
        <w:top w:val="none" w:sz="0" w:space="0" w:color="auto"/>
        <w:left w:val="none" w:sz="0" w:space="0" w:color="auto"/>
        <w:bottom w:val="none" w:sz="0" w:space="0" w:color="auto"/>
        <w:right w:val="none" w:sz="0" w:space="0" w:color="auto"/>
      </w:divBdr>
    </w:div>
    <w:div w:id="480392835">
      <w:bodyDiv w:val="1"/>
      <w:marLeft w:val="0"/>
      <w:marRight w:val="0"/>
      <w:marTop w:val="0"/>
      <w:marBottom w:val="0"/>
      <w:divBdr>
        <w:top w:val="none" w:sz="0" w:space="0" w:color="auto"/>
        <w:left w:val="none" w:sz="0" w:space="0" w:color="auto"/>
        <w:bottom w:val="none" w:sz="0" w:space="0" w:color="auto"/>
        <w:right w:val="none" w:sz="0" w:space="0" w:color="auto"/>
      </w:divBdr>
    </w:div>
    <w:div w:id="486677161">
      <w:bodyDiv w:val="1"/>
      <w:marLeft w:val="0"/>
      <w:marRight w:val="0"/>
      <w:marTop w:val="0"/>
      <w:marBottom w:val="0"/>
      <w:divBdr>
        <w:top w:val="none" w:sz="0" w:space="0" w:color="auto"/>
        <w:left w:val="none" w:sz="0" w:space="0" w:color="auto"/>
        <w:bottom w:val="none" w:sz="0" w:space="0" w:color="auto"/>
        <w:right w:val="none" w:sz="0" w:space="0" w:color="auto"/>
      </w:divBdr>
      <w:divsChild>
        <w:div w:id="379600664">
          <w:marLeft w:val="0"/>
          <w:marRight w:val="0"/>
          <w:marTop w:val="0"/>
          <w:marBottom w:val="0"/>
          <w:divBdr>
            <w:top w:val="none" w:sz="0" w:space="0" w:color="auto"/>
            <w:left w:val="none" w:sz="0" w:space="0" w:color="auto"/>
            <w:bottom w:val="none" w:sz="0" w:space="0" w:color="auto"/>
            <w:right w:val="none" w:sz="0" w:space="0" w:color="auto"/>
          </w:divBdr>
          <w:divsChild>
            <w:div w:id="2131046504">
              <w:marLeft w:val="0"/>
              <w:marRight w:val="0"/>
              <w:marTop w:val="0"/>
              <w:marBottom w:val="0"/>
              <w:divBdr>
                <w:top w:val="none" w:sz="0" w:space="0" w:color="auto"/>
                <w:left w:val="none" w:sz="0" w:space="0" w:color="auto"/>
                <w:bottom w:val="none" w:sz="0" w:space="0" w:color="auto"/>
                <w:right w:val="none" w:sz="0" w:space="0" w:color="auto"/>
              </w:divBdr>
              <w:divsChild>
                <w:div w:id="1044405828">
                  <w:marLeft w:val="0"/>
                  <w:marRight w:val="0"/>
                  <w:marTop w:val="0"/>
                  <w:marBottom w:val="0"/>
                  <w:divBdr>
                    <w:top w:val="none" w:sz="0" w:space="0" w:color="auto"/>
                    <w:left w:val="none" w:sz="0" w:space="0" w:color="auto"/>
                    <w:bottom w:val="none" w:sz="0" w:space="0" w:color="auto"/>
                    <w:right w:val="none" w:sz="0" w:space="0" w:color="auto"/>
                  </w:divBdr>
                  <w:divsChild>
                    <w:div w:id="729693253">
                      <w:marLeft w:val="0"/>
                      <w:marRight w:val="0"/>
                      <w:marTop w:val="0"/>
                      <w:marBottom w:val="0"/>
                      <w:divBdr>
                        <w:top w:val="none" w:sz="0" w:space="0" w:color="auto"/>
                        <w:left w:val="none" w:sz="0" w:space="0" w:color="auto"/>
                        <w:bottom w:val="none" w:sz="0" w:space="0" w:color="auto"/>
                        <w:right w:val="none" w:sz="0" w:space="0" w:color="auto"/>
                      </w:divBdr>
                      <w:divsChild>
                        <w:div w:id="1225486712">
                          <w:marLeft w:val="0"/>
                          <w:marRight w:val="0"/>
                          <w:marTop w:val="0"/>
                          <w:marBottom w:val="0"/>
                          <w:divBdr>
                            <w:top w:val="none" w:sz="0" w:space="0" w:color="auto"/>
                            <w:left w:val="none" w:sz="0" w:space="0" w:color="auto"/>
                            <w:bottom w:val="none" w:sz="0" w:space="0" w:color="auto"/>
                            <w:right w:val="none" w:sz="0" w:space="0" w:color="auto"/>
                          </w:divBdr>
                          <w:divsChild>
                            <w:div w:id="963078133">
                              <w:marLeft w:val="0"/>
                              <w:marRight w:val="0"/>
                              <w:marTop w:val="0"/>
                              <w:marBottom w:val="0"/>
                              <w:divBdr>
                                <w:top w:val="none" w:sz="0" w:space="0" w:color="auto"/>
                                <w:left w:val="none" w:sz="0" w:space="0" w:color="auto"/>
                                <w:bottom w:val="none" w:sz="0" w:space="0" w:color="auto"/>
                                <w:right w:val="none" w:sz="0" w:space="0" w:color="auto"/>
                              </w:divBdr>
                              <w:divsChild>
                                <w:div w:id="352146890">
                                  <w:marLeft w:val="0"/>
                                  <w:marRight w:val="0"/>
                                  <w:marTop w:val="0"/>
                                  <w:marBottom w:val="0"/>
                                  <w:divBdr>
                                    <w:top w:val="none" w:sz="0" w:space="0" w:color="auto"/>
                                    <w:left w:val="none" w:sz="0" w:space="0" w:color="auto"/>
                                    <w:bottom w:val="none" w:sz="0" w:space="0" w:color="auto"/>
                                    <w:right w:val="none" w:sz="0" w:space="0" w:color="auto"/>
                                  </w:divBdr>
                                  <w:divsChild>
                                    <w:div w:id="703483580">
                                      <w:marLeft w:val="0"/>
                                      <w:marRight w:val="0"/>
                                      <w:marTop w:val="0"/>
                                      <w:marBottom w:val="0"/>
                                      <w:divBdr>
                                        <w:top w:val="none" w:sz="0" w:space="0" w:color="auto"/>
                                        <w:left w:val="none" w:sz="0" w:space="0" w:color="auto"/>
                                        <w:bottom w:val="none" w:sz="0" w:space="0" w:color="auto"/>
                                        <w:right w:val="none" w:sz="0" w:space="0" w:color="auto"/>
                                      </w:divBdr>
                                      <w:divsChild>
                                        <w:div w:id="519974266">
                                          <w:marLeft w:val="0"/>
                                          <w:marRight w:val="0"/>
                                          <w:marTop w:val="0"/>
                                          <w:marBottom w:val="0"/>
                                          <w:divBdr>
                                            <w:top w:val="none" w:sz="0" w:space="0" w:color="auto"/>
                                            <w:left w:val="none" w:sz="0" w:space="0" w:color="auto"/>
                                            <w:bottom w:val="none" w:sz="0" w:space="0" w:color="auto"/>
                                            <w:right w:val="none" w:sz="0" w:space="0" w:color="auto"/>
                                          </w:divBdr>
                                          <w:divsChild>
                                            <w:div w:id="1607153695">
                                              <w:marLeft w:val="0"/>
                                              <w:marRight w:val="0"/>
                                              <w:marTop w:val="0"/>
                                              <w:marBottom w:val="0"/>
                                              <w:divBdr>
                                                <w:top w:val="none" w:sz="0" w:space="0" w:color="auto"/>
                                                <w:left w:val="none" w:sz="0" w:space="0" w:color="auto"/>
                                                <w:bottom w:val="none" w:sz="0" w:space="0" w:color="auto"/>
                                                <w:right w:val="none" w:sz="0" w:space="0" w:color="auto"/>
                                              </w:divBdr>
                                              <w:divsChild>
                                                <w:div w:id="1273785678">
                                                  <w:marLeft w:val="0"/>
                                                  <w:marRight w:val="0"/>
                                                  <w:marTop w:val="0"/>
                                                  <w:marBottom w:val="0"/>
                                                  <w:divBdr>
                                                    <w:top w:val="none" w:sz="0" w:space="0" w:color="auto"/>
                                                    <w:left w:val="none" w:sz="0" w:space="0" w:color="auto"/>
                                                    <w:bottom w:val="none" w:sz="0" w:space="0" w:color="auto"/>
                                                    <w:right w:val="none" w:sz="0" w:space="0" w:color="auto"/>
                                                  </w:divBdr>
                                                  <w:divsChild>
                                                    <w:div w:id="1423529959">
                                                      <w:marLeft w:val="0"/>
                                                      <w:marRight w:val="0"/>
                                                      <w:marTop w:val="0"/>
                                                      <w:marBottom w:val="0"/>
                                                      <w:divBdr>
                                                        <w:top w:val="none" w:sz="0" w:space="0" w:color="auto"/>
                                                        <w:left w:val="none" w:sz="0" w:space="0" w:color="auto"/>
                                                        <w:bottom w:val="none" w:sz="0" w:space="0" w:color="auto"/>
                                                        <w:right w:val="none" w:sz="0" w:space="0" w:color="auto"/>
                                                      </w:divBdr>
                                                      <w:divsChild>
                                                        <w:div w:id="332494842">
                                                          <w:marLeft w:val="0"/>
                                                          <w:marRight w:val="0"/>
                                                          <w:marTop w:val="0"/>
                                                          <w:marBottom w:val="0"/>
                                                          <w:divBdr>
                                                            <w:top w:val="none" w:sz="0" w:space="0" w:color="auto"/>
                                                            <w:left w:val="none" w:sz="0" w:space="0" w:color="auto"/>
                                                            <w:bottom w:val="none" w:sz="0" w:space="0" w:color="auto"/>
                                                            <w:right w:val="none" w:sz="0" w:space="0" w:color="auto"/>
                                                          </w:divBdr>
                                                          <w:divsChild>
                                                            <w:div w:id="12214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9791942">
      <w:bodyDiv w:val="1"/>
      <w:marLeft w:val="0"/>
      <w:marRight w:val="0"/>
      <w:marTop w:val="0"/>
      <w:marBottom w:val="0"/>
      <w:divBdr>
        <w:top w:val="none" w:sz="0" w:space="0" w:color="auto"/>
        <w:left w:val="none" w:sz="0" w:space="0" w:color="auto"/>
        <w:bottom w:val="none" w:sz="0" w:space="0" w:color="auto"/>
        <w:right w:val="none" w:sz="0" w:space="0" w:color="auto"/>
      </w:divBdr>
    </w:div>
    <w:div w:id="838421695">
      <w:bodyDiv w:val="1"/>
      <w:marLeft w:val="0"/>
      <w:marRight w:val="0"/>
      <w:marTop w:val="0"/>
      <w:marBottom w:val="0"/>
      <w:divBdr>
        <w:top w:val="none" w:sz="0" w:space="0" w:color="auto"/>
        <w:left w:val="none" w:sz="0" w:space="0" w:color="auto"/>
        <w:bottom w:val="none" w:sz="0" w:space="0" w:color="auto"/>
        <w:right w:val="none" w:sz="0" w:space="0" w:color="auto"/>
      </w:divBdr>
    </w:div>
    <w:div w:id="891893291">
      <w:bodyDiv w:val="1"/>
      <w:marLeft w:val="0"/>
      <w:marRight w:val="0"/>
      <w:marTop w:val="0"/>
      <w:marBottom w:val="0"/>
      <w:divBdr>
        <w:top w:val="none" w:sz="0" w:space="0" w:color="auto"/>
        <w:left w:val="none" w:sz="0" w:space="0" w:color="auto"/>
        <w:bottom w:val="none" w:sz="0" w:space="0" w:color="auto"/>
        <w:right w:val="none" w:sz="0" w:space="0" w:color="auto"/>
      </w:divBdr>
      <w:divsChild>
        <w:div w:id="1321082880">
          <w:marLeft w:val="0"/>
          <w:marRight w:val="0"/>
          <w:marTop w:val="0"/>
          <w:marBottom w:val="0"/>
          <w:divBdr>
            <w:top w:val="single" w:sz="6" w:space="0" w:color="666666"/>
            <w:left w:val="single" w:sz="6" w:space="0" w:color="666666"/>
            <w:bottom w:val="single" w:sz="6" w:space="0" w:color="666666"/>
            <w:right w:val="single" w:sz="6" w:space="0" w:color="666666"/>
          </w:divBdr>
          <w:divsChild>
            <w:div w:id="1603873030">
              <w:marLeft w:val="0"/>
              <w:marRight w:val="0"/>
              <w:marTop w:val="150"/>
              <w:marBottom w:val="0"/>
              <w:divBdr>
                <w:top w:val="none" w:sz="0" w:space="0" w:color="auto"/>
                <w:left w:val="none" w:sz="0" w:space="0" w:color="auto"/>
                <w:bottom w:val="none" w:sz="0" w:space="0" w:color="auto"/>
                <w:right w:val="none" w:sz="0" w:space="0" w:color="auto"/>
              </w:divBdr>
              <w:divsChild>
                <w:div w:id="1353265605">
                  <w:marLeft w:val="0"/>
                  <w:marRight w:val="0"/>
                  <w:marTop w:val="0"/>
                  <w:marBottom w:val="0"/>
                  <w:divBdr>
                    <w:top w:val="none" w:sz="0" w:space="0" w:color="auto"/>
                    <w:left w:val="none" w:sz="0" w:space="0" w:color="auto"/>
                    <w:bottom w:val="none" w:sz="0" w:space="0" w:color="auto"/>
                    <w:right w:val="none" w:sz="0" w:space="0" w:color="auto"/>
                  </w:divBdr>
                  <w:divsChild>
                    <w:div w:id="1761096046">
                      <w:marLeft w:val="0"/>
                      <w:marRight w:val="0"/>
                      <w:marTop w:val="0"/>
                      <w:marBottom w:val="0"/>
                      <w:divBdr>
                        <w:top w:val="none" w:sz="0" w:space="0" w:color="auto"/>
                        <w:left w:val="none" w:sz="0" w:space="0" w:color="auto"/>
                        <w:bottom w:val="none" w:sz="0" w:space="0" w:color="auto"/>
                        <w:right w:val="none" w:sz="0" w:space="0" w:color="auto"/>
                      </w:divBdr>
                      <w:divsChild>
                        <w:div w:id="1482622138">
                          <w:marLeft w:val="0"/>
                          <w:marRight w:val="0"/>
                          <w:marTop w:val="0"/>
                          <w:marBottom w:val="0"/>
                          <w:divBdr>
                            <w:top w:val="none" w:sz="0" w:space="0" w:color="auto"/>
                            <w:left w:val="none" w:sz="0" w:space="0" w:color="auto"/>
                            <w:bottom w:val="none" w:sz="0" w:space="0" w:color="auto"/>
                            <w:right w:val="none" w:sz="0" w:space="0" w:color="auto"/>
                          </w:divBdr>
                          <w:divsChild>
                            <w:div w:id="1900169523">
                              <w:marLeft w:val="0"/>
                              <w:marRight w:val="0"/>
                              <w:marTop w:val="0"/>
                              <w:marBottom w:val="0"/>
                              <w:divBdr>
                                <w:top w:val="none" w:sz="0" w:space="0" w:color="auto"/>
                                <w:left w:val="none" w:sz="0" w:space="0" w:color="auto"/>
                                <w:bottom w:val="none" w:sz="0" w:space="0" w:color="auto"/>
                                <w:right w:val="none" w:sz="0" w:space="0" w:color="auto"/>
                              </w:divBdr>
                              <w:divsChild>
                                <w:div w:id="1635520596">
                                  <w:marLeft w:val="0"/>
                                  <w:marRight w:val="0"/>
                                  <w:marTop w:val="0"/>
                                  <w:marBottom w:val="0"/>
                                  <w:divBdr>
                                    <w:top w:val="none" w:sz="0" w:space="0" w:color="auto"/>
                                    <w:left w:val="none" w:sz="0" w:space="0" w:color="auto"/>
                                    <w:bottom w:val="none" w:sz="0" w:space="0" w:color="auto"/>
                                    <w:right w:val="none" w:sz="0" w:space="0" w:color="auto"/>
                                  </w:divBdr>
                                  <w:divsChild>
                                    <w:div w:id="997683881">
                                      <w:marLeft w:val="0"/>
                                      <w:marRight w:val="0"/>
                                      <w:marTop w:val="0"/>
                                      <w:marBottom w:val="0"/>
                                      <w:divBdr>
                                        <w:top w:val="none" w:sz="0" w:space="0" w:color="auto"/>
                                        <w:left w:val="none" w:sz="0" w:space="0" w:color="auto"/>
                                        <w:bottom w:val="none" w:sz="0" w:space="0" w:color="auto"/>
                                        <w:right w:val="none" w:sz="0" w:space="0" w:color="auto"/>
                                      </w:divBdr>
                                      <w:divsChild>
                                        <w:div w:id="1733697329">
                                          <w:marLeft w:val="0"/>
                                          <w:marRight w:val="0"/>
                                          <w:marTop w:val="0"/>
                                          <w:marBottom w:val="0"/>
                                          <w:divBdr>
                                            <w:top w:val="none" w:sz="0" w:space="0" w:color="auto"/>
                                            <w:left w:val="none" w:sz="0" w:space="0" w:color="auto"/>
                                            <w:bottom w:val="none" w:sz="0" w:space="0" w:color="auto"/>
                                            <w:right w:val="none" w:sz="0" w:space="0" w:color="auto"/>
                                          </w:divBdr>
                                          <w:divsChild>
                                            <w:div w:id="960692233">
                                              <w:marLeft w:val="0"/>
                                              <w:marRight w:val="0"/>
                                              <w:marTop w:val="0"/>
                                              <w:marBottom w:val="0"/>
                                              <w:divBdr>
                                                <w:top w:val="none" w:sz="0" w:space="0" w:color="auto"/>
                                                <w:left w:val="none" w:sz="0" w:space="0" w:color="auto"/>
                                                <w:bottom w:val="none" w:sz="0" w:space="0" w:color="auto"/>
                                                <w:right w:val="none" w:sz="0" w:space="0" w:color="auto"/>
                                              </w:divBdr>
                                              <w:divsChild>
                                                <w:div w:id="712464792">
                                                  <w:marLeft w:val="0"/>
                                                  <w:marRight w:val="0"/>
                                                  <w:marTop w:val="0"/>
                                                  <w:marBottom w:val="0"/>
                                                  <w:divBdr>
                                                    <w:top w:val="none" w:sz="0" w:space="0" w:color="auto"/>
                                                    <w:left w:val="none" w:sz="0" w:space="0" w:color="auto"/>
                                                    <w:bottom w:val="none" w:sz="0" w:space="0" w:color="auto"/>
                                                    <w:right w:val="none" w:sz="0" w:space="0" w:color="auto"/>
                                                  </w:divBdr>
                                                  <w:divsChild>
                                                    <w:div w:id="1879854677">
                                                      <w:marLeft w:val="0"/>
                                                      <w:marRight w:val="0"/>
                                                      <w:marTop w:val="0"/>
                                                      <w:marBottom w:val="0"/>
                                                      <w:divBdr>
                                                        <w:top w:val="none" w:sz="0" w:space="0" w:color="auto"/>
                                                        <w:left w:val="none" w:sz="0" w:space="0" w:color="auto"/>
                                                        <w:bottom w:val="none" w:sz="0" w:space="0" w:color="auto"/>
                                                        <w:right w:val="none" w:sz="0" w:space="0" w:color="auto"/>
                                                      </w:divBdr>
                                                      <w:divsChild>
                                                        <w:div w:id="607157613">
                                                          <w:marLeft w:val="0"/>
                                                          <w:marRight w:val="0"/>
                                                          <w:marTop w:val="0"/>
                                                          <w:marBottom w:val="0"/>
                                                          <w:divBdr>
                                                            <w:top w:val="none" w:sz="0" w:space="0" w:color="auto"/>
                                                            <w:left w:val="none" w:sz="0" w:space="0" w:color="auto"/>
                                                            <w:bottom w:val="none" w:sz="0" w:space="0" w:color="auto"/>
                                                            <w:right w:val="none" w:sz="0" w:space="0" w:color="auto"/>
                                                          </w:divBdr>
                                                          <w:divsChild>
                                                            <w:div w:id="858930878">
                                                              <w:marLeft w:val="0"/>
                                                              <w:marRight w:val="0"/>
                                                              <w:marTop w:val="0"/>
                                                              <w:marBottom w:val="0"/>
                                                              <w:divBdr>
                                                                <w:top w:val="none" w:sz="0" w:space="0" w:color="auto"/>
                                                                <w:left w:val="none" w:sz="0" w:space="0" w:color="auto"/>
                                                                <w:bottom w:val="none" w:sz="0" w:space="0" w:color="auto"/>
                                                                <w:right w:val="none" w:sz="0" w:space="0" w:color="auto"/>
                                                              </w:divBdr>
                                                              <w:divsChild>
                                                                <w:div w:id="166754251">
                                                                  <w:marLeft w:val="0"/>
                                                                  <w:marRight w:val="0"/>
                                                                  <w:marTop w:val="0"/>
                                                                  <w:marBottom w:val="0"/>
                                                                  <w:divBdr>
                                                                    <w:top w:val="none" w:sz="0" w:space="0" w:color="auto"/>
                                                                    <w:left w:val="none" w:sz="0" w:space="0" w:color="auto"/>
                                                                    <w:bottom w:val="none" w:sz="0" w:space="0" w:color="auto"/>
                                                                    <w:right w:val="none" w:sz="0" w:space="0" w:color="auto"/>
                                                                  </w:divBdr>
                                                                  <w:divsChild>
                                                                    <w:div w:id="2138596427">
                                                                      <w:marLeft w:val="0"/>
                                                                      <w:marRight w:val="0"/>
                                                                      <w:marTop w:val="150"/>
                                                                      <w:marBottom w:val="150"/>
                                                                      <w:divBdr>
                                                                        <w:top w:val="none" w:sz="0" w:space="0" w:color="auto"/>
                                                                        <w:left w:val="none" w:sz="0" w:space="0" w:color="auto"/>
                                                                        <w:bottom w:val="none" w:sz="0" w:space="0" w:color="auto"/>
                                                                        <w:right w:val="none" w:sz="0" w:space="0" w:color="auto"/>
                                                                      </w:divBdr>
                                                                    </w:div>
                                                                    <w:div w:id="934872626">
                                                                      <w:marLeft w:val="0"/>
                                                                      <w:marRight w:val="0"/>
                                                                      <w:marTop w:val="150"/>
                                                                      <w:marBottom w:val="150"/>
                                                                      <w:divBdr>
                                                                        <w:top w:val="none" w:sz="0" w:space="0" w:color="auto"/>
                                                                        <w:left w:val="none" w:sz="0" w:space="0" w:color="auto"/>
                                                                        <w:bottom w:val="none" w:sz="0" w:space="0" w:color="auto"/>
                                                                        <w:right w:val="none" w:sz="0" w:space="0" w:color="auto"/>
                                                                      </w:divBdr>
                                                                    </w:div>
                                                                    <w:div w:id="1101342056">
                                                                      <w:marLeft w:val="0"/>
                                                                      <w:marRight w:val="0"/>
                                                                      <w:marTop w:val="150"/>
                                                                      <w:marBottom w:val="150"/>
                                                                      <w:divBdr>
                                                                        <w:top w:val="none" w:sz="0" w:space="0" w:color="auto"/>
                                                                        <w:left w:val="none" w:sz="0" w:space="0" w:color="auto"/>
                                                                        <w:bottom w:val="none" w:sz="0" w:space="0" w:color="auto"/>
                                                                        <w:right w:val="none" w:sz="0" w:space="0" w:color="auto"/>
                                                                      </w:divBdr>
                                                                    </w:div>
                                                                    <w:div w:id="290284177">
                                                                      <w:marLeft w:val="0"/>
                                                                      <w:marRight w:val="0"/>
                                                                      <w:marTop w:val="150"/>
                                                                      <w:marBottom w:val="150"/>
                                                                      <w:divBdr>
                                                                        <w:top w:val="none" w:sz="0" w:space="0" w:color="auto"/>
                                                                        <w:left w:val="none" w:sz="0" w:space="0" w:color="auto"/>
                                                                        <w:bottom w:val="none" w:sz="0" w:space="0" w:color="auto"/>
                                                                        <w:right w:val="none" w:sz="0" w:space="0" w:color="auto"/>
                                                                      </w:divBdr>
                                                                    </w:div>
                                                                    <w:div w:id="1921523791">
                                                                      <w:marLeft w:val="0"/>
                                                                      <w:marRight w:val="0"/>
                                                                      <w:marTop w:val="150"/>
                                                                      <w:marBottom w:val="150"/>
                                                                      <w:divBdr>
                                                                        <w:top w:val="none" w:sz="0" w:space="0" w:color="auto"/>
                                                                        <w:left w:val="none" w:sz="0" w:space="0" w:color="auto"/>
                                                                        <w:bottom w:val="none" w:sz="0" w:space="0" w:color="auto"/>
                                                                        <w:right w:val="none" w:sz="0" w:space="0" w:color="auto"/>
                                                                      </w:divBdr>
                                                                    </w:div>
                                                                  </w:divsChild>
                                                                </w:div>
                                                                <w:div w:id="982662245">
                                                                  <w:marLeft w:val="0"/>
                                                                  <w:marRight w:val="0"/>
                                                                  <w:marTop w:val="0"/>
                                                                  <w:marBottom w:val="0"/>
                                                                  <w:divBdr>
                                                                    <w:top w:val="none" w:sz="0" w:space="0" w:color="auto"/>
                                                                    <w:left w:val="none" w:sz="0" w:space="0" w:color="auto"/>
                                                                    <w:bottom w:val="none" w:sz="0" w:space="0" w:color="auto"/>
                                                                    <w:right w:val="none" w:sz="0" w:space="0" w:color="auto"/>
                                                                  </w:divBdr>
                                                                  <w:divsChild>
                                                                    <w:div w:id="1193156746">
                                                                      <w:marLeft w:val="0"/>
                                                                      <w:marRight w:val="0"/>
                                                                      <w:marTop w:val="150"/>
                                                                      <w:marBottom w:val="150"/>
                                                                      <w:divBdr>
                                                                        <w:top w:val="none" w:sz="0" w:space="0" w:color="auto"/>
                                                                        <w:left w:val="none" w:sz="0" w:space="0" w:color="auto"/>
                                                                        <w:bottom w:val="none" w:sz="0" w:space="0" w:color="auto"/>
                                                                        <w:right w:val="none" w:sz="0" w:space="0" w:color="auto"/>
                                                                      </w:divBdr>
                                                                    </w:div>
                                                                    <w:div w:id="1685203839">
                                                                      <w:marLeft w:val="0"/>
                                                                      <w:marRight w:val="0"/>
                                                                      <w:marTop w:val="150"/>
                                                                      <w:marBottom w:val="150"/>
                                                                      <w:divBdr>
                                                                        <w:top w:val="none" w:sz="0" w:space="0" w:color="auto"/>
                                                                        <w:left w:val="none" w:sz="0" w:space="0" w:color="auto"/>
                                                                        <w:bottom w:val="none" w:sz="0" w:space="0" w:color="auto"/>
                                                                        <w:right w:val="none" w:sz="0" w:space="0" w:color="auto"/>
                                                                      </w:divBdr>
                                                                    </w:div>
                                                                    <w:div w:id="701245398">
                                                                      <w:marLeft w:val="0"/>
                                                                      <w:marRight w:val="0"/>
                                                                      <w:marTop w:val="150"/>
                                                                      <w:marBottom w:val="150"/>
                                                                      <w:divBdr>
                                                                        <w:top w:val="none" w:sz="0" w:space="0" w:color="auto"/>
                                                                        <w:left w:val="none" w:sz="0" w:space="0" w:color="auto"/>
                                                                        <w:bottom w:val="none" w:sz="0" w:space="0" w:color="auto"/>
                                                                        <w:right w:val="none" w:sz="0" w:space="0" w:color="auto"/>
                                                                      </w:divBdr>
                                                                    </w:div>
                                                                    <w:div w:id="1072237264">
                                                                      <w:marLeft w:val="0"/>
                                                                      <w:marRight w:val="0"/>
                                                                      <w:marTop w:val="150"/>
                                                                      <w:marBottom w:val="150"/>
                                                                      <w:divBdr>
                                                                        <w:top w:val="none" w:sz="0" w:space="0" w:color="auto"/>
                                                                        <w:left w:val="none" w:sz="0" w:space="0" w:color="auto"/>
                                                                        <w:bottom w:val="none" w:sz="0" w:space="0" w:color="auto"/>
                                                                        <w:right w:val="none" w:sz="0" w:space="0" w:color="auto"/>
                                                                      </w:divBdr>
                                                                    </w:div>
                                                                    <w:div w:id="1232732697">
                                                                      <w:marLeft w:val="0"/>
                                                                      <w:marRight w:val="0"/>
                                                                      <w:marTop w:val="150"/>
                                                                      <w:marBottom w:val="150"/>
                                                                      <w:divBdr>
                                                                        <w:top w:val="none" w:sz="0" w:space="0" w:color="auto"/>
                                                                        <w:left w:val="none" w:sz="0" w:space="0" w:color="auto"/>
                                                                        <w:bottom w:val="none" w:sz="0" w:space="0" w:color="auto"/>
                                                                        <w:right w:val="none" w:sz="0" w:space="0" w:color="auto"/>
                                                                      </w:divBdr>
                                                                    </w:div>
                                                                    <w:div w:id="8990679">
                                                                      <w:marLeft w:val="0"/>
                                                                      <w:marRight w:val="0"/>
                                                                      <w:marTop w:val="150"/>
                                                                      <w:marBottom w:val="150"/>
                                                                      <w:divBdr>
                                                                        <w:top w:val="none" w:sz="0" w:space="0" w:color="auto"/>
                                                                        <w:left w:val="none" w:sz="0" w:space="0" w:color="auto"/>
                                                                        <w:bottom w:val="none" w:sz="0" w:space="0" w:color="auto"/>
                                                                        <w:right w:val="none" w:sz="0" w:space="0" w:color="auto"/>
                                                                      </w:divBdr>
                                                                    </w:div>
                                                                    <w:div w:id="1855804591">
                                                                      <w:marLeft w:val="0"/>
                                                                      <w:marRight w:val="0"/>
                                                                      <w:marTop w:val="150"/>
                                                                      <w:marBottom w:val="150"/>
                                                                      <w:divBdr>
                                                                        <w:top w:val="none" w:sz="0" w:space="0" w:color="auto"/>
                                                                        <w:left w:val="none" w:sz="0" w:space="0" w:color="auto"/>
                                                                        <w:bottom w:val="none" w:sz="0" w:space="0" w:color="auto"/>
                                                                        <w:right w:val="none" w:sz="0" w:space="0" w:color="auto"/>
                                                                      </w:divBdr>
                                                                    </w:div>
                                                                    <w:div w:id="1571882978">
                                                                      <w:marLeft w:val="0"/>
                                                                      <w:marRight w:val="0"/>
                                                                      <w:marTop w:val="150"/>
                                                                      <w:marBottom w:val="150"/>
                                                                      <w:divBdr>
                                                                        <w:top w:val="none" w:sz="0" w:space="0" w:color="auto"/>
                                                                        <w:left w:val="none" w:sz="0" w:space="0" w:color="auto"/>
                                                                        <w:bottom w:val="none" w:sz="0" w:space="0" w:color="auto"/>
                                                                        <w:right w:val="none" w:sz="0" w:space="0" w:color="auto"/>
                                                                      </w:divBdr>
                                                                    </w:div>
                                                                    <w:div w:id="232785118">
                                                                      <w:marLeft w:val="0"/>
                                                                      <w:marRight w:val="0"/>
                                                                      <w:marTop w:val="150"/>
                                                                      <w:marBottom w:val="150"/>
                                                                      <w:divBdr>
                                                                        <w:top w:val="none" w:sz="0" w:space="0" w:color="auto"/>
                                                                        <w:left w:val="none" w:sz="0" w:space="0" w:color="auto"/>
                                                                        <w:bottom w:val="none" w:sz="0" w:space="0" w:color="auto"/>
                                                                        <w:right w:val="none" w:sz="0" w:space="0" w:color="auto"/>
                                                                      </w:divBdr>
                                                                    </w:div>
                                                                  </w:divsChild>
                                                                </w:div>
                                                                <w:div w:id="233635969">
                                                                  <w:marLeft w:val="0"/>
                                                                  <w:marRight w:val="0"/>
                                                                  <w:marTop w:val="0"/>
                                                                  <w:marBottom w:val="0"/>
                                                                  <w:divBdr>
                                                                    <w:top w:val="none" w:sz="0" w:space="0" w:color="auto"/>
                                                                    <w:left w:val="none" w:sz="0" w:space="0" w:color="auto"/>
                                                                    <w:bottom w:val="none" w:sz="0" w:space="0" w:color="auto"/>
                                                                    <w:right w:val="none" w:sz="0" w:space="0" w:color="auto"/>
                                                                  </w:divBdr>
                                                                  <w:divsChild>
                                                                    <w:div w:id="108624181">
                                                                      <w:marLeft w:val="0"/>
                                                                      <w:marRight w:val="0"/>
                                                                      <w:marTop w:val="150"/>
                                                                      <w:marBottom w:val="150"/>
                                                                      <w:divBdr>
                                                                        <w:top w:val="none" w:sz="0" w:space="0" w:color="auto"/>
                                                                        <w:left w:val="none" w:sz="0" w:space="0" w:color="auto"/>
                                                                        <w:bottom w:val="none" w:sz="0" w:space="0" w:color="auto"/>
                                                                        <w:right w:val="none" w:sz="0" w:space="0" w:color="auto"/>
                                                                      </w:divBdr>
                                                                    </w:div>
                                                                  </w:divsChild>
                                                                </w:div>
                                                                <w:div w:id="988745840">
                                                                  <w:marLeft w:val="0"/>
                                                                  <w:marRight w:val="0"/>
                                                                  <w:marTop w:val="0"/>
                                                                  <w:marBottom w:val="0"/>
                                                                  <w:divBdr>
                                                                    <w:top w:val="none" w:sz="0" w:space="0" w:color="auto"/>
                                                                    <w:left w:val="none" w:sz="0" w:space="0" w:color="auto"/>
                                                                    <w:bottom w:val="none" w:sz="0" w:space="0" w:color="auto"/>
                                                                    <w:right w:val="none" w:sz="0" w:space="0" w:color="auto"/>
                                                                  </w:divBdr>
                                                                  <w:divsChild>
                                                                    <w:div w:id="1704673931">
                                                                      <w:marLeft w:val="0"/>
                                                                      <w:marRight w:val="0"/>
                                                                      <w:marTop w:val="150"/>
                                                                      <w:marBottom w:val="150"/>
                                                                      <w:divBdr>
                                                                        <w:top w:val="none" w:sz="0" w:space="0" w:color="auto"/>
                                                                        <w:left w:val="none" w:sz="0" w:space="0" w:color="auto"/>
                                                                        <w:bottom w:val="none" w:sz="0" w:space="0" w:color="auto"/>
                                                                        <w:right w:val="none" w:sz="0" w:space="0" w:color="auto"/>
                                                                      </w:divBdr>
                                                                    </w:div>
                                                                    <w:div w:id="1887717893">
                                                                      <w:marLeft w:val="0"/>
                                                                      <w:marRight w:val="0"/>
                                                                      <w:marTop w:val="150"/>
                                                                      <w:marBottom w:val="150"/>
                                                                      <w:divBdr>
                                                                        <w:top w:val="none" w:sz="0" w:space="0" w:color="auto"/>
                                                                        <w:left w:val="none" w:sz="0" w:space="0" w:color="auto"/>
                                                                        <w:bottom w:val="none" w:sz="0" w:space="0" w:color="auto"/>
                                                                        <w:right w:val="none" w:sz="0" w:space="0" w:color="auto"/>
                                                                      </w:divBdr>
                                                                    </w:div>
                                                                    <w:div w:id="996693242">
                                                                      <w:marLeft w:val="0"/>
                                                                      <w:marRight w:val="0"/>
                                                                      <w:marTop w:val="150"/>
                                                                      <w:marBottom w:val="150"/>
                                                                      <w:divBdr>
                                                                        <w:top w:val="none" w:sz="0" w:space="0" w:color="auto"/>
                                                                        <w:left w:val="none" w:sz="0" w:space="0" w:color="auto"/>
                                                                        <w:bottom w:val="none" w:sz="0" w:space="0" w:color="auto"/>
                                                                        <w:right w:val="none" w:sz="0" w:space="0" w:color="auto"/>
                                                                      </w:divBdr>
                                                                    </w:div>
                                                                    <w:div w:id="684867715">
                                                                      <w:marLeft w:val="0"/>
                                                                      <w:marRight w:val="0"/>
                                                                      <w:marTop w:val="150"/>
                                                                      <w:marBottom w:val="150"/>
                                                                      <w:divBdr>
                                                                        <w:top w:val="none" w:sz="0" w:space="0" w:color="auto"/>
                                                                        <w:left w:val="none" w:sz="0" w:space="0" w:color="auto"/>
                                                                        <w:bottom w:val="none" w:sz="0" w:space="0" w:color="auto"/>
                                                                        <w:right w:val="none" w:sz="0" w:space="0" w:color="auto"/>
                                                                      </w:divBdr>
                                                                    </w:div>
                                                                    <w:div w:id="1857579177">
                                                                      <w:marLeft w:val="0"/>
                                                                      <w:marRight w:val="0"/>
                                                                      <w:marTop w:val="150"/>
                                                                      <w:marBottom w:val="150"/>
                                                                      <w:divBdr>
                                                                        <w:top w:val="none" w:sz="0" w:space="0" w:color="auto"/>
                                                                        <w:left w:val="none" w:sz="0" w:space="0" w:color="auto"/>
                                                                        <w:bottom w:val="none" w:sz="0" w:space="0" w:color="auto"/>
                                                                        <w:right w:val="none" w:sz="0" w:space="0" w:color="auto"/>
                                                                      </w:divBdr>
                                                                    </w:div>
                                                                    <w:div w:id="1052652712">
                                                                      <w:marLeft w:val="0"/>
                                                                      <w:marRight w:val="0"/>
                                                                      <w:marTop w:val="150"/>
                                                                      <w:marBottom w:val="150"/>
                                                                      <w:divBdr>
                                                                        <w:top w:val="none" w:sz="0" w:space="0" w:color="auto"/>
                                                                        <w:left w:val="none" w:sz="0" w:space="0" w:color="auto"/>
                                                                        <w:bottom w:val="none" w:sz="0" w:space="0" w:color="auto"/>
                                                                        <w:right w:val="none" w:sz="0" w:space="0" w:color="auto"/>
                                                                      </w:divBdr>
                                                                    </w:div>
                                                                    <w:div w:id="998774621">
                                                                      <w:marLeft w:val="0"/>
                                                                      <w:marRight w:val="0"/>
                                                                      <w:marTop w:val="150"/>
                                                                      <w:marBottom w:val="150"/>
                                                                      <w:divBdr>
                                                                        <w:top w:val="none" w:sz="0" w:space="0" w:color="auto"/>
                                                                        <w:left w:val="none" w:sz="0" w:space="0" w:color="auto"/>
                                                                        <w:bottom w:val="none" w:sz="0" w:space="0" w:color="auto"/>
                                                                        <w:right w:val="none" w:sz="0" w:space="0" w:color="auto"/>
                                                                      </w:divBdr>
                                                                    </w:div>
                                                                    <w:div w:id="1757364858">
                                                                      <w:marLeft w:val="0"/>
                                                                      <w:marRight w:val="0"/>
                                                                      <w:marTop w:val="150"/>
                                                                      <w:marBottom w:val="150"/>
                                                                      <w:divBdr>
                                                                        <w:top w:val="none" w:sz="0" w:space="0" w:color="auto"/>
                                                                        <w:left w:val="none" w:sz="0" w:space="0" w:color="auto"/>
                                                                        <w:bottom w:val="none" w:sz="0" w:space="0" w:color="auto"/>
                                                                        <w:right w:val="none" w:sz="0" w:space="0" w:color="auto"/>
                                                                      </w:divBdr>
                                                                    </w:div>
                                                                    <w:div w:id="2006854027">
                                                                      <w:marLeft w:val="0"/>
                                                                      <w:marRight w:val="0"/>
                                                                      <w:marTop w:val="150"/>
                                                                      <w:marBottom w:val="150"/>
                                                                      <w:divBdr>
                                                                        <w:top w:val="none" w:sz="0" w:space="0" w:color="auto"/>
                                                                        <w:left w:val="none" w:sz="0" w:space="0" w:color="auto"/>
                                                                        <w:bottom w:val="none" w:sz="0" w:space="0" w:color="auto"/>
                                                                        <w:right w:val="none" w:sz="0" w:space="0" w:color="auto"/>
                                                                      </w:divBdr>
                                                                    </w:div>
                                                                  </w:divsChild>
                                                                </w:div>
                                                                <w:div w:id="865682099">
                                                                  <w:marLeft w:val="0"/>
                                                                  <w:marRight w:val="0"/>
                                                                  <w:marTop w:val="0"/>
                                                                  <w:marBottom w:val="0"/>
                                                                  <w:divBdr>
                                                                    <w:top w:val="none" w:sz="0" w:space="0" w:color="auto"/>
                                                                    <w:left w:val="none" w:sz="0" w:space="0" w:color="auto"/>
                                                                    <w:bottom w:val="none" w:sz="0" w:space="0" w:color="auto"/>
                                                                    <w:right w:val="none" w:sz="0" w:space="0" w:color="auto"/>
                                                                  </w:divBdr>
                                                                  <w:divsChild>
                                                                    <w:div w:id="171071652">
                                                                      <w:marLeft w:val="0"/>
                                                                      <w:marRight w:val="0"/>
                                                                      <w:marTop w:val="150"/>
                                                                      <w:marBottom w:val="150"/>
                                                                      <w:divBdr>
                                                                        <w:top w:val="none" w:sz="0" w:space="0" w:color="auto"/>
                                                                        <w:left w:val="none" w:sz="0" w:space="0" w:color="auto"/>
                                                                        <w:bottom w:val="none" w:sz="0" w:space="0" w:color="auto"/>
                                                                        <w:right w:val="none" w:sz="0" w:space="0" w:color="auto"/>
                                                                      </w:divBdr>
                                                                    </w:div>
                                                                    <w:div w:id="259338616">
                                                                      <w:marLeft w:val="0"/>
                                                                      <w:marRight w:val="0"/>
                                                                      <w:marTop w:val="150"/>
                                                                      <w:marBottom w:val="150"/>
                                                                      <w:divBdr>
                                                                        <w:top w:val="none" w:sz="0" w:space="0" w:color="auto"/>
                                                                        <w:left w:val="none" w:sz="0" w:space="0" w:color="auto"/>
                                                                        <w:bottom w:val="none" w:sz="0" w:space="0" w:color="auto"/>
                                                                        <w:right w:val="none" w:sz="0" w:space="0" w:color="auto"/>
                                                                      </w:divBdr>
                                                                    </w:div>
                                                                    <w:div w:id="1195769927">
                                                                      <w:marLeft w:val="0"/>
                                                                      <w:marRight w:val="0"/>
                                                                      <w:marTop w:val="150"/>
                                                                      <w:marBottom w:val="150"/>
                                                                      <w:divBdr>
                                                                        <w:top w:val="none" w:sz="0" w:space="0" w:color="auto"/>
                                                                        <w:left w:val="none" w:sz="0" w:space="0" w:color="auto"/>
                                                                        <w:bottom w:val="none" w:sz="0" w:space="0" w:color="auto"/>
                                                                        <w:right w:val="none" w:sz="0" w:space="0" w:color="auto"/>
                                                                      </w:divBdr>
                                                                    </w:div>
                                                                  </w:divsChild>
                                                                </w:div>
                                                                <w:div w:id="616259604">
                                                                  <w:marLeft w:val="0"/>
                                                                  <w:marRight w:val="0"/>
                                                                  <w:marTop w:val="0"/>
                                                                  <w:marBottom w:val="0"/>
                                                                  <w:divBdr>
                                                                    <w:top w:val="none" w:sz="0" w:space="0" w:color="auto"/>
                                                                    <w:left w:val="none" w:sz="0" w:space="0" w:color="auto"/>
                                                                    <w:bottom w:val="none" w:sz="0" w:space="0" w:color="auto"/>
                                                                    <w:right w:val="none" w:sz="0" w:space="0" w:color="auto"/>
                                                                  </w:divBdr>
                                                                  <w:divsChild>
                                                                    <w:div w:id="1670712854">
                                                                      <w:marLeft w:val="0"/>
                                                                      <w:marRight w:val="0"/>
                                                                      <w:marTop w:val="150"/>
                                                                      <w:marBottom w:val="150"/>
                                                                      <w:divBdr>
                                                                        <w:top w:val="none" w:sz="0" w:space="0" w:color="auto"/>
                                                                        <w:left w:val="none" w:sz="0" w:space="0" w:color="auto"/>
                                                                        <w:bottom w:val="none" w:sz="0" w:space="0" w:color="auto"/>
                                                                        <w:right w:val="none" w:sz="0" w:space="0" w:color="auto"/>
                                                                      </w:divBdr>
                                                                    </w:div>
                                                                    <w:div w:id="2005618597">
                                                                      <w:marLeft w:val="0"/>
                                                                      <w:marRight w:val="0"/>
                                                                      <w:marTop w:val="150"/>
                                                                      <w:marBottom w:val="150"/>
                                                                      <w:divBdr>
                                                                        <w:top w:val="none" w:sz="0" w:space="0" w:color="auto"/>
                                                                        <w:left w:val="none" w:sz="0" w:space="0" w:color="auto"/>
                                                                        <w:bottom w:val="none" w:sz="0" w:space="0" w:color="auto"/>
                                                                        <w:right w:val="none" w:sz="0" w:space="0" w:color="auto"/>
                                                                      </w:divBdr>
                                                                    </w:div>
                                                                    <w:div w:id="227569768">
                                                                      <w:marLeft w:val="0"/>
                                                                      <w:marRight w:val="0"/>
                                                                      <w:marTop w:val="150"/>
                                                                      <w:marBottom w:val="150"/>
                                                                      <w:divBdr>
                                                                        <w:top w:val="none" w:sz="0" w:space="0" w:color="auto"/>
                                                                        <w:left w:val="none" w:sz="0" w:space="0" w:color="auto"/>
                                                                        <w:bottom w:val="none" w:sz="0" w:space="0" w:color="auto"/>
                                                                        <w:right w:val="none" w:sz="0" w:space="0" w:color="auto"/>
                                                                      </w:divBdr>
                                                                    </w:div>
                                                                    <w:div w:id="2095323853">
                                                                      <w:marLeft w:val="0"/>
                                                                      <w:marRight w:val="0"/>
                                                                      <w:marTop w:val="150"/>
                                                                      <w:marBottom w:val="150"/>
                                                                      <w:divBdr>
                                                                        <w:top w:val="none" w:sz="0" w:space="0" w:color="auto"/>
                                                                        <w:left w:val="none" w:sz="0" w:space="0" w:color="auto"/>
                                                                        <w:bottom w:val="none" w:sz="0" w:space="0" w:color="auto"/>
                                                                        <w:right w:val="none" w:sz="0" w:space="0" w:color="auto"/>
                                                                      </w:divBdr>
                                                                    </w:div>
                                                                    <w:div w:id="1171524773">
                                                                      <w:marLeft w:val="0"/>
                                                                      <w:marRight w:val="0"/>
                                                                      <w:marTop w:val="150"/>
                                                                      <w:marBottom w:val="150"/>
                                                                      <w:divBdr>
                                                                        <w:top w:val="none" w:sz="0" w:space="0" w:color="auto"/>
                                                                        <w:left w:val="none" w:sz="0" w:space="0" w:color="auto"/>
                                                                        <w:bottom w:val="none" w:sz="0" w:space="0" w:color="auto"/>
                                                                        <w:right w:val="none" w:sz="0" w:space="0" w:color="auto"/>
                                                                      </w:divBdr>
                                                                    </w:div>
                                                                    <w:div w:id="335767011">
                                                                      <w:marLeft w:val="0"/>
                                                                      <w:marRight w:val="0"/>
                                                                      <w:marTop w:val="150"/>
                                                                      <w:marBottom w:val="150"/>
                                                                      <w:divBdr>
                                                                        <w:top w:val="none" w:sz="0" w:space="0" w:color="auto"/>
                                                                        <w:left w:val="none" w:sz="0" w:space="0" w:color="auto"/>
                                                                        <w:bottom w:val="none" w:sz="0" w:space="0" w:color="auto"/>
                                                                        <w:right w:val="none" w:sz="0" w:space="0" w:color="auto"/>
                                                                      </w:divBdr>
                                                                    </w:div>
                                                                    <w:div w:id="1436828531">
                                                                      <w:marLeft w:val="0"/>
                                                                      <w:marRight w:val="0"/>
                                                                      <w:marTop w:val="150"/>
                                                                      <w:marBottom w:val="150"/>
                                                                      <w:divBdr>
                                                                        <w:top w:val="none" w:sz="0" w:space="0" w:color="auto"/>
                                                                        <w:left w:val="none" w:sz="0" w:space="0" w:color="auto"/>
                                                                        <w:bottom w:val="none" w:sz="0" w:space="0" w:color="auto"/>
                                                                        <w:right w:val="none" w:sz="0" w:space="0" w:color="auto"/>
                                                                      </w:divBdr>
                                                                    </w:div>
                                                                    <w:div w:id="624428624">
                                                                      <w:marLeft w:val="0"/>
                                                                      <w:marRight w:val="0"/>
                                                                      <w:marTop w:val="150"/>
                                                                      <w:marBottom w:val="150"/>
                                                                      <w:divBdr>
                                                                        <w:top w:val="none" w:sz="0" w:space="0" w:color="auto"/>
                                                                        <w:left w:val="none" w:sz="0" w:space="0" w:color="auto"/>
                                                                        <w:bottom w:val="none" w:sz="0" w:space="0" w:color="auto"/>
                                                                        <w:right w:val="none" w:sz="0" w:space="0" w:color="auto"/>
                                                                      </w:divBdr>
                                                                    </w:div>
                                                                    <w:div w:id="835464613">
                                                                      <w:marLeft w:val="0"/>
                                                                      <w:marRight w:val="0"/>
                                                                      <w:marTop w:val="150"/>
                                                                      <w:marBottom w:val="150"/>
                                                                      <w:divBdr>
                                                                        <w:top w:val="none" w:sz="0" w:space="0" w:color="auto"/>
                                                                        <w:left w:val="none" w:sz="0" w:space="0" w:color="auto"/>
                                                                        <w:bottom w:val="none" w:sz="0" w:space="0" w:color="auto"/>
                                                                        <w:right w:val="none" w:sz="0" w:space="0" w:color="auto"/>
                                                                      </w:divBdr>
                                                                    </w:div>
                                                                    <w:div w:id="831484498">
                                                                      <w:marLeft w:val="0"/>
                                                                      <w:marRight w:val="0"/>
                                                                      <w:marTop w:val="150"/>
                                                                      <w:marBottom w:val="150"/>
                                                                      <w:divBdr>
                                                                        <w:top w:val="none" w:sz="0" w:space="0" w:color="auto"/>
                                                                        <w:left w:val="none" w:sz="0" w:space="0" w:color="auto"/>
                                                                        <w:bottom w:val="none" w:sz="0" w:space="0" w:color="auto"/>
                                                                        <w:right w:val="none" w:sz="0" w:space="0" w:color="auto"/>
                                                                      </w:divBdr>
                                                                    </w:div>
                                                                    <w:div w:id="1500854420">
                                                                      <w:marLeft w:val="0"/>
                                                                      <w:marRight w:val="0"/>
                                                                      <w:marTop w:val="150"/>
                                                                      <w:marBottom w:val="150"/>
                                                                      <w:divBdr>
                                                                        <w:top w:val="none" w:sz="0" w:space="0" w:color="auto"/>
                                                                        <w:left w:val="none" w:sz="0" w:space="0" w:color="auto"/>
                                                                        <w:bottom w:val="none" w:sz="0" w:space="0" w:color="auto"/>
                                                                        <w:right w:val="none" w:sz="0" w:space="0" w:color="auto"/>
                                                                      </w:divBdr>
                                                                    </w:div>
                                                                  </w:divsChild>
                                                                </w:div>
                                                                <w:div w:id="331641354">
                                                                  <w:marLeft w:val="0"/>
                                                                  <w:marRight w:val="0"/>
                                                                  <w:marTop w:val="0"/>
                                                                  <w:marBottom w:val="0"/>
                                                                  <w:divBdr>
                                                                    <w:top w:val="none" w:sz="0" w:space="0" w:color="auto"/>
                                                                    <w:left w:val="none" w:sz="0" w:space="0" w:color="auto"/>
                                                                    <w:bottom w:val="none" w:sz="0" w:space="0" w:color="auto"/>
                                                                    <w:right w:val="none" w:sz="0" w:space="0" w:color="auto"/>
                                                                  </w:divBdr>
                                                                  <w:divsChild>
                                                                    <w:div w:id="672613598">
                                                                      <w:marLeft w:val="0"/>
                                                                      <w:marRight w:val="0"/>
                                                                      <w:marTop w:val="150"/>
                                                                      <w:marBottom w:val="150"/>
                                                                      <w:divBdr>
                                                                        <w:top w:val="none" w:sz="0" w:space="0" w:color="auto"/>
                                                                        <w:left w:val="none" w:sz="0" w:space="0" w:color="auto"/>
                                                                        <w:bottom w:val="none" w:sz="0" w:space="0" w:color="auto"/>
                                                                        <w:right w:val="none" w:sz="0" w:space="0" w:color="auto"/>
                                                                      </w:divBdr>
                                                                    </w:div>
                                                                    <w:div w:id="20473924">
                                                                      <w:marLeft w:val="0"/>
                                                                      <w:marRight w:val="0"/>
                                                                      <w:marTop w:val="150"/>
                                                                      <w:marBottom w:val="150"/>
                                                                      <w:divBdr>
                                                                        <w:top w:val="none" w:sz="0" w:space="0" w:color="auto"/>
                                                                        <w:left w:val="none" w:sz="0" w:space="0" w:color="auto"/>
                                                                        <w:bottom w:val="none" w:sz="0" w:space="0" w:color="auto"/>
                                                                        <w:right w:val="none" w:sz="0" w:space="0" w:color="auto"/>
                                                                      </w:divBdr>
                                                                    </w:div>
                                                                  </w:divsChild>
                                                                </w:div>
                                                                <w:div w:id="1642535567">
                                                                  <w:marLeft w:val="0"/>
                                                                  <w:marRight w:val="0"/>
                                                                  <w:marTop w:val="0"/>
                                                                  <w:marBottom w:val="0"/>
                                                                  <w:divBdr>
                                                                    <w:top w:val="none" w:sz="0" w:space="0" w:color="auto"/>
                                                                    <w:left w:val="none" w:sz="0" w:space="0" w:color="auto"/>
                                                                    <w:bottom w:val="none" w:sz="0" w:space="0" w:color="auto"/>
                                                                    <w:right w:val="none" w:sz="0" w:space="0" w:color="auto"/>
                                                                  </w:divBdr>
                                                                  <w:divsChild>
                                                                    <w:div w:id="62147155">
                                                                      <w:marLeft w:val="0"/>
                                                                      <w:marRight w:val="0"/>
                                                                      <w:marTop w:val="150"/>
                                                                      <w:marBottom w:val="150"/>
                                                                      <w:divBdr>
                                                                        <w:top w:val="none" w:sz="0" w:space="0" w:color="auto"/>
                                                                        <w:left w:val="none" w:sz="0" w:space="0" w:color="auto"/>
                                                                        <w:bottom w:val="none" w:sz="0" w:space="0" w:color="auto"/>
                                                                        <w:right w:val="none" w:sz="0" w:space="0" w:color="auto"/>
                                                                      </w:divBdr>
                                                                    </w:div>
                                                                    <w:div w:id="1718317848">
                                                                      <w:marLeft w:val="0"/>
                                                                      <w:marRight w:val="0"/>
                                                                      <w:marTop w:val="150"/>
                                                                      <w:marBottom w:val="150"/>
                                                                      <w:divBdr>
                                                                        <w:top w:val="none" w:sz="0" w:space="0" w:color="auto"/>
                                                                        <w:left w:val="none" w:sz="0" w:space="0" w:color="auto"/>
                                                                        <w:bottom w:val="none" w:sz="0" w:space="0" w:color="auto"/>
                                                                        <w:right w:val="none" w:sz="0" w:space="0" w:color="auto"/>
                                                                      </w:divBdr>
                                                                    </w:div>
                                                                    <w:div w:id="1942448231">
                                                                      <w:marLeft w:val="0"/>
                                                                      <w:marRight w:val="0"/>
                                                                      <w:marTop w:val="150"/>
                                                                      <w:marBottom w:val="150"/>
                                                                      <w:divBdr>
                                                                        <w:top w:val="none" w:sz="0" w:space="0" w:color="auto"/>
                                                                        <w:left w:val="none" w:sz="0" w:space="0" w:color="auto"/>
                                                                        <w:bottom w:val="none" w:sz="0" w:space="0" w:color="auto"/>
                                                                        <w:right w:val="none" w:sz="0" w:space="0" w:color="auto"/>
                                                                      </w:divBdr>
                                                                    </w:div>
                                                                  </w:divsChild>
                                                                </w:div>
                                                                <w:div w:id="632904151">
                                                                  <w:marLeft w:val="0"/>
                                                                  <w:marRight w:val="0"/>
                                                                  <w:marTop w:val="0"/>
                                                                  <w:marBottom w:val="0"/>
                                                                  <w:divBdr>
                                                                    <w:top w:val="none" w:sz="0" w:space="0" w:color="auto"/>
                                                                    <w:left w:val="none" w:sz="0" w:space="0" w:color="auto"/>
                                                                    <w:bottom w:val="none" w:sz="0" w:space="0" w:color="auto"/>
                                                                    <w:right w:val="none" w:sz="0" w:space="0" w:color="auto"/>
                                                                  </w:divBdr>
                                                                  <w:divsChild>
                                                                    <w:div w:id="1152792048">
                                                                      <w:marLeft w:val="0"/>
                                                                      <w:marRight w:val="0"/>
                                                                      <w:marTop w:val="150"/>
                                                                      <w:marBottom w:val="150"/>
                                                                      <w:divBdr>
                                                                        <w:top w:val="none" w:sz="0" w:space="0" w:color="auto"/>
                                                                        <w:left w:val="none" w:sz="0" w:space="0" w:color="auto"/>
                                                                        <w:bottom w:val="none" w:sz="0" w:space="0" w:color="auto"/>
                                                                        <w:right w:val="none" w:sz="0" w:space="0" w:color="auto"/>
                                                                      </w:divBdr>
                                                                    </w:div>
                                                                    <w:div w:id="1881359129">
                                                                      <w:marLeft w:val="0"/>
                                                                      <w:marRight w:val="0"/>
                                                                      <w:marTop w:val="150"/>
                                                                      <w:marBottom w:val="150"/>
                                                                      <w:divBdr>
                                                                        <w:top w:val="none" w:sz="0" w:space="0" w:color="auto"/>
                                                                        <w:left w:val="none" w:sz="0" w:space="0" w:color="auto"/>
                                                                        <w:bottom w:val="none" w:sz="0" w:space="0" w:color="auto"/>
                                                                        <w:right w:val="none" w:sz="0" w:space="0" w:color="auto"/>
                                                                      </w:divBdr>
                                                                    </w:div>
                                                                    <w:div w:id="1405058848">
                                                                      <w:marLeft w:val="0"/>
                                                                      <w:marRight w:val="0"/>
                                                                      <w:marTop w:val="150"/>
                                                                      <w:marBottom w:val="150"/>
                                                                      <w:divBdr>
                                                                        <w:top w:val="none" w:sz="0" w:space="0" w:color="auto"/>
                                                                        <w:left w:val="none" w:sz="0" w:space="0" w:color="auto"/>
                                                                        <w:bottom w:val="none" w:sz="0" w:space="0" w:color="auto"/>
                                                                        <w:right w:val="none" w:sz="0" w:space="0" w:color="auto"/>
                                                                      </w:divBdr>
                                                                    </w:div>
                                                                  </w:divsChild>
                                                                </w:div>
                                                                <w:div w:id="1855417338">
                                                                  <w:marLeft w:val="0"/>
                                                                  <w:marRight w:val="0"/>
                                                                  <w:marTop w:val="0"/>
                                                                  <w:marBottom w:val="0"/>
                                                                  <w:divBdr>
                                                                    <w:top w:val="none" w:sz="0" w:space="0" w:color="auto"/>
                                                                    <w:left w:val="none" w:sz="0" w:space="0" w:color="auto"/>
                                                                    <w:bottom w:val="none" w:sz="0" w:space="0" w:color="auto"/>
                                                                    <w:right w:val="none" w:sz="0" w:space="0" w:color="auto"/>
                                                                  </w:divBdr>
                                                                  <w:divsChild>
                                                                    <w:div w:id="1146706599">
                                                                      <w:marLeft w:val="0"/>
                                                                      <w:marRight w:val="0"/>
                                                                      <w:marTop w:val="150"/>
                                                                      <w:marBottom w:val="150"/>
                                                                      <w:divBdr>
                                                                        <w:top w:val="none" w:sz="0" w:space="0" w:color="auto"/>
                                                                        <w:left w:val="none" w:sz="0" w:space="0" w:color="auto"/>
                                                                        <w:bottom w:val="none" w:sz="0" w:space="0" w:color="auto"/>
                                                                        <w:right w:val="none" w:sz="0" w:space="0" w:color="auto"/>
                                                                      </w:divBdr>
                                                                    </w:div>
                                                                    <w:div w:id="1774083694">
                                                                      <w:marLeft w:val="0"/>
                                                                      <w:marRight w:val="0"/>
                                                                      <w:marTop w:val="150"/>
                                                                      <w:marBottom w:val="150"/>
                                                                      <w:divBdr>
                                                                        <w:top w:val="none" w:sz="0" w:space="0" w:color="auto"/>
                                                                        <w:left w:val="none" w:sz="0" w:space="0" w:color="auto"/>
                                                                        <w:bottom w:val="none" w:sz="0" w:space="0" w:color="auto"/>
                                                                        <w:right w:val="none" w:sz="0" w:space="0" w:color="auto"/>
                                                                      </w:divBdr>
                                                                    </w:div>
                                                                    <w:div w:id="1923563567">
                                                                      <w:marLeft w:val="0"/>
                                                                      <w:marRight w:val="0"/>
                                                                      <w:marTop w:val="150"/>
                                                                      <w:marBottom w:val="150"/>
                                                                      <w:divBdr>
                                                                        <w:top w:val="none" w:sz="0" w:space="0" w:color="auto"/>
                                                                        <w:left w:val="none" w:sz="0" w:space="0" w:color="auto"/>
                                                                        <w:bottom w:val="none" w:sz="0" w:space="0" w:color="auto"/>
                                                                        <w:right w:val="none" w:sz="0" w:space="0" w:color="auto"/>
                                                                      </w:divBdr>
                                                                    </w:div>
                                                                  </w:divsChild>
                                                                </w:div>
                                                                <w:div w:id="1560047575">
                                                                  <w:marLeft w:val="0"/>
                                                                  <w:marRight w:val="0"/>
                                                                  <w:marTop w:val="0"/>
                                                                  <w:marBottom w:val="0"/>
                                                                  <w:divBdr>
                                                                    <w:top w:val="none" w:sz="0" w:space="0" w:color="auto"/>
                                                                    <w:left w:val="none" w:sz="0" w:space="0" w:color="auto"/>
                                                                    <w:bottom w:val="none" w:sz="0" w:space="0" w:color="auto"/>
                                                                    <w:right w:val="none" w:sz="0" w:space="0" w:color="auto"/>
                                                                  </w:divBdr>
                                                                  <w:divsChild>
                                                                    <w:div w:id="1905413764">
                                                                      <w:marLeft w:val="0"/>
                                                                      <w:marRight w:val="0"/>
                                                                      <w:marTop w:val="150"/>
                                                                      <w:marBottom w:val="150"/>
                                                                      <w:divBdr>
                                                                        <w:top w:val="none" w:sz="0" w:space="0" w:color="auto"/>
                                                                        <w:left w:val="none" w:sz="0" w:space="0" w:color="auto"/>
                                                                        <w:bottom w:val="none" w:sz="0" w:space="0" w:color="auto"/>
                                                                        <w:right w:val="none" w:sz="0" w:space="0" w:color="auto"/>
                                                                      </w:divBdr>
                                                                    </w:div>
                                                                    <w:div w:id="1301572343">
                                                                      <w:marLeft w:val="0"/>
                                                                      <w:marRight w:val="0"/>
                                                                      <w:marTop w:val="150"/>
                                                                      <w:marBottom w:val="150"/>
                                                                      <w:divBdr>
                                                                        <w:top w:val="none" w:sz="0" w:space="0" w:color="auto"/>
                                                                        <w:left w:val="none" w:sz="0" w:space="0" w:color="auto"/>
                                                                        <w:bottom w:val="none" w:sz="0" w:space="0" w:color="auto"/>
                                                                        <w:right w:val="none" w:sz="0" w:space="0" w:color="auto"/>
                                                                      </w:divBdr>
                                                                    </w:div>
                                                                    <w:div w:id="514076534">
                                                                      <w:marLeft w:val="0"/>
                                                                      <w:marRight w:val="0"/>
                                                                      <w:marTop w:val="150"/>
                                                                      <w:marBottom w:val="150"/>
                                                                      <w:divBdr>
                                                                        <w:top w:val="none" w:sz="0" w:space="0" w:color="auto"/>
                                                                        <w:left w:val="none" w:sz="0" w:space="0" w:color="auto"/>
                                                                        <w:bottom w:val="none" w:sz="0" w:space="0" w:color="auto"/>
                                                                        <w:right w:val="none" w:sz="0" w:space="0" w:color="auto"/>
                                                                      </w:divBdr>
                                                                    </w:div>
                                                                    <w:div w:id="1559779188">
                                                                      <w:marLeft w:val="0"/>
                                                                      <w:marRight w:val="0"/>
                                                                      <w:marTop w:val="150"/>
                                                                      <w:marBottom w:val="150"/>
                                                                      <w:divBdr>
                                                                        <w:top w:val="none" w:sz="0" w:space="0" w:color="auto"/>
                                                                        <w:left w:val="none" w:sz="0" w:space="0" w:color="auto"/>
                                                                        <w:bottom w:val="none" w:sz="0" w:space="0" w:color="auto"/>
                                                                        <w:right w:val="none" w:sz="0" w:space="0" w:color="auto"/>
                                                                      </w:divBdr>
                                                                    </w:div>
                                                                    <w:div w:id="615873884">
                                                                      <w:marLeft w:val="0"/>
                                                                      <w:marRight w:val="0"/>
                                                                      <w:marTop w:val="150"/>
                                                                      <w:marBottom w:val="150"/>
                                                                      <w:divBdr>
                                                                        <w:top w:val="none" w:sz="0" w:space="0" w:color="auto"/>
                                                                        <w:left w:val="none" w:sz="0" w:space="0" w:color="auto"/>
                                                                        <w:bottom w:val="none" w:sz="0" w:space="0" w:color="auto"/>
                                                                        <w:right w:val="none" w:sz="0" w:space="0" w:color="auto"/>
                                                                      </w:divBdr>
                                                                    </w:div>
                                                                    <w:div w:id="1334720131">
                                                                      <w:marLeft w:val="0"/>
                                                                      <w:marRight w:val="0"/>
                                                                      <w:marTop w:val="150"/>
                                                                      <w:marBottom w:val="150"/>
                                                                      <w:divBdr>
                                                                        <w:top w:val="none" w:sz="0" w:space="0" w:color="auto"/>
                                                                        <w:left w:val="none" w:sz="0" w:space="0" w:color="auto"/>
                                                                        <w:bottom w:val="none" w:sz="0" w:space="0" w:color="auto"/>
                                                                        <w:right w:val="none" w:sz="0" w:space="0" w:color="auto"/>
                                                                      </w:divBdr>
                                                                    </w:div>
                                                                    <w:div w:id="1233196983">
                                                                      <w:marLeft w:val="0"/>
                                                                      <w:marRight w:val="0"/>
                                                                      <w:marTop w:val="150"/>
                                                                      <w:marBottom w:val="150"/>
                                                                      <w:divBdr>
                                                                        <w:top w:val="none" w:sz="0" w:space="0" w:color="auto"/>
                                                                        <w:left w:val="none" w:sz="0" w:space="0" w:color="auto"/>
                                                                        <w:bottom w:val="none" w:sz="0" w:space="0" w:color="auto"/>
                                                                        <w:right w:val="none" w:sz="0" w:space="0" w:color="auto"/>
                                                                      </w:divBdr>
                                                                    </w:div>
                                                                    <w:div w:id="1726106427">
                                                                      <w:marLeft w:val="0"/>
                                                                      <w:marRight w:val="0"/>
                                                                      <w:marTop w:val="150"/>
                                                                      <w:marBottom w:val="150"/>
                                                                      <w:divBdr>
                                                                        <w:top w:val="none" w:sz="0" w:space="0" w:color="auto"/>
                                                                        <w:left w:val="none" w:sz="0" w:space="0" w:color="auto"/>
                                                                        <w:bottom w:val="none" w:sz="0" w:space="0" w:color="auto"/>
                                                                        <w:right w:val="none" w:sz="0" w:space="0" w:color="auto"/>
                                                                      </w:divBdr>
                                                                    </w:div>
                                                                    <w:div w:id="615405331">
                                                                      <w:marLeft w:val="0"/>
                                                                      <w:marRight w:val="0"/>
                                                                      <w:marTop w:val="150"/>
                                                                      <w:marBottom w:val="150"/>
                                                                      <w:divBdr>
                                                                        <w:top w:val="none" w:sz="0" w:space="0" w:color="auto"/>
                                                                        <w:left w:val="none" w:sz="0" w:space="0" w:color="auto"/>
                                                                        <w:bottom w:val="none" w:sz="0" w:space="0" w:color="auto"/>
                                                                        <w:right w:val="none" w:sz="0" w:space="0" w:color="auto"/>
                                                                      </w:divBdr>
                                                                    </w:div>
                                                                    <w:div w:id="324288855">
                                                                      <w:marLeft w:val="0"/>
                                                                      <w:marRight w:val="0"/>
                                                                      <w:marTop w:val="150"/>
                                                                      <w:marBottom w:val="150"/>
                                                                      <w:divBdr>
                                                                        <w:top w:val="none" w:sz="0" w:space="0" w:color="auto"/>
                                                                        <w:left w:val="none" w:sz="0" w:space="0" w:color="auto"/>
                                                                        <w:bottom w:val="none" w:sz="0" w:space="0" w:color="auto"/>
                                                                        <w:right w:val="none" w:sz="0" w:space="0" w:color="auto"/>
                                                                      </w:divBdr>
                                                                    </w:div>
                                                                    <w:div w:id="1126390587">
                                                                      <w:marLeft w:val="0"/>
                                                                      <w:marRight w:val="0"/>
                                                                      <w:marTop w:val="150"/>
                                                                      <w:marBottom w:val="150"/>
                                                                      <w:divBdr>
                                                                        <w:top w:val="none" w:sz="0" w:space="0" w:color="auto"/>
                                                                        <w:left w:val="none" w:sz="0" w:space="0" w:color="auto"/>
                                                                        <w:bottom w:val="none" w:sz="0" w:space="0" w:color="auto"/>
                                                                        <w:right w:val="none" w:sz="0" w:space="0" w:color="auto"/>
                                                                      </w:divBdr>
                                                                    </w:div>
                                                                    <w:div w:id="459342526">
                                                                      <w:marLeft w:val="0"/>
                                                                      <w:marRight w:val="0"/>
                                                                      <w:marTop w:val="150"/>
                                                                      <w:marBottom w:val="150"/>
                                                                      <w:divBdr>
                                                                        <w:top w:val="none" w:sz="0" w:space="0" w:color="auto"/>
                                                                        <w:left w:val="none" w:sz="0" w:space="0" w:color="auto"/>
                                                                        <w:bottom w:val="none" w:sz="0" w:space="0" w:color="auto"/>
                                                                        <w:right w:val="none" w:sz="0" w:space="0" w:color="auto"/>
                                                                      </w:divBdr>
                                                                    </w:div>
                                                                    <w:div w:id="775488113">
                                                                      <w:marLeft w:val="0"/>
                                                                      <w:marRight w:val="0"/>
                                                                      <w:marTop w:val="150"/>
                                                                      <w:marBottom w:val="150"/>
                                                                      <w:divBdr>
                                                                        <w:top w:val="none" w:sz="0" w:space="0" w:color="auto"/>
                                                                        <w:left w:val="none" w:sz="0" w:space="0" w:color="auto"/>
                                                                        <w:bottom w:val="none" w:sz="0" w:space="0" w:color="auto"/>
                                                                        <w:right w:val="none" w:sz="0" w:space="0" w:color="auto"/>
                                                                      </w:divBdr>
                                                                    </w:div>
                                                                    <w:div w:id="668412903">
                                                                      <w:marLeft w:val="0"/>
                                                                      <w:marRight w:val="0"/>
                                                                      <w:marTop w:val="150"/>
                                                                      <w:marBottom w:val="150"/>
                                                                      <w:divBdr>
                                                                        <w:top w:val="none" w:sz="0" w:space="0" w:color="auto"/>
                                                                        <w:left w:val="none" w:sz="0" w:space="0" w:color="auto"/>
                                                                        <w:bottom w:val="none" w:sz="0" w:space="0" w:color="auto"/>
                                                                        <w:right w:val="none" w:sz="0" w:space="0" w:color="auto"/>
                                                                      </w:divBdr>
                                                                    </w:div>
                                                                  </w:divsChild>
                                                                </w:div>
                                                                <w:div w:id="835000965">
                                                                  <w:marLeft w:val="0"/>
                                                                  <w:marRight w:val="0"/>
                                                                  <w:marTop w:val="0"/>
                                                                  <w:marBottom w:val="0"/>
                                                                  <w:divBdr>
                                                                    <w:top w:val="none" w:sz="0" w:space="0" w:color="auto"/>
                                                                    <w:left w:val="none" w:sz="0" w:space="0" w:color="auto"/>
                                                                    <w:bottom w:val="none" w:sz="0" w:space="0" w:color="auto"/>
                                                                    <w:right w:val="none" w:sz="0" w:space="0" w:color="auto"/>
                                                                  </w:divBdr>
                                                                  <w:divsChild>
                                                                    <w:div w:id="726538758">
                                                                      <w:marLeft w:val="0"/>
                                                                      <w:marRight w:val="0"/>
                                                                      <w:marTop w:val="150"/>
                                                                      <w:marBottom w:val="150"/>
                                                                      <w:divBdr>
                                                                        <w:top w:val="none" w:sz="0" w:space="0" w:color="auto"/>
                                                                        <w:left w:val="none" w:sz="0" w:space="0" w:color="auto"/>
                                                                        <w:bottom w:val="none" w:sz="0" w:space="0" w:color="auto"/>
                                                                        <w:right w:val="none" w:sz="0" w:space="0" w:color="auto"/>
                                                                      </w:divBdr>
                                                                    </w:div>
                                                                    <w:div w:id="1761222489">
                                                                      <w:marLeft w:val="0"/>
                                                                      <w:marRight w:val="0"/>
                                                                      <w:marTop w:val="150"/>
                                                                      <w:marBottom w:val="150"/>
                                                                      <w:divBdr>
                                                                        <w:top w:val="none" w:sz="0" w:space="0" w:color="auto"/>
                                                                        <w:left w:val="none" w:sz="0" w:space="0" w:color="auto"/>
                                                                        <w:bottom w:val="none" w:sz="0" w:space="0" w:color="auto"/>
                                                                        <w:right w:val="none" w:sz="0" w:space="0" w:color="auto"/>
                                                                      </w:divBdr>
                                                                    </w:div>
                                                                    <w:div w:id="942999135">
                                                                      <w:marLeft w:val="0"/>
                                                                      <w:marRight w:val="0"/>
                                                                      <w:marTop w:val="150"/>
                                                                      <w:marBottom w:val="150"/>
                                                                      <w:divBdr>
                                                                        <w:top w:val="none" w:sz="0" w:space="0" w:color="auto"/>
                                                                        <w:left w:val="none" w:sz="0" w:space="0" w:color="auto"/>
                                                                        <w:bottom w:val="none" w:sz="0" w:space="0" w:color="auto"/>
                                                                        <w:right w:val="none" w:sz="0" w:space="0" w:color="auto"/>
                                                                      </w:divBdr>
                                                                    </w:div>
                                                                    <w:div w:id="1067067156">
                                                                      <w:marLeft w:val="0"/>
                                                                      <w:marRight w:val="0"/>
                                                                      <w:marTop w:val="150"/>
                                                                      <w:marBottom w:val="150"/>
                                                                      <w:divBdr>
                                                                        <w:top w:val="none" w:sz="0" w:space="0" w:color="auto"/>
                                                                        <w:left w:val="none" w:sz="0" w:space="0" w:color="auto"/>
                                                                        <w:bottom w:val="none" w:sz="0" w:space="0" w:color="auto"/>
                                                                        <w:right w:val="none" w:sz="0" w:space="0" w:color="auto"/>
                                                                      </w:divBdr>
                                                                    </w:div>
                                                                  </w:divsChild>
                                                                </w:div>
                                                                <w:div w:id="429013351">
                                                                  <w:marLeft w:val="0"/>
                                                                  <w:marRight w:val="0"/>
                                                                  <w:marTop w:val="0"/>
                                                                  <w:marBottom w:val="0"/>
                                                                  <w:divBdr>
                                                                    <w:top w:val="none" w:sz="0" w:space="0" w:color="auto"/>
                                                                    <w:left w:val="none" w:sz="0" w:space="0" w:color="auto"/>
                                                                    <w:bottom w:val="none" w:sz="0" w:space="0" w:color="auto"/>
                                                                    <w:right w:val="none" w:sz="0" w:space="0" w:color="auto"/>
                                                                  </w:divBdr>
                                                                  <w:divsChild>
                                                                    <w:div w:id="1151365112">
                                                                      <w:marLeft w:val="0"/>
                                                                      <w:marRight w:val="0"/>
                                                                      <w:marTop w:val="150"/>
                                                                      <w:marBottom w:val="150"/>
                                                                      <w:divBdr>
                                                                        <w:top w:val="none" w:sz="0" w:space="0" w:color="auto"/>
                                                                        <w:left w:val="none" w:sz="0" w:space="0" w:color="auto"/>
                                                                        <w:bottom w:val="none" w:sz="0" w:space="0" w:color="auto"/>
                                                                        <w:right w:val="none" w:sz="0" w:space="0" w:color="auto"/>
                                                                      </w:divBdr>
                                                                    </w:div>
                                                                    <w:div w:id="522551066">
                                                                      <w:marLeft w:val="0"/>
                                                                      <w:marRight w:val="0"/>
                                                                      <w:marTop w:val="150"/>
                                                                      <w:marBottom w:val="150"/>
                                                                      <w:divBdr>
                                                                        <w:top w:val="none" w:sz="0" w:space="0" w:color="auto"/>
                                                                        <w:left w:val="none" w:sz="0" w:space="0" w:color="auto"/>
                                                                        <w:bottom w:val="none" w:sz="0" w:space="0" w:color="auto"/>
                                                                        <w:right w:val="none" w:sz="0" w:space="0" w:color="auto"/>
                                                                      </w:divBdr>
                                                                    </w:div>
                                                                    <w:div w:id="1383024095">
                                                                      <w:marLeft w:val="0"/>
                                                                      <w:marRight w:val="0"/>
                                                                      <w:marTop w:val="150"/>
                                                                      <w:marBottom w:val="150"/>
                                                                      <w:divBdr>
                                                                        <w:top w:val="none" w:sz="0" w:space="0" w:color="auto"/>
                                                                        <w:left w:val="none" w:sz="0" w:space="0" w:color="auto"/>
                                                                        <w:bottom w:val="none" w:sz="0" w:space="0" w:color="auto"/>
                                                                        <w:right w:val="none" w:sz="0" w:space="0" w:color="auto"/>
                                                                      </w:divBdr>
                                                                    </w:div>
                                                                  </w:divsChild>
                                                                </w:div>
                                                                <w:div w:id="2007827661">
                                                                  <w:marLeft w:val="0"/>
                                                                  <w:marRight w:val="0"/>
                                                                  <w:marTop w:val="0"/>
                                                                  <w:marBottom w:val="0"/>
                                                                  <w:divBdr>
                                                                    <w:top w:val="none" w:sz="0" w:space="0" w:color="auto"/>
                                                                    <w:left w:val="none" w:sz="0" w:space="0" w:color="auto"/>
                                                                    <w:bottom w:val="none" w:sz="0" w:space="0" w:color="auto"/>
                                                                    <w:right w:val="none" w:sz="0" w:space="0" w:color="auto"/>
                                                                  </w:divBdr>
                                                                  <w:divsChild>
                                                                    <w:div w:id="253588114">
                                                                      <w:marLeft w:val="0"/>
                                                                      <w:marRight w:val="0"/>
                                                                      <w:marTop w:val="150"/>
                                                                      <w:marBottom w:val="150"/>
                                                                      <w:divBdr>
                                                                        <w:top w:val="none" w:sz="0" w:space="0" w:color="auto"/>
                                                                        <w:left w:val="none" w:sz="0" w:space="0" w:color="auto"/>
                                                                        <w:bottom w:val="none" w:sz="0" w:space="0" w:color="auto"/>
                                                                        <w:right w:val="none" w:sz="0" w:space="0" w:color="auto"/>
                                                                      </w:divBdr>
                                                                    </w:div>
                                                                  </w:divsChild>
                                                                </w:div>
                                                                <w:div w:id="614141434">
                                                                  <w:marLeft w:val="0"/>
                                                                  <w:marRight w:val="0"/>
                                                                  <w:marTop w:val="0"/>
                                                                  <w:marBottom w:val="0"/>
                                                                  <w:divBdr>
                                                                    <w:top w:val="none" w:sz="0" w:space="0" w:color="auto"/>
                                                                    <w:left w:val="none" w:sz="0" w:space="0" w:color="auto"/>
                                                                    <w:bottom w:val="none" w:sz="0" w:space="0" w:color="auto"/>
                                                                    <w:right w:val="none" w:sz="0" w:space="0" w:color="auto"/>
                                                                  </w:divBdr>
                                                                  <w:divsChild>
                                                                    <w:div w:id="615602274">
                                                                      <w:marLeft w:val="0"/>
                                                                      <w:marRight w:val="0"/>
                                                                      <w:marTop w:val="150"/>
                                                                      <w:marBottom w:val="150"/>
                                                                      <w:divBdr>
                                                                        <w:top w:val="none" w:sz="0" w:space="0" w:color="auto"/>
                                                                        <w:left w:val="none" w:sz="0" w:space="0" w:color="auto"/>
                                                                        <w:bottom w:val="none" w:sz="0" w:space="0" w:color="auto"/>
                                                                        <w:right w:val="none" w:sz="0" w:space="0" w:color="auto"/>
                                                                      </w:divBdr>
                                                                    </w:div>
                                                                    <w:div w:id="1979919586">
                                                                      <w:marLeft w:val="0"/>
                                                                      <w:marRight w:val="0"/>
                                                                      <w:marTop w:val="150"/>
                                                                      <w:marBottom w:val="150"/>
                                                                      <w:divBdr>
                                                                        <w:top w:val="none" w:sz="0" w:space="0" w:color="auto"/>
                                                                        <w:left w:val="none" w:sz="0" w:space="0" w:color="auto"/>
                                                                        <w:bottom w:val="none" w:sz="0" w:space="0" w:color="auto"/>
                                                                        <w:right w:val="none" w:sz="0" w:space="0" w:color="auto"/>
                                                                      </w:divBdr>
                                                                    </w:div>
                                                                    <w:div w:id="1891650305">
                                                                      <w:marLeft w:val="0"/>
                                                                      <w:marRight w:val="0"/>
                                                                      <w:marTop w:val="150"/>
                                                                      <w:marBottom w:val="150"/>
                                                                      <w:divBdr>
                                                                        <w:top w:val="none" w:sz="0" w:space="0" w:color="auto"/>
                                                                        <w:left w:val="none" w:sz="0" w:space="0" w:color="auto"/>
                                                                        <w:bottom w:val="none" w:sz="0" w:space="0" w:color="auto"/>
                                                                        <w:right w:val="none" w:sz="0" w:space="0" w:color="auto"/>
                                                                      </w:divBdr>
                                                                    </w:div>
                                                                    <w:div w:id="1487358091">
                                                                      <w:marLeft w:val="0"/>
                                                                      <w:marRight w:val="0"/>
                                                                      <w:marTop w:val="150"/>
                                                                      <w:marBottom w:val="150"/>
                                                                      <w:divBdr>
                                                                        <w:top w:val="none" w:sz="0" w:space="0" w:color="auto"/>
                                                                        <w:left w:val="none" w:sz="0" w:space="0" w:color="auto"/>
                                                                        <w:bottom w:val="none" w:sz="0" w:space="0" w:color="auto"/>
                                                                        <w:right w:val="none" w:sz="0" w:space="0" w:color="auto"/>
                                                                      </w:divBdr>
                                                                    </w:div>
                                                                    <w:div w:id="1620916487">
                                                                      <w:marLeft w:val="0"/>
                                                                      <w:marRight w:val="0"/>
                                                                      <w:marTop w:val="150"/>
                                                                      <w:marBottom w:val="150"/>
                                                                      <w:divBdr>
                                                                        <w:top w:val="none" w:sz="0" w:space="0" w:color="auto"/>
                                                                        <w:left w:val="none" w:sz="0" w:space="0" w:color="auto"/>
                                                                        <w:bottom w:val="none" w:sz="0" w:space="0" w:color="auto"/>
                                                                        <w:right w:val="none" w:sz="0" w:space="0" w:color="auto"/>
                                                                      </w:divBdr>
                                                                    </w:div>
                                                                    <w:div w:id="594974">
                                                                      <w:marLeft w:val="0"/>
                                                                      <w:marRight w:val="0"/>
                                                                      <w:marTop w:val="150"/>
                                                                      <w:marBottom w:val="150"/>
                                                                      <w:divBdr>
                                                                        <w:top w:val="none" w:sz="0" w:space="0" w:color="auto"/>
                                                                        <w:left w:val="none" w:sz="0" w:space="0" w:color="auto"/>
                                                                        <w:bottom w:val="none" w:sz="0" w:space="0" w:color="auto"/>
                                                                        <w:right w:val="none" w:sz="0" w:space="0" w:color="auto"/>
                                                                      </w:divBdr>
                                                                    </w:div>
                                                                    <w:div w:id="355233977">
                                                                      <w:marLeft w:val="0"/>
                                                                      <w:marRight w:val="0"/>
                                                                      <w:marTop w:val="150"/>
                                                                      <w:marBottom w:val="150"/>
                                                                      <w:divBdr>
                                                                        <w:top w:val="none" w:sz="0" w:space="0" w:color="auto"/>
                                                                        <w:left w:val="none" w:sz="0" w:space="0" w:color="auto"/>
                                                                        <w:bottom w:val="none" w:sz="0" w:space="0" w:color="auto"/>
                                                                        <w:right w:val="none" w:sz="0" w:space="0" w:color="auto"/>
                                                                      </w:divBdr>
                                                                    </w:div>
                                                                    <w:div w:id="1434933623">
                                                                      <w:marLeft w:val="0"/>
                                                                      <w:marRight w:val="0"/>
                                                                      <w:marTop w:val="150"/>
                                                                      <w:marBottom w:val="150"/>
                                                                      <w:divBdr>
                                                                        <w:top w:val="none" w:sz="0" w:space="0" w:color="auto"/>
                                                                        <w:left w:val="none" w:sz="0" w:space="0" w:color="auto"/>
                                                                        <w:bottom w:val="none" w:sz="0" w:space="0" w:color="auto"/>
                                                                        <w:right w:val="none" w:sz="0" w:space="0" w:color="auto"/>
                                                                      </w:divBdr>
                                                                    </w:div>
                                                                    <w:div w:id="1087506105">
                                                                      <w:marLeft w:val="0"/>
                                                                      <w:marRight w:val="0"/>
                                                                      <w:marTop w:val="150"/>
                                                                      <w:marBottom w:val="150"/>
                                                                      <w:divBdr>
                                                                        <w:top w:val="none" w:sz="0" w:space="0" w:color="auto"/>
                                                                        <w:left w:val="none" w:sz="0" w:space="0" w:color="auto"/>
                                                                        <w:bottom w:val="none" w:sz="0" w:space="0" w:color="auto"/>
                                                                        <w:right w:val="none" w:sz="0" w:space="0" w:color="auto"/>
                                                                      </w:divBdr>
                                                                    </w:div>
                                                                    <w:div w:id="2124763392">
                                                                      <w:marLeft w:val="0"/>
                                                                      <w:marRight w:val="0"/>
                                                                      <w:marTop w:val="150"/>
                                                                      <w:marBottom w:val="150"/>
                                                                      <w:divBdr>
                                                                        <w:top w:val="none" w:sz="0" w:space="0" w:color="auto"/>
                                                                        <w:left w:val="none" w:sz="0" w:space="0" w:color="auto"/>
                                                                        <w:bottom w:val="none" w:sz="0" w:space="0" w:color="auto"/>
                                                                        <w:right w:val="none" w:sz="0" w:space="0" w:color="auto"/>
                                                                      </w:divBdr>
                                                                    </w:div>
                                                                    <w:div w:id="1081638058">
                                                                      <w:marLeft w:val="0"/>
                                                                      <w:marRight w:val="0"/>
                                                                      <w:marTop w:val="150"/>
                                                                      <w:marBottom w:val="150"/>
                                                                      <w:divBdr>
                                                                        <w:top w:val="none" w:sz="0" w:space="0" w:color="auto"/>
                                                                        <w:left w:val="none" w:sz="0" w:space="0" w:color="auto"/>
                                                                        <w:bottom w:val="none" w:sz="0" w:space="0" w:color="auto"/>
                                                                        <w:right w:val="none" w:sz="0" w:space="0" w:color="auto"/>
                                                                      </w:divBdr>
                                                                    </w:div>
                                                                  </w:divsChild>
                                                                </w:div>
                                                                <w:div w:id="1523744210">
                                                                  <w:marLeft w:val="0"/>
                                                                  <w:marRight w:val="0"/>
                                                                  <w:marTop w:val="0"/>
                                                                  <w:marBottom w:val="0"/>
                                                                  <w:divBdr>
                                                                    <w:top w:val="none" w:sz="0" w:space="0" w:color="auto"/>
                                                                    <w:left w:val="none" w:sz="0" w:space="0" w:color="auto"/>
                                                                    <w:bottom w:val="none" w:sz="0" w:space="0" w:color="auto"/>
                                                                    <w:right w:val="none" w:sz="0" w:space="0" w:color="auto"/>
                                                                  </w:divBdr>
                                                                  <w:divsChild>
                                                                    <w:div w:id="397824436">
                                                                      <w:marLeft w:val="0"/>
                                                                      <w:marRight w:val="0"/>
                                                                      <w:marTop w:val="150"/>
                                                                      <w:marBottom w:val="150"/>
                                                                      <w:divBdr>
                                                                        <w:top w:val="none" w:sz="0" w:space="0" w:color="auto"/>
                                                                        <w:left w:val="none" w:sz="0" w:space="0" w:color="auto"/>
                                                                        <w:bottom w:val="none" w:sz="0" w:space="0" w:color="auto"/>
                                                                        <w:right w:val="none" w:sz="0" w:space="0" w:color="auto"/>
                                                                      </w:divBdr>
                                                                    </w:div>
                                                                    <w:div w:id="271129347">
                                                                      <w:marLeft w:val="0"/>
                                                                      <w:marRight w:val="0"/>
                                                                      <w:marTop w:val="150"/>
                                                                      <w:marBottom w:val="150"/>
                                                                      <w:divBdr>
                                                                        <w:top w:val="none" w:sz="0" w:space="0" w:color="auto"/>
                                                                        <w:left w:val="none" w:sz="0" w:space="0" w:color="auto"/>
                                                                        <w:bottom w:val="none" w:sz="0" w:space="0" w:color="auto"/>
                                                                        <w:right w:val="none" w:sz="0" w:space="0" w:color="auto"/>
                                                                      </w:divBdr>
                                                                    </w:div>
                                                                  </w:divsChild>
                                                                </w:div>
                                                                <w:div w:id="962997258">
                                                                  <w:marLeft w:val="0"/>
                                                                  <w:marRight w:val="0"/>
                                                                  <w:marTop w:val="0"/>
                                                                  <w:marBottom w:val="0"/>
                                                                  <w:divBdr>
                                                                    <w:top w:val="none" w:sz="0" w:space="0" w:color="auto"/>
                                                                    <w:left w:val="none" w:sz="0" w:space="0" w:color="auto"/>
                                                                    <w:bottom w:val="none" w:sz="0" w:space="0" w:color="auto"/>
                                                                    <w:right w:val="none" w:sz="0" w:space="0" w:color="auto"/>
                                                                  </w:divBdr>
                                                                  <w:divsChild>
                                                                    <w:div w:id="220411611">
                                                                      <w:marLeft w:val="0"/>
                                                                      <w:marRight w:val="0"/>
                                                                      <w:marTop w:val="150"/>
                                                                      <w:marBottom w:val="150"/>
                                                                      <w:divBdr>
                                                                        <w:top w:val="none" w:sz="0" w:space="0" w:color="auto"/>
                                                                        <w:left w:val="none" w:sz="0" w:space="0" w:color="auto"/>
                                                                        <w:bottom w:val="none" w:sz="0" w:space="0" w:color="auto"/>
                                                                        <w:right w:val="none" w:sz="0" w:space="0" w:color="auto"/>
                                                                      </w:divBdr>
                                                                    </w:div>
                                                                    <w:div w:id="1173763116">
                                                                      <w:marLeft w:val="0"/>
                                                                      <w:marRight w:val="0"/>
                                                                      <w:marTop w:val="150"/>
                                                                      <w:marBottom w:val="150"/>
                                                                      <w:divBdr>
                                                                        <w:top w:val="none" w:sz="0" w:space="0" w:color="auto"/>
                                                                        <w:left w:val="none" w:sz="0" w:space="0" w:color="auto"/>
                                                                        <w:bottom w:val="none" w:sz="0" w:space="0" w:color="auto"/>
                                                                        <w:right w:val="none" w:sz="0" w:space="0" w:color="auto"/>
                                                                      </w:divBdr>
                                                                    </w:div>
                                                                    <w:div w:id="46540687">
                                                                      <w:marLeft w:val="0"/>
                                                                      <w:marRight w:val="0"/>
                                                                      <w:marTop w:val="150"/>
                                                                      <w:marBottom w:val="150"/>
                                                                      <w:divBdr>
                                                                        <w:top w:val="none" w:sz="0" w:space="0" w:color="auto"/>
                                                                        <w:left w:val="none" w:sz="0" w:space="0" w:color="auto"/>
                                                                        <w:bottom w:val="none" w:sz="0" w:space="0" w:color="auto"/>
                                                                        <w:right w:val="none" w:sz="0" w:space="0" w:color="auto"/>
                                                                      </w:divBdr>
                                                                    </w:div>
                                                                    <w:div w:id="583297670">
                                                                      <w:marLeft w:val="0"/>
                                                                      <w:marRight w:val="0"/>
                                                                      <w:marTop w:val="150"/>
                                                                      <w:marBottom w:val="150"/>
                                                                      <w:divBdr>
                                                                        <w:top w:val="none" w:sz="0" w:space="0" w:color="auto"/>
                                                                        <w:left w:val="none" w:sz="0" w:space="0" w:color="auto"/>
                                                                        <w:bottom w:val="none" w:sz="0" w:space="0" w:color="auto"/>
                                                                        <w:right w:val="none" w:sz="0" w:space="0" w:color="auto"/>
                                                                      </w:divBdr>
                                                                    </w:div>
                                                                  </w:divsChild>
                                                                </w:div>
                                                                <w:div w:id="38283202">
                                                                  <w:marLeft w:val="0"/>
                                                                  <w:marRight w:val="0"/>
                                                                  <w:marTop w:val="0"/>
                                                                  <w:marBottom w:val="0"/>
                                                                  <w:divBdr>
                                                                    <w:top w:val="none" w:sz="0" w:space="0" w:color="auto"/>
                                                                    <w:left w:val="none" w:sz="0" w:space="0" w:color="auto"/>
                                                                    <w:bottom w:val="none" w:sz="0" w:space="0" w:color="auto"/>
                                                                    <w:right w:val="none" w:sz="0" w:space="0" w:color="auto"/>
                                                                  </w:divBdr>
                                                                  <w:divsChild>
                                                                    <w:div w:id="304746160">
                                                                      <w:marLeft w:val="0"/>
                                                                      <w:marRight w:val="0"/>
                                                                      <w:marTop w:val="150"/>
                                                                      <w:marBottom w:val="150"/>
                                                                      <w:divBdr>
                                                                        <w:top w:val="none" w:sz="0" w:space="0" w:color="auto"/>
                                                                        <w:left w:val="none" w:sz="0" w:space="0" w:color="auto"/>
                                                                        <w:bottom w:val="none" w:sz="0" w:space="0" w:color="auto"/>
                                                                        <w:right w:val="none" w:sz="0" w:space="0" w:color="auto"/>
                                                                      </w:divBdr>
                                                                    </w:div>
                                                                    <w:div w:id="984823329">
                                                                      <w:marLeft w:val="0"/>
                                                                      <w:marRight w:val="0"/>
                                                                      <w:marTop w:val="150"/>
                                                                      <w:marBottom w:val="150"/>
                                                                      <w:divBdr>
                                                                        <w:top w:val="none" w:sz="0" w:space="0" w:color="auto"/>
                                                                        <w:left w:val="none" w:sz="0" w:space="0" w:color="auto"/>
                                                                        <w:bottom w:val="none" w:sz="0" w:space="0" w:color="auto"/>
                                                                        <w:right w:val="none" w:sz="0" w:space="0" w:color="auto"/>
                                                                      </w:divBdr>
                                                                    </w:div>
                                                                    <w:div w:id="289014337">
                                                                      <w:marLeft w:val="0"/>
                                                                      <w:marRight w:val="0"/>
                                                                      <w:marTop w:val="150"/>
                                                                      <w:marBottom w:val="150"/>
                                                                      <w:divBdr>
                                                                        <w:top w:val="none" w:sz="0" w:space="0" w:color="auto"/>
                                                                        <w:left w:val="none" w:sz="0" w:space="0" w:color="auto"/>
                                                                        <w:bottom w:val="none" w:sz="0" w:space="0" w:color="auto"/>
                                                                        <w:right w:val="none" w:sz="0" w:space="0" w:color="auto"/>
                                                                      </w:divBdr>
                                                                    </w:div>
                                                                  </w:divsChild>
                                                                </w:div>
                                                                <w:div w:id="413936334">
                                                                  <w:marLeft w:val="0"/>
                                                                  <w:marRight w:val="0"/>
                                                                  <w:marTop w:val="0"/>
                                                                  <w:marBottom w:val="0"/>
                                                                  <w:divBdr>
                                                                    <w:top w:val="none" w:sz="0" w:space="0" w:color="auto"/>
                                                                    <w:left w:val="none" w:sz="0" w:space="0" w:color="auto"/>
                                                                    <w:bottom w:val="none" w:sz="0" w:space="0" w:color="auto"/>
                                                                    <w:right w:val="none" w:sz="0" w:space="0" w:color="auto"/>
                                                                  </w:divBdr>
                                                                  <w:divsChild>
                                                                    <w:div w:id="1438528353">
                                                                      <w:marLeft w:val="0"/>
                                                                      <w:marRight w:val="0"/>
                                                                      <w:marTop w:val="150"/>
                                                                      <w:marBottom w:val="150"/>
                                                                      <w:divBdr>
                                                                        <w:top w:val="none" w:sz="0" w:space="0" w:color="auto"/>
                                                                        <w:left w:val="none" w:sz="0" w:space="0" w:color="auto"/>
                                                                        <w:bottom w:val="none" w:sz="0" w:space="0" w:color="auto"/>
                                                                        <w:right w:val="none" w:sz="0" w:space="0" w:color="auto"/>
                                                                      </w:divBdr>
                                                                    </w:div>
                                                                  </w:divsChild>
                                                                </w:div>
                                                                <w:div w:id="1344209629">
                                                                  <w:marLeft w:val="0"/>
                                                                  <w:marRight w:val="0"/>
                                                                  <w:marTop w:val="0"/>
                                                                  <w:marBottom w:val="0"/>
                                                                  <w:divBdr>
                                                                    <w:top w:val="none" w:sz="0" w:space="0" w:color="auto"/>
                                                                    <w:left w:val="none" w:sz="0" w:space="0" w:color="auto"/>
                                                                    <w:bottom w:val="none" w:sz="0" w:space="0" w:color="auto"/>
                                                                    <w:right w:val="none" w:sz="0" w:space="0" w:color="auto"/>
                                                                  </w:divBdr>
                                                                  <w:divsChild>
                                                                    <w:div w:id="798496869">
                                                                      <w:marLeft w:val="0"/>
                                                                      <w:marRight w:val="0"/>
                                                                      <w:marTop w:val="150"/>
                                                                      <w:marBottom w:val="150"/>
                                                                      <w:divBdr>
                                                                        <w:top w:val="none" w:sz="0" w:space="0" w:color="auto"/>
                                                                        <w:left w:val="none" w:sz="0" w:space="0" w:color="auto"/>
                                                                        <w:bottom w:val="none" w:sz="0" w:space="0" w:color="auto"/>
                                                                        <w:right w:val="none" w:sz="0" w:space="0" w:color="auto"/>
                                                                      </w:divBdr>
                                                                    </w:div>
                                                                    <w:div w:id="1486162355">
                                                                      <w:marLeft w:val="0"/>
                                                                      <w:marRight w:val="0"/>
                                                                      <w:marTop w:val="150"/>
                                                                      <w:marBottom w:val="150"/>
                                                                      <w:divBdr>
                                                                        <w:top w:val="none" w:sz="0" w:space="0" w:color="auto"/>
                                                                        <w:left w:val="none" w:sz="0" w:space="0" w:color="auto"/>
                                                                        <w:bottom w:val="none" w:sz="0" w:space="0" w:color="auto"/>
                                                                        <w:right w:val="none" w:sz="0" w:space="0" w:color="auto"/>
                                                                      </w:divBdr>
                                                                    </w:div>
                                                                    <w:div w:id="58478766">
                                                                      <w:marLeft w:val="0"/>
                                                                      <w:marRight w:val="0"/>
                                                                      <w:marTop w:val="150"/>
                                                                      <w:marBottom w:val="150"/>
                                                                      <w:divBdr>
                                                                        <w:top w:val="none" w:sz="0" w:space="0" w:color="auto"/>
                                                                        <w:left w:val="none" w:sz="0" w:space="0" w:color="auto"/>
                                                                        <w:bottom w:val="none" w:sz="0" w:space="0" w:color="auto"/>
                                                                        <w:right w:val="none" w:sz="0" w:space="0" w:color="auto"/>
                                                                      </w:divBdr>
                                                                    </w:div>
                                                                  </w:divsChild>
                                                                </w:div>
                                                                <w:div w:id="1157065643">
                                                                  <w:marLeft w:val="0"/>
                                                                  <w:marRight w:val="0"/>
                                                                  <w:marTop w:val="0"/>
                                                                  <w:marBottom w:val="0"/>
                                                                  <w:divBdr>
                                                                    <w:top w:val="none" w:sz="0" w:space="0" w:color="auto"/>
                                                                    <w:left w:val="none" w:sz="0" w:space="0" w:color="auto"/>
                                                                    <w:bottom w:val="none" w:sz="0" w:space="0" w:color="auto"/>
                                                                    <w:right w:val="none" w:sz="0" w:space="0" w:color="auto"/>
                                                                  </w:divBdr>
                                                                  <w:divsChild>
                                                                    <w:div w:id="1110510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0390031">
      <w:bodyDiv w:val="1"/>
      <w:marLeft w:val="0"/>
      <w:marRight w:val="0"/>
      <w:marTop w:val="0"/>
      <w:marBottom w:val="0"/>
      <w:divBdr>
        <w:top w:val="none" w:sz="0" w:space="0" w:color="auto"/>
        <w:left w:val="none" w:sz="0" w:space="0" w:color="auto"/>
        <w:bottom w:val="none" w:sz="0" w:space="0" w:color="auto"/>
        <w:right w:val="none" w:sz="0" w:space="0" w:color="auto"/>
      </w:divBdr>
    </w:div>
    <w:div w:id="1197620893">
      <w:bodyDiv w:val="1"/>
      <w:marLeft w:val="0"/>
      <w:marRight w:val="0"/>
      <w:marTop w:val="0"/>
      <w:marBottom w:val="0"/>
      <w:divBdr>
        <w:top w:val="none" w:sz="0" w:space="0" w:color="auto"/>
        <w:left w:val="none" w:sz="0" w:space="0" w:color="auto"/>
        <w:bottom w:val="none" w:sz="0" w:space="0" w:color="auto"/>
        <w:right w:val="none" w:sz="0" w:space="0" w:color="auto"/>
      </w:divBdr>
    </w:div>
    <w:div w:id="1263996590">
      <w:bodyDiv w:val="1"/>
      <w:marLeft w:val="0"/>
      <w:marRight w:val="0"/>
      <w:marTop w:val="0"/>
      <w:marBottom w:val="0"/>
      <w:divBdr>
        <w:top w:val="none" w:sz="0" w:space="0" w:color="auto"/>
        <w:left w:val="none" w:sz="0" w:space="0" w:color="auto"/>
        <w:bottom w:val="none" w:sz="0" w:space="0" w:color="auto"/>
        <w:right w:val="none" w:sz="0" w:space="0" w:color="auto"/>
      </w:divBdr>
    </w:div>
    <w:div w:id="1267925606">
      <w:bodyDiv w:val="1"/>
      <w:marLeft w:val="0"/>
      <w:marRight w:val="0"/>
      <w:marTop w:val="0"/>
      <w:marBottom w:val="0"/>
      <w:divBdr>
        <w:top w:val="none" w:sz="0" w:space="0" w:color="auto"/>
        <w:left w:val="none" w:sz="0" w:space="0" w:color="auto"/>
        <w:bottom w:val="none" w:sz="0" w:space="0" w:color="auto"/>
        <w:right w:val="none" w:sz="0" w:space="0" w:color="auto"/>
      </w:divBdr>
    </w:div>
    <w:div w:id="1373379474">
      <w:bodyDiv w:val="1"/>
      <w:marLeft w:val="0"/>
      <w:marRight w:val="0"/>
      <w:marTop w:val="0"/>
      <w:marBottom w:val="0"/>
      <w:divBdr>
        <w:top w:val="none" w:sz="0" w:space="0" w:color="auto"/>
        <w:left w:val="none" w:sz="0" w:space="0" w:color="auto"/>
        <w:bottom w:val="none" w:sz="0" w:space="0" w:color="auto"/>
        <w:right w:val="none" w:sz="0" w:space="0" w:color="auto"/>
      </w:divBdr>
    </w:div>
    <w:div w:id="1548489067">
      <w:bodyDiv w:val="1"/>
      <w:marLeft w:val="0"/>
      <w:marRight w:val="0"/>
      <w:marTop w:val="0"/>
      <w:marBottom w:val="0"/>
      <w:divBdr>
        <w:top w:val="none" w:sz="0" w:space="0" w:color="auto"/>
        <w:left w:val="none" w:sz="0" w:space="0" w:color="auto"/>
        <w:bottom w:val="none" w:sz="0" w:space="0" w:color="auto"/>
        <w:right w:val="none" w:sz="0" w:space="0" w:color="auto"/>
      </w:divBdr>
    </w:div>
    <w:div w:id="1631209882">
      <w:bodyDiv w:val="1"/>
      <w:marLeft w:val="0"/>
      <w:marRight w:val="0"/>
      <w:marTop w:val="0"/>
      <w:marBottom w:val="0"/>
      <w:divBdr>
        <w:top w:val="none" w:sz="0" w:space="0" w:color="auto"/>
        <w:left w:val="none" w:sz="0" w:space="0" w:color="auto"/>
        <w:bottom w:val="none" w:sz="0" w:space="0" w:color="auto"/>
        <w:right w:val="none" w:sz="0" w:space="0" w:color="auto"/>
      </w:divBdr>
    </w:div>
    <w:div w:id="1632707743">
      <w:bodyDiv w:val="1"/>
      <w:marLeft w:val="0"/>
      <w:marRight w:val="0"/>
      <w:marTop w:val="0"/>
      <w:marBottom w:val="0"/>
      <w:divBdr>
        <w:top w:val="none" w:sz="0" w:space="0" w:color="auto"/>
        <w:left w:val="none" w:sz="0" w:space="0" w:color="auto"/>
        <w:bottom w:val="none" w:sz="0" w:space="0" w:color="auto"/>
        <w:right w:val="none" w:sz="0" w:space="0" w:color="auto"/>
      </w:divBdr>
    </w:div>
    <w:div w:id="1671327444">
      <w:bodyDiv w:val="1"/>
      <w:marLeft w:val="0"/>
      <w:marRight w:val="0"/>
      <w:marTop w:val="0"/>
      <w:marBottom w:val="0"/>
      <w:divBdr>
        <w:top w:val="none" w:sz="0" w:space="0" w:color="auto"/>
        <w:left w:val="none" w:sz="0" w:space="0" w:color="auto"/>
        <w:bottom w:val="none" w:sz="0" w:space="0" w:color="auto"/>
        <w:right w:val="none" w:sz="0" w:space="0" w:color="auto"/>
      </w:divBdr>
    </w:div>
    <w:div w:id="1683775236">
      <w:bodyDiv w:val="1"/>
      <w:marLeft w:val="0"/>
      <w:marRight w:val="0"/>
      <w:marTop w:val="0"/>
      <w:marBottom w:val="0"/>
      <w:divBdr>
        <w:top w:val="none" w:sz="0" w:space="0" w:color="auto"/>
        <w:left w:val="none" w:sz="0" w:space="0" w:color="auto"/>
        <w:bottom w:val="none" w:sz="0" w:space="0" w:color="auto"/>
        <w:right w:val="none" w:sz="0" w:space="0" w:color="auto"/>
      </w:divBdr>
    </w:div>
    <w:div w:id="1758552792">
      <w:bodyDiv w:val="1"/>
      <w:marLeft w:val="0"/>
      <w:marRight w:val="0"/>
      <w:marTop w:val="0"/>
      <w:marBottom w:val="0"/>
      <w:divBdr>
        <w:top w:val="none" w:sz="0" w:space="0" w:color="auto"/>
        <w:left w:val="none" w:sz="0" w:space="0" w:color="auto"/>
        <w:bottom w:val="none" w:sz="0" w:space="0" w:color="auto"/>
        <w:right w:val="none" w:sz="0" w:space="0" w:color="auto"/>
      </w:divBdr>
    </w:div>
    <w:div w:id="1832015405">
      <w:bodyDiv w:val="1"/>
      <w:marLeft w:val="0"/>
      <w:marRight w:val="0"/>
      <w:marTop w:val="0"/>
      <w:marBottom w:val="0"/>
      <w:divBdr>
        <w:top w:val="none" w:sz="0" w:space="0" w:color="auto"/>
        <w:left w:val="none" w:sz="0" w:space="0" w:color="auto"/>
        <w:bottom w:val="none" w:sz="0" w:space="0" w:color="auto"/>
        <w:right w:val="none" w:sz="0" w:space="0" w:color="auto"/>
      </w:divBdr>
      <w:divsChild>
        <w:div w:id="2024237860">
          <w:marLeft w:val="0"/>
          <w:marRight w:val="0"/>
          <w:marTop w:val="0"/>
          <w:marBottom w:val="0"/>
          <w:divBdr>
            <w:top w:val="none" w:sz="0" w:space="0" w:color="auto"/>
            <w:left w:val="none" w:sz="0" w:space="0" w:color="auto"/>
            <w:bottom w:val="none" w:sz="0" w:space="0" w:color="auto"/>
            <w:right w:val="none" w:sz="0" w:space="0" w:color="auto"/>
          </w:divBdr>
          <w:divsChild>
            <w:div w:id="367610832">
              <w:marLeft w:val="0"/>
              <w:marRight w:val="0"/>
              <w:marTop w:val="0"/>
              <w:marBottom w:val="0"/>
              <w:divBdr>
                <w:top w:val="none" w:sz="0" w:space="0" w:color="auto"/>
                <w:left w:val="none" w:sz="0" w:space="0" w:color="auto"/>
                <w:bottom w:val="none" w:sz="0" w:space="0" w:color="auto"/>
                <w:right w:val="none" w:sz="0" w:space="0" w:color="auto"/>
              </w:divBdr>
              <w:divsChild>
                <w:div w:id="388725839">
                  <w:marLeft w:val="0"/>
                  <w:marRight w:val="0"/>
                  <w:marTop w:val="0"/>
                  <w:marBottom w:val="0"/>
                  <w:divBdr>
                    <w:top w:val="none" w:sz="0" w:space="0" w:color="auto"/>
                    <w:left w:val="none" w:sz="0" w:space="0" w:color="auto"/>
                    <w:bottom w:val="none" w:sz="0" w:space="0" w:color="auto"/>
                    <w:right w:val="none" w:sz="0" w:space="0" w:color="auto"/>
                  </w:divBdr>
                  <w:divsChild>
                    <w:div w:id="1215581890">
                      <w:marLeft w:val="0"/>
                      <w:marRight w:val="0"/>
                      <w:marTop w:val="0"/>
                      <w:marBottom w:val="0"/>
                      <w:divBdr>
                        <w:top w:val="none" w:sz="0" w:space="0" w:color="auto"/>
                        <w:left w:val="none" w:sz="0" w:space="0" w:color="auto"/>
                        <w:bottom w:val="none" w:sz="0" w:space="0" w:color="auto"/>
                        <w:right w:val="none" w:sz="0" w:space="0" w:color="auto"/>
                      </w:divBdr>
                      <w:divsChild>
                        <w:div w:id="1813138943">
                          <w:marLeft w:val="0"/>
                          <w:marRight w:val="0"/>
                          <w:marTop w:val="0"/>
                          <w:marBottom w:val="0"/>
                          <w:divBdr>
                            <w:top w:val="none" w:sz="0" w:space="0" w:color="auto"/>
                            <w:left w:val="none" w:sz="0" w:space="0" w:color="auto"/>
                            <w:bottom w:val="none" w:sz="0" w:space="0" w:color="auto"/>
                            <w:right w:val="none" w:sz="0" w:space="0" w:color="auto"/>
                          </w:divBdr>
                          <w:divsChild>
                            <w:div w:id="1626735606">
                              <w:marLeft w:val="0"/>
                              <w:marRight w:val="0"/>
                              <w:marTop w:val="0"/>
                              <w:marBottom w:val="0"/>
                              <w:divBdr>
                                <w:top w:val="none" w:sz="0" w:space="0" w:color="auto"/>
                                <w:left w:val="none" w:sz="0" w:space="0" w:color="auto"/>
                                <w:bottom w:val="none" w:sz="0" w:space="0" w:color="auto"/>
                                <w:right w:val="none" w:sz="0" w:space="0" w:color="auto"/>
                              </w:divBdr>
                              <w:divsChild>
                                <w:div w:id="2130933187">
                                  <w:marLeft w:val="0"/>
                                  <w:marRight w:val="0"/>
                                  <w:marTop w:val="0"/>
                                  <w:marBottom w:val="0"/>
                                  <w:divBdr>
                                    <w:top w:val="none" w:sz="0" w:space="0" w:color="auto"/>
                                    <w:left w:val="none" w:sz="0" w:space="0" w:color="auto"/>
                                    <w:bottom w:val="none" w:sz="0" w:space="0" w:color="auto"/>
                                    <w:right w:val="none" w:sz="0" w:space="0" w:color="auto"/>
                                  </w:divBdr>
                                  <w:divsChild>
                                    <w:div w:id="728116634">
                                      <w:marLeft w:val="0"/>
                                      <w:marRight w:val="0"/>
                                      <w:marTop w:val="0"/>
                                      <w:marBottom w:val="0"/>
                                      <w:divBdr>
                                        <w:top w:val="none" w:sz="0" w:space="0" w:color="auto"/>
                                        <w:left w:val="none" w:sz="0" w:space="0" w:color="auto"/>
                                        <w:bottom w:val="none" w:sz="0" w:space="0" w:color="auto"/>
                                        <w:right w:val="none" w:sz="0" w:space="0" w:color="auto"/>
                                      </w:divBdr>
                                      <w:divsChild>
                                        <w:div w:id="877931170">
                                          <w:marLeft w:val="0"/>
                                          <w:marRight w:val="0"/>
                                          <w:marTop w:val="0"/>
                                          <w:marBottom w:val="0"/>
                                          <w:divBdr>
                                            <w:top w:val="none" w:sz="0" w:space="0" w:color="auto"/>
                                            <w:left w:val="none" w:sz="0" w:space="0" w:color="auto"/>
                                            <w:bottom w:val="none" w:sz="0" w:space="0" w:color="auto"/>
                                            <w:right w:val="none" w:sz="0" w:space="0" w:color="auto"/>
                                          </w:divBdr>
                                          <w:divsChild>
                                            <w:div w:id="1858420588">
                                              <w:marLeft w:val="0"/>
                                              <w:marRight w:val="0"/>
                                              <w:marTop w:val="0"/>
                                              <w:marBottom w:val="0"/>
                                              <w:divBdr>
                                                <w:top w:val="none" w:sz="0" w:space="0" w:color="auto"/>
                                                <w:left w:val="none" w:sz="0" w:space="0" w:color="auto"/>
                                                <w:bottom w:val="none" w:sz="0" w:space="0" w:color="auto"/>
                                                <w:right w:val="none" w:sz="0" w:space="0" w:color="auto"/>
                                              </w:divBdr>
                                              <w:divsChild>
                                                <w:div w:id="784618074">
                                                  <w:marLeft w:val="0"/>
                                                  <w:marRight w:val="0"/>
                                                  <w:marTop w:val="0"/>
                                                  <w:marBottom w:val="0"/>
                                                  <w:divBdr>
                                                    <w:top w:val="none" w:sz="0" w:space="0" w:color="auto"/>
                                                    <w:left w:val="none" w:sz="0" w:space="0" w:color="auto"/>
                                                    <w:bottom w:val="none" w:sz="0" w:space="0" w:color="auto"/>
                                                    <w:right w:val="none" w:sz="0" w:space="0" w:color="auto"/>
                                                  </w:divBdr>
                                                  <w:divsChild>
                                                    <w:div w:id="697436679">
                                                      <w:marLeft w:val="0"/>
                                                      <w:marRight w:val="0"/>
                                                      <w:marTop w:val="0"/>
                                                      <w:marBottom w:val="0"/>
                                                      <w:divBdr>
                                                        <w:top w:val="none" w:sz="0" w:space="0" w:color="auto"/>
                                                        <w:left w:val="none" w:sz="0" w:space="0" w:color="auto"/>
                                                        <w:bottom w:val="none" w:sz="0" w:space="0" w:color="auto"/>
                                                        <w:right w:val="none" w:sz="0" w:space="0" w:color="auto"/>
                                                      </w:divBdr>
                                                      <w:divsChild>
                                                        <w:div w:id="1259171552">
                                                          <w:marLeft w:val="0"/>
                                                          <w:marRight w:val="0"/>
                                                          <w:marTop w:val="0"/>
                                                          <w:marBottom w:val="0"/>
                                                          <w:divBdr>
                                                            <w:top w:val="none" w:sz="0" w:space="0" w:color="auto"/>
                                                            <w:left w:val="none" w:sz="0" w:space="0" w:color="auto"/>
                                                            <w:bottom w:val="none" w:sz="0" w:space="0" w:color="auto"/>
                                                            <w:right w:val="none" w:sz="0" w:space="0" w:color="auto"/>
                                                          </w:divBdr>
                                                          <w:divsChild>
                                                            <w:div w:id="18973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8279">
      <w:bodyDiv w:val="1"/>
      <w:marLeft w:val="0"/>
      <w:marRight w:val="0"/>
      <w:marTop w:val="0"/>
      <w:marBottom w:val="0"/>
      <w:divBdr>
        <w:top w:val="none" w:sz="0" w:space="0" w:color="auto"/>
        <w:left w:val="none" w:sz="0" w:space="0" w:color="auto"/>
        <w:bottom w:val="none" w:sz="0" w:space="0" w:color="auto"/>
        <w:right w:val="none" w:sz="0" w:space="0" w:color="auto"/>
      </w:divBdr>
    </w:div>
    <w:div w:id="1908419147">
      <w:bodyDiv w:val="1"/>
      <w:marLeft w:val="0"/>
      <w:marRight w:val="0"/>
      <w:marTop w:val="0"/>
      <w:marBottom w:val="0"/>
      <w:divBdr>
        <w:top w:val="none" w:sz="0" w:space="0" w:color="auto"/>
        <w:left w:val="none" w:sz="0" w:space="0" w:color="auto"/>
        <w:bottom w:val="none" w:sz="0" w:space="0" w:color="auto"/>
        <w:right w:val="none" w:sz="0" w:space="0" w:color="auto"/>
      </w:divBdr>
      <w:divsChild>
        <w:div w:id="1402218642">
          <w:marLeft w:val="0"/>
          <w:marRight w:val="0"/>
          <w:marTop w:val="0"/>
          <w:marBottom w:val="0"/>
          <w:divBdr>
            <w:top w:val="single" w:sz="6" w:space="0" w:color="666666"/>
            <w:left w:val="single" w:sz="6" w:space="0" w:color="666666"/>
            <w:bottom w:val="single" w:sz="6" w:space="0" w:color="666666"/>
            <w:right w:val="single" w:sz="6" w:space="0" w:color="666666"/>
          </w:divBdr>
          <w:divsChild>
            <w:div w:id="2089768851">
              <w:marLeft w:val="0"/>
              <w:marRight w:val="0"/>
              <w:marTop w:val="150"/>
              <w:marBottom w:val="0"/>
              <w:divBdr>
                <w:top w:val="none" w:sz="0" w:space="0" w:color="auto"/>
                <w:left w:val="none" w:sz="0" w:space="0" w:color="auto"/>
                <w:bottom w:val="none" w:sz="0" w:space="0" w:color="auto"/>
                <w:right w:val="none" w:sz="0" w:space="0" w:color="auto"/>
              </w:divBdr>
              <w:divsChild>
                <w:div w:id="1482888457">
                  <w:marLeft w:val="0"/>
                  <w:marRight w:val="0"/>
                  <w:marTop w:val="0"/>
                  <w:marBottom w:val="0"/>
                  <w:divBdr>
                    <w:top w:val="none" w:sz="0" w:space="0" w:color="auto"/>
                    <w:left w:val="none" w:sz="0" w:space="0" w:color="auto"/>
                    <w:bottom w:val="none" w:sz="0" w:space="0" w:color="auto"/>
                    <w:right w:val="none" w:sz="0" w:space="0" w:color="auto"/>
                  </w:divBdr>
                  <w:divsChild>
                    <w:div w:id="1241869849">
                      <w:marLeft w:val="0"/>
                      <w:marRight w:val="0"/>
                      <w:marTop w:val="0"/>
                      <w:marBottom w:val="0"/>
                      <w:divBdr>
                        <w:top w:val="none" w:sz="0" w:space="0" w:color="auto"/>
                        <w:left w:val="none" w:sz="0" w:space="0" w:color="auto"/>
                        <w:bottom w:val="none" w:sz="0" w:space="0" w:color="auto"/>
                        <w:right w:val="none" w:sz="0" w:space="0" w:color="auto"/>
                      </w:divBdr>
                      <w:divsChild>
                        <w:div w:id="1872693043">
                          <w:marLeft w:val="0"/>
                          <w:marRight w:val="0"/>
                          <w:marTop w:val="0"/>
                          <w:marBottom w:val="0"/>
                          <w:divBdr>
                            <w:top w:val="none" w:sz="0" w:space="0" w:color="auto"/>
                            <w:left w:val="none" w:sz="0" w:space="0" w:color="auto"/>
                            <w:bottom w:val="none" w:sz="0" w:space="0" w:color="auto"/>
                            <w:right w:val="none" w:sz="0" w:space="0" w:color="auto"/>
                          </w:divBdr>
                          <w:divsChild>
                            <w:div w:id="1423993022">
                              <w:marLeft w:val="0"/>
                              <w:marRight w:val="0"/>
                              <w:marTop w:val="0"/>
                              <w:marBottom w:val="0"/>
                              <w:divBdr>
                                <w:top w:val="none" w:sz="0" w:space="0" w:color="auto"/>
                                <w:left w:val="none" w:sz="0" w:space="0" w:color="auto"/>
                                <w:bottom w:val="none" w:sz="0" w:space="0" w:color="auto"/>
                                <w:right w:val="none" w:sz="0" w:space="0" w:color="auto"/>
                              </w:divBdr>
                              <w:divsChild>
                                <w:div w:id="760420112">
                                  <w:marLeft w:val="0"/>
                                  <w:marRight w:val="0"/>
                                  <w:marTop w:val="0"/>
                                  <w:marBottom w:val="0"/>
                                  <w:divBdr>
                                    <w:top w:val="none" w:sz="0" w:space="0" w:color="auto"/>
                                    <w:left w:val="none" w:sz="0" w:space="0" w:color="auto"/>
                                    <w:bottom w:val="none" w:sz="0" w:space="0" w:color="auto"/>
                                    <w:right w:val="none" w:sz="0" w:space="0" w:color="auto"/>
                                  </w:divBdr>
                                  <w:divsChild>
                                    <w:div w:id="217743217">
                                      <w:marLeft w:val="0"/>
                                      <w:marRight w:val="0"/>
                                      <w:marTop w:val="0"/>
                                      <w:marBottom w:val="0"/>
                                      <w:divBdr>
                                        <w:top w:val="none" w:sz="0" w:space="0" w:color="auto"/>
                                        <w:left w:val="none" w:sz="0" w:space="0" w:color="auto"/>
                                        <w:bottom w:val="none" w:sz="0" w:space="0" w:color="auto"/>
                                        <w:right w:val="none" w:sz="0" w:space="0" w:color="auto"/>
                                      </w:divBdr>
                                      <w:divsChild>
                                        <w:div w:id="558173812">
                                          <w:marLeft w:val="0"/>
                                          <w:marRight w:val="0"/>
                                          <w:marTop w:val="0"/>
                                          <w:marBottom w:val="0"/>
                                          <w:divBdr>
                                            <w:top w:val="none" w:sz="0" w:space="0" w:color="auto"/>
                                            <w:left w:val="none" w:sz="0" w:space="0" w:color="auto"/>
                                            <w:bottom w:val="none" w:sz="0" w:space="0" w:color="auto"/>
                                            <w:right w:val="none" w:sz="0" w:space="0" w:color="auto"/>
                                          </w:divBdr>
                                          <w:divsChild>
                                            <w:div w:id="2122873588">
                                              <w:marLeft w:val="0"/>
                                              <w:marRight w:val="0"/>
                                              <w:marTop w:val="0"/>
                                              <w:marBottom w:val="0"/>
                                              <w:divBdr>
                                                <w:top w:val="none" w:sz="0" w:space="0" w:color="auto"/>
                                                <w:left w:val="none" w:sz="0" w:space="0" w:color="auto"/>
                                                <w:bottom w:val="none" w:sz="0" w:space="0" w:color="auto"/>
                                                <w:right w:val="none" w:sz="0" w:space="0" w:color="auto"/>
                                              </w:divBdr>
                                              <w:divsChild>
                                                <w:div w:id="1795250232">
                                                  <w:marLeft w:val="0"/>
                                                  <w:marRight w:val="0"/>
                                                  <w:marTop w:val="0"/>
                                                  <w:marBottom w:val="0"/>
                                                  <w:divBdr>
                                                    <w:top w:val="none" w:sz="0" w:space="0" w:color="auto"/>
                                                    <w:left w:val="none" w:sz="0" w:space="0" w:color="auto"/>
                                                    <w:bottom w:val="none" w:sz="0" w:space="0" w:color="auto"/>
                                                    <w:right w:val="none" w:sz="0" w:space="0" w:color="auto"/>
                                                  </w:divBdr>
                                                  <w:divsChild>
                                                    <w:div w:id="1031152955">
                                                      <w:marLeft w:val="0"/>
                                                      <w:marRight w:val="0"/>
                                                      <w:marTop w:val="0"/>
                                                      <w:marBottom w:val="0"/>
                                                      <w:divBdr>
                                                        <w:top w:val="none" w:sz="0" w:space="0" w:color="auto"/>
                                                        <w:left w:val="none" w:sz="0" w:space="0" w:color="auto"/>
                                                        <w:bottom w:val="none" w:sz="0" w:space="0" w:color="auto"/>
                                                        <w:right w:val="none" w:sz="0" w:space="0" w:color="auto"/>
                                                      </w:divBdr>
                                                      <w:divsChild>
                                                        <w:div w:id="245114507">
                                                          <w:marLeft w:val="0"/>
                                                          <w:marRight w:val="0"/>
                                                          <w:marTop w:val="0"/>
                                                          <w:marBottom w:val="0"/>
                                                          <w:divBdr>
                                                            <w:top w:val="none" w:sz="0" w:space="0" w:color="auto"/>
                                                            <w:left w:val="none" w:sz="0" w:space="0" w:color="auto"/>
                                                            <w:bottom w:val="none" w:sz="0" w:space="0" w:color="auto"/>
                                                            <w:right w:val="none" w:sz="0" w:space="0" w:color="auto"/>
                                                          </w:divBdr>
                                                          <w:divsChild>
                                                            <w:div w:id="120728686">
                                                              <w:marLeft w:val="0"/>
                                                              <w:marRight w:val="0"/>
                                                              <w:marTop w:val="0"/>
                                                              <w:marBottom w:val="0"/>
                                                              <w:divBdr>
                                                                <w:top w:val="none" w:sz="0" w:space="0" w:color="auto"/>
                                                                <w:left w:val="none" w:sz="0" w:space="0" w:color="auto"/>
                                                                <w:bottom w:val="none" w:sz="0" w:space="0" w:color="auto"/>
                                                                <w:right w:val="none" w:sz="0" w:space="0" w:color="auto"/>
                                                              </w:divBdr>
                                                              <w:divsChild>
                                                                <w:div w:id="667951616">
                                                                  <w:marLeft w:val="0"/>
                                                                  <w:marRight w:val="0"/>
                                                                  <w:marTop w:val="0"/>
                                                                  <w:marBottom w:val="0"/>
                                                                  <w:divBdr>
                                                                    <w:top w:val="none" w:sz="0" w:space="0" w:color="auto"/>
                                                                    <w:left w:val="none" w:sz="0" w:space="0" w:color="auto"/>
                                                                    <w:bottom w:val="none" w:sz="0" w:space="0" w:color="auto"/>
                                                                    <w:right w:val="none" w:sz="0" w:space="0" w:color="auto"/>
                                                                  </w:divBdr>
                                                                  <w:divsChild>
                                                                    <w:div w:id="27151282">
                                                                      <w:marLeft w:val="0"/>
                                                                      <w:marRight w:val="0"/>
                                                                      <w:marTop w:val="150"/>
                                                                      <w:marBottom w:val="150"/>
                                                                      <w:divBdr>
                                                                        <w:top w:val="none" w:sz="0" w:space="0" w:color="auto"/>
                                                                        <w:left w:val="none" w:sz="0" w:space="0" w:color="auto"/>
                                                                        <w:bottom w:val="none" w:sz="0" w:space="0" w:color="auto"/>
                                                                        <w:right w:val="none" w:sz="0" w:space="0" w:color="auto"/>
                                                                      </w:divBdr>
                                                                    </w:div>
                                                                    <w:div w:id="225801001">
                                                                      <w:marLeft w:val="0"/>
                                                                      <w:marRight w:val="0"/>
                                                                      <w:marTop w:val="150"/>
                                                                      <w:marBottom w:val="150"/>
                                                                      <w:divBdr>
                                                                        <w:top w:val="none" w:sz="0" w:space="0" w:color="auto"/>
                                                                        <w:left w:val="none" w:sz="0" w:space="0" w:color="auto"/>
                                                                        <w:bottom w:val="none" w:sz="0" w:space="0" w:color="auto"/>
                                                                        <w:right w:val="none" w:sz="0" w:space="0" w:color="auto"/>
                                                                      </w:divBdr>
                                                                    </w:div>
                                                                    <w:div w:id="565460848">
                                                                      <w:marLeft w:val="0"/>
                                                                      <w:marRight w:val="0"/>
                                                                      <w:marTop w:val="150"/>
                                                                      <w:marBottom w:val="150"/>
                                                                      <w:divBdr>
                                                                        <w:top w:val="none" w:sz="0" w:space="0" w:color="auto"/>
                                                                        <w:left w:val="none" w:sz="0" w:space="0" w:color="auto"/>
                                                                        <w:bottom w:val="none" w:sz="0" w:space="0" w:color="auto"/>
                                                                        <w:right w:val="none" w:sz="0" w:space="0" w:color="auto"/>
                                                                      </w:divBdr>
                                                                    </w:div>
                                                                    <w:div w:id="1010334465">
                                                                      <w:marLeft w:val="0"/>
                                                                      <w:marRight w:val="0"/>
                                                                      <w:marTop w:val="150"/>
                                                                      <w:marBottom w:val="150"/>
                                                                      <w:divBdr>
                                                                        <w:top w:val="none" w:sz="0" w:space="0" w:color="auto"/>
                                                                        <w:left w:val="none" w:sz="0" w:space="0" w:color="auto"/>
                                                                        <w:bottom w:val="none" w:sz="0" w:space="0" w:color="auto"/>
                                                                        <w:right w:val="none" w:sz="0" w:space="0" w:color="auto"/>
                                                                      </w:divBdr>
                                                                    </w:div>
                                                                    <w:div w:id="781848535">
                                                                      <w:marLeft w:val="0"/>
                                                                      <w:marRight w:val="0"/>
                                                                      <w:marTop w:val="150"/>
                                                                      <w:marBottom w:val="150"/>
                                                                      <w:divBdr>
                                                                        <w:top w:val="none" w:sz="0" w:space="0" w:color="auto"/>
                                                                        <w:left w:val="none" w:sz="0" w:space="0" w:color="auto"/>
                                                                        <w:bottom w:val="none" w:sz="0" w:space="0" w:color="auto"/>
                                                                        <w:right w:val="none" w:sz="0" w:space="0" w:color="auto"/>
                                                                      </w:divBdr>
                                                                    </w:div>
                                                                  </w:divsChild>
                                                                </w:div>
                                                                <w:div w:id="1517620263">
                                                                  <w:marLeft w:val="0"/>
                                                                  <w:marRight w:val="0"/>
                                                                  <w:marTop w:val="0"/>
                                                                  <w:marBottom w:val="0"/>
                                                                  <w:divBdr>
                                                                    <w:top w:val="none" w:sz="0" w:space="0" w:color="auto"/>
                                                                    <w:left w:val="none" w:sz="0" w:space="0" w:color="auto"/>
                                                                    <w:bottom w:val="none" w:sz="0" w:space="0" w:color="auto"/>
                                                                    <w:right w:val="none" w:sz="0" w:space="0" w:color="auto"/>
                                                                  </w:divBdr>
                                                                  <w:divsChild>
                                                                    <w:div w:id="1701511553">
                                                                      <w:marLeft w:val="0"/>
                                                                      <w:marRight w:val="0"/>
                                                                      <w:marTop w:val="150"/>
                                                                      <w:marBottom w:val="150"/>
                                                                      <w:divBdr>
                                                                        <w:top w:val="none" w:sz="0" w:space="0" w:color="auto"/>
                                                                        <w:left w:val="none" w:sz="0" w:space="0" w:color="auto"/>
                                                                        <w:bottom w:val="none" w:sz="0" w:space="0" w:color="auto"/>
                                                                        <w:right w:val="none" w:sz="0" w:space="0" w:color="auto"/>
                                                                      </w:divBdr>
                                                                    </w:div>
                                                                    <w:div w:id="914096487">
                                                                      <w:marLeft w:val="0"/>
                                                                      <w:marRight w:val="0"/>
                                                                      <w:marTop w:val="150"/>
                                                                      <w:marBottom w:val="150"/>
                                                                      <w:divBdr>
                                                                        <w:top w:val="none" w:sz="0" w:space="0" w:color="auto"/>
                                                                        <w:left w:val="none" w:sz="0" w:space="0" w:color="auto"/>
                                                                        <w:bottom w:val="none" w:sz="0" w:space="0" w:color="auto"/>
                                                                        <w:right w:val="none" w:sz="0" w:space="0" w:color="auto"/>
                                                                      </w:divBdr>
                                                                    </w:div>
                                                                    <w:div w:id="1153333229">
                                                                      <w:marLeft w:val="0"/>
                                                                      <w:marRight w:val="0"/>
                                                                      <w:marTop w:val="150"/>
                                                                      <w:marBottom w:val="150"/>
                                                                      <w:divBdr>
                                                                        <w:top w:val="none" w:sz="0" w:space="0" w:color="auto"/>
                                                                        <w:left w:val="none" w:sz="0" w:space="0" w:color="auto"/>
                                                                        <w:bottom w:val="none" w:sz="0" w:space="0" w:color="auto"/>
                                                                        <w:right w:val="none" w:sz="0" w:space="0" w:color="auto"/>
                                                                      </w:divBdr>
                                                                    </w:div>
                                                                    <w:div w:id="1710834968">
                                                                      <w:marLeft w:val="0"/>
                                                                      <w:marRight w:val="0"/>
                                                                      <w:marTop w:val="150"/>
                                                                      <w:marBottom w:val="150"/>
                                                                      <w:divBdr>
                                                                        <w:top w:val="none" w:sz="0" w:space="0" w:color="auto"/>
                                                                        <w:left w:val="none" w:sz="0" w:space="0" w:color="auto"/>
                                                                        <w:bottom w:val="none" w:sz="0" w:space="0" w:color="auto"/>
                                                                        <w:right w:val="none" w:sz="0" w:space="0" w:color="auto"/>
                                                                      </w:divBdr>
                                                                    </w:div>
                                                                    <w:div w:id="879630346">
                                                                      <w:marLeft w:val="0"/>
                                                                      <w:marRight w:val="0"/>
                                                                      <w:marTop w:val="150"/>
                                                                      <w:marBottom w:val="150"/>
                                                                      <w:divBdr>
                                                                        <w:top w:val="none" w:sz="0" w:space="0" w:color="auto"/>
                                                                        <w:left w:val="none" w:sz="0" w:space="0" w:color="auto"/>
                                                                        <w:bottom w:val="none" w:sz="0" w:space="0" w:color="auto"/>
                                                                        <w:right w:val="none" w:sz="0" w:space="0" w:color="auto"/>
                                                                      </w:divBdr>
                                                                    </w:div>
                                                                    <w:div w:id="917598038">
                                                                      <w:marLeft w:val="0"/>
                                                                      <w:marRight w:val="0"/>
                                                                      <w:marTop w:val="150"/>
                                                                      <w:marBottom w:val="150"/>
                                                                      <w:divBdr>
                                                                        <w:top w:val="none" w:sz="0" w:space="0" w:color="auto"/>
                                                                        <w:left w:val="none" w:sz="0" w:space="0" w:color="auto"/>
                                                                        <w:bottom w:val="none" w:sz="0" w:space="0" w:color="auto"/>
                                                                        <w:right w:val="none" w:sz="0" w:space="0" w:color="auto"/>
                                                                      </w:divBdr>
                                                                    </w:div>
                                                                    <w:div w:id="1886017337">
                                                                      <w:marLeft w:val="0"/>
                                                                      <w:marRight w:val="0"/>
                                                                      <w:marTop w:val="150"/>
                                                                      <w:marBottom w:val="150"/>
                                                                      <w:divBdr>
                                                                        <w:top w:val="none" w:sz="0" w:space="0" w:color="auto"/>
                                                                        <w:left w:val="none" w:sz="0" w:space="0" w:color="auto"/>
                                                                        <w:bottom w:val="none" w:sz="0" w:space="0" w:color="auto"/>
                                                                        <w:right w:val="none" w:sz="0" w:space="0" w:color="auto"/>
                                                                      </w:divBdr>
                                                                    </w:div>
                                                                    <w:div w:id="1317225388">
                                                                      <w:marLeft w:val="0"/>
                                                                      <w:marRight w:val="0"/>
                                                                      <w:marTop w:val="150"/>
                                                                      <w:marBottom w:val="150"/>
                                                                      <w:divBdr>
                                                                        <w:top w:val="none" w:sz="0" w:space="0" w:color="auto"/>
                                                                        <w:left w:val="none" w:sz="0" w:space="0" w:color="auto"/>
                                                                        <w:bottom w:val="none" w:sz="0" w:space="0" w:color="auto"/>
                                                                        <w:right w:val="none" w:sz="0" w:space="0" w:color="auto"/>
                                                                      </w:divBdr>
                                                                    </w:div>
                                                                    <w:div w:id="1304852828">
                                                                      <w:marLeft w:val="0"/>
                                                                      <w:marRight w:val="0"/>
                                                                      <w:marTop w:val="150"/>
                                                                      <w:marBottom w:val="150"/>
                                                                      <w:divBdr>
                                                                        <w:top w:val="none" w:sz="0" w:space="0" w:color="auto"/>
                                                                        <w:left w:val="none" w:sz="0" w:space="0" w:color="auto"/>
                                                                        <w:bottom w:val="none" w:sz="0" w:space="0" w:color="auto"/>
                                                                        <w:right w:val="none" w:sz="0" w:space="0" w:color="auto"/>
                                                                      </w:divBdr>
                                                                    </w:div>
                                                                  </w:divsChild>
                                                                </w:div>
                                                                <w:div w:id="1286690831">
                                                                  <w:marLeft w:val="0"/>
                                                                  <w:marRight w:val="0"/>
                                                                  <w:marTop w:val="0"/>
                                                                  <w:marBottom w:val="0"/>
                                                                  <w:divBdr>
                                                                    <w:top w:val="none" w:sz="0" w:space="0" w:color="auto"/>
                                                                    <w:left w:val="none" w:sz="0" w:space="0" w:color="auto"/>
                                                                    <w:bottom w:val="none" w:sz="0" w:space="0" w:color="auto"/>
                                                                    <w:right w:val="none" w:sz="0" w:space="0" w:color="auto"/>
                                                                  </w:divBdr>
                                                                  <w:divsChild>
                                                                    <w:div w:id="1203591083">
                                                                      <w:marLeft w:val="0"/>
                                                                      <w:marRight w:val="0"/>
                                                                      <w:marTop w:val="150"/>
                                                                      <w:marBottom w:val="150"/>
                                                                      <w:divBdr>
                                                                        <w:top w:val="none" w:sz="0" w:space="0" w:color="auto"/>
                                                                        <w:left w:val="none" w:sz="0" w:space="0" w:color="auto"/>
                                                                        <w:bottom w:val="none" w:sz="0" w:space="0" w:color="auto"/>
                                                                        <w:right w:val="none" w:sz="0" w:space="0" w:color="auto"/>
                                                                      </w:divBdr>
                                                                    </w:div>
                                                                  </w:divsChild>
                                                                </w:div>
                                                                <w:div w:id="1966814120">
                                                                  <w:marLeft w:val="0"/>
                                                                  <w:marRight w:val="0"/>
                                                                  <w:marTop w:val="0"/>
                                                                  <w:marBottom w:val="0"/>
                                                                  <w:divBdr>
                                                                    <w:top w:val="none" w:sz="0" w:space="0" w:color="auto"/>
                                                                    <w:left w:val="none" w:sz="0" w:space="0" w:color="auto"/>
                                                                    <w:bottom w:val="none" w:sz="0" w:space="0" w:color="auto"/>
                                                                    <w:right w:val="none" w:sz="0" w:space="0" w:color="auto"/>
                                                                  </w:divBdr>
                                                                  <w:divsChild>
                                                                    <w:div w:id="1723169684">
                                                                      <w:marLeft w:val="0"/>
                                                                      <w:marRight w:val="0"/>
                                                                      <w:marTop w:val="150"/>
                                                                      <w:marBottom w:val="150"/>
                                                                      <w:divBdr>
                                                                        <w:top w:val="none" w:sz="0" w:space="0" w:color="auto"/>
                                                                        <w:left w:val="none" w:sz="0" w:space="0" w:color="auto"/>
                                                                        <w:bottom w:val="none" w:sz="0" w:space="0" w:color="auto"/>
                                                                        <w:right w:val="none" w:sz="0" w:space="0" w:color="auto"/>
                                                                      </w:divBdr>
                                                                    </w:div>
                                                                    <w:div w:id="267935744">
                                                                      <w:marLeft w:val="0"/>
                                                                      <w:marRight w:val="0"/>
                                                                      <w:marTop w:val="150"/>
                                                                      <w:marBottom w:val="150"/>
                                                                      <w:divBdr>
                                                                        <w:top w:val="none" w:sz="0" w:space="0" w:color="auto"/>
                                                                        <w:left w:val="none" w:sz="0" w:space="0" w:color="auto"/>
                                                                        <w:bottom w:val="none" w:sz="0" w:space="0" w:color="auto"/>
                                                                        <w:right w:val="none" w:sz="0" w:space="0" w:color="auto"/>
                                                                      </w:divBdr>
                                                                    </w:div>
                                                                    <w:div w:id="313148423">
                                                                      <w:marLeft w:val="0"/>
                                                                      <w:marRight w:val="0"/>
                                                                      <w:marTop w:val="150"/>
                                                                      <w:marBottom w:val="150"/>
                                                                      <w:divBdr>
                                                                        <w:top w:val="none" w:sz="0" w:space="0" w:color="auto"/>
                                                                        <w:left w:val="none" w:sz="0" w:space="0" w:color="auto"/>
                                                                        <w:bottom w:val="none" w:sz="0" w:space="0" w:color="auto"/>
                                                                        <w:right w:val="none" w:sz="0" w:space="0" w:color="auto"/>
                                                                      </w:divBdr>
                                                                    </w:div>
                                                                    <w:div w:id="1325358398">
                                                                      <w:marLeft w:val="0"/>
                                                                      <w:marRight w:val="0"/>
                                                                      <w:marTop w:val="150"/>
                                                                      <w:marBottom w:val="150"/>
                                                                      <w:divBdr>
                                                                        <w:top w:val="none" w:sz="0" w:space="0" w:color="auto"/>
                                                                        <w:left w:val="none" w:sz="0" w:space="0" w:color="auto"/>
                                                                        <w:bottom w:val="none" w:sz="0" w:space="0" w:color="auto"/>
                                                                        <w:right w:val="none" w:sz="0" w:space="0" w:color="auto"/>
                                                                      </w:divBdr>
                                                                    </w:div>
                                                                    <w:div w:id="1208183007">
                                                                      <w:marLeft w:val="0"/>
                                                                      <w:marRight w:val="0"/>
                                                                      <w:marTop w:val="150"/>
                                                                      <w:marBottom w:val="150"/>
                                                                      <w:divBdr>
                                                                        <w:top w:val="none" w:sz="0" w:space="0" w:color="auto"/>
                                                                        <w:left w:val="none" w:sz="0" w:space="0" w:color="auto"/>
                                                                        <w:bottom w:val="none" w:sz="0" w:space="0" w:color="auto"/>
                                                                        <w:right w:val="none" w:sz="0" w:space="0" w:color="auto"/>
                                                                      </w:divBdr>
                                                                    </w:div>
                                                                    <w:div w:id="1646813671">
                                                                      <w:marLeft w:val="0"/>
                                                                      <w:marRight w:val="0"/>
                                                                      <w:marTop w:val="150"/>
                                                                      <w:marBottom w:val="150"/>
                                                                      <w:divBdr>
                                                                        <w:top w:val="none" w:sz="0" w:space="0" w:color="auto"/>
                                                                        <w:left w:val="none" w:sz="0" w:space="0" w:color="auto"/>
                                                                        <w:bottom w:val="none" w:sz="0" w:space="0" w:color="auto"/>
                                                                        <w:right w:val="none" w:sz="0" w:space="0" w:color="auto"/>
                                                                      </w:divBdr>
                                                                    </w:div>
                                                                    <w:div w:id="239677835">
                                                                      <w:marLeft w:val="0"/>
                                                                      <w:marRight w:val="0"/>
                                                                      <w:marTop w:val="150"/>
                                                                      <w:marBottom w:val="150"/>
                                                                      <w:divBdr>
                                                                        <w:top w:val="none" w:sz="0" w:space="0" w:color="auto"/>
                                                                        <w:left w:val="none" w:sz="0" w:space="0" w:color="auto"/>
                                                                        <w:bottom w:val="none" w:sz="0" w:space="0" w:color="auto"/>
                                                                        <w:right w:val="none" w:sz="0" w:space="0" w:color="auto"/>
                                                                      </w:divBdr>
                                                                    </w:div>
                                                                    <w:div w:id="982613763">
                                                                      <w:marLeft w:val="0"/>
                                                                      <w:marRight w:val="0"/>
                                                                      <w:marTop w:val="150"/>
                                                                      <w:marBottom w:val="150"/>
                                                                      <w:divBdr>
                                                                        <w:top w:val="none" w:sz="0" w:space="0" w:color="auto"/>
                                                                        <w:left w:val="none" w:sz="0" w:space="0" w:color="auto"/>
                                                                        <w:bottom w:val="none" w:sz="0" w:space="0" w:color="auto"/>
                                                                        <w:right w:val="none" w:sz="0" w:space="0" w:color="auto"/>
                                                                      </w:divBdr>
                                                                    </w:div>
                                                                    <w:div w:id="1792743806">
                                                                      <w:marLeft w:val="0"/>
                                                                      <w:marRight w:val="0"/>
                                                                      <w:marTop w:val="150"/>
                                                                      <w:marBottom w:val="150"/>
                                                                      <w:divBdr>
                                                                        <w:top w:val="none" w:sz="0" w:space="0" w:color="auto"/>
                                                                        <w:left w:val="none" w:sz="0" w:space="0" w:color="auto"/>
                                                                        <w:bottom w:val="none" w:sz="0" w:space="0" w:color="auto"/>
                                                                        <w:right w:val="none" w:sz="0" w:space="0" w:color="auto"/>
                                                                      </w:divBdr>
                                                                    </w:div>
                                                                  </w:divsChild>
                                                                </w:div>
                                                                <w:div w:id="132985184">
                                                                  <w:marLeft w:val="0"/>
                                                                  <w:marRight w:val="0"/>
                                                                  <w:marTop w:val="0"/>
                                                                  <w:marBottom w:val="0"/>
                                                                  <w:divBdr>
                                                                    <w:top w:val="none" w:sz="0" w:space="0" w:color="auto"/>
                                                                    <w:left w:val="none" w:sz="0" w:space="0" w:color="auto"/>
                                                                    <w:bottom w:val="none" w:sz="0" w:space="0" w:color="auto"/>
                                                                    <w:right w:val="none" w:sz="0" w:space="0" w:color="auto"/>
                                                                  </w:divBdr>
                                                                  <w:divsChild>
                                                                    <w:div w:id="1545479198">
                                                                      <w:marLeft w:val="0"/>
                                                                      <w:marRight w:val="0"/>
                                                                      <w:marTop w:val="150"/>
                                                                      <w:marBottom w:val="150"/>
                                                                      <w:divBdr>
                                                                        <w:top w:val="none" w:sz="0" w:space="0" w:color="auto"/>
                                                                        <w:left w:val="none" w:sz="0" w:space="0" w:color="auto"/>
                                                                        <w:bottom w:val="none" w:sz="0" w:space="0" w:color="auto"/>
                                                                        <w:right w:val="none" w:sz="0" w:space="0" w:color="auto"/>
                                                                      </w:divBdr>
                                                                    </w:div>
                                                                    <w:div w:id="2119596615">
                                                                      <w:marLeft w:val="0"/>
                                                                      <w:marRight w:val="0"/>
                                                                      <w:marTop w:val="150"/>
                                                                      <w:marBottom w:val="150"/>
                                                                      <w:divBdr>
                                                                        <w:top w:val="none" w:sz="0" w:space="0" w:color="auto"/>
                                                                        <w:left w:val="none" w:sz="0" w:space="0" w:color="auto"/>
                                                                        <w:bottom w:val="none" w:sz="0" w:space="0" w:color="auto"/>
                                                                        <w:right w:val="none" w:sz="0" w:space="0" w:color="auto"/>
                                                                      </w:divBdr>
                                                                    </w:div>
                                                                    <w:div w:id="1679310926">
                                                                      <w:marLeft w:val="0"/>
                                                                      <w:marRight w:val="0"/>
                                                                      <w:marTop w:val="150"/>
                                                                      <w:marBottom w:val="150"/>
                                                                      <w:divBdr>
                                                                        <w:top w:val="none" w:sz="0" w:space="0" w:color="auto"/>
                                                                        <w:left w:val="none" w:sz="0" w:space="0" w:color="auto"/>
                                                                        <w:bottom w:val="none" w:sz="0" w:space="0" w:color="auto"/>
                                                                        <w:right w:val="none" w:sz="0" w:space="0" w:color="auto"/>
                                                                      </w:divBdr>
                                                                    </w:div>
                                                                  </w:divsChild>
                                                                </w:div>
                                                                <w:div w:id="1501122635">
                                                                  <w:marLeft w:val="0"/>
                                                                  <w:marRight w:val="0"/>
                                                                  <w:marTop w:val="0"/>
                                                                  <w:marBottom w:val="0"/>
                                                                  <w:divBdr>
                                                                    <w:top w:val="none" w:sz="0" w:space="0" w:color="auto"/>
                                                                    <w:left w:val="none" w:sz="0" w:space="0" w:color="auto"/>
                                                                    <w:bottom w:val="none" w:sz="0" w:space="0" w:color="auto"/>
                                                                    <w:right w:val="none" w:sz="0" w:space="0" w:color="auto"/>
                                                                  </w:divBdr>
                                                                  <w:divsChild>
                                                                    <w:div w:id="1074931662">
                                                                      <w:marLeft w:val="0"/>
                                                                      <w:marRight w:val="0"/>
                                                                      <w:marTop w:val="150"/>
                                                                      <w:marBottom w:val="150"/>
                                                                      <w:divBdr>
                                                                        <w:top w:val="none" w:sz="0" w:space="0" w:color="auto"/>
                                                                        <w:left w:val="none" w:sz="0" w:space="0" w:color="auto"/>
                                                                        <w:bottom w:val="none" w:sz="0" w:space="0" w:color="auto"/>
                                                                        <w:right w:val="none" w:sz="0" w:space="0" w:color="auto"/>
                                                                      </w:divBdr>
                                                                    </w:div>
                                                                    <w:div w:id="775101810">
                                                                      <w:marLeft w:val="0"/>
                                                                      <w:marRight w:val="0"/>
                                                                      <w:marTop w:val="150"/>
                                                                      <w:marBottom w:val="150"/>
                                                                      <w:divBdr>
                                                                        <w:top w:val="none" w:sz="0" w:space="0" w:color="auto"/>
                                                                        <w:left w:val="none" w:sz="0" w:space="0" w:color="auto"/>
                                                                        <w:bottom w:val="none" w:sz="0" w:space="0" w:color="auto"/>
                                                                        <w:right w:val="none" w:sz="0" w:space="0" w:color="auto"/>
                                                                      </w:divBdr>
                                                                    </w:div>
                                                                    <w:div w:id="752623399">
                                                                      <w:marLeft w:val="0"/>
                                                                      <w:marRight w:val="0"/>
                                                                      <w:marTop w:val="150"/>
                                                                      <w:marBottom w:val="150"/>
                                                                      <w:divBdr>
                                                                        <w:top w:val="none" w:sz="0" w:space="0" w:color="auto"/>
                                                                        <w:left w:val="none" w:sz="0" w:space="0" w:color="auto"/>
                                                                        <w:bottom w:val="none" w:sz="0" w:space="0" w:color="auto"/>
                                                                        <w:right w:val="none" w:sz="0" w:space="0" w:color="auto"/>
                                                                      </w:divBdr>
                                                                    </w:div>
                                                                    <w:div w:id="939723507">
                                                                      <w:marLeft w:val="0"/>
                                                                      <w:marRight w:val="0"/>
                                                                      <w:marTop w:val="150"/>
                                                                      <w:marBottom w:val="150"/>
                                                                      <w:divBdr>
                                                                        <w:top w:val="none" w:sz="0" w:space="0" w:color="auto"/>
                                                                        <w:left w:val="none" w:sz="0" w:space="0" w:color="auto"/>
                                                                        <w:bottom w:val="none" w:sz="0" w:space="0" w:color="auto"/>
                                                                        <w:right w:val="none" w:sz="0" w:space="0" w:color="auto"/>
                                                                      </w:divBdr>
                                                                    </w:div>
                                                                    <w:div w:id="563225103">
                                                                      <w:marLeft w:val="0"/>
                                                                      <w:marRight w:val="0"/>
                                                                      <w:marTop w:val="150"/>
                                                                      <w:marBottom w:val="150"/>
                                                                      <w:divBdr>
                                                                        <w:top w:val="none" w:sz="0" w:space="0" w:color="auto"/>
                                                                        <w:left w:val="none" w:sz="0" w:space="0" w:color="auto"/>
                                                                        <w:bottom w:val="none" w:sz="0" w:space="0" w:color="auto"/>
                                                                        <w:right w:val="none" w:sz="0" w:space="0" w:color="auto"/>
                                                                      </w:divBdr>
                                                                    </w:div>
                                                                    <w:div w:id="727458200">
                                                                      <w:marLeft w:val="0"/>
                                                                      <w:marRight w:val="0"/>
                                                                      <w:marTop w:val="150"/>
                                                                      <w:marBottom w:val="150"/>
                                                                      <w:divBdr>
                                                                        <w:top w:val="none" w:sz="0" w:space="0" w:color="auto"/>
                                                                        <w:left w:val="none" w:sz="0" w:space="0" w:color="auto"/>
                                                                        <w:bottom w:val="none" w:sz="0" w:space="0" w:color="auto"/>
                                                                        <w:right w:val="none" w:sz="0" w:space="0" w:color="auto"/>
                                                                      </w:divBdr>
                                                                    </w:div>
                                                                    <w:div w:id="1412846060">
                                                                      <w:marLeft w:val="0"/>
                                                                      <w:marRight w:val="0"/>
                                                                      <w:marTop w:val="150"/>
                                                                      <w:marBottom w:val="150"/>
                                                                      <w:divBdr>
                                                                        <w:top w:val="none" w:sz="0" w:space="0" w:color="auto"/>
                                                                        <w:left w:val="none" w:sz="0" w:space="0" w:color="auto"/>
                                                                        <w:bottom w:val="none" w:sz="0" w:space="0" w:color="auto"/>
                                                                        <w:right w:val="none" w:sz="0" w:space="0" w:color="auto"/>
                                                                      </w:divBdr>
                                                                    </w:div>
                                                                    <w:div w:id="1742605778">
                                                                      <w:marLeft w:val="0"/>
                                                                      <w:marRight w:val="0"/>
                                                                      <w:marTop w:val="150"/>
                                                                      <w:marBottom w:val="150"/>
                                                                      <w:divBdr>
                                                                        <w:top w:val="none" w:sz="0" w:space="0" w:color="auto"/>
                                                                        <w:left w:val="none" w:sz="0" w:space="0" w:color="auto"/>
                                                                        <w:bottom w:val="none" w:sz="0" w:space="0" w:color="auto"/>
                                                                        <w:right w:val="none" w:sz="0" w:space="0" w:color="auto"/>
                                                                      </w:divBdr>
                                                                    </w:div>
                                                                    <w:div w:id="1127898234">
                                                                      <w:marLeft w:val="0"/>
                                                                      <w:marRight w:val="0"/>
                                                                      <w:marTop w:val="150"/>
                                                                      <w:marBottom w:val="150"/>
                                                                      <w:divBdr>
                                                                        <w:top w:val="none" w:sz="0" w:space="0" w:color="auto"/>
                                                                        <w:left w:val="none" w:sz="0" w:space="0" w:color="auto"/>
                                                                        <w:bottom w:val="none" w:sz="0" w:space="0" w:color="auto"/>
                                                                        <w:right w:val="none" w:sz="0" w:space="0" w:color="auto"/>
                                                                      </w:divBdr>
                                                                    </w:div>
                                                                    <w:div w:id="936988914">
                                                                      <w:marLeft w:val="0"/>
                                                                      <w:marRight w:val="0"/>
                                                                      <w:marTop w:val="150"/>
                                                                      <w:marBottom w:val="150"/>
                                                                      <w:divBdr>
                                                                        <w:top w:val="none" w:sz="0" w:space="0" w:color="auto"/>
                                                                        <w:left w:val="none" w:sz="0" w:space="0" w:color="auto"/>
                                                                        <w:bottom w:val="none" w:sz="0" w:space="0" w:color="auto"/>
                                                                        <w:right w:val="none" w:sz="0" w:space="0" w:color="auto"/>
                                                                      </w:divBdr>
                                                                    </w:div>
                                                                    <w:div w:id="82726429">
                                                                      <w:marLeft w:val="0"/>
                                                                      <w:marRight w:val="0"/>
                                                                      <w:marTop w:val="150"/>
                                                                      <w:marBottom w:val="150"/>
                                                                      <w:divBdr>
                                                                        <w:top w:val="none" w:sz="0" w:space="0" w:color="auto"/>
                                                                        <w:left w:val="none" w:sz="0" w:space="0" w:color="auto"/>
                                                                        <w:bottom w:val="none" w:sz="0" w:space="0" w:color="auto"/>
                                                                        <w:right w:val="none" w:sz="0" w:space="0" w:color="auto"/>
                                                                      </w:divBdr>
                                                                    </w:div>
                                                                  </w:divsChild>
                                                                </w:div>
                                                                <w:div w:id="1546059870">
                                                                  <w:marLeft w:val="0"/>
                                                                  <w:marRight w:val="0"/>
                                                                  <w:marTop w:val="0"/>
                                                                  <w:marBottom w:val="0"/>
                                                                  <w:divBdr>
                                                                    <w:top w:val="none" w:sz="0" w:space="0" w:color="auto"/>
                                                                    <w:left w:val="none" w:sz="0" w:space="0" w:color="auto"/>
                                                                    <w:bottom w:val="none" w:sz="0" w:space="0" w:color="auto"/>
                                                                    <w:right w:val="none" w:sz="0" w:space="0" w:color="auto"/>
                                                                  </w:divBdr>
                                                                  <w:divsChild>
                                                                    <w:div w:id="1405907447">
                                                                      <w:marLeft w:val="0"/>
                                                                      <w:marRight w:val="0"/>
                                                                      <w:marTop w:val="150"/>
                                                                      <w:marBottom w:val="150"/>
                                                                      <w:divBdr>
                                                                        <w:top w:val="none" w:sz="0" w:space="0" w:color="auto"/>
                                                                        <w:left w:val="none" w:sz="0" w:space="0" w:color="auto"/>
                                                                        <w:bottom w:val="none" w:sz="0" w:space="0" w:color="auto"/>
                                                                        <w:right w:val="none" w:sz="0" w:space="0" w:color="auto"/>
                                                                      </w:divBdr>
                                                                    </w:div>
                                                                    <w:div w:id="985401083">
                                                                      <w:marLeft w:val="0"/>
                                                                      <w:marRight w:val="0"/>
                                                                      <w:marTop w:val="150"/>
                                                                      <w:marBottom w:val="150"/>
                                                                      <w:divBdr>
                                                                        <w:top w:val="none" w:sz="0" w:space="0" w:color="auto"/>
                                                                        <w:left w:val="none" w:sz="0" w:space="0" w:color="auto"/>
                                                                        <w:bottom w:val="none" w:sz="0" w:space="0" w:color="auto"/>
                                                                        <w:right w:val="none" w:sz="0" w:space="0" w:color="auto"/>
                                                                      </w:divBdr>
                                                                    </w:div>
                                                                  </w:divsChild>
                                                                </w:div>
                                                                <w:div w:id="1737779095">
                                                                  <w:marLeft w:val="0"/>
                                                                  <w:marRight w:val="0"/>
                                                                  <w:marTop w:val="0"/>
                                                                  <w:marBottom w:val="0"/>
                                                                  <w:divBdr>
                                                                    <w:top w:val="none" w:sz="0" w:space="0" w:color="auto"/>
                                                                    <w:left w:val="none" w:sz="0" w:space="0" w:color="auto"/>
                                                                    <w:bottom w:val="none" w:sz="0" w:space="0" w:color="auto"/>
                                                                    <w:right w:val="none" w:sz="0" w:space="0" w:color="auto"/>
                                                                  </w:divBdr>
                                                                  <w:divsChild>
                                                                    <w:div w:id="770972476">
                                                                      <w:marLeft w:val="0"/>
                                                                      <w:marRight w:val="0"/>
                                                                      <w:marTop w:val="150"/>
                                                                      <w:marBottom w:val="150"/>
                                                                      <w:divBdr>
                                                                        <w:top w:val="none" w:sz="0" w:space="0" w:color="auto"/>
                                                                        <w:left w:val="none" w:sz="0" w:space="0" w:color="auto"/>
                                                                        <w:bottom w:val="none" w:sz="0" w:space="0" w:color="auto"/>
                                                                        <w:right w:val="none" w:sz="0" w:space="0" w:color="auto"/>
                                                                      </w:divBdr>
                                                                    </w:div>
                                                                    <w:div w:id="1517497452">
                                                                      <w:marLeft w:val="0"/>
                                                                      <w:marRight w:val="0"/>
                                                                      <w:marTop w:val="150"/>
                                                                      <w:marBottom w:val="150"/>
                                                                      <w:divBdr>
                                                                        <w:top w:val="none" w:sz="0" w:space="0" w:color="auto"/>
                                                                        <w:left w:val="none" w:sz="0" w:space="0" w:color="auto"/>
                                                                        <w:bottom w:val="none" w:sz="0" w:space="0" w:color="auto"/>
                                                                        <w:right w:val="none" w:sz="0" w:space="0" w:color="auto"/>
                                                                      </w:divBdr>
                                                                    </w:div>
                                                                    <w:div w:id="957565273">
                                                                      <w:marLeft w:val="0"/>
                                                                      <w:marRight w:val="0"/>
                                                                      <w:marTop w:val="150"/>
                                                                      <w:marBottom w:val="150"/>
                                                                      <w:divBdr>
                                                                        <w:top w:val="none" w:sz="0" w:space="0" w:color="auto"/>
                                                                        <w:left w:val="none" w:sz="0" w:space="0" w:color="auto"/>
                                                                        <w:bottom w:val="none" w:sz="0" w:space="0" w:color="auto"/>
                                                                        <w:right w:val="none" w:sz="0" w:space="0" w:color="auto"/>
                                                                      </w:divBdr>
                                                                    </w:div>
                                                                  </w:divsChild>
                                                                </w:div>
                                                                <w:div w:id="106431559">
                                                                  <w:marLeft w:val="0"/>
                                                                  <w:marRight w:val="0"/>
                                                                  <w:marTop w:val="0"/>
                                                                  <w:marBottom w:val="0"/>
                                                                  <w:divBdr>
                                                                    <w:top w:val="none" w:sz="0" w:space="0" w:color="auto"/>
                                                                    <w:left w:val="none" w:sz="0" w:space="0" w:color="auto"/>
                                                                    <w:bottom w:val="none" w:sz="0" w:space="0" w:color="auto"/>
                                                                    <w:right w:val="none" w:sz="0" w:space="0" w:color="auto"/>
                                                                  </w:divBdr>
                                                                  <w:divsChild>
                                                                    <w:div w:id="1515071678">
                                                                      <w:marLeft w:val="0"/>
                                                                      <w:marRight w:val="0"/>
                                                                      <w:marTop w:val="150"/>
                                                                      <w:marBottom w:val="150"/>
                                                                      <w:divBdr>
                                                                        <w:top w:val="none" w:sz="0" w:space="0" w:color="auto"/>
                                                                        <w:left w:val="none" w:sz="0" w:space="0" w:color="auto"/>
                                                                        <w:bottom w:val="none" w:sz="0" w:space="0" w:color="auto"/>
                                                                        <w:right w:val="none" w:sz="0" w:space="0" w:color="auto"/>
                                                                      </w:divBdr>
                                                                    </w:div>
                                                                    <w:div w:id="238909955">
                                                                      <w:marLeft w:val="0"/>
                                                                      <w:marRight w:val="0"/>
                                                                      <w:marTop w:val="150"/>
                                                                      <w:marBottom w:val="150"/>
                                                                      <w:divBdr>
                                                                        <w:top w:val="none" w:sz="0" w:space="0" w:color="auto"/>
                                                                        <w:left w:val="none" w:sz="0" w:space="0" w:color="auto"/>
                                                                        <w:bottom w:val="none" w:sz="0" w:space="0" w:color="auto"/>
                                                                        <w:right w:val="none" w:sz="0" w:space="0" w:color="auto"/>
                                                                      </w:divBdr>
                                                                    </w:div>
                                                                    <w:div w:id="1339120009">
                                                                      <w:marLeft w:val="0"/>
                                                                      <w:marRight w:val="0"/>
                                                                      <w:marTop w:val="150"/>
                                                                      <w:marBottom w:val="150"/>
                                                                      <w:divBdr>
                                                                        <w:top w:val="none" w:sz="0" w:space="0" w:color="auto"/>
                                                                        <w:left w:val="none" w:sz="0" w:space="0" w:color="auto"/>
                                                                        <w:bottom w:val="none" w:sz="0" w:space="0" w:color="auto"/>
                                                                        <w:right w:val="none" w:sz="0" w:space="0" w:color="auto"/>
                                                                      </w:divBdr>
                                                                    </w:div>
                                                                  </w:divsChild>
                                                                </w:div>
                                                                <w:div w:id="977421045">
                                                                  <w:marLeft w:val="0"/>
                                                                  <w:marRight w:val="0"/>
                                                                  <w:marTop w:val="0"/>
                                                                  <w:marBottom w:val="0"/>
                                                                  <w:divBdr>
                                                                    <w:top w:val="none" w:sz="0" w:space="0" w:color="auto"/>
                                                                    <w:left w:val="none" w:sz="0" w:space="0" w:color="auto"/>
                                                                    <w:bottom w:val="none" w:sz="0" w:space="0" w:color="auto"/>
                                                                    <w:right w:val="none" w:sz="0" w:space="0" w:color="auto"/>
                                                                  </w:divBdr>
                                                                  <w:divsChild>
                                                                    <w:div w:id="2000497157">
                                                                      <w:marLeft w:val="0"/>
                                                                      <w:marRight w:val="0"/>
                                                                      <w:marTop w:val="150"/>
                                                                      <w:marBottom w:val="150"/>
                                                                      <w:divBdr>
                                                                        <w:top w:val="none" w:sz="0" w:space="0" w:color="auto"/>
                                                                        <w:left w:val="none" w:sz="0" w:space="0" w:color="auto"/>
                                                                        <w:bottom w:val="none" w:sz="0" w:space="0" w:color="auto"/>
                                                                        <w:right w:val="none" w:sz="0" w:space="0" w:color="auto"/>
                                                                      </w:divBdr>
                                                                    </w:div>
                                                                    <w:div w:id="458651517">
                                                                      <w:marLeft w:val="0"/>
                                                                      <w:marRight w:val="0"/>
                                                                      <w:marTop w:val="150"/>
                                                                      <w:marBottom w:val="150"/>
                                                                      <w:divBdr>
                                                                        <w:top w:val="none" w:sz="0" w:space="0" w:color="auto"/>
                                                                        <w:left w:val="none" w:sz="0" w:space="0" w:color="auto"/>
                                                                        <w:bottom w:val="none" w:sz="0" w:space="0" w:color="auto"/>
                                                                        <w:right w:val="none" w:sz="0" w:space="0" w:color="auto"/>
                                                                      </w:divBdr>
                                                                    </w:div>
                                                                    <w:div w:id="597176178">
                                                                      <w:marLeft w:val="0"/>
                                                                      <w:marRight w:val="0"/>
                                                                      <w:marTop w:val="150"/>
                                                                      <w:marBottom w:val="150"/>
                                                                      <w:divBdr>
                                                                        <w:top w:val="none" w:sz="0" w:space="0" w:color="auto"/>
                                                                        <w:left w:val="none" w:sz="0" w:space="0" w:color="auto"/>
                                                                        <w:bottom w:val="none" w:sz="0" w:space="0" w:color="auto"/>
                                                                        <w:right w:val="none" w:sz="0" w:space="0" w:color="auto"/>
                                                                      </w:divBdr>
                                                                    </w:div>
                                                                  </w:divsChild>
                                                                </w:div>
                                                                <w:div w:id="2135252434">
                                                                  <w:marLeft w:val="0"/>
                                                                  <w:marRight w:val="0"/>
                                                                  <w:marTop w:val="0"/>
                                                                  <w:marBottom w:val="0"/>
                                                                  <w:divBdr>
                                                                    <w:top w:val="none" w:sz="0" w:space="0" w:color="auto"/>
                                                                    <w:left w:val="none" w:sz="0" w:space="0" w:color="auto"/>
                                                                    <w:bottom w:val="none" w:sz="0" w:space="0" w:color="auto"/>
                                                                    <w:right w:val="none" w:sz="0" w:space="0" w:color="auto"/>
                                                                  </w:divBdr>
                                                                  <w:divsChild>
                                                                    <w:div w:id="1219626604">
                                                                      <w:marLeft w:val="0"/>
                                                                      <w:marRight w:val="0"/>
                                                                      <w:marTop w:val="150"/>
                                                                      <w:marBottom w:val="150"/>
                                                                      <w:divBdr>
                                                                        <w:top w:val="none" w:sz="0" w:space="0" w:color="auto"/>
                                                                        <w:left w:val="none" w:sz="0" w:space="0" w:color="auto"/>
                                                                        <w:bottom w:val="none" w:sz="0" w:space="0" w:color="auto"/>
                                                                        <w:right w:val="none" w:sz="0" w:space="0" w:color="auto"/>
                                                                      </w:divBdr>
                                                                    </w:div>
                                                                    <w:div w:id="1420983241">
                                                                      <w:marLeft w:val="0"/>
                                                                      <w:marRight w:val="0"/>
                                                                      <w:marTop w:val="150"/>
                                                                      <w:marBottom w:val="150"/>
                                                                      <w:divBdr>
                                                                        <w:top w:val="none" w:sz="0" w:space="0" w:color="auto"/>
                                                                        <w:left w:val="none" w:sz="0" w:space="0" w:color="auto"/>
                                                                        <w:bottom w:val="none" w:sz="0" w:space="0" w:color="auto"/>
                                                                        <w:right w:val="none" w:sz="0" w:space="0" w:color="auto"/>
                                                                      </w:divBdr>
                                                                    </w:div>
                                                                    <w:div w:id="174157122">
                                                                      <w:marLeft w:val="0"/>
                                                                      <w:marRight w:val="0"/>
                                                                      <w:marTop w:val="150"/>
                                                                      <w:marBottom w:val="150"/>
                                                                      <w:divBdr>
                                                                        <w:top w:val="none" w:sz="0" w:space="0" w:color="auto"/>
                                                                        <w:left w:val="none" w:sz="0" w:space="0" w:color="auto"/>
                                                                        <w:bottom w:val="none" w:sz="0" w:space="0" w:color="auto"/>
                                                                        <w:right w:val="none" w:sz="0" w:space="0" w:color="auto"/>
                                                                      </w:divBdr>
                                                                    </w:div>
                                                                    <w:div w:id="353270333">
                                                                      <w:marLeft w:val="0"/>
                                                                      <w:marRight w:val="0"/>
                                                                      <w:marTop w:val="150"/>
                                                                      <w:marBottom w:val="150"/>
                                                                      <w:divBdr>
                                                                        <w:top w:val="none" w:sz="0" w:space="0" w:color="auto"/>
                                                                        <w:left w:val="none" w:sz="0" w:space="0" w:color="auto"/>
                                                                        <w:bottom w:val="none" w:sz="0" w:space="0" w:color="auto"/>
                                                                        <w:right w:val="none" w:sz="0" w:space="0" w:color="auto"/>
                                                                      </w:divBdr>
                                                                    </w:div>
                                                                    <w:div w:id="804204018">
                                                                      <w:marLeft w:val="0"/>
                                                                      <w:marRight w:val="0"/>
                                                                      <w:marTop w:val="150"/>
                                                                      <w:marBottom w:val="150"/>
                                                                      <w:divBdr>
                                                                        <w:top w:val="none" w:sz="0" w:space="0" w:color="auto"/>
                                                                        <w:left w:val="none" w:sz="0" w:space="0" w:color="auto"/>
                                                                        <w:bottom w:val="none" w:sz="0" w:space="0" w:color="auto"/>
                                                                        <w:right w:val="none" w:sz="0" w:space="0" w:color="auto"/>
                                                                      </w:divBdr>
                                                                    </w:div>
                                                                    <w:div w:id="724572491">
                                                                      <w:marLeft w:val="0"/>
                                                                      <w:marRight w:val="0"/>
                                                                      <w:marTop w:val="150"/>
                                                                      <w:marBottom w:val="150"/>
                                                                      <w:divBdr>
                                                                        <w:top w:val="none" w:sz="0" w:space="0" w:color="auto"/>
                                                                        <w:left w:val="none" w:sz="0" w:space="0" w:color="auto"/>
                                                                        <w:bottom w:val="none" w:sz="0" w:space="0" w:color="auto"/>
                                                                        <w:right w:val="none" w:sz="0" w:space="0" w:color="auto"/>
                                                                      </w:divBdr>
                                                                    </w:div>
                                                                    <w:div w:id="1935164580">
                                                                      <w:marLeft w:val="0"/>
                                                                      <w:marRight w:val="0"/>
                                                                      <w:marTop w:val="150"/>
                                                                      <w:marBottom w:val="150"/>
                                                                      <w:divBdr>
                                                                        <w:top w:val="none" w:sz="0" w:space="0" w:color="auto"/>
                                                                        <w:left w:val="none" w:sz="0" w:space="0" w:color="auto"/>
                                                                        <w:bottom w:val="none" w:sz="0" w:space="0" w:color="auto"/>
                                                                        <w:right w:val="none" w:sz="0" w:space="0" w:color="auto"/>
                                                                      </w:divBdr>
                                                                    </w:div>
                                                                    <w:div w:id="1731684802">
                                                                      <w:marLeft w:val="0"/>
                                                                      <w:marRight w:val="0"/>
                                                                      <w:marTop w:val="150"/>
                                                                      <w:marBottom w:val="150"/>
                                                                      <w:divBdr>
                                                                        <w:top w:val="none" w:sz="0" w:space="0" w:color="auto"/>
                                                                        <w:left w:val="none" w:sz="0" w:space="0" w:color="auto"/>
                                                                        <w:bottom w:val="none" w:sz="0" w:space="0" w:color="auto"/>
                                                                        <w:right w:val="none" w:sz="0" w:space="0" w:color="auto"/>
                                                                      </w:divBdr>
                                                                    </w:div>
                                                                    <w:div w:id="1286082013">
                                                                      <w:marLeft w:val="0"/>
                                                                      <w:marRight w:val="0"/>
                                                                      <w:marTop w:val="150"/>
                                                                      <w:marBottom w:val="150"/>
                                                                      <w:divBdr>
                                                                        <w:top w:val="none" w:sz="0" w:space="0" w:color="auto"/>
                                                                        <w:left w:val="none" w:sz="0" w:space="0" w:color="auto"/>
                                                                        <w:bottom w:val="none" w:sz="0" w:space="0" w:color="auto"/>
                                                                        <w:right w:val="none" w:sz="0" w:space="0" w:color="auto"/>
                                                                      </w:divBdr>
                                                                    </w:div>
                                                                    <w:div w:id="1856455712">
                                                                      <w:marLeft w:val="0"/>
                                                                      <w:marRight w:val="0"/>
                                                                      <w:marTop w:val="150"/>
                                                                      <w:marBottom w:val="150"/>
                                                                      <w:divBdr>
                                                                        <w:top w:val="none" w:sz="0" w:space="0" w:color="auto"/>
                                                                        <w:left w:val="none" w:sz="0" w:space="0" w:color="auto"/>
                                                                        <w:bottom w:val="none" w:sz="0" w:space="0" w:color="auto"/>
                                                                        <w:right w:val="none" w:sz="0" w:space="0" w:color="auto"/>
                                                                      </w:divBdr>
                                                                    </w:div>
                                                                    <w:div w:id="433749544">
                                                                      <w:marLeft w:val="0"/>
                                                                      <w:marRight w:val="0"/>
                                                                      <w:marTop w:val="150"/>
                                                                      <w:marBottom w:val="150"/>
                                                                      <w:divBdr>
                                                                        <w:top w:val="none" w:sz="0" w:space="0" w:color="auto"/>
                                                                        <w:left w:val="none" w:sz="0" w:space="0" w:color="auto"/>
                                                                        <w:bottom w:val="none" w:sz="0" w:space="0" w:color="auto"/>
                                                                        <w:right w:val="none" w:sz="0" w:space="0" w:color="auto"/>
                                                                      </w:divBdr>
                                                                    </w:div>
                                                                    <w:div w:id="2071534707">
                                                                      <w:marLeft w:val="0"/>
                                                                      <w:marRight w:val="0"/>
                                                                      <w:marTop w:val="150"/>
                                                                      <w:marBottom w:val="150"/>
                                                                      <w:divBdr>
                                                                        <w:top w:val="none" w:sz="0" w:space="0" w:color="auto"/>
                                                                        <w:left w:val="none" w:sz="0" w:space="0" w:color="auto"/>
                                                                        <w:bottom w:val="none" w:sz="0" w:space="0" w:color="auto"/>
                                                                        <w:right w:val="none" w:sz="0" w:space="0" w:color="auto"/>
                                                                      </w:divBdr>
                                                                    </w:div>
                                                                    <w:div w:id="97138598">
                                                                      <w:marLeft w:val="0"/>
                                                                      <w:marRight w:val="0"/>
                                                                      <w:marTop w:val="150"/>
                                                                      <w:marBottom w:val="150"/>
                                                                      <w:divBdr>
                                                                        <w:top w:val="none" w:sz="0" w:space="0" w:color="auto"/>
                                                                        <w:left w:val="none" w:sz="0" w:space="0" w:color="auto"/>
                                                                        <w:bottom w:val="none" w:sz="0" w:space="0" w:color="auto"/>
                                                                        <w:right w:val="none" w:sz="0" w:space="0" w:color="auto"/>
                                                                      </w:divBdr>
                                                                    </w:div>
                                                                    <w:div w:id="17590473">
                                                                      <w:marLeft w:val="0"/>
                                                                      <w:marRight w:val="0"/>
                                                                      <w:marTop w:val="150"/>
                                                                      <w:marBottom w:val="150"/>
                                                                      <w:divBdr>
                                                                        <w:top w:val="none" w:sz="0" w:space="0" w:color="auto"/>
                                                                        <w:left w:val="none" w:sz="0" w:space="0" w:color="auto"/>
                                                                        <w:bottom w:val="none" w:sz="0" w:space="0" w:color="auto"/>
                                                                        <w:right w:val="none" w:sz="0" w:space="0" w:color="auto"/>
                                                                      </w:divBdr>
                                                                    </w:div>
                                                                  </w:divsChild>
                                                                </w:div>
                                                                <w:div w:id="2105372754">
                                                                  <w:marLeft w:val="0"/>
                                                                  <w:marRight w:val="0"/>
                                                                  <w:marTop w:val="0"/>
                                                                  <w:marBottom w:val="0"/>
                                                                  <w:divBdr>
                                                                    <w:top w:val="none" w:sz="0" w:space="0" w:color="auto"/>
                                                                    <w:left w:val="none" w:sz="0" w:space="0" w:color="auto"/>
                                                                    <w:bottom w:val="none" w:sz="0" w:space="0" w:color="auto"/>
                                                                    <w:right w:val="none" w:sz="0" w:space="0" w:color="auto"/>
                                                                  </w:divBdr>
                                                                  <w:divsChild>
                                                                    <w:div w:id="1983731127">
                                                                      <w:marLeft w:val="0"/>
                                                                      <w:marRight w:val="0"/>
                                                                      <w:marTop w:val="150"/>
                                                                      <w:marBottom w:val="150"/>
                                                                      <w:divBdr>
                                                                        <w:top w:val="none" w:sz="0" w:space="0" w:color="auto"/>
                                                                        <w:left w:val="none" w:sz="0" w:space="0" w:color="auto"/>
                                                                        <w:bottom w:val="none" w:sz="0" w:space="0" w:color="auto"/>
                                                                        <w:right w:val="none" w:sz="0" w:space="0" w:color="auto"/>
                                                                      </w:divBdr>
                                                                    </w:div>
                                                                    <w:div w:id="2057240620">
                                                                      <w:marLeft w:val="0"/>
                                                                      <w:marRight w:val="0"/>
                                                                      <w:marTop w:val="150"/>
                                                                      <w:marBottom w:val="150"/>
                                                                      <w:divBdr>
                                                                        <w:top w:val="none" w:sz="0" w:space="0" w:color="auto"/>
                                                                        <w:left w:val="none" w:sz="0" w:space="0" w:color="auto"/>
                                                                        <w:bottom w:val="none" w:sz="0" w:space="0" w:color="auto"/>
                                                                        <w:right w:val="none" w:sz="0" w:space="0" w:color="auto"/>
                                                                      </w:divBdr>
                                                                    </w:div>
                                                                    <w:div w:id="327248530">
                                                                      <w:marLeft w:val="0"/>
                                                                      <w:marRight w:val="0"/>
                                                                      <w:marTop w:val="150"/>
                                                                      <w:marBottom w:val="150"/>
                                                                      <w:divBdr>
                                                                        <w:top w:val="none" w:sz="0" w:space="0" w:color="auto"/>
                                                                        <w:left w:val="none" w:sz="0" w:space="0" w:color="auto"/>
                                                                        <w:bottom w:val="none" w:sz="0" w:space="0" w:color="auto"/>
                                                                        <w:right w:val="none" w:sz="0" w:space="0" w:color="auto"/>
                                                                      </w:divBdr>
                                                                    </w:div>
                                                                    <w:div w:id="1737779844">
                                                                      <w:marLeft w:val="0"/>
                                                                      <w:marRight w:val="0"/>
                                                                      <w:marTop w:val="150"/>
                                                                      <w:marBottom w:val="150"/>
                                                                      <w:divBdr>
                                                                        <w:top w:val="none" w:sz="0" w:space="0" w:color="auto"/>
                                                                        <w:left w:val="none" w:sz="0" w:space="0" w:color="auto"/>
                                                                        <w:bottom w:val="none" w:sz="0" w:space="0" w:color="auto"/>
                                                                        <w:right w:val="none" w:sz="0" w:space="0" w:color="auto"/>
                                                                      </w:divBdr>
                                                                    </w:div>
                                                                  </w:divsChild>
                                                                </w:div>
                                                                <w:div w:id="318920159">
                                                                  <w:marLeft w:val="0"/>
                                                                  <w:marRight w:val="0"/>
                                                                  <w:marTop w:val="0"/>
                                                                  <w:marBottom w:val="0"/>
                                                                  <w:divBdr>
                                                                    <w:top w:val="none" w:sz="0" w:space="0" w:color="auto"/>
                                                                    <w:left w:val="none" w:sz="0" w:space="0" w:color="auto"/>
                                                                    <w:bottom w:val="none" w:sz="0" w:space="0" w:color="auto"/>
                                                                    <w:right w:val="none" w:sz="0" w:space="0" w:color="auto"/>
                                                                  </w:divBdr>
                                                                  <w:divsChild>
                                                                    <w:div w:id="839272900">
                                                                      <w:marLeft w:val="0"/>
                                                                      <w:marRight w:val="0"/>
                                                                      <w:marTop w:val="150"/>
                                                                      <w:marBottom w:val="150"/>
                                                                      <w:divBdr>
                                                                        <w:top w:val="none" w:sz="0" w:space="0" w:color="auto"/>
                                                                        <w:left w:val="none" w:sz="0" w:space="0" w:color="auto"/>
                                                                        <w:bottom w:val="none" w:sz="0" w:space="0" w:color="auto"/>
                                                                        <w:right w:val="none" w:sz="0" w:space="0" w:color="auto"/>
                                                                      </w:divBdr>
                                                                    </w:div>
                                                                    <w:div w:id="146435924">
                                                                      <w:marLeft w:val="0"/>
                                                                      <w:marRight w:val="0"/>
                                                                      <w:marTop w:val="150"/>
                                                                      <w:marBottom w:val="150"/>
                                                                      <w:divBdr>
                                                                        <w:top w:val="none" w:sz="0" w:space="0" w:color="auto"/>
                                                                        <w:left w:val="none" w:sz="0" w:space="0" w:color="auto"/>
                                                                        <w:bottom w:val="none" w:sz="0" w:space="0" w:color="auto"/>
                                                                        <w:right w:val="none" w:sz="0" w:space="0" w:color="auto"/>
                                                                      </w:divBdr>
                                                                    </w:div>
                                                                    <w:div w:id="2138450854">
                                                                      <w:marLeft w:val="0"/>
                                                                      <w:marRight w:val="0"/>
                                                                      <w:marTop w:val="150"/>
                                                                      <w:marBottom w:val="150"/>
                                                                      <w:divBdr>
                                                                        <w:top w:val="none" w:sz="0" w:space="0" w:color="auto"/>
                                                                        <w:left w:val="none" w:sz="0" w:space="0" w:color="auto"/>
                                                                        <w:bottom w:val="none" w:sz="0" w:space="0" w:color="auto"/>
                                                                        <w:right w:val="none" w:sz="0" w:space="0" w:color="auto"/>
                                                                      </w:divBdr>
                                                                    </w:div>
                                                                  </w:divsChild>
                                                                </w:div>
                                                                <w:div w:id="1224491383">
                                                                  <w:marLeft w:val="0"/>
                                                                  <w:marRight w:val="0"/>
                                                                  <w:marTop w:val="0"/>
                                                                  <w:marBottom w:val="0"/>
                                                                  <w:divBdr>
                                                                    <w:top w:val="none" w:sz="0" w:space="0" w:color="auto"/>
                                                                    <w:left w:val="none" w:sz="0" w:space="0" w:color="auto"/>
                                                                    <w:bottom w:val="none" w:sz="0" w:space="0" w:color="auto"/>
                                                                    <w:right w:val="none" w:sz="0" w:space="0" w:color="auto"/>
                                                                  </w:divBdr>
                                                                  <w:divsChild>
                                                                    <w:div w:id="1530796402">
                                                                      <w:marLeft w:val="0"/>
                                                                      <w:marRight w:val="0"/>
                                                                      <w:marTop w:val="150"/>
                                                                      <w:marBottom w:val="150"/>
                                                                      <w:divBdr>
                                                                        <w:top w:val="none" w:sz="0" w:space="0" w:color="auto"/>
                                                                        <w:left w:val="none" w:sz="0" w:space="0" w:color="auto"/>
                                                                        <w:bottom w:val="none" w:sz="0" w:space="0" w:color="auto"/>
                                                                        <w:right w:val="none" w:sz="0" w:space="0" w:color="auto"/>
                                                                      </w:divBdr>
                                                                    </w:div>
                                                                  </w:divsChild>
                                                                </w:div>
                                                                <w:div w:id="1768429860">
                                                                  <w:marLeft w:val="0"/>
                                                                  <w:marRight w:val="0"/>
                                                                  <w:marTop w:val="0"/>
                                                                  <w:marBottom w:val="0"/>
                                                                  <w:divBdr>
                                                                    <w:top w:val="none" w:sz="0" w:space="0" w:color="auto"/>
                                                                    <w:left w:val="none" w:sz="0" w:space="0" w:color="auto"/>
                                                                    <w:bottom w:val="none" w:sz="0" w:space="0" w:color="auto"/>
                                                                    <w:right w:val="none" w:sz="0" w:space="0" w:color="auto"/>
                                                                  </w:divBdr>
                                                                  <w:divsChild>
                                                                    <w:div w:id="362830867">
                                                                      <w:marLeft w:val="0"/>
                                                                      <w:marRight w:val="0"/>
                                                                      <w:marTop w:val="150"/>
                                                                      <w:marBottom w:val="150"/>
                                                                      <w:divBdr>
                                                                        <w:top w:val="none" w:sz="0" w:space="0" w:color="auto"/>
                                                                        <w:left w:val="none" w:sz="0" w:space="0" w:color="auto"/>
                                                                        <w:bottom w:val="none" w:sz="0" w:space="0" w:color="auto"/>
                                                                        <w:right w:val="none" w:sz="0" w:space="0" w:color="auto"/>
                                                                      </w:divBdr>
                                                                    </w:div>
                                                                    <w:div w:id="243564215">
                                                                      <w:marLeft w:val="0"/>
                                                                      <w:marRight w:val="0"/>
                                                                      <w:marTop w:val="150"/>
                                                                      <w:marBottom w:val="150"/>
                                                                      <w:divBdr>
                                                                        <w:top w:val="none" w:sz="0" w:space="0" w:color="auto"/>
                                                                        <w:left w:val="none" w:sz="0" w:space="0" w:color="auto"/>
                                                                        <w:bottom w:val="none" w:sz="0" w:space="0" w:color="auto"/>
                                                                        <w:right w:val="none" w:sz="0" w:space="0" w:color="auto"/>
                                                                      </w:divBdr>
                                                                    </w:div>
                                                                    <w:div w:id="1196311358">
                                                                      <w:marLeft w:val="0"/>
                                                                      <w:marRight w:val="0"/>
                                                                      <w:marTop w:val="150"/>
                                                                      <w:marBottom w:val="150"/>
                                                                      <w:divBdr>
                                                                        <w:top w:val="none" w:sz="0" w:space="0" w:color="auto"/>
                                                                        <w:left w:val="none" w:sz="0" w:space="0" w:color="auto"/>
                                                                        <w:bottom w:val="none" w:sz="0" w:space="0" w:color="auto"/>
                                                                        <w:right w:val="none" w:sz="0" w:space="0" w:color="auto"/>
                                                                      </w:divBdr>
                                                                    </w:div>
                                                                    <w:div w:id="1990984211">
                                                                      <w:marLeft w:val="0"/>
                                                                      <w:marRight w:val="0"/>
                                                                      <w:marTop w:val="150"/>
                                                                      <w:marBottom w:val="150"/>
                                                                      <w:divBdr>
                                                                        <w:top w:val="none" w:sz="0" w:space="0" w:color="auto"/>
                                                                        <w:left w:val="none" w:sz="0" w:space="0" w:color="auto"/>
                                                                        <w:bottom w:val="none" w:sz="0" w:space="0" w:color="auto"/>
                                                                        <w:right w:val="none" w:sz="0" w:space="0" w:color="auto"/>
                                                                      </w:divBdr>
                                                                    </w:div>
                                                                    <w:div w:id="94832176">
                                                                      <w:marLeft w:val="0"/>
                                                                      <w:marRight w:val="0"/>
                                                                      <w:marTop w:val="150"/>
                                                                      <w:marBottom w:val="150"/>
                                                                      <w:divBdr>
                                                                        <w:top w:val="none" w:sz="0" w:space="0" w:color="auto"/>
                                                                        <w:left w:val="none" w:sz="0" w:space="0" w:color="auto"/>
                                                                        <w:bottom w:val="none" w:sz="0" w:space="0" w:color="auto"/>
                                                                        <w:right w:val="none" w:sz="0" w:space="0" w:color="auto"/>
                                                                      </w:divBdr>
                                                                    </w:div>
                                                                    <w:div w:id="87163">
                                                                      <w:marLeft w:val="0"/>
                                                                      <w:marRight w:val="0"/>
                                                                      <w:marTop w:val="150"/>
                                                                      <w:marBottom w:val="150"/>
                                                                      <w:divBdr>
                                                                        <w:top w:val="none" w:sz="0" w:space="0" w:color="auto"/>
                                                                        <w:left w:val="none" w:sz="0" w:space="0" w:color="auto"/>
                                                                        <w:bottom w:val="none" w:sz="0" w:space="0" w:color="auto"/>
                                                                        <w:right w:val="none" w:sz="0" w:space="0" w:color="auto"/>
                                                                      </w:divBdr>
                                                                    </w:div>
                                                                    <w:div w:id="2043900336">
                                                                      <w:marLeft w:val="0"/>
                                                                      <w:marRight w:val="0"/>
                                                                      <w:marTop w:val="150"/>
                                                                      <w:marBottom w:val="150"/>
                                                                      <w:divBdr>
                                                                        <w:top w:val="none" w:sz="0" w:space="0" w:color="auto"/>
                                                                        <w:left w:val="none" w:sz="0" w:space="0" w:color="auto"/>
                                                                        <w:bottom w:val="none" w:sz="0" w:space="0" w:color="auto"/>
                                                                        <w:right w:val="none" w:sz="0" w:space="0" w:color="auto"/>
                                                                      </w:divBdr>
                                                                    </w:div>
                                                                    <w:div w:id="235408913">
                                                                      <w:marLeft w:val="0"/>
                                                                      <w:marRight w:val="0"/>
                                                                      <w:marTop w:val="150"/>
                                                                      <w:marBottom w:val="150"/>
                                                                      <w:divBdr>
                                                                        <w:top w:val="none" w:sz="0" w:space="0" w:color="auto"/>
                                                                        <w:left w:val="none" w:sz="0" w:space="0" w:color="auto"/>
                                                                        <w:bottom w:val="none" w:sz="0" w:space="0" w:color="auto"/>
                                                                        <w:right w:val="none" w:sz="0" w:space="0" w:color="auto"/>
                                                                      </w:divBdr>
                                                                    </w:div>
                                                                    <w:div w:id="436489827">
                                                                      <w:marLeft w:val="0"/>
                                                                      <w:marRight w:val="0"/>
                                                                      <w:marTop w:val="150"/>
                                                                      <w:marBottom w:val="150"/>
                                                                      <w:divBdr>
                                                                        <w:top w:val="none" w:sz="0" w:space="0" w:color="auto"/>
                                                                        <w:left w:val="none" w:sz="0" w:space="0" w:color="auto"/>
                                                                        <w:bottom w:val="none" w:sz="0" w:space="0" w:color="auto"/>
                                                                        <w:right w:val="none" w:sz="0" w:space="0" w:color="auto"/>
                                                                      </w:divBdr>
                                                                    </w:div>
                                                                    <w:div w:id="1194071001">
                                                                      <w:marLeft w:val="0"/>
                                                                      <w:marRight w:val="0"/>
                                                                      <w:marTop w:val="150"/>
                                                                      <w:marBottom w:val="150"/>
                                                                      <w:divBdr>
                                                                        <w:top w:val="none" w:sz="0" w:space="0" w:color="auto"/>
                                                                        <w:left w:val="none" w:sz="0" w:space="0" w:color="auto"/>
                                                                        <w:bottom w:val="none" w:sz="0" w:space="0" w:color="auto"/>
                                                                        <w:right w:val="none" w:sz="0" w:space="0" w:color="auto"/>
                                                                      </w:divBdr>
                                                                    </w:div>
                                                                    <w:div w:id="919410282">
                                                                      <w:marLeft w:val="0"/>
                                                                      <w:marRight w:val="0"/>
                                                                      <w:marTop w:val="150"/>
                                                                      <w:marBottom w:val="150"/>
                                                                      <w:divBdr>
                                                                        <w:top w:val="none" w:sz="0" w:space="0" w:color="auto"/>
                                                                        <w:left w:val="none" w:sz="0" w:space="0" w:color="auto"/>
                                                                        <w:bottom w:val="none" w:sz="0" w:space="0" w:color="auto"/>
                                                                        <w:right w:val="none" w:sz="0" w:space="0" w:color="auto"/>
                                                                      </w:divBdr>
                                                                    </w:div>
                                                                  </w:divsChild>
                                                                </w:div>
                                                                <w:div w:id="136070230">
                                                                  <w:marLeft w:val="0"/>
                                                                  <w:marRight w:val="0"/>
                                                                  <w:marTop w:val="0"/>
                                                                  <w:marBottom w:val="0"/>
                                                                  <w:divBdr>
                                                                    <w:top w:val="none" w:sz="0" w:space="0" w:color="auto"/>
                                                                    <w:left w:val="none" w:sz="0" w:space="0" w:color="auto"/>
                                                                    <w:bottom w:val="none" w:sz="0" w:space="0" w:color="auto"/>
                                                                    <w:right w:val="none" w:sz="0" w:space="0" w:color="auto"/>
                                                                  </w:divBdr>
                                                                  <w:divsChild>
                                                                    <w:div w:id="1336223277">
                                                                      <w:marLeft w:val="0"/>
                                                                      <w:marRight w:val="0"/>
                                                                      <w:marTop w:val="150"/>
                                                                      <w:marBottom w:val="150"/>
                                                                      <w:divBdr>
                                                                        <w:top w:val="none" w:sz="0" w:space="0" w:color="auto"/>
                                                                        <w:left w:val="none" w:sz="0" w:space="0" w:color="auto"/>
                                                                        <w:bottom w:val="none" w:sz="0" w:space="0" w:color="auto"/>
                                                                        <w:right w:val="none" w:sz="0" w:space="0" w:color="auto"/>
                                                                      </w:divBdr>
                                                                    </w:div>
                                                                    <w:div w:id="319965239">
                                                                      <w:marLeft w:val="0"/>
                                                                      <w:marRight w:val="0"/>
                                                                      <w:marTop w:val="150"/>
                                                                      <w:marBottom w:val="150"/>
                                                                      <w:divBdr>
                                                                        <w:top w:val="none" w:sz="0" w:space="0" w:color="auto"/>
                                                                        <w:left w:val="none" w:sz="0" w:space="0" w:color="auto"/>
                                                                        <w:bottom w:val="none" w:sz="0" w:space="0" w:color="auto"/>
                                                                        <w:right w:val="none" w:sz="0" w:space="0" w:color="auto"/>
                                                                      </w:divBdr>
                                                                    </w:div>
                                                                  </w:divsChild>
                                                                </w:div>
                                                                <w:div w:id="1507212934">
                                                                  <w:marLeft w:val="0"/>
                                                                  <w:marRight w:val="0"/>
                                                                  <w:marTop w:val="0"/>
                                                                  <w:marBottom w:val="0"/>
                                                                  <w:divBdr>
                                                                    <w:top w:val="none" w:sz="0" w:space="0" w:color="auto"/>
                                                                    <w:left w:val="none" w:sz="0" w:space="0" w:color="auto"/>
                                                                    <w:bottom w:val="none" w:sz="0" w:space="0" w:color="auto"/>
                                                                    <w:right w:val="none" w:sz="0" w:space="0" w:color="auto"/>
                                                                  </w:divBdr>
                                                                  <w:divsChild>
                                                                    <w:div w:id="557013396">
                                                                      <w:marLeft w:val="0"/>
                                                                      <w:marRight w:val="0"/>
                                                                      <w:marTop w:val="150"/>
                                                                      <w:marBottom w:val="150"/>
                                                                      <w:divBdr>
                                                                        <w:top w:val="none" w:sz="0" w:space="0" w:color="auto"/>
                                                                        <w:left w:val="none" w:sz="0" w:space="0" w:color="auto"/>
                                                                        <w:bottom w:val="none" w:sz="0" w:space="0" w:color="auto"/>
                                                                        <w:right w:val="none" w:sz="0" w:space="0" w:color="auto"/>
                                                                      </w:divBdr>
                                                                    </w:div>
                                                                    <w:div w:id="420759297">
                                                                      <w:marLeft w:val="0"/>
                                                                      <w:marRight w:val="0"/>
                                                                      <w:marTop w:val="150"/>
                                                                      <w:marBottom w:val="150"/>
                                                                      <w:divBdr>
                                                                        <w:top w:val="none" w:sz="0" w:space="0" w:color="auto"/>
                                                                        <w:left w:val="none" w:sz="0" w:space="0" w:color="auto"/>
                                                                        <w:bottom w:val="none" w:sz="0" w:space="0" w:color="auto"/>
                                                                        <w:right w:val="none" w:sz="0" w:space="0" w:color="auto"/>
                                                                      </w:divBdr>
                                                                    </w:div>
                                                                    <w:div w:id="488179815">
                                                                      <w:marLeft w:val="0"/>
                                                                      <w:marRight w:val="0"/>
                                                                      <w:marTop w:val="150"/>
                                                                      <w:marBottom w:val="150"/>
                                                                      <w:divBdr>
                                                                        <w:top w:val="none" w:sz="0" w:space="0" w:color="auto"/>
                                                                        <w:left w:val="none" w:sz="0" w:space="0" w:color="auto"/>
                                                                        <w:bottom w:val="none" w:sz="0" w:space="0" w:color="auto"/>
                                                                        <w:right w:val="none" w:sz="0" w:space="0" w:color="auto"/>
                                                                      </w:divBdr>
                                                                    </w:div>
                                                                    <w:div w:id="208540335">
                                                                      <w:marLeft w:val="0"/>
                                                                      <w:marRight w:val="0"/>
                                                                      <w:marTop w:val="150"/>
                                                                      <w:marBottom w:val="150"/>
                                                                      <w:divBdr>
                                                                        <w:top w:val="none" w:sz="0" w:space="0" w:color="auto"/>
                                                                        <w:left w:val="none" w:sz="0" w:space="0" w:color="auto"/>
                                                                        <w:bottom w:val="none" w:sz="0" w:space="0" w:color="auto"/>
                                                                        <w:right w:val="none" w:sz="0" w:space="0" w:color="auto"/>
                                                                      </w:divBdr>
                                                                    </w:div>
                                                                  </w:divsChild>
                                                                </w:div>
                                                                <w:div w:id="450127728">
                                                                  <w:marLeft w:val="0"/>
                                                                  <w:marRight w:val="0"/>
                                                                  <w:marTop w:val="0"/>
                                                                  <w:marBottom w:val="0"/>
                                                                  <w:divBdr>
                                                                    <w:top w:val="none" w:sz="0" w:space="0" w:color="auto"/>
                                                                    <w:left w:val="none" w:sz="0" w:space="0" w:color="auto"/>
                                                                    <w:bottom w:val="none" w:sz="0" w:space="0" w:color="auto"/>
                                                                    <w:right w:val="none" w:sz="0" w:space="0" w:color="auto"/>
                                                                  </w:divBdr>
                                                                  <w:divsChild>
                                                                    <w:div w:id="1030646248">
                                                                      <w:marLeft w:val="0"/>
                                                                      <w:marRight w:val="0"/>
                                                                      <w:marTop w:val="150"/>
                                                                      <w:marBottom w:val="150"/>
                                                                      <w:divBdr>
                                                                        <w:top w:val="none" w:sz="0" w:space="0" w:color="auto"/>
                                                                        <w:left w:val="none" w:sz="0" w:space="0" w:color="auto"/>
                                                                        <w:bottom w:val="none" w:sz="0" w:space="0" w:color="auto"/>
                                                                        <w:right w:val="none" w:sz="0" w:space="0" w:color="auto"/>
                                                                      </w:divBdr>
                                                                    </w:div>
                                                                    <w:div w:id="688338000">
                                                                      <w:marLeft w:val="0"/>
                                                                      <w:marRight w:val="0"/>
                                                                      <w:marTop w:val="150"/>
                                                                      <w:marBottom w:val="150"/>
                                                                      <w:divBdr>
                                                                        <w:top w:val="none" w:sz="0" w:space="0" w:color="auto"/>
                                                                        <w:left w:val="none" w:sz="0" w:space="0" w:color="auto"/>
                                                                        <w:bottom w:val="none" w:sz="0" w:space="0" w:color="auto"/>
                                                                        <w:right w:val="none" w:sz="0" w:space="0" w:color="auto"/>
                                                                      </w:divBdr>
                                                                    </w:div>
                                                                    <w:div w:id="1077898492">
                                                                      <w:marLeft w:val="0"/>
                                                                      <w:marRight w:val="0"/>
                                                                      <w:marTop w:val="150"/>
                                                                      <w:marBottom w:val="150"/>
                                                                      <w:divBdr>
                                                                        <w:top w:val="none" w:sz="0" w:space="0" w:color="auto"/>
                                                                        <w:left w:val="none" w:sz="0" w:space="0" w:color="auto"/>
                                                                        <w:bottom w:val="none" w:sz="0" w:space="0" w:color="auto"/>
                                                                        <w:right w:val="none" w:sz="0" w:space="0" w:color="auto"/>
                                                                      </w:divBdr>
                                                                    </w:div>
                                                                  </w:divsChild>
                                                                </w:div>
                                                                <w:div w:id="1573812460">
                                                                  <w:marLeft w:val="0"/>
                                                                  <w:marRight w:val="0"/>
                                                                  <w:marTop w:val="0"/>
                                                                  <w:marBottom w:val="0"/>
                                                                  <w:divBdr>
                                                                    <w:top w:val="none" w:sz="0" w:space="0" w:color="auto"/>
                                                                    <w:left w:val="none" w:sz="0" w:space="0" w:color="auto"/>
                                                                    <w:bottom w:val="none" w:sz="0" w:space="0" w:color="auto"/>
                                                                    <w:right w:val="none" w:sz="0" w:space="0" w:color="auto"/>
                                                                  </w:divBdr>
                                                                  <w:divsChild>
                                                                    <w:div w:id="1203791258">
                                                                      <w:marLeft w:val="0"/>
                                                                      <w:marRight w:val="0"/>
                                                                      <w:marTop w:val="150"/>
                                                                      <w:marBottom w:val="150"/>
                                                                      <w:divBdr>
                                                                        <w:top w:val="none" w:sz="0" w:space="0" w:color="auto"/>
                                                                        <w:left w:val="none" w:sz="0" w:space="0" w:color="auto"/>
                                                                        <w:bottom w:val="none" w:sz="0" w:space="0" w:color="auto"/>
                                                                        <w:right w:val="none" w:sz="0" w:space="0" w:color="auto"/>
                                                                      </w:divBdr>
                                                                    </w:div>
                                                                  </w:divsChild>
                                                                </w:div>
                                                                <w:div w:id="1120759395">
                                                                  <w:marLeft w:val="0"/>
                                                                  <w:marRight w:val="0"/>
                                                                  <w:marTop w:val="0"/>
                                                                  <w:marBottom w:val="0"/>
                                                                  <w:divBdr>
                                                                    <w:top w:val="none" w:sz="0" w:space="0" w:color="auto"/>
                                                                    <w:left w:val="none" w:sz="0" w:space="0" w:color="auto"/>
                                                                    <w:bottom w:val="none" w:sz="0" w:space="0" w:color="auto"/>
                                                                    <w:right w:val="none" w:sz="0" w:space="0" w:color="auto"/>
                                                                  </w:divBdr>
                                                                  <w:divsChild>
                                                                    <w:div w:id="500505649">
                                                                      <w:marLeft w:val="0"/>
                                                                      <w:marRight w:val="0"/>
                                                                      <w:marTop w:val="150"/>
                                                                      <w:marBottom w:val="150"/>
                                                                      <w:divBdr>
                                                                        <w:top w:val="none" w:sz="0" w:space="0" w:color="auto"/>
                                                                        <w:left w:val="none" w:sz="0" w:space="0" w:color="auto"/>
                                                                        <w:bottom w:val="none" w:sz="0" w:space="0" w:color="auto"/>
                                                                        <w:right w:val="none" w:sz="0" w:space="0" w:color="auto"/>
                                                                      </w:divBdr>
                                                                    </w:div>
                                                                    <w:div w:id="414208561">
                                                                      <w:marLeft w:val="0"/>
                                                                      <w:marRight w:val="0"/>
                                                                      <w:marTop w:val="150"/>
                                                                      <w:marBottom w:val="150"/>
                                                                      <w:divBdr>
                                                                        <w:top w:val="none" w:sz="0" w:space="0" w:color="auto"/>
                                                                        <w:left w:val="none" w:sz="0" w:space="0" w:color="auto"/>
                                                                        <w:bottom w:val="none" w:sz="0" w:space="0" w:color="auto"/>
                                                                        <w:right w:val="none" w:sz="0" w:space="0" w:color="auto"/>
                                                                      </w:divBdr>
                                                                    </w:div>
                                                                    <w:div w:id="1154836619">
                                                                      <w:marLeft w:val="0"/>
                                                                      <w:marRight w:val="0"/>
                                                                      <w:marTop w:val="150"/>
                                                                      <w:marBottom w:val="150"/>
                                                                      <w:divBdr>
                                                                        <w:top w:val="none" w:sz="0" w:space="0" w:color="auto"/>
                                                                        <w:left w:val="none" w:sz="0" w:space="0" w:color="auto"/>
                                                                        <w:bottom w:val="none" w:sz="0" w:space="0" w:color="auto"/>
                                                                        <w:right w:val="none" w:sz="0" w:space="0" w:color="auto"/>
                                                                      </w:divBdr>
                                                                    </w:div>
                                                                  </w:divsChild>
                                                                </w:div>
                                                                <w:div w:id="751507968">
                                                                  <w:marLeft w:val="0"/>
                                                                  <w:marRight w:val="0"/>
                                                                  <w:marTop w:val="0"/>
                                                                  <w:marBottom w:val="0"/>
                                                                  <w:divBdr>
                                                                    <w:top w:val="none" w:sz="0" w:space="0" w:color="auto"/>
                                                                    <w:left w:val="none" w:sz="0" w:space="0" w:color="auto"/>
                                                                    <w:bottom w:val="none" w:sz="0" w:space="0" w:color="auto"/>
                                                                    <w:right w:val="none" w:sz="0" w:space="0" w:color="auto"/>
                                                                  </w:divBdr>
                                                                  <w:divsChild>
                                                                    <w:div w:id="15567692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1234743">
      <w:bodyDiv w:val="1"/>
      <w:marLeft w:val="0"/>
      <w:marRight w:val="0"/>
      <w:marTop w:val="0"/>
      <w:marBottom w:val="0"/>
      <w:divBdr>
        <w:top w:val="none" w:sz="0" w:space="0" w:color="auto"/>
        <w:left w:val="none" w:sz="0" w:space="0" w:color="auto"/>
        <w:bottom w:val="none" w:sz="0" w:space="0" w:color="auto"/>
        <w:right w:val="none" w:sz="0" w:space="0" w:color="auto"/>
      </w:divBdr>
    </w:div>
    <w:div w:id="1971323245">
      <w:bodyDiv w:val="1"/>
      <w:marLeft w:val="0"/>
      <w:marRight w:val="0"/>
      <w:marTop w:val="0"/>
      <w:marBottom w:val="0"/>
      <w:divBdr>
        <w:top w:val="none" w:sz="0" w:space="0" w:color="auto"/>
        <w:left w:val="none" w:sz="0" w:space="0" w:color="auto"/>
        <w:bottom w:val="none" w:sz="0" w:space="0" w:color="auto"/>
        <w:right w:val="none" w:sz="0" w:space="0" w:color="auto"/>
      </w:divBdr>
    </w:div>
    <w:div w:id="2099400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chart" Target="charts/chart3.xml"/><Relationship Id="rId39" Type="http://schemas.openxmlformats.org/officeDocument/2006/relationships/chart" Target="charts/chart12.xml"/><Relationship Id="rId21" Type="http://schemas.openxmlformats.org/officeDocument/2006/relationships/image" Target="media/image2.png"/><Relationship Id="rId34" Type="http://schemas.openxmlformats.org/officeDocument/2006/relationships/chart" Target="charts/chart7.xml"/><Relationship Id="rId42" Type="http://schemas.openxmlformats.org/officeDocument/2006/relationships/image" Target="media/image9.png"/><Relationship Id="rId47" Type="http://schemas.openxmlformats.org/officeDocument/2006/relationships/chart" Target="charts/chart14.xml"/><Relationship Id="rId50" Type="http://schemas.openxmlformats.org/officeDocument/2006/relationships/hyperlink" Target="http://eur-lex.europa.eu/legal-content/EN/TXT/?uri=CELEX:52013DC0592" TargetMode="External"/><Relationship Id="rId55" Type="http://schemas.openxmlformats.org/officeDocument/2006/relationships/hyperlink" Target="http://ec.europa.eu/DocsRoom/documents/5881/attachments/1/translations" TargetMode="External"/><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12.png"/><Relationship Id="rId53" Type="http://schemas.openxmlformats.org/officeDocument/2006/relationships/hyperlink" Target="http://ec.europa.eu/DocsRoom/documents/5821/attachments/1/translations" TargetMode="External"/><Relationship Id="rId58" Type="http://schemas.openxmlformats.org/officeDocument/2006/relationships/hyperlink" Target="http://ec.europa.eu/DocsRoom/documents/5824/attachments/1/translations"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chart" Target="charts/chart9.xml"/><Relationship Id="rId49" Type="http://schemas.openxmlformats.org/officeDocument/2006/relationships/hyperlink" Target="http://ec.europa.eu/DocsRoom/documents/5801/attachments/1/translations" TargetMode="External"/><Relationship Id="rId57" Type="http://schemas.openxmlformats.org/officeDocument/2006/relationships/hyperlink" Target="http://ec.europa.eu/DocsRoom/documents/5806/attachments/1/translations" TargetMode="External"/><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chart" Target="charts/chart4.xml"/><Relationship Id="rId44" Type="http://schemas.openxmlformats.org/officeDocument/2006/relationships/image" Target="media/image11.png"/><Relationship Id="rId52" Type="http://schemas.openxmlformats.org/officeDocument/2006/relationships/hyperlink" Target="http://ec.europa.eu/DocsRoom/documents/5822/attachments/1/translations" TargetMode="External"/><Relationship Id="rId60" Type="http://schemas.openxmlformats.org/officeDocument/2006/relationships/header" Target="header4.xm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ec.europa.eu/DocsRoom/documents/17963/attachments/1/translations/en/renditions/native" TargetMode="External"/><Relationship Id="rId35" Type="http://schemas.openxmlformats.org/officeDocument/2006/relationships/chart" Target="charts/chart8.xml"/><Relationship Id="rId43" Type="http://schemas.openxmlformats.org/officeDocument/2006/relationships/image" Target="media/image10.png"/><Relationship Id="rId48" Type="http://schemas.openxmlformats.org/officeDocument/2006/relationships/image" Target="media/image14.jpeg"/><Relationship Id="rId56" Type="http://schemas.openxmlformats.org/officeDocument/2006/relationships/hyperlink" Target="http://ec.europa.eu/DocsRoom/documents/5825/attachments/1/translations" TargetMode="External"/><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ec.europa.eu/DocsRoom/documents/5807/attachments/1/translation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13.png"/><Relationship Id="rId59" Type="http://schemas.openxmlformats.org/officeDocument/2006/relationships/image" Target="media/image15.png"/><Relationship Id="rId67"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8.png"/><Relationship Id="rId54" Type="http://schemas.openxmlformats.org/officeDocument/2006/relationships/hyperlink" Target="http://ec.europa.eu/DocsRoom/documents/13481/attachments/1/translations" TargetMode="External"/><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do?uri=COM:2012:0292:FIN:EN:PDF" TargetMode="External"/><Relationship Id="rId13" Type="http://schemas.openxmlformats.org/officeDocument/2006/relationships/hyperlink" Target="http://www.oecd-ilibrary.org/economics/reinvigorating-the-eu-single-market_5jxx3d3hk437-en" TargetMode="External"/><Relationship Id="rId18" Type="http://schemas.openxmlformats.org/officeDocument/2006/relationships/hyperlink" Target="http://ec.europa.eu/eurostat/web/international-trade-in-goods/data/database" TargetMode="External"/><Relationship Id="rId26" Type="http://schemas.openxmlformats.org/officeDocument/2006/relationships/hyperlink" Target="https://www.nist.gov/standardsgov/use-suppliers-declaration-conformity" TargetMode="External"/><Relationship Id="rId3" Type="http://schemas.openxmlformats.org/officeDocument/2006/relationships/hyperlink" Target="http://www.consilium.europa.eu/uedocs/cms_data/docs/pressdata/en/intm/139846.pdf" TargetMode="External"/><Relationship Id="rId21" Type="http://schemas.openxmlformats.org/officeDocument/2006/relationships/hyperlink" Target="http://ec.europa.eu/growth/single-market/goods/free-movement-sectors/mutual-recognition/index_en.htm" TargetMode="External"/><Relationship Id="rId7" Type="http://schemas.openxmlformats.org/officeDocument/2006/relationships/hyperlink" Target="http://ec.europa.eu/enterprise/sectors/chemicals/files/fertilizers/final_report__23jan2012_en.pdf" TargetMode="External"/><Relationship Id="rId12" Type="http://schemas.openxmlformats.org/officeDocument/2006/relationships/hyperlink" Target="http://ec.europa.eu/DocsRoom/documents/6706/attachments/1/translations/en/renditions/native" TargetMode="External"/><Relationship Id="rId17" Type="http://schemas.openxmlformats.org/officeDocument/2006/relationships/hyperlink" Target="http://ec.europa.eu/eurostat/ramon/nomenclatures/index.cfm?TargetUrl=DSP_GLOSSARY_NOM_DTL_VIEW&amp;StrNom=CODED2&amp;StrLanguageCode=EN&amp;IntKey=16619885&amp;RdoSearch=BEGIN&amp;TxtSearch=value%20added%20at%20factor%20cost&amp;CboTheme=&amp;IsTer=&amp;IntCurrentPage=1&amp;ter_valid=0" TargetMode="External"/><Relationship Id="rId25" Type="http://schemas.openxmlformats.org/officeDocument/2006/relationships/hyperlink" Target="https://www.usitc.gov/publications/332/ca-dft-rev-final082008.pdf" TargetMode="External"/><Relationship Id="rId2" Type="http://schemas.openxmlformats.org/officeDocument/2006/relationships/hyperlink" Target="http://ec.europa.eu/atwork/pdf/cwp_2015_en.pdf" TargetMode="External"/><Relationship Id="rId16" Type="http://schemas.openxmlformats.org/officeDocument/2006/relationships/hyperlink" Target="http://ec.europa.eu/eurostat/web/international-trade-in-goods/data/database" TargetMode="External"/><Relationship Id="rId20" Type="http://schemas.openxmlformats.org/officeDocument/2006/relationships/hyperlink" Target="http://ec.europa.eu/enterprise/sectors/chemicals/files/fertilizers/final_report__23jan2012_en.pdf" TargetMode="External"/><Relationship Id="rId29" Type="http://schemas.openxmlformats.org/officeDocument/2006/relationships/hyperlink" Target="http://ec.europa.eu/DocsRoom/documents/6706/attachments/1/translations/en/renditions/native" TargetMode="External"/><Relationship Id="rId1" Type="http://schemas.openxmlformats.org/officeDocument/2006/relationships/hyperlink" Target="http://ec.europa.eu/about/juncker-commission/priorities/index_en.htm" TargetMode="External"/><Relationship Id="rId6" Type="http://schemas.openxmlformats.org/officeDocument/2006/relationships/hyperlink" Target="https://data.europa.eu/euodp/en/data/dataset/S2090_421_ENG" TargetMode="External"/><Relationship Id="rId11" Type="http://schemas.openxmlformats.org/officeDocument/2006/relationships/hyperlink" Target="https://data.europa.eu/euodp/en/data/dataset/S2090_421_ENG" TargetMode="External"/><Relationship Id="rId24" Type="http://schemas.openxmlformats.org/officeDocument/2006/relationships/hyperlink" Target="http://ec.europa.eu/solvit/what-is-solvit/index_en.htm" TargetMode="External"/><Relationship Id="rId5" Type="http://schemas.openxmlformats.org/officeDocument/2006/relationships/hyperlink" Target="http://ec.europa.eu/growth/single-market/goods/free-movement-sectors/mutual-recognition/index_en.htm" TargetMode="External"/><Relationship Id="rId15" Type="http://schemas.openxmlformats.org/officeDocument/2006/relationships/hyperlink" Target="http://ec.europa.eu/eurostat/web/structural-business-statistics" TargetMode="External"/><Relationship Id="rId23" Type="http://schemas.openxmlformats.org/officeDocument/2006/relationships/hyperlink" Target="https://ec.europa.eu/jrc/en/publication/eur-scientific-and-technical-research-reports/non-harmonised-food-contact-materials-eu-regulatory-and-market-situation-baseline-study" TargetMode="External"/><Relationship Id="rId28" Type="http://schemas.openxmlformats.org/officeDocument/2006/relationships/hyperlink" Target="https://data.europa.eu/euodp/en/data/dataset/S2090_421_ENG" TargetMode="External"/><Relationship Id="rId10" Type="http://schemas.openxmlformats.org/officeDocument/2006/relationships/hyperlink" Target="http://ec.europa.eu/DocsRoom/documents/17786/attachments/1/translations/en/renditions/native" TargetMode="External"/><Relationship Id="rId19" Type="http://schemas.openxmlformats.org/officeDocument/2006/relationships/hyperlink" Target="http://ec.europa.eu/eurostat/documents/3859598/5902521/KS-RA-07-015-EN.PDF" TargetMode="External"/><Relationship Id="rId4" Type="http://schemas.openxmlformats.org/officeDocument/2006/relationships/hyperlink" Target="http://register.consilium.europa.eu/doc/srv?l=EN&amp;f=ST%206197%202015%20INIT" TargetMode="External"/><Relationship Id="rId9" Type="http://schemas.openxmlformats.org/officeDocument/2006/relationships/hyperlink" Target="http://ec.europa.eu/growth/single-market/goods/free-movement-sectors/mutual-recognition/index_en.htm" TargetMode="External"/><Relationship Id="rId14" Type="http://schemas.openxmlformats.org/officeDocument/2006/relationships/hyperlink" Target="http://ec.europa.eu/growth/single-market/goods/free-movement-sectors/mutual-recognition/index_en.htm" TargetMode="External"/><Relationship Id="rId22" Type="http://schemas.openxmlformats.org/officeDocument/2006/relationships/hyperlink" Target="http://ec.europa.eu/growth/sectors/chemicals/specific-chemicals/index_en.htmas" TargetMode="External"/><Relationship Id="rId27" Type="http://schemas.openxmlformats.org/officeDocument/2006/relationships/hyperlink" Target="https://www.wto.org/english/tratop_e/inftec_e/gall.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ele.Giove\Desktop\Mutual%20Recognition\PRODCOM\Aggregate\data-PRODCOM.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Michele.Giove\Desktop\Mutual%20Recognition\PRODCOM\Aggregate\data-PRODCOM.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Charts!$A$69</c:f>
              <c:strCache>
                <c:ptCount val="1"/>
                <c:pt idx="0">
                  <c:v>Harmonised </c:v>
                </c:pt>
              </c:strCache>
            </c:strRef>
          </c:tx>
          <c:marker>
            <c:symbol val="none"/>
          </c:marker>
          <c:dLbls>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Charts!$B$68:$I$68</c:f>
              <c:numCache>
                <c:formatCode>General</c:formatCode>
                <c:ptCount val="8"/>
                <c:pt idx="0">
                  <c:v>2008</c:v>
                </c:pt>
                <c:pt idx="1">
                  <c:v>2009</c:v>
                </c:pt>
                <c:pt idx="2">
                  <c:v>2010</c:v>
                </c:pt>
                <c:pt idx="3">
                  <c:v>2011</c:v>
                </c:pt>
                <c:pt idx="4">
                  <c:v>2012</c:v>
                </c:pt>
                <c:pt idx="5">
                  <c:v>2013</c:v>
                </c:pt>
                <c:pt idx="6">
                  <c:v>2014</c:v>
                </c:pt>
                <c:pt idx="7">
                  <c:v>2015</c:v>
                </c:pt>
              </c:numCache>
            </c:numRef>
          </c:cat>
          <c:val>
            <c:numRef>
              <c:f>Charts!$B$69:$I$69</c:f>
              <c:numCache>
                <c:formatCode>0.0%</c:formatCode>
                <c:ptCount val="8"/>
                <c:pt idx="0">
                  <c:v>0.5062499631701346</c:v>
                </c:pt>
                <c:pt idx="1">
                  <c:v>0.51811325545788789</c:v>
                </c:pt>
                <c:pt idx="2">
                  <c:v>0.52906118862424822</c:v>
                </c:pt>
                <c:pt idx="3">
                  <c:v>0.54204935160677647</c:v>
                </c:pt>
                <c:pt idx="4">
                  <c:v>0.54828395195013258</c:v>
                </c:pt>
                <c:pt idx="5">
                  <c:v>0.56532827672270958</c:v>
                </c:pt>
                <c:pt idx="6">
                  <c:v>0.57909788997352418</c:v>
                </c:pt>
                <c:pt idx="7">
                  <c:v>0.59238799522322216</c:v>
                </c:pt>
              </c:numCache>
            </c:numRef>
          </c:val>
          <c:smooth val="0"/>
        </c:ser>
        <c:ser>
          <c:idx val="1"/>
          <c:order val="1"/>
          <c:tx>
            <c:strRef>
              <c:f>Charts!$A$70</c:f>
              <c:strCache>
                <c:ptCount val="1"/>
                <c:pt idx="0">
                  <c:v>Non/Partially Harmonised</c:v>
                </c:pt>
              </c:strCache>
            </c:strRef>
          </c:tx>
          <c:marker>
            <c:symbol val="none"/>
          </c:marker>
          <c:dLbls>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Charts!$B$68:$I$68</c:f>
              <c:numCache>
                <c:formatCode>General</c:formatCode>
                <c:ptCount val="8"/>
                <c:pt idx="0">
                  <c:v>2008</c:v>
                </c:pt>
                <c:pt idx="1">
                  <c:v>2009</c:v>
                </c:pt>
                <c:pt idx="2">
                  <c:v>2010</c:v>
                </c:pt>
                <c:pt idx="3">
                  <c:v>2011</c:v>
                </c:pt>
                <c:pt idx="4">
                  <c:v>2012</c:v>
                </c:pt>
                <c:pt idx="5">
                  <c:v>2013</c:v>
                </c:pt>
                <c:pt idx="6">
                  <c:v>2014</c:v>
                </c:pt>
                <c:pt idx="7">
                  <c:v>2015</c:v>
                </c:pt>
              </c:numCache>
            </c:numRef>
          </c:cat>
          <c:val>
            <c:numRef>
              <c:f>Charts!$B$70:$I$70</c:f>
              <c:numCache>
                <c:formatCode>0.0%</c:formatCode>
                <c:ptCount val="8"/>
                <c:pt idx="0">
                  <c:v>0.3287937665245903</c:v>
                </c:pt>
                <c:pt idx="1">
                  <c:v>0.32455006686426879</c:v>
                </c:pt>
                <c:pt idx="2">
                  <c:v>0.34453122759748372</c:v>
                </c:pt>
                <c:pt idx="3">
                  <c:v>0.35563861719945317</c:v>
                </c:pt>
                <c:pt idx="4">
                  <c:v>0.35805104585349534</c:v>
                </c:pt>
                <c:pt idx="5">
                  <c:v>0.37095410016769859</c:v>
                </c:pt>
                <c:pt idx="6">
                  <c:v>0.37723450303028866</c:v>
                </c:pt>
                <c:pt idx="7">
                  <c:v>0.37354460326726563</c:v>
                </c:pt>
              </c:numCache>
            </c:numRef>
          </c:val>
          <c:smooth val="0"/>
        </c:ser>
        <c:dLbls>
          <c:showLegendKey val="0"/>
          <c:showVal val="0"/>
          <c:showCatName val="0"/>
          <c:showSerName val="0"/>
          <c:showPercent val="0"/>
          <c:showBubbleSize val="0"/>
        </c:dLbls>
        <c:marker val="1"/>
        <c:smooth val="0"/>
        <c:axId val="55785344"/>
        <c:axId val="55786880"/>
      </c:lineChart>
      <c:catAx>
        <c:axId val="5578534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55786880"/>
        <c:crosses val="autoZero"/>
        <c:auto val="1"/>
        <c:lblAlgn val="ctr"/>
        <c:lblOffset val="100"/>
        <c:noMultiLvlLbl val="0"/>
      </c:catAx>
      <c:valAx>
        <c:axId val="55786880"/>
        <c:scaling>
          <c:orientation val="minMax"/>
          <c:min val="0.30000000000000004"/>
        </c:scaling>
        <c:delete val="0"/>
        <c:axPos val="l"/>
        <c:majorGridlines/>
        <c:numFmt formatCode="0%" sourceLinked="0"/>
        <c:majorTickMark val="none"/>
        <c:minorTickMark val="none"/>
        <c:tickLblPos val="nextTo"/>
        <c:txPr>
          <a:bodyPr rot="-60000000" vert="horz"/>
          <a:lstStyle/>
          <a:p>
            <a:pPr>
              <a:defRPr/>
            </a:pPr>
            <a:endParaRPr lang="en-US"/>
          </a:p>
        </c:txPr>
        <c:crossAx val="55785344"/>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Strict deadlines to reply to requests made from one authority to the other</a:t>
            </a:r>
          </a:p>
          <a:p>
            <a:pPr algn="ctr" rtl="0">
              <a:defRPr/>
            </a:pPr>
            <a:endParaRPr lang="en-GB"/>
          </a:p>
        </c:rich>
      </c:tx>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0.62</c:v>
                </c:pt>
                <c:pt idx="1">
                  <c:v>0.2</c:v>
                </c:pt>
                <c:pt idx="2">
                  <c:v>0.17</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0.83</c:v>
                </c:pt>
                <c:pt idx="1">
                  <c:v>0.04</c:v>
                </c:pt>
                <c:pt idx="2">
                  <c:v>0.12</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0.57999999999999996</c:v>
                </c:pt>
                <c:pt idx="1">
                  <c:v>0.23</c:v>
                </c:pt>
                <c:pt idx="2">
                  <c:v>0.17</c:v>
                </c:pt>
              </c:numCache>
            </c:numRef>
          </c:val>
        </c:ser>
        <c:dLbls>
          <c:showLegendKey val="0"/>
          <c:showVal val="0"/>
          <c:showCatName val="0"/>
          <c:showSerName val="0"/>
          <c:showPercent val="0"/>
          <c:showBubbleSize val="0"/>
        </c:dLbls>
        <c:gapWidth val="150"/>
        <c:axId val="146220928"/>
        <c:axId val="146222464"/>
      </c:barChart>
      <c:catAx>
        <c:axId val="146220928"/>
        <c:scaling>
          <c:orientation val="minMax"/>
        </c:scaling>
        <c:delete val="0"/>
        <c:axPos val="b"/>
        <c:majorTickMark val="out"/>
        <c:minorTickMark val="none"/>
        <c:tickLblPos val="nextTo"/>
        <c:crossAx val="146222464"/>
        <c:crosses val="autoZero"/>
        <c:auto val="1"/>
        <c:lblAlgn val="ctr"/>
        <c:lblOffset val="100"/>
        <c:noMultiLvlLbl val="0"/>
      </c:catAx>
      <c:valAx>
        <c:axId val="146222464"/>
        <c:scaling>
          <c:orientation val="minMax"/>
        </c:scaling>
        <c:delete val="1"/>
        <c:axPos val="l"/>
        <c:numFmt formatCode="0%" sourceLinked="1"/>
        <c:majorTickMark val="out"/>
        <c:minorTickMark val="none"/>
        <c:tickLblPos val="nextTo"/>
        <c:crossAx val="146220928"/>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Would harmonisation of technical requirements in specific fields where mutual recognition does not appear as sufficient be the most appropriate alternative to mutual recognition? </a:t>
            </a:r>
          </a:p>
        </c:rich>
      </c:tx>
      <c:layout/>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Sheet1!$B$2:$B$4</c:f>
              <c:numCache>
                <c:formatCode>0%</c:formatCode>
                <c:ptCount val="3"/>
                <c:pt idx="0">
                  <c:v>0.78</c:v>
                </c:pt>
                <c:pt idx="1">
                  <c:v>0.09</c:v>
                </c:pt>
                <c:pt idx="2">
                  <c:v>0.13</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Sheet1!$C$2:$C$4</c:f>
              <c:numCache>
                <c:formatCode>0%</c:formatCode>
                <c:ptCount val="3"/>
                <c:pt idx="0">
                  <c:v>0.82</c:v>
                </c:pt>
                <c:pt idx="1">
                  <c:v>0.13</c:v>
                </c:pt>
                <c:pt idx="2">
                  <c:v>0.04</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Sheet1!$D$2:$D$4</c:f>
              <c:numCache>
                <c:formatCode>0%</c:formatCode>
                <c:ptCount val="3"/>
                <c:pt idx="0">
                  <c:v>0.76</c:v>
                </c:pt>
                <c:pt idx="1">
                  <c:v>0.12</c:v>
                </c:pt>
                <c:pt idx="2">
                  <c:v>0.11</c:v>
                </c:pt>
              </c:numCache>
            </c:numRef>
          </c:val>
        </c:ser>
        <c:dLbls>
          <c:showLegendKey val="0"/>
          <c:showVal val="0"/>
          <c:showCatName val="0"/>
          <c:showSerName val="0"/>
          <c:showPercent val="0"/>
          <c:showBubbleSize val="0"/>
        </c:dLbls>
        <c:gapWidth val="150"/>
        <c:axId val="146254464"/>
        <c:axId val="146264448"/>
      </c:barChart>
      <c:catAx>
        <c:axId val="146254464"/>
        <c:scaling>
          <c:orientation val="minMax"/>
        </c:scaling>
        <c:delete val="0"/>
        <c:axPos val="b"/>
        <c:majorTickMark val="out"/>
        <c:minorTickMark val="none"/>
        <c:tickLblPos val="nextTo"/>
        <c:crossAx val="146264448"/>
        <c:crosses val="autoZero"/>
        <c:auto val="1"/>
        <c:lblAlgn val="ctr"/>
        <c:lblOffset val="100"/>
        <c:noMultiLvlLbl val="0"/>
      </c:catAx>
      <c:valAx>
        <c:axId val="146264448"/>
        <c:scaling>
          <c:orientation val="minMax"/>
        </c:scaling>
        <c:delete val="1"/>
        <c:axPos val="l"/>
        <c:numFmt formatCode="0%" sourceLinked="1"/>
        <c:majorTickMark val="out"/>
        <c:minorTickMark val="none"/>
        <c:tickLblPos val="nextTo"/>
        <c:crossAx val="146254464"/>
        <c:crosses val="autoZero"/>
        <c:crossBetween val="between"/>
      </c:valAx>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Would harmonisation of certain basic requirements that a product needs to satisfy be the most appropriate alternative to mutual recognition?</a:t>
            </a:r>
          </a:p>
        </c:rich>
      </c:tx>
      <c:layout/>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Sheet1!$B$2:$B$4</c:f>
              <c:numCache>
                <c:formatCode>0%</c:formatCode>
                <c:ptCount val="3"/>
                <c:pt idx="0">
                  <c:v>0.71</c:v>
                </c:pt>
                <c:pt idx="1">
                  <c:v>0.09</c:v>
                </c:pt>
                <c:pt idx="2">
                  <c:v>0.2</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Sheet1!$C$2:$C$4</c:f>
              <c:numCache>
                <c:formatCode>0%</c:formatCode>
                <c:ptCount val="3"/>
                <c:pt idx="0">
                  <c:v>0.79</c:v>
                </c:pt>
                <c:pt idx="1">
                  <c:v>0.14000000000000001</c:v>
                </c:pt>
                <c:pt idx="2">
                  <c:v>0.06</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Sheet1!$D$2:$D$4</c:f>
              <c:numCache>
                <c:formatCode>0%</c:formatCode>
                <c:ptCount val="3"/>
                <c:pt idx="0">
                  <c:v>0.82</c:v>
                </c:pt>
                <c:pt idx="1">
                  <c:v>0.05</c:v>
                </c:pt>
                <c:pt idx="2">
                  <c:v>0.11</c:v>
                </c:pt>
              </c:numCache>
            </c:numRef>
          </c:val>
        </c:ser>
        <c:dLbls>
          <c:showLegendKey val="0"/>
          <c:showVal val="0"/>
          <c:showCatName val="0"/>
          <c:showSerName val="0"/>
          <c:showPercent val="0"/>
          <c:showBubbleSize val="0"/>
        </c:dLbls>
        <c:gapWidth val="150"/>
        <c:axId val="146131968"/>
        <c:axId val="146141952"/>
      </c:barChart>
      <c:catAx>
        <c:axId val="146131968"/>
        <c:scaling>
          <c:orientation val="minMax"/>
        </c:scaling>
        <c:delete val="0"/>
        <c:axPos val="b"/>
        <c:majorTickMark val="out"/>
        <c:minorTickMark val="none"/>
        <c:tickLblPos val="nextTo"/>
        <c:crossAx val="146141952"/>
        <c:crosses val="autoZero"/>
        <c:auto val="1"/>
        <c:lblAlgn val="ctr"/>
        <c:lblOffset val="100"/>
        <c:noMultiLvlLbl val="0"/>
      </c:catAx>
      <c:valAx>
        <c:axId val="146141952"/>
        <c:scaling>
          <c:orientation val="minMax"/>
        </c:scaling>
        <c:delete val="1"/>
        <c:axPos val="l"/>
        <c:numFmt formatCode="0%" sourceLinked="1"/>
        <c:majorTickMark val="out"/>
        <c:minorTickMark val="none"/>
        <c:tickLblPos val="nextTo"/>
        <c:crossAx val="146131968"/>
        <c:crosses val="autoZero"/>
        <c:crossBetween val="between"/>
      </c:valAx>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Would facilitating market access for products lawfully sold in one Member State and complying with European standards be the most appropriate alternative to mutual recognition? </a:t>
            </a:r>
          </a:p>
        </c:rich>
      </c:tx>
      <c:layout/>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Sheet1!$B$2:$B$4</c:f>
              <c:numCache>
                <c:formatCode>0%</c:formatCode>
                <c:ptCount val="3"/>
                <c:pt idx="0">
                  <c:v>0.56999999999999995</c:v>
                </c:pt>
                <c:pt idx="1">
                  <c:v>0.22</c:v>
                </c:pt>
                <c:pt idx="2">
                  <c:v>0.2</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Sheet1!$C$2:$C$4</c:f>
              <c:numCache>
                <c:formatCode>0%</c:formatCode>
                <c:ptCount val="3"/>
                <c:pt idx="0">
                  <c:v>0.84</c:v>
                </c:pt>
                <c:pt idx="1">
                  <c:v>0.08</c:v>
                </c:pt>
                <c:pt idx="2">
                  <c:v>0.06</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I agree</c:v>
                </c:pt>
                <c:pt idx="1">
                  <c:v>I do not agree</c:v>
                </c:pt>
                <c:pt idx="2">
                  <c:v>I do not know</c:v>
                </c:pt>
              </c:strCache>
            </c:strRef>
          </c:cat>
          <c:val>
            <c:numRef>
              <c:f>Sheet1!$D$2:$D$4</c:f>
              <c:numCache>
                <c:formatCode>0%</c:formatCode>
                <c:ptCount val="3"/>
                <c:pt idx="0">
                  <c:v>0.82</c:v>
                </c:pt>
                <c:pt idx="1">
                  <c:v>0.17</c:v>
                </c:pt>
                <c:pt idx="2">
                  <c:v>0</c:v>
                </c:pt>
              </c:numCache>
            </c:numRef>
          </c:val>
        </c:ser>
        <c:dLbls>
          <c:showLegendKey val="0"/>
          <c:showVal val="0"/>
          <c:showCatName val="0"/>
          <c:showSerName val="0"/>
          <c:showPercent val="0"/>
          <c:showBubbleSize val="0"/>
        </c:dLbls>
        <c:gapWidth val="150"/>
        <c:axId val="146317312"/>
        <c:axId val="146318848"/>
      </c:barChart>
      <c:catAx>
        <c:axId val="146317312"/>
        <c:scaling>
          <c:orientation val="minMax"/>
        </c:scaling>
        <c:delete val="0"/>
        <c:axPos val="b"/>
        <c:majorTickMark val="out"/>
        <c:minorTickMark val="none"/>
        <c:tickLblPos val="nextTo"/>
        <c:crossAx val="146318848"/>
        <c:crosses val="autoZero"/>
        <c:auto val="1"/>
        <c:lblAlgn val="ctr"/>
        <c:lblOffset val="100"/>
        <c:noMultiLvlLbl val="0"/>
      </c:catAx>
      <c:valAx>
        <c:axId val="146318848"/>
        <c:scaling>
          <c:orientation val="minMax"/>
        </c:scaling>
        <c:delete val="1"/>
        <c:axPos val="l"/>
        <c:numFmt formatCode="0%" sourceLinked="1"/>
        <c:majorTickMark val="out"/>
        <c:minorTickMark val="none"/>
        <c:tickLblPos val="nextTo"/>
        <c:crossAx val="146317312"/>
        <c:crosses val="autoZero"/>
        <c:crossBetween val="between"/>
      </c:valAx>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74487750414338E-2"/>
          <c:y val="3.7822986465890565E-2"/>
          <c:w val="0.89775575904431537"/>
          <c:h val="0.77499828677629534"/>
        </c:manualLayout>
      </c:layout>
      <c:lineChart>
        <c:grouping val="standard"/>
        <c:varyColors val="0"/>
        <c:ser>
          <c:idx val="0"/>
          <c:order val="0"/>
          <c:tx>
            <c:strRef>
              <c:f>Charts!$A$69</c:f>
              <c:strCache>
                <c:ptCount val="1"/>
                <c:pt idx="0">
                  <c:v>Harmonised </c:v>
                </c:pt>
              </c:strCache>
            </c:strRef>
          </c:tx>
          <c:marker>
            <c:symbol val="none"/>
          </c:marker>
          <c:dLbls>
            <c:txPr>
              <a:bodyPr rot="0" vert="horz"/>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Charts!$B$68:$I$68</c:f>
              <c:numCache>
                <c:formatCode>General</c:formatCode>
                <c:ptCount val="8"/>
                <c:pt idx="0">
                  <c:v>2008</c:v>
                </c:pt>
                <c:pt idx="1">
                  <c:v>2009</c:v>
                </c:pt>
                <c:pt idx="2">
                  <c:v>2010</c:v>
                </c:pt>
                <c:pt idx="3">
                  <c:v>2011</c:v>
                </c:pt>
                <c:pt idx="4">
                  <c:v>2012</c:v>
                </c:pt>
                <c:pt idx="5">
                  <c:v>2013</c:v>
                </c:pt>
                <c:pt idx="6">
                  <c:v>2014</c:v>
                </c:pt>
                <c:pt idx="7">
                  <c:v>2015</c:v>
                </c:pt>
              </c:numCache>
            </c:numRef>
          </c:cat>
          <c:val>
            <c:numRef>
              <c:f>Charts!$B$69:$I$69</c:f>
              <c:numCache>
                <c:formatCode>0.0%</c:formatCode>
                <c:ptCount val="8"/>
                <c:pt idx="0">
                  <c:v>0.5062499631701346</c:v>
                </c:pt>
                <c:pt idx="1">
                  <c:v>0.51811325545788789</c:v>
                </c:pt>
                <c:pt idx="2">
                  <c:v>0.52906118862424822</c:v>
                </c:pt>
                <c:pt idx="3">
                  <c:v>0.54204935160677647</c:v>
                </c:pt>
                <c:pt idx="4">
                  <c:v>0.54828395195013258</c:v>
                </c:pt>
                <c:pt idx="5">
                  <c:v>0.56532827672270958</c:v>
                </c:pt>
                <c:pt idx="6">
                  <c:v>0.57909788997352418</c:v>
                </c:pt>
                <c:pt idx="7">
                  <c:v>0.59238799522322216</c:v>
                </c:pt>
              </c:numCache>
            </c:numRef>
          </c:val>
          <c:smooth val="0"/>
        </c:ser>
        <c:ser>
          <c:idx val="1"/>
          <c:order val="1"/>
          <c:tx>
            <c:strRef>
              <c:f>Charts!$A$70</c:f>
              <c:strCache>
                <c:ptCount val="1"/>
                <c:pt idx="0">
                  <c:v>Non/Partially Harmonised</c:v>
                </c:pt>
              </c:strCache>
            </c:strRef>
          </c:tx>
          <c:marker>
            <c:symbol val="none"/>
          </c:marker>
          <c:dLbls>
            <c:txPr>
              <a:bodyPr rot="0" vert="horz"/>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Charts!$B$68:$I$68</c:f>
              <c:numCache>
                <c:formatCode>General</c:formatCode>
                <c:ptCount val="8"/>
                <c:pt idx="0">
                  <c:v>2008</c:v>
                </c:pt>
                <c:pt idx="1">
                  <c:v>2009</c:v>
                </c:pt>
                <c:pt idx="2">
                  <c:v>2010</c:v>
                </c:pt>
                <c:pt idx="3">
                  <c:v>2011</c:v>
                </c:pt>
                <c:pt idx="4">
                  <c:v>2012</c:v>
                </c:pt>
                <c:pt idx="5">
                  <c:v>2013</c:v>
                </c:pt>
                <c:pt idx="6">
                  <c:v>2014</c:v>
                </c:pt>
                <c:pt idx="7">
                  <c:v>2015</c:v>
                </c:pt>
              </c:numCache>
            </c:numRef>
          </c:cat>
          <c:val>
            <c:numRef>
              <c:f>Charts!$B$70:$I$70</c:f>
              <c:numCache>
                <c:formatCode>0.0%</c:formatCode>
                <c:ptCount val="8"/>
                <c:pt idx="0">
                  <c:v>0.3287937665245903</c:v>
                </c:pt>
                <c:pt idx="1">
                  <c:v>0.32455006686426879</c:v>
                </c:pt>
                <c:pt idx="2">
                  <c:v>0.34453122759748372</c:v>
                </c:pt>
                <c:pt idx="3">
                  <c:v>0.35563861719945317</c:v>
                </c:pt>
                <c:pt idx="4">
                  <c:v>0.35805104585349534</c:v>
                </c:pt>
                <c:pt idx="5">
                  <c:v>0.37095410016769859</c:v>
                </c:pt>
                <c:pt idx="6">
                  <c:v>0.37723450303028866</c:v>
                </c:pt>
                <c:pt idx="7">
                  <c:v>0.37354460326726563</c:v>
                </c:pt>
              </c:numCache>
            </c:numRef>
          </c:val>
          <c:smooth val="0"/>
        </c:ser>
        <c:dLbls>
          <c:showLegendKey val="0"/>
          <c:showVal val="0"/>
          <c:showCatName val="0"/>
          <c:showSerName val="0"/>
          <c:showPercent val="0"/>
          <c:showBubbleSize val="0"/>
        </c:dLbls>
        <c:marker val="1"/>
        <c:smooth val="0"/>
        <c:axId val="144646912"/>
        <c:axId val="144648448"/>
      </c:lineChart>
      <c:catAx>
        <c:axId val="14464691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44648448"/>
        <c:crosses val="autoZero"/>
        <c:auto val="1"/>
        <c:lblAlgn val="ctr"/>
        <c:lblOffset val="100"/>
        <c:noMultiLvlLbl val="0"/>
      </c:catAx>
      <c:valAx>
        <c:axId val="144648448"/>
        <c:scaling>
          <c:orientation val="minMax"/>
          <c:min val="0.30000000000000004"/>
        </c:scaling>
        <c:delete val="0"/>
        <c:axPos val="l"/>
        <c:majorGridlines/>
        <c:numFmt formatCode="0%" sourceLinked="0"/>
        <c:majorTickMark val="none"/>
        <c:minorTickMark val="none"/>
        <c:tickLblPos val="nextTo"/>
        <c:txPr>
          <a:bodyPr rot="-60000000" vert="horz"/>
          <a:lstStyle/>
          <a:p>
            <a:pPr>
              <a:defRPr/>
            </a:pPr>
            <a:endParaRPr lang="en-US"/>
          </a:p>
        </c:txPr>
        <c:crossAx val="144646912"/>
        <c:crosses val="autoZero"/>
        <c:crossBetween val="between"/>
      </c:valAx>
    </c:plotArea>
    <c:legend>
      <c:legendPos val="b"/>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Main issues related</a:t>
            </a:r>
            <a:r>
              <a:rPr lang="en-US" sz="800" baseline="0">
                <a:latin typeface="Times New Roman" panose="02020603050405020304" pitchFamily="18" charset="0"/>
                <a:cs typeface="Times New Roman" panose="02020603050405020304" pitchFamily="18" charset="0"/>
              </a:rPr>
              <a:t> to</a:t>
            </a:r>
            <a:r>
              <a:rPr lang="en-US" sz="800">
                <a:latin typeface="Times New Roman" panose="02020603050405020304" pitchFamily="18" charset="0"/>
                <a:cs typeface="Times New Roman" panose="02020603050405020304" pitchFamily="18" charset="0"/>
              </a:rPr>
              <a:t> administrative cooperation</a:t>
            </a:r>
          </a:p>
        </c:rich>
      </c:tx>
      <c:layout/>
      <c:overlay val="0"/>
    </c:title>
    <c:autoTitleDeleted val="0"/>
    <c:plotArea>
      <c:layout/>
      <c:pieChart>
        <c:varyColors val="1"/>
        <c:ser>
          <c:idx val="0"/>
          <c:order val="0"/>
          <c:tx>
            <c:strRef>
              <c:f>Sheet1!$B$1</c:f>
              <c:strCache>
                <c:ptCount val="1"/>
                <c:pt idx="0">
                  <c:v>Main issues of administrative cooperation</c:v>
                </c:pt>
              </c:strCache>
            </c:strRef>
          </c:tx>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Sheet1!$A$2:$A$4</c:f>
              <c:strCache>
                <c:ptCount val="3"/>
                <c:pt idx="0">
                  <c:v>Lack of information on whom to contact on another Member State</c:v>
                </c:pt>
                <c:pt idx="1">
                  <c:v>Unduly long response time</c:v>
                </c:pt>
                <c:pt idx="2">
                  <c:v>No response at all </c:v>
                </c:pt>
              </c:strCache>
            </c:strRef>
          </c:cat>
          <c:val>
            <c:numRef>
              <c:f>Sheet1!$B$2:$B$4</c:f>
              <c:numCache>
                <c:formatCode>General</c:formatCode>
                <c:ptCount val="3"/>
                <c:pt idx="0">
                  <c:v>47</c:v>
                </c:pt>
                <c:pt idx="1">
                  <c:v>73</c:v>
                </c:pt>
                <c:pt idx="2">
                  <c:v>67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GB" sz="800">
                <a:latin typeface="Times New Roman" panose="02020603050405020304" pitchFamily="18" charset="0"/>
                <a:cs typeface="Times New Roman" panose="02020603050405020304" pitchFamily="18" charset="0"/>
              </a:rPr>
              <a:t>Costs</a:t>
            </a:r>
            <a:r>
              <a:rPr lang="en-GB" sz="800" baseline="0">
                <a:latin typeface="Times New Roman" panose="02020603050405020304" pitchFamily="18" charset="0"/>
                <a:cs typeface="Times New Roman" panose="02020603050405020304" pitchFamily="18" charset="0"/>
              </a:rPr>
              <a:t> in case mutual recognition has been denied</a:t>
            </a:r>
            <a:endParaRPr lang="en-GB" sz="8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Sheet1!$B$1</c:f>
              <c:strCache>
                <c:ptCount val="1"/>
                <c:pt idx="0">
                  <c:v>Highly important</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Sheet1!$B$2:$B$5</c:f>
              <c:numCache>
                <c:formatCode>0%</c:formatCode>
                <c:ptCount val="4"/>
                <c:pt idx="0">
                  <c:v>0.54</c:v>
                </c:pt>
                <c:pt idx="1">
                  <c:v>0.53</c:v>
                </c:pt>
                <c:pt idx="2">
                  <c:v>0.21</c:v>
                </c:pt>
                <c:pt idx="3">
                  <c:v>0.52</c:v>
                </c:pt>
              </c:numCache>
            </c:numRef>
          </c:val>
        </c:ser>
        <c:ser>
          <c:idx val="1"/>
          <c:order val="1"/>
          <c:tx>
            <c:strRef>
              <c:f>Sheet1!$C$1</c:f>
              <c:strCache>
                <c:ptCount val="1"/>
                <c:pt idx="0">
                  <c:v>Relatively important</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Sheet1!$C$2:$C$5</c:f>
              <c:numCache>
                <c:formatCode>0%</c:formatCode>
                <c:ptCount val="4"/>
                <c:pt idx="0">
                  <c:v>0.18</c:v>
                </c:pt>
                <c:pt idx="1">
                  <c:v>0.21</c:v>
                </c:pt>
                <c:pt idx="2">
                  <c:v>0.2</c:v>
                </c:pt>
                <c:pt idx="3">
                  <c:v>0.15</c:v>
                </c:pt>
              </c:numCache>
            </c:numRef>
          </c:val>
        </c:ser>
        <c:ser>
          <c:idx val="2"/>
          <c:order val="2"/>
          <c:tx>
            <c:strRef>
              <c:f>Sheet1!$D$1</c:f>
              <c:strCache>
                <c:ptCount val="1"/>
                <c:pt idx="0">
                  <c:v>Of little importance</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Sheet1!$D$2:$D$5</c:f>
              <c:numCache>
                <c:formatCode>0%</c:formatCode>
                <c:ptCount val="4"/>
                <c:pt idx="0">
                  <c:v>7.0000000000000007E-2</c:v>
                </c:pt>
                <c:pt idx="1">
                  <c:v>0.04</c:v>
                </c:pt>
                <c:pt idx="2">
                  <c:v>7.0000000000000007E-2</c:v>
                </c:pt>
                <c:pt idx="3">
                  <c:v>0.02</c:v>
                </c:pt>
              </c:numCache>
            </c:numRef>
          </c:val>
        </c:ser>
        <c:ser>
          <c:idx val="3"/>
          <c:order val="3"/>
          <c:tx>
            <c:strRef>
              <c:f>Sheet1!$E$1</c:f>
              <c:strCache>
                <c:ptCount val="1"/>
                <c:pt idx="0">
                  <c:v>I don't know</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Sheet1!$E$2:$E$5</c:f>
              <c:numCache>
                <c:formatCode>0%</c:formatCode>
                <c:ptCount val="4"/>
                <c:pt idx="0">
                  <c:v>0.18</c:v>
                </c:pt>
                <c:pt idx="1">
                  <c:v>0.19</c:v>
                </c:pt>
                <c:pt idx="2">
                  <c:v>0.38</c:v>
                </c:pt>
                <c:pt idx="3">
                  <c:v>0.28999999999999998</c:v>
                </c:pt>
              </c:numCache>
            </c:numRef>
          </c:val>
        </c:ser>
        <c:dLbls>
          <c:showLegendKey val="0"/>
          <c:showVal val="0"/>
          <c:showCatName val="0"/>
          <c:showSerName val="0"/>
          <c:showPercent val="0"/>
          <c:showBubbleSize val="0"/>
        </c:dLbls>
        <c:gapWidth val="150"/>
        <c:axId val="142899840"/>
        <c:axId val="142913920"/>
      </c:barChart>
      <c:catAx>
        <c:axId val="142899840"/>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42913920"/>
        <c:crosses val="autoZero"/>
        <c:auto val="1"/>
        <c:lblAlgn val="ctr"/>
        <c:lblOffset val="100"/>
        <c:noMultiLvlLbl val="0"/>
      </c:catAx>
      <c:valAx>
        <c:axId val="142913920"/>
        <c:scaling>
          <c:orientation val="minMax"/>
        </c:scaling>
        <c:delete val="1"/>
        <c:axPos val="l"/>
        <c:numFmt formatCode="0%" sourceLinked="1"/>
        <c:majorTickMark val="out"/>
        <c:minorTickMark val="none"/>
        <c:tickLblPos val="nextTo"/>
        <c:crossAx val="142899840"/>
        <c:crosses val="autoZero"/>
        <c:crossBetween val="between"/>
      </c:valAx>
    </c:plotArea>
    <c:legend>
      <c:legendPos val="r"/>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Clarify the scope of the Regulation as regards the circumstances under which mutual recognition could apply</a:t>
            </a:r>
          </a:p>
          <a:p>
            <a:pPr algn="ctr" rtl="0">
              <a:defRPr/>
            </a:pPr>
            <a:endParaRPr lang="en-GB"/>
          </a:p>
        </c:rich>
      </c:tx>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0.84</c:v>
                </c:pt>
                <c:pt idx="1">
                  <c:v>0.08</c:v>
                </c:pt>
                <c:pt idx="2">
                  <c:v>0.06</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0.85</c:v>
                </c:pt>
                <c:pt idx="1">
                  <c:v>0.02</c:v>
                </c:pt>
                <c:pt idx="2">
                  <c:v>0.12</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0.82</c:v>
                </c:pt>
                <c:pt idx="1">
                  <c:v>0.05</c:v>
                </c:pt>
                <c:pt idx="2">
                  <c:v>0.11</c:v>
                </c:pt>
              </c:numCache>
            </c:numRef>
          </c:val>
        </c:ser>
        <c:dLbls>
          <c:showLegendKey val="0"/>
          <c:showVal val="0"/>
          <c:showCatName val="0"/>
          <c:showSerName val="0"/>
          <c:showPercent val="0"/>
          <c:showBubbleSize val="0"/>
        </c:dLbls>
        <c:gapWidth val="150"/>
        <c:axId val="144165504"/>
        <c:axId val="144167296"/>
      </c:barChart>
      <c:catAx>
        <c:axId val="144165504"/>
        <c:scaling>
          <c:orientation val="minMax"/>
        </c:scaling>
        <c:delete val="0"/>
        <c:axPos val="b"/>
        <c:majorTickMark val="out"/>
        <c:minorTickMark val="none"/>
        <c:tickLblPos val="nextTo"/>
        <c:crossAx val="144167296"/>
        <c:crosses val="autoZero"/>
        <c:auto val="1"/>
        <c:lblAlgn val="ctr"/>
        <c:lblOffset val="100"/>
        <c:noMultiLvlLbl val="0"/>
      </c:catAx>
      <c:valAx>
        <c:axId val="144167296"/>
        <c:scaling>
          <c:orientation val="minMax"/>
        </c:scaling>
        <c:delete val="1"/>
        <c:axPos val="l"/>
        <c:numFmt formatCode="0%" sourceLinked="1"/>
        <c:majorTickMark val="out"/>
        <c:minorTickMark val="none"/>
        <c:tickLblPos val="nextTo"/>
        <c:crossAx val="144165504"/>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Facilitate the identification of products to which mutual recognition applies, by updating the Product list (Article 12.4 of the Regulation) and make it more user friendly</a:t>
            </a:r>
          </a:p>
          <a:p>
            <a:pPr algn="ctr" rtl="0">
              <a:defRPr/>
            </a:pPr>
            <a:endParaRPr lang="en-GB"/>
          </a:p>
        </c:rich>
      </c:tx>
      <c:layout>
        <c:manualLayout>
          <c:xMode val="edge"/>
          <c:yMode val="edge"/>
          <c:x val="0.11045129775444736"/>
          <c:y val="6.2676277029144467E-2"/>
        </c:manualLayout>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0.77</c:v>
                </c:pt>
                <c:pt idx="1">
                  <c:v>0.04</c:v>
                </c:pt>
                <c:pt idx="2">
                  <c:v>0.17</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0.74</c:v>
                </c:pt>
                <c:pt idx="1">
                  <c:v>0.14000000000000001</c:v>
                </c:pt>
                <c:pt idx="2">
                  <c:v>0.1</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0.82</c:v>
                </c:pt>
                <c:pt idx="1">
                  <c:v>0.17</c:v>
                </c:pt>
                <c:pt idx="2">
                  <c:v>0</c:v>
                </c:pt>
              </c:numCache>
            </c:numRef>
          </c:val>
        </c:ser>
        <c:dLbls>
          <c:showLegendKey val="0"/>
          <c:showVal val="0"/>
          <c:showCatName val="0"/>
          <c:showSerName val="0"/>
          <c:showPercent val="0"/>
          <c:showBubbleSize val="0"/>
        </c:dLbls>
        <c:gapWidth val="150"/>
        <c:axId val="144543104"/>
        <c:axId val="144553088"/>
      </c:barChart>
      <c:catAx>
        <c:axId val="144543104"/>
        <c:scaling>
          <c:orientation val="minMax"/>
        </c:scaling>
        <c:delete val="0"/>
        <c:axPos val="b"/>
        <c:majorTickMark val="out"/>
        <c:minorTickMark val="none"/>
        <c:tickLblPos val="nextTo"/>
        <c:crossAx val="144553088"/>
        <c:crosses val="autoZero"/>
        <c:auto val="1"/>
        <c:lblAlgn val="ctr"/>
        <c:lblOffset val="100"/>
        <c:noMultiLvlLbl val="0"/>
      </c:catAx>
      <c:valAx>
        <c:axId val="144553088"/>
        <c:scaling>
          <c:orientation val="minMax"/>
        </c:scaling>
        <c:delete val="1"/>
        <c:axPos val="l"/>
        <c:numFmt formatCode="0%" sourceLinked="1"/>
        <c:majorTickMark val="out"/>
        <c:minorTickMark val="none"/>
        <c:tickLblPos val="nextTo"/>
        <c:crossAx val="144543104"/>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Make it simpler for businesses to demonstrate that their product is lawfully sold in a Member State by issuing a declaration indicating the technical rules with which the product complies</a:t>
            </a:r>
          </a:p>
          <a:p>
            <a:pPr algn="ctr" rtl="0">
              <a:defRPr/>
            </a:pPr>
            <a:endParaRPr lang="en-GB"/>
          </a:p>
        </c:rich>
      </c:tx>
      <c:layout>
        <c:manualLayout>
          <c:xMode val="edge"/>
          <c:yMode val="edge"/>
          <c:x val="9.8767315543890344E-2"/>
          <c:y val="3.760576621748668E-2"/>
        </c:manualLayout>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0.75</c:v>
                </c:pt>
                <c:pt idx="1">
                  <c:v>0.11</c:v>
                </c:pt>
                <c:pt idx="2">
                  <c:v>0.13</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0.8</c:v>
                </c:pt>
                <c:pt idx="1">
                  <c:v>0.1</c:v>
                </c:pt>
                <c:pt idx="2">
                  <c:v>0.08</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0.76</c:v>
                </c:pt>
                <c:pt idx="1">
                  <c:v>0.17</c:v>
                </c:pt>
                <c:pt idx="2">
                  <c:v>0.05</c:v>
                </c:pt>
              </c:numCache>
            </c:numRef>
          </c:val>
        </c:ser>
        <c:dLbls>
          <c:showLegendKey val="0"/>
          <c:showVal val="0"/>
          <c:showCatName val="0"/>
          <c:showSerName val="0"/>
          <c:showPercent val="0"/>
          <c:showBubbleSize val="0"/>
        </c:dLbls>
        <c:gapWidth val="150"/>
        <c:axId val="144605568"/>
        <c:axId val="144607104"/>
      </c:barChart>
      <c:catAx>
        <c:axId val="144605568"/>
        <c:scaling>
          <c:orientation val="minMax"/>
        </c:scaling>
        <c:delete val="0"/>
        <c:axPos val="b"/>
        <c:majorTickMark val="out"/>
        <c:minorTickMark val="none"/>
        <c:tickLblPos val="nextTo"/>
        <c:crossAx val="144607104"/>
        <c:crosses val="autoZero"/>
        <c:auto val="1"/>
        <c:lblAlgn val="ctr"/>
        <c:lblOffset val="100"/>
        <c:noMultiLvlLbl val="0"/>
      </c:catAx>
      <c:valAx>
        <c:axId val="144607104"/>
        <c:scaling>
          <c:orientation val="minMax"/>
        </c:scaling>
        <c:delete val="1"/>
        <c:axPos val="l"/>
        <c:numFmt formatCode="0%" sourceLinked="1"/>
        <c:majorTickMark val="out"/>
        <c:minorTickMark val="none"/>
        <c:tickLblPos val="nextTo"/>
        <c:crossAx val="144605568"/>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Introduce dissuasive measures to ensure that the obligation for national authorities to notify administrative decisions denying or restricting mutual recognition is respected </a:t>
            </a:r>
          </a:p>
          <a:p>
            <a:pPr algn="ctr" rtl="0">
              <a:defRPr/>
            </a:pPr>
            <a:endParaRPr lang="en-GB"/>
          </a:p>
        </c:rich>
      </c:tx>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0.46</c:v>
                </c:pt>
                <c:pt idx="1">
                  <c:v>0.24</c:v>
                </c:pt>
                <c:pt idx="2">
                  <c:v>0.28000000000000003</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0.81</c:v>
                </c:pt>
                <c:pt idx="1">
                  <c:v>0.03</c:v>
                </c:pt>
                <c:pt idx="2">
                  <c:v>0.15</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0.64</c:v>
                </c:pt>
                <c:pt idx="1">
                  <c:v>0.28999999999999998</c:v>
                </c:pt>
                <c:pt idx="2">
                  <c:v>0.05</c:v>
                </c:pt>
              </c:numCache>
            </c:numRef>
          </c:val>
        </c:ser>
        <c:dLbls>
          <c:showLegendKey val="0"/>
          <c:showVal val="0"/>
          <c:showCatName val="0"/>
          <c:showSerName val="0"/>
          <c:showPercent val="0"/>
          <c:showBubbleSize val="0"/>
        </c:dLbls>
        <c:gapWidth val="150"/>
        <c:axId val="144741120"/>
        <c:axId val="144742656"/>
      </c:barChart>
      <c:catAx>
        <c:axId val="144741120"/>
        <c:scaling>
          <c:orientation val="minMax"/>
        </c:scaling>
        <c:delete val="0"/>
        <c:axPos val="b"/>
        <c:majorTickMark val="out"/>
        <c:minorTickMark val="none"/>
        <c:tickLblPos val="nextTo"/>
        <c:crossAx val="144742656"/>
        <c:crosses val="autoZero"/>
        <c:auto val="1"/>
        <c:lblAlgn val="ctr"/>
        <c:lblOffset val="100"/>
        <c:noMultiLvlLbl val="0"/>
      </c:catAx>
      <c:valAx>
        <c:axId val="144742656"/>
        <c:scaling>
          <c:orientation val="minMax"/>
        </c:scaling>
        <c:delete val="1"/>
        <c:axPos val="l"/>
        <c:numFmt formatCode="0%" sourceLinked="1"/>
        <c:majorTickMark val="out"/>
        <c:minorTickMark val="none"/>
        <c:tickLblPos val="nextTo"/>
        <c:crossAx val="144741120"/>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Ensure that effective remedies are available to businesses who wish to take action against an administrative decision denying mutual recognition</a:t>
            </a:r>
          </a:p>
          <a:p>
            <a:pPr algn="ctr" rtl="0">
              <a:defRPr/>
            </a:pPr>
            <a:endParaRPr lang="en-GB"/>
          </a:p>
        </c:rich>
      </c:tx>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0.66</c:v>
                </c:pt>
                <c:pt idx="1">
                  <c:v>0.2</c:v>
                </c:pt>
                <c:pt idx="2">
                  <c:v>0.13</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0.9</c:v>
                </c:pt>
                <c:pt idx="1">
                  <c:v>0.02</c:v>
                </c:pt>
                <c:pt idx="2">
                  <c:v>7.0000000000000007E-2</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0.76</c:v>
                </c:pt>
                <c:pt idx="1">
                  <c:v>0.05</c:v>
                </c:pt>
                <c:pt idx="2">
                  <c:v>0.17</c:v>
                </c:pt>
              </c:numCache>
            </c:numRef>
          </c:val>
        </c:ser>
        <c:dLbls>
          <c:showLegendKey val="0"/>
          <c:showVal val="0"/>
          <c:showCatName val="0"/>
          <c:showSerName val="0"/>
          <c:showPercent val="0"/>
          <c:showBubbleSize val="0"/>
        </c:dLbls>
        <c:gapWidth val="150"/>
        <c:axId val="144458880"/>
        <c:axId val="144460416"/>
      </c:barChart>
      <c:catAx>
        <c:axId val="144458880"/>
        <c:scaling>
          <c:orientation val="minMax"/>
        </c:scaling>
        <c:delete val="0"/>
        <c:axPos val="b"/>
        <c:majorTickMark val="out"/>
        <c:minorTickMark val="none"/>
        <c:tickLblPos val="nextTo"/>
        <c:crossAx val="144460416"/>
        <c:crosses val="autoZero"/>
        <c:auto val="1"/>
        <c:lblAlgn val="ctr"/>
        <c:lblOffset val="100"/>
        <c:noMultiLvlLbl val="0"/>
      </c:catAx>
      <c:valAx>
        <c:axId val="144460416"/>
        <c:scaling>
          <c:orientation val="minMax"/>
        </c:scaling>
        <c:delete val="1"/>
        <c:axPos val="l"/>
        <c:numFmt formatCode="0%" sourceLinked="1"/>
        <c:majorTickMark val="out"/>
        <c:minorTickMark val="none"/>
        <c:tickLblPos val="nextTo"/>
        <c:crossAx val="144458880"/>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Strengthen the role of Product Contact Points</a:t>
            </a:r>
          </a:p>
          <a:p>
            <a:pPr algn="ctr" rtl="0">
              <a:defRPr/>
            </a:pPr>
            <a:endParaRPr lang="en-GB"/>
          </a:p>
        </c:rich>
      </c:tx>
      <c:layout/>
      <c:overlay val="0"/>
    </c:title>
    <c:autoTitleDeleted val="0"/>
    <c:plotArea>
      <c:layout>
        <c:manualLayout>
          <c:layoutTarget val="inner"/>
          <c:xMode val="edge"/>
          <c:yMode val="edge"/>
          <c:x val="2.5462962962962962E-2"/>
          <c:y val="0.33073234602768864"/>
          <c:w val="0.75128536016331293"/>
          <c:h val="0.52731059014898962"/>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Sheet1!$B$2:$B$5</c:f>
              <c:numCache>
                <c:formatCode>0%</c:formatCode>
                <c:ptCount val="4"/>
                <c:pt idx="0">
                  <c:v>0.64</c:v>
                </c:pt>
                <c:pt idx="1">
                  <c:v>0.15</c:v>
                </c:pt>
                <c:pt idx="2">
                  <c:v>0.2</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Sheet1!$C$2:$C$5</c:f>
              <c:numCache>
                <c:formatCode>0%</c:formatCode>
                <c:ptCount val="4"/>
                <c:pt idx="0">
                  <c:v>0.64</c:v>
                </c:pt>
                <c:pt idx="1">
                  <c:v>0.04</c:v>
                </c:pt>
                <c:pt idx="2">
                  <c:v>0.3</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3"/>
                <c:pt idx="0">
                  <c:v>I agree</c:v>
                </c:pt>
                <c:pt idx="1">
                  <c:v>I don't agree</c:v>
                </c:pt>
                <c:pt idx="2">
                  <c:v>I don't know</c:v>
                </c:pt>
              </c:strCache>
            </c:strRef>
          </c:cat>
          <c:val>
            <c:numRef>
              <c:f>Sheet1!$D$2:$D$5</c:f>
              <c:numCache>
                <c:formatCode>0%</c:formatCode>
                <c:ptCount val="4"/>
                <c:pt idx="0">
                  <c:v>0.7</c:v>
                </c:pt>
                <c:pt idx="1">
                  <c:v>0.11</c:v>
                </c:pt>
                <c:pt idx="2">
                  <c:v>0.17</c:v>
                </c:pt>
              </c:numCache>
            </c:numRef>
          </c:val>
        </c:ser>
        <c:dLbls>
          <c:showLegendKey val="0"/>
          <c:showVal val="0"/>
          <c:showCatName val="0"/>
          <c:showSerName val="0"/>
          <c:showPercent val="0"/>
          <c:showBubbleSize val="0"/>
        </c:dLbls>
        <c:gapWidth val="150"/>
        <c:axId val="146167680"/>
        <c:axId val="146169216"/>
      </c:barChart>
      <c:catAx>
        <c:axId val="146167680"/>
        <c:scaling>
          <c:orientation val="minMax"/>
        </c:scaling>
        <c:delete val="0"/>
        <c:axPos val="b"/>
        <c:majorTickMark val="out"/>
        <c:minorTickMark val="none"/>
        <c:tickLblPos val="nextTo"/>
        <c:crossAx val="146169216"/>
        <c:crosses val="autoZero"/>
        <c:auto val="1"/>
        <c:lblAlgn val="ctr"/>
        <c:lblOffset val="100"/>
        <c:noMultiLvlLbl val="0"/>
      </c:catAx>
      <c:valAx>
        <c:axId val="146169216"/>
        <c:scaling>
          <c:orientation val="minMax"/>
        </c:scaling>
        <c:delete val="1"/>
        <c:axPos val="l"/>
        <c:numFmt formatCode="0%" sourceLinked="1"/>
        <c:majorTickMark val="out"/>
        <c:minorTickMark val="none"/>
        <c:tickLblPos val="nextTo"/>
        <c:crossAx val="146167680"/>
        <c:crosses val="autoZero"/>
        <c:crossBetween val="between"/>
      </c:valAx>
      <c:spPr>
        <a:noFill/>
        <a:ln w="25400">
          <a:noFill/>
        </a:ln>
      </c:spPr>
    </c:plotArea>
    <c:legend>
      <c:legendPos val="r"/>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B75DFB-11AE-45BB-A5FF-ACE250FB398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F97A2DEE-BC07-470B-A044-62BFA9150915}">
      <dgm:prSet phldrT="[Text]" custT="1"/>
      <dgm:spPr/>
      <dgm:t>
        <a:bodyPr/>
        <a:lstStyle/>
        <a:p>
          <a:r>
            <a:rPr lang="en-GB" sz="1000">
              <a:latin typeface="Times New Roman" panose="02020603050405020304" pitchFamily="18" charset="0"/>
              <a:cs typeface="Times New Roman" panose="02020603050405020304" pitchFamily="18" charset="0"/>
            </a:rPr>
            <a:t>Free movement of goods</a:t>
          </a:r>
        </a:p>
      </dgm:t>
    </dgm:pt>
    <dgm:pt modelId="{4DBA393C-92D6-4FA6-8366-B17A898D0697}" type="parTrans" cxnId="{C335648C-769C-427B-875B-2DAD31C24F3A}">
      <dgm:prSet/>
      <dgm:spPr/>
      <dgm:t>
        <a:bodyPr/>
        <a:lstStyle/>
        <a:p>
          <a:endParaRPr lang="en-GB"/>
        </a:p>
      </dgm:t>
    </dgm:pt>
    <dgm:pt modelId="{3D2FF4D3-F2AC-49EB-AC3A-7C7563D0CE7E}" type="sibTrans" cxnId="{C335648C-769C-427B-875B-2DAD31C24F3A}">
      <dgm:prSet/>
      <dgm:spPr/>
      <dgm:t>
        <a:bodyPr/>
        <a:lstStyle/>
        <a:p>
          <a:endParaRPr lang="en-GB"/>
        </a:p>
      </dgm:t>
    </dgm:pt>
    <dgm:pt modelId="{D87BA94F-52B3-4462-9B3D-A22B6B172E71}">
      <dgm:prSet phldrT="[Text]" custT="1"/>
      <dgm:spPr/>
      <dgm:t>
        <a:bodyPr/>
        <a:lstStyle/>
        <a:p>
          <a:r>
            <a:rPr lang="en-GB" sz="1000">
              <a:latin typeface="Times New Roman" panose="02020603050405020304" pitchFamily="18" charset="0"/>
              <a:cs typeface="Times New Roman" panose="02020603050405020304" pitchFamily="18" charset="0"/>
            </a:rPr>
            <a:t>Articles 34-36 TFEU</a:t>
          </a:r>
        </a:p>
        <a:p>
          <a:r>
            <a:rPr lang="en-GB" sz="1000" i="1">
              <a:latin typeface="Times New Roman" panose="02020603050405020304" pitchFamily="18" charset="0"/>
              <a:cs typeface="Times New Roman" panose="02020603050405020304" pitchFamily="18" charset="0"/>
            </a:rPr>
            <a:t>Mutual recognition </a:t>
          </a:r>
        </a:p>
      </dgm:t>
    </dgm:pt>
    <dgm:pt modelId="{C1D534ED-E762-4505-93E7-25172DA274CF}" type="parTrans" cxnId="{C05B85A7-D0B1-4355-AE12-468F8DD7C53F}">
      <dgm:prSet/>
      <dgm:spPr/>
      <dgm:t>
        <a:bodyPr/>
        <a:lstStyle/>
        <a:p>
          <a:endParaRPr lang="en-GB"/>
        </a:p>
      </dgm:t>
    </dgm:pt>
    <dgm:pt modelId="{9EBE7F19-E1B2-45AF-AF50-56FEDDDE239C}" type="sibTrans" cxnId="{C05B85A7-D0B1-4355-AE12-468F8DD7C53F}">
      <dgm:prSet/>
      <dgm:spPr/>
      <dgm:t>
        <a:bodyPr/>
        <a:lstStyle/>
        <a:p>
          <a:endParaRPr lang="en-GB"/>
        </a:p>
      </dgm:t>
    </dgm:pt>
    <dgm:pt modelId="{3CC1E79D-B5B3-43FE-A5F5-77E157911AD7}">
      <dgm:prSet phldrT="[Text]" custT="1"/>
      <dgm:spPr/>
      <dgm:t>
        <a:bodyPr/>
        <a:lstStyle/>
        <a:p>
          <a:r>
            <a:rPr lang="en-GB" sz="800">
              <a:latin typeface="Times New Roman" panose="02020603050405020304" pitchFamily="18" charset="0"/>
              <a:cs typeface="Times New Roman" panose="02020603050405020304" pitchFamily="18" charset="0"/>
            </a:rPr>
            <a:t>Products lawfully marketed in one Member State can be sold  in other Member States without adapting it to national technical rules</a:t>
          </a:r>
        </a:p>
      </dgm:t>
    </dgm:pt>
    <dgm:pt modelId="{5636FF9B-63E1-4998-8A6D-77EDF43670A4}" type="parTrans" cxnId="{82C78C0A-1D23-43BC-A8BA-8E42905BB8B1}">
      <dgm:prSet/>
      <dgm:spPr/>
      <dgm:t>
        <a:bodyPr/>
        <a:lstStyle/>
        <a:p>
          <a:endParaRPr lang="en-GB"/>
        </a:p>
      </dgm:t>
    </dgm:pt>
    <dgm:pt modelId="{CD0272B9-86AB-48C2-82CE-31DD80AC88FC}" type="sibTrans" cxnId="{82C78C0A-1D23-43BC-A8BA-8E42905BB8B1}">
      <dgm:prSet/>
      <dgm:spPr/>
      <dgm:t>
        <a:bodyPr/>
        <a:lstStyle/>
        <a:p>
          <a:endParaRPr lang="en-GB"/>
        </a:p>
      </dgm:t>
    </dgm:pt>
    <dgm:pt modelId="{5F785536-D1F7-498C-9D31-A40349960F2D}">
      <dgm:prSet phldrT="[Text]" custT="1"/>
      <dgm:spPr/>
      <dgm:t>
        <a:bodyPr/>
        <a:lstStyle/>
        <a:p>
          <a:r>
            <a:rPr lang="en-GB" sz="800">
              <a:latin typeface="Times New Roman" panose="02020603050405020304" pitchFamily="18" charset="0"/>
              <a:cs typeface="Times New Roman" panose="02020603050405020304" pitchFamily="18" charset="0"/>
            </a:rPr>
            <a:t>Exception: if national technical rules are necessary and proportionate to achieve protection of public interest</a:t>
          </a:r>
        </a:p>
      </dgm:t>
    </dgm:pt>
    <dgm:pt modelId="{7EFD9B42-7B57-4C9F-BBED-9B361F4156B0}" type="parTrans" cxnId="{24B07D4F-2ACC-469A-8C6F-721F773F828A}">
      <dgm:prSet/>
      <dgm:spPr/>
      <dgm:t>
        <a:bodyPr/>
        <a:lstStyle/>
        <a:p>
          <a:endParaRPr lang="en-GB"/>
        </a:p>
      </dgm:t>
    </dgm:pt>
    <dgm:pt modelId="{26BCCA9C-A554-4B18-857F-CEB24C6120EB}" type="sibTrans" cxnId="{24B07D4F-2ACC-469A-8C6F-721F773F828A}">
      <dgm:prSet/>
      <dgm:spPr/>
      <dgm:t>
        <a:bodyPr/>
        <a:lstStyle/>
        <a:p>
          <a:endParaRPr lang="en-GB"/>
        </a:p>
      </dgm:t>
    </dgm:pt>
    <dgm:pt modelId="{1FE97B84-5865-4493-A5B0-8A33FBE7B90B}">
      <dgm:prSet phldrT="[Text]" custT="1"/>
      <dgm:spPr/>
      <dgm:t>
        <a:bodyPr/>
        <a:lstStyle/>
        <a:p>
          <a:r>
            <a:rPr lang="en-GB" sz="1000">
              <a:latin typeface="Times New Roman" panose="02020603050405020304" pitchFamily="18" charset="0"/>
              <a:cs typeface="Times New Roman" panose="02020603050405020304" pitchFamily="18" charset="0"/>
            </a:rPr>
            <a:t>Article 114 TFEU</a:t>
          </a:r>
        </a:p>
        <a:p>
          <a:r>
            <a:rPr lang="en-GB" sz="1000" i="1">
              <a:latin typeface="Times New Roman" panose="02020603050405020304" pitchFamily="18" charset="0"/>
              <a:cs typeface="Times New Roman" panose="02020603050405020304" pitchFamily="18" charset="0"/>
            </a:rPr>
            <a:t>Harmonisation legislation </a:t>
          </a:r>
        </a:p>
      </dgm:t>
    </dgm:pt>
    <dgm:pt modelId="{6F4DE594-28ED-4DBE-B146-BB4F594C0DFC}" type="parTrans" cxnId="{EB07A47E-5345-477E-A8B8-C588D2468D1C}">
      <dgm:prSet/>
      <dgm:spPr/>
      <dgm:t>
        <a:bodyPr/>
        <a:lstStyle/>
        <a:p>
          <a:endParaRPr lang="en-GB"/>
        </a:p>
      </dgm:t>
    </dgm:pt>
    <dgm:pt modelId="{82640B8A-BC9E-4062-B7BD-48FA7E4C1E40}" type="sibTrans" cxnId="{EB07A47E-5345-477E-A8B8-C588D2468D1C}">
      <dgm:prSet/>
      <dgm:spPr/>
      <dgm:t>
        <a:bodyPr/>
        <a:lstStyle/>
        <a:p>
          <a:endParaRPr lang="en-GB"/>
        </a:p>
      </dgm:t>
    </dgm:pt>
    <dgm:pt modelId="{15F613DD-6A21-46CD-BD67-8438B55E9CC2}">
      <dgm:prSet phldrT="[Text]"/>
      <dgm:spPr/>
      <dgm:t>
        <a:bodyPr/>
        <a:lstStyle/>
        <a:p>
          <a:r>
            <a:rPr lang="en-GB">
              <a:latin typeface="Times New Roman" panose="02020603050405020304" pitchFamily="18" charset="0"/>
              <a:cs typeface="Times New Roman" panose="02020603050405020304" pitchFamily="18" charset="0"/>
            </a:rPr>
            <a:t>Common requirements on products: to eliminate barriers in the single market and ensure that only safe and compliant products are on the EU market</a:t>
          </a:r>
        </a:p>
      </dgm:t>
    </dgm:pt>
    <dgm:pt modelId="{85467236-8621-4ECD-B804-CB164EA8C4B5}" type="parTrans" cxnId="{71333D02-FFB6-419C-ADC6-1D1FDA9E190F}">
      <dgm:prSet/>
      <dgm:spPr/>
      <dgm:t>
        <a:bodyPr/>
        <a:lstStyle/>
        <a:p>
          <a:endParaRPr lang="en-GB"/>
        </a:p>
      </dgm:t>
    </dgm:pt>
    <dgm:pt modelId="{A852EAE0-534F-4D94-B8BF-2502072009E5}" type="sibTrans" cxnId="{71333D02-FFB6-419C-ADC6-1D1FDA9E190F}">
      <dgm:prSet/>
      <dgm:spPr/>
      <dgm:t>
        <a:bodyPr/>
        <a:lstStyle/>
        <a:p>
          <a:endParaRPr lang="en-GB"/>
        </a:p>
      </dgm:t>
    </dgm:pt>
    <dgm:pt modelId="{571D36E2-49F1-4E7D-A43F-DBDB5110A6AA}" type="pres">
      <dgm:prSet presAssocID="{F7B75DFB-11AE-45BB-A5FF-ACE250FB3986}" presName="hierChild1" presStyleCnt="0">
        <dgm:presLayoutVars>
          <dgm:chPref val="1"/>
          <dgm:dir/>
          <dgm:animOne val="branch"/>
          <dgm:animLvl val="lvl"/>
          <dgm:resizeHandles/>
        </dgm:presLayoutVars>
      </dgm:prSet>
      <dgm:spPr/>
      <dgm:t>
        <a:bodyPr/>
        <a:lstStyle/>
        <a:p>
          <a:endParaRPr lang="en-GB"/>
        </a:p>
      </dgm:t>
    </dgm:pt>
    <dgm:pt modelId="{CD9D2713-FACD-41E0-B214-607FC4AD5EC6}" type="pres">
      <dgm:prSet presAssocID="{F97A2DEE-BC07-470B-A044-62BFA9150915}" presName="hierRoot1" presStyleCnt="0"/>
      <dgm:spPr/>
    </dgm:pt>
    <dgm:pt modelId="{B7AD4577-C7B0-48CE-9195-66179A1B526D}" type="pres">
      <dgm:prSet presAssocID="{F97A2DEE-BC07-470B-A044-62BFA9150915}" presName="composite" presStyleCnt="0"/>
      <dgm:spPr/>
    </dgm:pt>
    <dgm:pt modelId="{5AEAB0DE-FBAE-4D17-BF78-62769A19B8E1}" type="pres">
      <dgm:prSet presAssocID="{F97A2DEE-BC07-470B-A044-62BFA9150915}" presName="background" presStyleLbl="node0" presStyleIdx="0" presStyleCnt="1"/>
      <dgm:spPr/>
    </dgm:pt>
    <dgm:pt modelId="{A05D2CB9-24E1-4486-BA66-4FD584F7E7EF}" type="pres">
      <dgm:prSet presAssocID="{F97A2DEE-BC07-470B-A044-62BFA9150915}" presName="text" presStyleLbl="fgAcc0" presStyleIdx="0" presStyleCnt="1">
        <dgm:presLayoutVars>
          <dgm:chPref val="3"/>
        </dgm:presLayoutVars>
      </dgm:prSet>
      <dgm:spPr/>
      <dgm:t>
        <a:bodyPr/>
        <a:lstStyle/>
        <a:p>
          <a:endParaRPr lang="en-GB"/>
        </a:p>
      </dgm:t>
    </dgm:pt>
    <dgm:pt modelId="{B84F6069-DB1A-49F1-BBDC-0E35A12EEEFB}" type="pres">
      <dgm:prSet presAssocID="{F97A2DEE-BC07-470B-A044-62BFA9150915}" presName="hierChild2" presStyleCnt="0"/>
      <dgm:spPr/>
    </dgm:pt>
    <dgm:pt modelId="{57AD98AD-D254-49F1-B54E-458DE4F240B9}" type="pres">
      <dgm:prSet presAssocID="{C1D534ED-E762-4505-93E7-25172DA274CF}" presName="Name10" presStyleLbl="parChTrans1D2" presStyleIdx="0" presStyleCnt="2"/>
      <dgm:spPr/>
      <dgm:t>
        <a:bodyPr/>
        <a:lstStyle/>
        <a:p>
          <a:endParaRPr lang="en-GB"/>
        </a:p>
      </dgm:t>
    </dgm:pt>
    <dgm:pt modelId="{3EA7EEF9-21E8-44D0-89EC-D2D3FAEA6FA0}" type="pres">
      <dgm:prSet presAssocID="{D87BA94F-52B3-4462-9B3D-A22B6B172E71}" presName="hierRoot2" presStyleCnt="0"/>
      <dgm:spPr/>
    </dgm:pt>
    <dgm:pt modelId="{EA2379C7-C0B6-48F4-8D0E-2368B6AB83D1}" type="pres">
      <dgm:prSet presAssocID="{D87BA94F-52B3-4462-9B3D-A22B6B172E71}" presName="composite2" presStyleCnt="0"/>
      <dgm:spPr/>
    </dgm:pt>
    <dgm:pt modelId="{AB7E375D-2D07-44A0-9966-B2AE0787D7A9}" type="pres">
      <dgm:prSet presAssocID="{D87BA94F-52B3-4462-9B3D-A22B6B172E71}" presName="background2" presStyleLbl="node2" presStyleIdx="0" presStyleCnt="2"/>
      <dgm:spPr/>
    </dgm:pt>
    <dgm:pt modelId="{46683F76-DF2A-4317-9575-F37EE0314378}" type="pres">
      <dgm:prSet presAssocID="{D87BA94F-52B3-4462-9B3D-A22B6B172E71}" presName="text2" presStyleLbl="fgAcc2" presStyleIdx="0" presStyleCnt="2">
        <dgm:presLayoutVars>
          <dgm:chPref val="3"/>
        </dgm:presLayoutVars>
      </dgm:prSet>
      <dgm:spPr/>
      <dgm:t>
        <a:bodyPr/>
        <a:lstStyle/>
        <a:p>
          <a:endParaRPr lang="en-GB"/>
        </a:p>
      </dgm:t>
    </dgm:pt>
    <dgm:pt modelId="{703EE17A-3D13-45F4-A003-4FF289540961}" type="pres">
      <dgm:prSet presAssocID="{D87BA94F-52B3-4462-9B3D-A22B6B172E71}" presName="hierChild3" presStyleCnt="0"/>
      <dgm:spPr/>
    </dgm:pt>
    <dgm:pt modelId="{AE5EAAA6-D131-453E-B2EF-0342748BA03F}" type="pres">
      <dgm:prSet presAssocID="{5636FF9B-63E1-4998-8A6D-77EDF43670A4}" presName="Name17" presStyleLbl="parChTrans1D3" presStyleIdx="0" presStyleCnt="3"/>
      <dgm:spPr/>
      <dgm:t>
        <a:bodyPr/>
        <a:lstStyle/>
        <a:p>
          <a:endParaRPr lang="en-GB"/>
        </a:p>
      </dgm:t>
    </dgm:pt>
    <dgm:pt modelId="{790871F2-DE30-4406-9947-A999E898455A}" type="pres">
      <dgm:prSet presAssocID="{3CC1E79D-B5B3-43FE-A5F5-77E157911AD7}" presName="hierRoot3" presStyleCnt="0"/>
      <dgm:spPr/>
    </dgm:pt>
    <dgm:pt modelId="{3C0E3B7D-F860-4CA5-878D-F6652877CF21}" type="pres">
      <dgm:prSet presAssocID="{3CC1E79D-B5B3-43FE-A5F5-77E157911AD7}" presName="composite3" presStyleCnt="0"/>
      <dgm:spPr/>
    </dgm:pt>
    <dgm:pt modelId="{161CBFC1-6871-4741-B077-54BEE39A44C5}" type="pres">
      <dgm:prSet presAssocID="{3CC1E79D-B5B3-43FE-A5F5-77E157911AD7}" presName="background3" presStyleLbl="node3" presStyleIdx="0" presStyleCnt="3"/>
      <dgm:spPr/>
    </dgm:pt>
    <dgm:pt modelId="{EE7B9323-2BEE-4C1A-BD8E-9A76B4C169C7}" type="pres">
      <dgm:prSet presAssocID="{3CC1E79D-B5B3-43FE-A5F5-77E157911AD7}" presName="text3" presStyleLbl="fgAcc3" presStyleIdx="0" presStyleCnt="3" custLinFactNeighborX="-8585" custLinFactNeighborY="205">
        <dgm:presLayoutVars>
          <dgm:chPref val="3"/>
        </dgm:presLayoutVars>
      </dgm:prSet>
      <dgm:spPr/>
      <dgm:t>
        <a:bodyPr/>
        <a:lstStyle/>
        <a:p>
          <a:endParaRPr lang="en-GB"/>
        </a:p>
      </dgm:t>
    </dgm:pt>
    <dgm:pt modelId="{342B30EE-4B65-4234-ADAD-90448276284D}" type="pres">
      <dgm:prSet presAssocID="{3CC1E79D-B5B3-43FE-A5F5-77E157911AD7}" presName="hierChild4" presStyleCnt="0"/>
      <dgm:spPr/>
    </dgm:pt>
    <dgm:pt modelId="{4033B032-1DBE-41EB-83E6-144CBA7CB3D4}" type="pres">
      <dgm:prSet presAssocID="{7EFD9B42-7B57-4C9F-BBED-9B361F4156B0}" presName="Name17" presStyleLbl="parChTrans1D3" presStyleIdx="1" presStyleCnt="3"/>
      <dgm:spPr/>
      <dgm:t>
        <a:bodyPr/>
        <a:lstStyle/>
        <a:p>
          <a:endParaRPr lang="en-GB"/>
        </a:p>
      </dgm:t>
    </dgm:pt>
    <dgm:pt modelId="{744A4CB1-396A-454F-9578-EC84FA4A3647}" type="pres">
      <dgm:prSet presAssocID="{5F785536-D1F7-498C-9D31-A40349960F2D}" presName="hierRoot3" presStyleCnt="0"/>
      <dgm:spPr/>
    </dgm:pt>
    <dgm:pt modelId="{A1F9FED2-EB8B-458F-9735-F19998551297}" type="pres">
      <dgm:prSet presAssocID="{5F785536-D1F7-498C-9D31-A40349960F2D}" presName="composite3" presStyleCnt="0"/>
      <dgm:spPr/>
    </dgm:pt>
    <dgm:pt modelId="{B9FF4F49-6C9E-49A7-B4E3-26392E36467B}" type="pres">
      <dgm:prSet presAssocID="{5F785536-D1F7-498C-9D31-A40349960F2D}" presName="background3" presStyleLbl="node3" presStyleIdx="1" presStyleCnt="3"/>
      <dgm:spPr/>
    </dgm:pt>
    <dgm:pt modelId="{2EF85E03-A45E-4ABA-87F3-CD01B484FF52}" type="pres">
      <dgm:prSet presAssocID="{5F785536-D1F7-498C-9D31-A40349960F2D}" presName="text3" presStyleLbl="fgAcc3" presStyleIdx="1" presStyleCnt="3">
        <dgm:presLayoutVars>
          <dgm:chPref val="3"/>
        </dgm:presLayoutVars>
      </dgm:prSet>
      <dgm:spPr/>
      <dgm:t>
        <a:bodyPr/>
        <a:lstStyle/>
        <a:p>
          <a:endParaRPr lang="en-GB"/>
        </a:p>
      </dgm:t>
    </dgm:pt>
    <dgm:pt modelId="{9B4C0BA0-2C5F-4726-BFBB-CC3F276CE4FB}" type="pres">
      <dgm:prSet presAssocID="{5F785536-D1F7-498C-9D31-A40349960F2D}" presName="hierChild4" presStyleCnt="0"/>
      <dgm:spPr/>
    </dgm:pt>
    <dgm:pt modelId="{69132165-4E98-4FF5-BAFF-86E0961BA9A2}" type="pres">
      <dgm:prSet presAssocID="{6F4DE594-28ED-4DBE-B146-BB4F594C0DFC}" presName="Name10" presStyleLbl="parChTrans1D2" presStyleIdx="1" presStyleCnt="2"/>
      <dgm:spPr/>
      <dgm:t>
        <a:bodyPr/>
        <a:lstStyle/>
        <a:p>
          <a:endParaRPr lang="en-GB"/>
        </a:p>
      </dgm:t>
    </dgm:pt>
    <dgm:pt modelId="{AAC27A80-2AA8-48D3-A544-FA434C4AE43C}" type="pres">
      <dgm:prSet presAssocID="{1FE97B84-5865-4493-A5B0-8A33FBE7B90B}" presName="hierRoot2" presStyleCnt="0"/>
      <dgm:spPr/>
    </dgm:pt>
    <dgm:pt modelId="{525DCDAC-2218-4A3E-A602-DA14A05C7221}" type="pres">
      <dgm:prSet presAssocID="{1FE97B84-5865-4493-A5B0-8A33FBE7B90B}" presName="composite2" presStyleCnt="0"/>
      <dgm:spPr/>
    </dgm:pt>
    <dgm:pt modelId="{D1C6A433-8561-404F-B00A-9FF188708C00}" type="pres">
      <dgm:prSet presAssocID="{1FE97B84-5865-4493-A5B0-8A33FBE7B90B}" presName="background2" presStyleLbl="node2" presStyleIdx="1" presStyleCnt="2"/>
      <dgm:spPr/>
    </dgm:pt>
    <dgm:pt modelId="{7C21204B-18E5-4601-B468-199A004D2ACC}" type="pres">
      <dgm:prSet presAssocID="{1FE97B84-5865-4493-A5B0-8A33FBE7B90B}" presName="text2" presStyleLbl="fgAcc2" presStyleIdx="1" presStyleCnt="2">
        <dgm:presLayoutVars>
          <dgm:chPref val="3"/>
        </dgm:presLayoutVars>
      </dgm:prSet>
      <dgm:spPr/>
      <dgm:t>
        <a:bodyPr/>
        <a:lstStyle/>
        <a:p>
          <a:endParaRPr lang="en-GB"/>
        </a:p>
      </dgm:t>
    </dgm:pt>
    <dgm:pt modelId="{DAB43A09-ABEA-49AF-8132-C8164F0C85D2}" type="pres">
      <dgm:prSet presAssocID="{1FE97B84-5865-4493-A5B0-8A33FBE7B90B}" presName="hierChild3" presStyleCnt="0"/>
      <dgm:spPr/>
    </dgm:pt>
    <dgm:pt modelId="{94A3E033-0691-4C32-BD36-A4D6DF56DE7A}" type="pres">
      <dgm:prSet presAssocID="{85467236-8621-4ECD-B804-CB164EA8C4B5}" presName="Name17" presStyleLbl="parChTrans1D3" presStyleIdx="2" presStyleCnt="3"/>
      <dgm:spPr/>
      <dgm:t>
        <a:bodyPr/>
        <a:lstStyle/>
        <a:p>
          <a:endParaRPr lang="en-GB"/>
        </a:p>
      </dgm:t>
    </dgm:pt>
    <dgm:pt modelId="{C9237790-3486-473D-8E60-C6F71E302810}" type="pres">
      <dgm:prSet presAssocID="{15F613DD-6A21-46CD-BD67-8438B55E9CC2}" presName="hierRoot3" presStyleCnt="0"/>
      <dgm:spPr/>
    </dgm:pt>
    <dgm:pt modelId="{2B5324BF-986C-423A-AA49-13FCE05EA57C}" type="pres">
      <dgm:prSet presAssocID="{15F613DD-6A21-46CD-BD67-8438B55E9CC2}" presName="composite3" presStyleCnt="0"/>
      <dgm:spPr/>
    </dgm:pt>
    <dgm:pt modelId="{9E8BC684-9C00-4501-956F-D9F3CC03BC2C}" type="pres">
      <dgm:prSet presAssocID="{15F613DD-6A21-46CD-BD67-8438B55E9CC2}" presName="background3" presStyleLbl="node3" presStyleIdx="2" presStyleCnt="3"/>
      <dgm:spPr/>
    </dgm:pt>
    <dgm:pt modelId="{2693B415-9D2A-482E-9E3B-08D84C8630F1}" type="pres">
      <dgm:prSet presAssocID="{15F613DD-6A21-46CD-BD67-8438B55E9CC2}" presName="text3" presStyleLbl="fgAcc3" presStyleIdx="2" presStyleCnt="3">
        <dgm:presLayoutVars>
          <dgm:chPref val="3"/>
        </dgm:presLayoutVars>
      </dgm:prSet>
      <dgm:spPr/>
      <dgm:t>
        <a:bodyPr/>
        <a:lstStyle/>
        <a:p>
          <a:endParaRPr lang="en-GB"/>
        </a:p>
      </dgm:t>
    </dgm:pt>
    <dgm:pt modelId="{390BFB2C-1AC8-4752-899E-7D5EE8526C83}" type="pres">
      <dgm:prSet presAssocID="{15F613DD-6A21-46CD-BD67-8438B55E9CC2}" presName="hierChild4" presStyleCnt="0"/>
      <dgm:spPr/>
    </dgm:pt>
  </dgm:ptLst>
  <dgm:cxnLst>
    <dgm:cxn modelId="{504B5E44-45AD-49C3-8371-EDB146158FF6}" type="presOf" srcId="{5F785536-D1F7-498C-9D31-A40349960F2D}" destId="{2EF85E03-A45E-4ABA-87F3-CD01B484FF52}" srcOrd="0" destOrd="0" presId="urn:microsoft.com/office/officeart/2005/8/layout/hierarchy1"/>
    <dgm:cxn modelId="{EA5AF6A3-908D-491D-BF4E-98CE33C1374E}" type="presOf" srcId="{D87BA94F-52B3-4462-9B3D-A22B6B172E71}" destId="{46683F76-DF2A-4317-9575-F37EE0314378}" srcOrd="0" destOrd="0" presId="urn:microsoft.com/office/officeart/2005/8/layout/hierarchy1"/>
    <dgm:cxn modelId="{8A771AC1-31DE-4577-A967-9CF88AFA1A17}" type="presOf" srcId="{F97A2DEE-BC07-470B-A044-62BFA9150915}" destId="{A05D2CB9-24E1-4486-BA66-4FD584F7E7EF}" srcOrd="0" destOrd="0" presId="urn:microsoft.com/office/officeart/2005/8/layout/hierarchy1"/>
    <dgm:cxn modelId="{82C78C0A-1D23-43BC-A8BA-8E42905BB8B1}" srcId="{D87BA94F-52B3-4462-9B3D-A22B6B172E71}" destId="{3CC1E79D-B5B3-43FE-A5F5-77E157911AD7}" srcOrd="0" destOrd="0" parTransId="{5636FF9B-63E1-4998-8A6D-77EDF43670A4}" sibTransId="{CD0272B9-86AB-48C2-82CE-31DD80AC88FC}"/>
    <dgm:cxn modelId="{B9E4DA8F-A145-484F-8AAF-E86354591986}" type="presOf" srcId="{5636FF9B-63E1-4998-8A6D-77EDF43670A4}" destId="{AE5EAAA6-D131-453E-B2EF-0342748BA03F}" srcOrd="0" destOrd="0" presId="urn:microsoft.com/office/officeart/2005/8/layout/hierarchy1"/>
    <dgm:cxn modelId="{36F3D96A-387E-4728-A12A-F022C345AF82}" type="presOf" srcId="{1FE97B84-5865-4493-A5B0-8A33FBE7B90B}" destId="{7C21204B-18E5-4601-B468-199A004D2ACC}" srcOrd="0" destOrd="0" presId="urn:microsoft.com/office/officeart/2005/8/layout/hierarchy1"/>
    <dgm:cxn modelId="{EB07A47E-5345-477E-A8B8-C588D2468D1C}" srcId="{F97A2DEE-BC07-470B-A044-62BFA9150915}" destId="{1FE97B84-5865-4493-A5B0-8A33FBE7B90B}" srcOrd="1" destOrd="0" parTransId="{6F4DE594-28ED-4DBE-B146-BB4F594C0DFC}" sibTransId="{82640B8A-BC9E-4062-B7BD-48FA7E4C1E40}"/>
    <dgm:cxn modelId="{107A193E-23C7-480E-A285-85FA942A2D09}" type="presOf" srcId="{15F613DD-6A21-46CD-BD67-8438B55E9CC2}" destId="{2693B415-9D2A-482E-9E3B-08D84C8630F1}" srcOrd="0" destOrd="0" presId="urn:microsoft.com/office/officeart/2005/8/layout/hierarchy1"/>
    <dgm:cxn modelId="{C335648C-769C-427B-875B-2DAD31C24F3A}" srcId="{F7B75DFB-11AE-45BB-A5FF-ACE250FB3986}" destId="{F97A2DEE-BC07-470B-A044-62BFA9150915}" srcOrd="0" destOrd="0" parTransId="{4DBA393C-92D6-4FA6-8366-B17A898D0697}" sibTransId="{3D2FF4D3-F2AC-49EB-AC3A-7C7563D0CE7E}"/>
    <dgm:cxn modelId="{199DD3D7-1F4B-4BFB-BDC8-7586C2EAE85C}" type="presOf" srcId="{F7B75DFB-11AE-45BB-A5FF-ACE250FB3986}" destId="{571D36E2-49F1-4E7D-A43F-DBDB5110A6AA}" srcOrd="0" destOrd="0" presId="urn:microsoft.com/office/officeart/2005/8/layout/hierarchy1"/>
    <dgm:cxn modelId="{B22F663E-8F76-426D-BCB6-C9593CF72EBB}" type="presOf" srcId="{6F4DE594-28ED-4DBE-B146-BB4F594C0DFC}" destId="{69132165-4E98-4FF5-BAFF-86E0961BA9A2}" srcOrd="0" destOrd="0" presId="urn:microsoft.com/office/officeart/2005/8/layout/hierarchy1"/>
    <dgm:cxn modelId="{2590D689-79AD-4519-825B-57313AAFC754}" type="presOf" srcId="{3CC1E79D-B5B3-43FE-A5F5-77E157911AD7}" destId="{EE7B9323-2BEE-4C1A-BD8E-9A76B4C169C7}" srcOrd="0" destOrd="0" presId="urn:microsoft.com/office/officeart/2005/8/layout/hierarchy1"/>
    <dgm:cxn modelId="{71333D02-FFB6-419C-ADC6-1D1FDA9E190F}" srcId="{1FE97B84-5865-4493-A5B0-8A33FBE7B90B}" destId="{15F613DD-6A21-46CD-BD67-8438B55E9CC2}" srcOrd="0" destOrd="0" parTransId="{85467236-8621-4ECD-B804-CB164EA8C4B5}" sibTransId="{A852EAE0-534F-4D94-B8BF-2502072009E5}"/>
    <dgm:cxn modelId="{476ABD7B-80EF-4E05-B8F6-1AB0D3BDBE0B}" type="presOf" srcId="{7EFD9B42-7B57-4C9F-BBED-9B361F4156B0}" destId="{4033B032-1DBE-41EB-83E6-144CBA7CB3D4}" srcOrd="0" destOrd="0" presId="urn:microsoft.com/office/officeart/2005/8/layout/hierarchy1"/>
    <dgm:cxn modelId="{9B700C30-B64C-49B8-B9BC-A84481626962}" type="presOf" srcId="{C1D534ED-E762-4505-93E7-25172DA274CF}" destId="{57AD98AD-D254-49F1-B54E-458DE4F240B9}" srcOrd="0" destOrd="0" presId="urn:microsoft.com/office/officeart/2005/8/layout/hierarchy1"/>
    <dgm:cxn modelId="{F12F2F26-C487-4A0A-B21C-DCD00DE63314}" type="presOf" srcId="{85467236-8621-4ECD-B804-CB164EA8C4B5}" destId="{94A3E033-0691-4C32-BD36-A4D6DF56DE7A}" srcOrd="0" destOrd="0" presId="urn:microsoft.com/office/officeart/2005/8/layout/hierarchy1"/>
    <dgm:cxn modelId="{C05B85A7-D0B1-4355-AE12-468F8DD7C53F}" srcId="{F97A2DEE-BC07-470B-A044-62BFA9150915}" destId="{D87BA94F-52B3-4462-9B3D-A22B6B172E71}" srcOrd="0" destOrd="0" parTransId="{C1D534ED-E762-4505-93E7-25172DA274CF}" sibTransId="{9EBE7F19-E1B2-45AF-AF50-56FEDDDE239C}"/>
    <dgm:cxn modelId="{24B07D4F-2ACC-469A-8C6F-721F773F828A}" srcId="{D87BA94F-52B3-4462-9B3D-A22B6B172E71}" destId="{5F785536-D1F7-498C-9D31-A40349960F2D}" srcOrd="1" destOrd="0" parTransId="{7EFD9B42-7B57-4C9F-BBED-9B361F4156B0}" sibTransId="{26BCCA9C-A554-4B18-857F-CEB24C6120EB}"/>
    <dgm:cxn modelId="{4B5522F1-066C-455F-864E-A94C9B3519B6}" type="presParOf" srcId="{571D36E2-49F1-4E7D-A43F-DBDB5110A6AA}" destId="{CD9D2713-FACD-41E0-B214-607FC4AD5EC6}" srcOrd="0" destOrd="0" presId="urn:microsoft.com/office/officeart/2005/8/layout/hierarchy1"/>
    <dgm:cxn modelId="{CFF28632-BC4D-45F8-AA34-0464B8C2CB85}" type="presParOf" srcId="{CD9D2713-FACD-41E0-B214-607FC4AD5EC6}" destId="{B7AD4577-C7B0-48CE-9195-66179A1B526D}" srcOrd="0" destOrd="0" presId="urn:microsoft.com/office/officeart/2005/8/layout/hierarchy1"/>
    <dgm:cxn modelId="{6EB9939D-B596-4FFC-8FE1-050C2ACFBC5F}" type="presParOf" srcId="{B7AD4577-C7B0-48CE-9195-66179A1B526D}" destId="{5AEAB0DE-FBAE-4D17-BF78-62769A19B8E1}" srcOrd="0" destOrd="0" presId="urn:microsoft.com/office/officeart/2005/8/layout/hierarchy1"/>
    <dgm:cxn modelId="{85B70D5E-9152-4730-BE27-01A2BB44FCF1}" type="presParOf" srcId="{B7AD4577-C7B0-48CE-9195-66179A1B526D}" destId="{A05D2CB9-24E1-4486-BA66-4FD584F7E7EF}" srcOrd="1" destOrd="0" presId="urn:microsoft.com/office/officeart/2005/8/layout/hierarchy1"/>
    <dgm:cxn modelId="{83015DDD-3526-4290-B652-16C65BD3D815}" type="presParOf" srcId="{CD9D2713-FACD-41E0-B214-607FC4AD5EC6}" destId="{B84F6069-DB1A-49F1-BBDC-0E35A12EEEFB}" srcOrd="1" destOrd="0" presId="urn:microsoft.com/office/officeart/2005/8/layout/hierarchy1"/>
    <dgm:cxn modelId="{E6B54EF7-24DE-499E-9A7F-F6CE8F538039}" type="presParOf" srcId="{B84F6069-DB1A-49F1-BBDC-0E35A12EEEFB}" destId="{57AD98AD-D254-49F1-B54E-458DE4F240B9}" srcOrd="0" destOrd="0" presId="urn:microsoft.com/office/officeart/2005/8/layout/hierarchy1"/>
    <dgm:cxn modelId="{16249EF4-5DB7-4CA4-BAE2-3431D9A25FBF}" type="presParOf" srcId="{B84F6069-DB1A-49F1-BBDC-0E35A12EEEFB}" destId="{3EA7EEF9-21E8-44D0-89EC-D2D3FAEA6FA0}" srcOrd="1" destOrd="0" presId="urn:microsoft.com/office/officeart/2005/8/layout/hierarchy1"/>
    <dgm:cxn modelId="{79C75A8B-C7F0-445C-B0E2-B3939A2B403B}" type="presParOf" srcId="{3EA7EEF9-21E8-44D0-89EC-D2D3FAEA6FA0}" destId="{EA2379C7-C0B6-48F4-8D0E-2368B6AB83D1}" srcOrd="0" destOrd="0" presId="urn:microsoft.com/office/officeart/2005/8/layout/hierarchy1"/>
    <dgm:cxn modelId="{6F8DC897-730F-4880-A2EA-440514848331}" type="presParOf" srcId="{EA2379C7-C0B6-48F4-8D0E-2368B6AB83D1}" destId="{AB7E375D-2D07-44A0-9966-B2AE0787D7A9}" srcOrd="0" destOrd="0" presId="urn:microsoft.com/office/officeart/2005/8/layout/hierarchy1"/>
    <dgm:cxn modelId="{F72F5531-32FE-4A89-86D5-E6D67D0BFFC9}" type="presParOf" srcId="{EA2379C7-C0B6-48F4-8D0E-2368B6AB83D1}" destId="{46683F76-DF2A-4317-9575-F37EE0314378}" srcOrd="1" destOrd="0" presId="urn:microsoft.com/office/officeart/2005/8/layout/hierarchy1"/>
    <dgm:cxn modelId="{666A2B13-6E42-4FF2-B238-39B36076120F}" type="presParOf" srcId="{3EA7EEF9-21E8-44D0-89EC-D2D3FAEA6FA0}" destId="{703EE17A-3D13-45F4-A003-4FF289540961}" srcOrd="1" destOrd="0" presId="urn:microsoft.com/office/officeart/2005/8/layout/hierarchy1"/>
    <dgm:cxn modelId="{A8532523-8767-4395-97CE-1A159BD95513}" type="presParOf" srcId="{703EE17A-3D13-45F4-A003-4FF289540961}" destId="{AE5EAAA6-D131-453E-B2EF-0342748BA03F}" srcOrd="0" destOrd="0" presId="urn:microsoft.com/office/officeart/2005/8/layout/hierarchy1"/>
    <dgm:cxn modelId="{DD14105C-2F0B-4BAF-9161-F10B01B1AFA8}" type="presParOf" srcId="{703EE17A-3D13-45F4-A003-4FF289540961}" destId="{790871F2-DE30-4406-9947-A999E898455A}" srcOrd="1" destOrd="0" presId="urn:microsoft.com/office/officeart/2005/8/layout/hierarchy1"/>
    <dgm:cxn modelId="{F7659D84-628F-4F67-ACDC-0D0F65A165A2}" type="presParOf" srcId="{790871F2-DE30-4406-9947-A999E898455A}" destId="{3C0E3B7D-F860-4CA5-878D-F6652877CF21}" srcOrd="0" destOrd="0" presId="urn:microsoft.com/office/officeart/2005/8/layout/hierarchy1"/>
    <dgm:cxn modelId="{75DAB102-CEC9-4605-A24D-84CB136E26FD}" type="presParOf" srcId="{3C0E3B7D-F860-4CA5-878D-F6652877CF21}" destId="{161CBFC1-6871-4741-B077-54BEE39A44C5}" srcOrd="0" destOrd="0" presId="urn:microsoft.com/office/officeart/2005/8/layout/hierarchy1"/>
    <dgm:cxn modelId="{BE289FB0-946C-491B-9323-0C0E127989C6}" type="presParOf" srcId="{3C0E3B7D-F860-4CA5-878D-F6652877CF21}" destId="{EE7B9323-2BEE-4C1A-BD8E-9A76B4C169C7}" srcOrd="1" destOrd="0" presId="urn:microsoft.com/office/officeart/2005/8/layout/hierarchy1"/>
    <dgm:cxn modelId="{C45D7ABF-5D66-42B9-AC21-F169604EF67E}" type="presParOf" srcId="{790871F2-DE30-4406-9947-A999E898455A}" destId="{342B30EE-4B65-4234-ADAD-90448276284D}" srcOrd="1" destOrd="0" presId="urn:microsoft.com/office/officeart/2005/8/layout/hierarchy1"/>
    <dgm:cxn modelId="{5C57173D-B0C4-4B7D-A1D7-705CBF91CEAB}" type="presParOf" srcId="{703EE17A-3D13-45F4-A003-4FF289540961}" destId="{4033B032-1DBE-41EB-83E6-144CBA7CB3D4}" srcOrd="2" destOrd="0" presId="urn:microsoft.com/office/officeart/2005/8/layout/hierarchy1"/>
    <dgm:cxn modelId="{6BDEE824-E7A0-4699-A960-E931F4C61EC7}" type="presParOf" srcId="{703EE17A-3D13-45F4-A003-4FF289540961}" destId="{744A4CB1-396A-454F-9578-EC84FA4A3647}" srcOrd="3" destOrd="0" presId="urn:microsoft.com/office/officeart/2005/8/layout/hierarchy1"/>
    <dgm:cxn modelId="{F475AC09-9D33-4CCD-ABA5-CDADDAFF3F8F}" type="presParOf" srcId="{744A4CB1-396A-454F-9578-EC84FA4A3647}" destId="{A1F9FED2-EB8B-458F-9735-F19998551297}" srcOrd="0" destOrd="0" presId="urn:microsoft.com/office/officeart/2005/8/layout/hierarchy1"/>
    <dgm:cxn modelId="{906C2974-DF6D-4E0C-A3D7-E3C7973A470C}" type="presParOf" srcId="{A1F9FED2-EB8B-458F-9735-F19998551297}" destId="{B9FF4F49-6C9E-49A7-B4E3-26392E36467B}" srcOrd="0" destOrd="0" presId="urn:microsoft.com/office/officeart/2005/8/layout/hierarchy1"/>
    <dgm:cxn modelId="{3A8B4539-48A8-4AA6-BD67-3D16C3921EFD}" type="presParOf" srcId="{A1F9FED2-EB8B-458F-9735-F19998551297}" destId="{2EF85E03-A45E-4ABA-87F3-CD01B484FF52}" srcOrd="1" destOrd="0" presId="urn:microsoft.com/office/officeart/2005/8/layout/hierarchy1"/>
    <dgm:cxn modelId="{78A4A426-B5FF-4551-BBAD-91BA1D15CA48}" type="presParOf" srcId="{744A4CB1-396A-454F-9578-EC84FA4A3647}" destId="{9B4C0BA0-2C5F-4726-BFBB-CC3F276CE4FB}" srcOrd="1" destOrd="0" presId="urn:microsoft.com/office/officeart/2005/8/layout/hierarchy1"/>
    <dgm:cxn modelId="{3245B211-D8F1-46E3-86D3-23C4D0B7452C}" type="presParOf" srcId="{B84F6069-DB1A-49F1-BBDC-0E35A12EEEFB}" destId="{69132165-4E98-4FF5-BAFF-86E0961BA9A2}" srcOrd="2" destOrd="0" presId="urn:microsoft.com/office/officeart/2005/8/layout/hierarchy1"/>
    <dgm:cxn modelId="{50A9024B-2702-465F-A695-79274F863D4F}" type="presParOf" srcId="{B84F6069-DB1A-49F1-BBDC-0E35A12EEEFB}" destId="{AAC27A80-2AA8-48D3-A544-FA434C4AE43C}" srcOrd="3" destOrd="0" presId="urn:microsoft.com/office/officeart/2005/8/layout/hierarchy1"/>
    <dgm:cxn modelId="{5A803DF3-44DB-4867-A4FF-B6D1C1FABD78}" type="presParOf" srcId="{AAC27A80-2AA8-48D3-A544-FA434C4AE43C}" destId="{525DCDAC-2218-4A3E-A602-DA14A05C7221}" srcOrd="0" destOrd="0" presId="urn:microsoft.com/office/officeart/2005/8/layout/hierarchy1"/>
    <dgm:cxn modelId="{61094266-2863-4BCF-9230-7601B1164BAD}" type="presParOf" srcId="{525DCDAC-2218-4A3E-A602-DA14A05C7221}" destId="{D1C6A433-8561-404F-B00A-9FF188708C00}" srcOrd="0" destOrd="0" presId="urn:microsoft.com/office/officeart/2005/8/layout/hierarchy1"/>
    <dgm:cxn modelId="{91F3B3B1-ECC7-45BB-931A-37EDA1E1495E}" type="presParOf" srcId="{525DCDAC-2218-4A3E-A602-DA14A05C7221}" destId="{7C21204B-18E5-4601-B468-199A004D2ACC}" srcOrd="1" destOrd="0" presId="urn:microsoft.com/office/officeart/2005/8/layout/hierarchy1"/>
    <dgm:cxn modelId="{9A9A4452-EEE7-417C-914B-03576F813C14}" type="presParOf" srcId="{AAC27A80-2AA8-48D3-A544-FA434C4AE43C}" destId="{DAB43A09-ABEA-49AF-8132-C8164F0C85D2}" srcOrd="1" destOrd="0" presId="urn:microsoft.com/office/officeart/2005/8/layout/hierarchy1"/>
    <dgm:cxn modelId="{0A290786-8598-4FB1-904E-92375EBFA8F1}" type="presParOf" srcId="{DAB43A09-ABEA-49AF-8132-C8164F0C85D2}" destId="{94A3E033-0691-4C32-BD36-A4D6DF56DE7A}" srcOrd="0" destOrd="0" presId="urn:microsoft.com/office/officeart/2005/8/layout/hierarchy1"/>
    <dgm:cxn modelId="{7E25EBC2-AAC2-464F-AE03-0CC54A954061}" type="presParOf" srcId="{DAB43A09-ABEA-49AF-8132-C8164F0C85D2}" destId="{C9237790-3486-473D-8E60-C6F71E302810}" srcOrd="1" destOrd="0" presId="urn:microsoft.com/office/officeart/2005/8/layout/hierarchy1"/>
    <dgm:cxn modelId="{516EA8DF-184A-438D-BC20-9CE3A99F6E9C}" type="presParOf" srcId="{C9237790-3486-473D-8E60-C6F71E302810}" destId="{2B5324BF-986C-423A-AA49-13FCE05EA57C}" srcOrd="0" destOrd="0" presId="urn:microsoft.com/office/officeart/2005/8/layout/hierarchy1"/>
    <dgm:cxn modelId="{B381945F-AD1A-4B6C-8ABA-A4FC328817C2}" type="presParOf" srcId="{2B5324BF-986C-423A-AA49-13FCE05EA57C}" destId="{9E8BC684-9C00-4501-956F-D9F3CC03BC2C}" srcOrd="0" destOrd="0" presId="urn:microsoft.com/office/officeart/2005/8/layout/hierarchy1"/>
    <dgm:cxn modelId="{F1737C3B-AEB3-4F11-80EE-AAD7B0369036}" type="presParOf" srcId="{2B5324BF-986C-423A-AA49-13FCE05EA57C}" destId="{2693B415-9D2A-482E-9E3B-08D84C8630F1}" srcOrd="1" destOrd="0" presId="urn:microsoft.com/office/officeart/2005/8/layout/hierarchy1"/>
    <dgm:cxn modelId="{E895BBCA-3552-47B0-92A4-7B51052652DD}" type="presParOf" srcId="{C9237790-3486-473D-8E60-C6F71E302810}" destId="{390BFB2C-1AC8-4752-899E-7D5EE8526C83}"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A3E033-0691-4C32-BD36-A4D6DF56DE7A}">
      <dsp:nvSpPr>
        <dsp:cNvPr id="0" name=""/>
        <dsp:cNvSpPr/>
      </dsp:nvSpPr>
      <dsp:spPr>
        <a:xfrm>
          <a:off x="4127007" y="1922024"/>
          <a:ext cx="91440" cy="358102"/>
        </a:xfrm>
        <a:custGeom>
          <a:avLst/>
          <a:gdLst/>
          <a:ahLst/>
          <a:cxnLst/>
          <a:rect l="0" t="0" r="0" b="0"/>
          <a:pathLst>
            <a:path>
              <a:moveTo>
                <a:pt x="45720" y="0"/>
              </a:moveTo>
              <a:lnTo>
                <a:pt x="45720" y="3581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132165-4E98-4FF5-BAFF-86E0961BA9A2}">
      <dsp:nvSpPr>
        <dsp:cNvPr id="0" name=""/>
        <dsp:cNvSpPr/>
      </dsp:nvSpPr>
      <dsp:spPr>
        <a:xfrm>
          <a:off x="3044039" y="782048"/>
          <a:ext cx="1128688" cy="358102"/>
        </a:xfrm>
        <a:custGeom>
          <a:avLst/>
          <a:gdLst/>
          <a:ahLst/>
          <a:cxnLst/>
          <a:rect l="0" t="0" r="0" b="0"/>
          <a:pathLst>
            <a:path>
              <a:moveTo>
                <a:pt x="0" y="0"/>
              </a:moveTo>
              <a:lnTo>
                <a:pt x="0" y="244036"/>
              </a:lnTo>
              <a:lnTo>
                <a:pt x="1128688" y="244036"/>
              </a:lnTo>
              <a:lnTo>
                <a:pt x="1128688" y="358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3B032-1DBE-41EB-83E6-144CBA7CB3D4}">
      <dsp:nvSpPr>
        <dsp:cNvPr id="0" name=""/>
        <dsp:cNvSpPr/>
      </dsp:nvSpPr>
      <dsp:spPr>
        <a:xfrm>
          <a:off x="1915350" y="1922024"/>
          <a:ext cx="752459" cy="358102"/>
        </a:xfrm>
        <a:custGeom>
          <a:avLst/>
          <a:gdLst/>
          <a:ahLst/>
          <a:cxnLst/>
          <a:rect l="0" t="0" r="0" b="0"/>
          <a:pathLst>
            <a:path>
              <a:moveTo>
                <a:pt x="0" y="0"/>
              </a:moveTo>
              <a:lnTo>
                <a:pt x="0" y="244036"/>
              </a:lnTo>
              <a:lnTo>
                <a:pt x="752459" y="244036"/>
              </a:lnTo>
              <a:lnTo>
                <a:pt x="752459" y="3581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5EAAA6-D131-453E-B2EF-0342748BA03F}">
      <dsp:nvSpPr>
        <dsp:cNvPr id="0" name=""/>
        <dsp:cNvSpPr/>
      </dsp:nvSpPr>
      <dsp:spPr>
        <a:xfrm>
          <a:off x="1057184" y="1922024"/>
          <a:ext cx="858165" cy="358277"/>
        </a:xfrm>
        <a:custGeom>
          <a:avLst/>
          <a:gdLst/>
          <a:ahLst/>
          <a:cxnLst/>
          <a:rect l="0" t="0" r="0" b="0"/>
          <a:pathLst>
            <a:path>
              <a:moveTo>
                <a:pt x="858165" y="0"/>
              </a:moveTo>
              <a:lnTo>
                <a:pt x="858165" y="244211"/>
              </a:lnTo>
              <a:lnTo>
                <a:pt x="0" y="244211"/>
              </a:lnTo>
              <a:lnTo>
                <a:pt x="0" y="3582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AD98AD-D254-49F1-B54E-458DE4F240B9}">
      <dsp:nvSpPr>
        <dsp:cNvPr id="0" name=""/>
        <dsp:cNvSpPr/>
      </dsp:nvSpPr>
      <dsp:spPr>
        <a:xfrm>
          <a:off x="1915350" y="782048"/>
          <a:ext cx="1128688" cy="358102"/>
        </a:xfrm>
        <a:custGeom>
          <a:avLst/>
          <a:gdLst/>
          <a:ahLst/>
          <a:cxnLst/>
          <a:rect l="0" t="0" r="0" b="0"/>
          <a:pathLst>
            <a:path>
              <a:moveTo>
                <a:pt x="1128688" y="0"/>
              </a:moveTo>
              <a:lnTo>
                <a:pt x="1128688" y="244036"/>
              </a:lnTo>
              <a:lnTo>
                <a:pt x="0" y="244036"/>
              </a:lnTo>
              <a:lnTo>
                <a:pt x="0" y="358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EAB0DE-FBAE-4D17-BF78-62769A19B8E1}">
      <dsp:nvSpPr>
        <dsp:cNvPr id="0" name=""/>
        <dsp:cNvSpPr/>
      </dsp:nvSpPr>
      <dsp:spPr>
        <a:xfrm>
          <a:off x="2428390" y="175"/>
          <a:ext cx="1231296" cy="781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5D2CB9-24E1-4486-BA66-4FD584F7E7EF}">
      <dsp:nvSpPr>
        <dsp:cNvPr id="0" name=""/>
        <dsp:cNvSpPr/>
      </dsp:nvSpPr>
      <dsp:spPr>
        <a:xfrm>
          <a:off x="2565201" y="130145"/>
          <a:ext cx="1231296" cy="781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Times New Roman" panose="02020603050405020304" pitchFamily="18" charset="0"/>
              <a:cs typeface="Times New Roman" panose="02020603050405020304" pitchFamily="18" charset="0"/>
            </a:rPr>
            <a:t>Free movement of goods</a:t>
          </a:r>
        </a:p>
      </dsp:txBody>
      <dsp:txXfrm>
        <a:off x="2588101" y="153045"/>
        <a:ext cx="1185496" cy="736073"/>
      </dsp:txXfrm>
    </dsp:sp>
    <dsp:sp modelId="{AB7E375D-2D07-44A0-9966-B2AE0787D7A9}">
      <dsp:nvSpPr>
        <dsp:cNvPr id="0" name=""/>
        <dsp:cNvSpPr/>
      </dsp:nvSpPr>
      <dsp:spPr>
        <a:xfrm>
          <a:off x="1299702" y="1140150"/>
          <a:ext cx="1231296" cy="781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683F76-DF2A-4317-9575-F37EE0314378}">
      <dsp:nvSpPr>
        <dsp:cNvPr id="0" name=""/>
        <dsp:cNvSpPr/>
      </dsp:nvSpPr>
      <dsp:spPr>
        <a:xfrm>
          <a:off x="1436512" y="1270120"/>
          <a:ext cx="1231296" cy="781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Times New Roman" panose="02020603050405020304" pitchFamily="18" charset="0"/>
              <a:cs typeface="Times New Roman" panose="02020603050405020304" pitchFamily="18" charset="0"/>
            </a:rPr>
            <a:t>Articles 34-36 TFEU</a:t>
          </a:r>
        </a:p>
        <a:p>
          <a:pPr lvl="0" algn="ctr" defTabSz="444500">
            <a:lnSpc>
              <a:spcPct val="90000"/>
            </a:lnSpc>
            <a:spcBef>
              <a:spcPct val="0"/>
            </a:spcBef>
            <a:spcAft>
              <a:spcPct val="35000"/>
            </a:spcAft>
          </a:pPr>
          <a:r>
            <a:rPr lang="en-GB" sz="1000" i="1" kern="1200">
              <a:latin typeface="Times New Roman" panose="02020603050405020304" pitchFamily="18" charset="0"/>
              <a:cs typeface="Times New Roman" panose="02020603050405020304" pitchFamily="18" charset="0"/>
            </a:rPr>
            <a:t>Mutual recognition </a:t>
          </a:r>
        </a:p>
      </dsp:txBody>
      <dsp:txXfrm>
        <a:off x="1459412" y="1293020"/>
        <a:ext cx="1185496" cy="736073"/>
      </dsp:txXfrm>
    </dsp:sp>
    <dsp:sp modelId="{161CBFC1-6871-4741-B077-54BEE39A44C5}">
      <dsp:nvSpPr>
        <dsp:cNvPr id="0" name=""/>
        <dsp:cNvSpPr/>
      </dsp:nvSpPr>
      <dsp:spPr>
        <a:xfrm>
          <a:off x="441536" y="2280301"/>
          <a:ext cx="1231296" cy="781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7B9323-2BEE-4C1A-BD8E-9A76B4C169C7}">
      <dsp:nvSpPr>
        <dsp:cNvPr id="0" name=""/>
        <dsp:cNvSpPr/>
      </dsp:nvSpPr>
      <dsp:spPr>
        <a:xfrm>
          <a:off x="578346" y="2410271"/>
          <a:ext cx="1231296" cy="781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Times New Roman" panose="02020603050405020304" pitchFamily="18" charset="0"/>
              <a:cs typeface="Times New Roman" panose="02020603050405020304" pitchFamily="18" charset="0"/>
            </a:rPr>
            <a:t>Products lawfully marketed in one Member State can be sold  in other Member States without adapting it to national technical rules</a:t>
          </a:r>
        </a:p>
      </dsp:txBody>
      <dsp:txXfrm>
        <a:off x="601246" y="2433171"/>
        <a:ext cx="1185496" cy="736073"/>
      </dsp:txXfrm>
    </dsp:sp>
    <dsp:sp modelId="{B9FF4F49-6C9E-49A7-B4E3-26392E36467B}">
      <dsp:nvSpPr>
        <dsp:cNvPr id="0" name=""/>
        <dsp:cNvSpPr/>
      </dsp:nvSpPr>
      <dsp:spPr>
        <a:xfrm>
          <a:off x="2052161" y="2280126"/>
          <a:ext cx="1231296" cy="781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F85E03-A45E-4ABA-87F3-CD01B484FF52}">
      <dsp:nvSpPr>
        <dsp:cNvPr id="0" name=""/>
        <dsp:cNvSpPr/>
      </dsp:nvSpPr>
      <dsp:spPr>
        <a:xfrm>
          <a:off x="2188972" y="2410096"/>
          <a:ext cx="1231296" cy="781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latin typeface="Times New Roman" panose="02020603050405020304" pitchFamily="18" charset="0"/>
              <a:cs typeface="Times New Roman" panose="02020603050405020304" pitchFamily="18" charset="0"/>
            </a:rPr>
            <a:t>Exception: if national technical rules are necessary and proportionate to achieve protection of public interest</a:t>
          </a:r>
        </a:p>
      </dsp:txBody>
      <dsp:txXfrm>
        <a:off x="2211872" y="2432996"/>
        <a:ext cx="1185496" cy="736073"/>
      </dsp:txXfrm>
    </dsp:sp>
    <dsp:sp modelId="{D1C6A433-8561-404F-B00A-9FF188708C00}">
      <dsp:nvSpPr>
        <dsp:cNvPr id="0" name=""/>
        <dsp:cNvSpPr/>
      </dsp:nvSpPr>
      <dsp:spPr>
        <a:xfrm>
          <a:off x="3557079" y="1140150"/>
          <a:ext cx="1231296" cy="781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21204B-18E5-4601-B468-199A004D2ACC}">
      <dsp:nvSpPr>
        <dsp:cNvPr id="0" name=""/>
        <dsp:cNvSpPr/>
      </dsp:nvSpPr>
      <dsp:spPr>
        <a:xfrm>
          <a:off x="3693890" y="1270120"/>
          <a:ext cx="1231296" cy="781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Times New Roman" panose="02020603050405020304" pitchFamily="18" charset="0"/>
              <a:cs typeface="Times New Roman" panose="02020603050405020304" pitchFamily="18" charset="0"/>
            </a:rPr>
            <a:t>Article 114 TFEU</a:t>
          </a:r>
        </a:p>
        <a:p>
          <a:pPr lvl="0" algn="ctr" defTabSz="444500">
            <a:lnSpc>
              <a:spcPct val="90000"/>
            </a:lnSpc>
            <a:spcBef>
              <a:spcPct val="0"/>
            </a:spcBef>
            <a:spcAft>
              <a:spcPct val="35000"/>
            </a:spcAft>
          </a:pPr>
          <a:r>
            <a:rPr lang="en-GB" sz="1000" i="1" kern="1200">
              <a:latin typeface="Times New Roman" panose="02020603050405020304" pitchFamily="18" charset="0"/>
              <a:cs typeface="Times New Roman" panose="02020603050405020304" pitchFamily="18" charset="0"/>
            </a:rPr>
            <a:t>Harmonisation legislation </a:t>
          </a:r>
        </a:p>
      </dsp:txBody>
      <dsp:txXfrm>
        <a:off x="3716790" y="1293020"/>
        <a:ext cx="1185496" cy="736073"/>
      </dsp:txXfrm>
    </dsp:sp>
    <dsp:sp modelId="{9E8BC684-9C00-4501-956F-D9F3CC03BC2C}">
      <dsp:nvSpPr>
        <dsp:cNvPr id="0" name=""/>
        <dsp:cNvSpPr/>
      </dsp:nvSpPr>
      <dsp:spPr>
        <a:xfrm>
          <a:off x="3557079" y="2280126"/>
          <a:ext cx="1231296" cy="7818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93B415-9D2A-482E-9E3B-08D84C8630F1}">
      <dsp:nvSpPr>
        <dsp:cNvPr id="0" name=""/>
        <dsp:cNvSpPr/>
      </dsp:nvSpPr>
      <dsp:spPr>
        <a:xfrm>
          <a:off x="3693890" y="2410096"/>
          <a:ext cx="1231296" cy="7818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Common requirements on products: to eliminate barriers in the single market and ensure that only safe and compliant products are on the EU market</a:t>
          </a:r>
        </a:p>
      </dsp:txBody>
      <dsp:txXfrm>
        <a:off x="3716790" y="2432996"/>
        <a:ext cx="1185496" cy="7360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2CF83-5558-4F20-8B03-528B39D56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3</TotalTime>
  <Pages>178</Pages>
  <Words>58671</Words>
  <Characters>340790</Characters>
  <Application>Microsoft Office Word</Application>
  <DocSecurity>0</DocSecurity>
  <PresentationFormat>Microsoft Word 14.0</PresentationFormat>
  <Lines>2839</Lines>
  <Paragraphs>797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BARTH Carmen (SG)</cp:lastModifiedBy>
  <cp:revision>18</cp:revision>
  <cp:lastPrinted>2017-12-11T15:48:00Z</cp:lastPrinted>
  <dcterms:created xsi:type="dcterms:W3CDTF">2017-12-11T15:48:00Z</dcterms:created>
  <dcterms:modified xsi:type="dcterms:W3CDTF">2017-12-19T08:42:00Z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reator">
    <vt:lpwstr/>
  </property>
  <property fmtid="{D5CDD505-2E9C-101B-9397-08002B2CF9AE}" pid="14" name="Contributor">
    <vt:lpwstr/>
  </property>
  <property fmtid="{D5CDD505-2E9C-101B-9397-08002B2CF9AE}" pid="15" name="DateAlarm">
    <vt:lpwstr/>
  </property>
  <property fmtid="{D5CDD505-2E9C-101B-9397-08002B2CF9AE}" pid="16" name="DatePublication">
    <vt:lpwstr/>
  </property>
  <property fmtid="{D5CDD505-2E9C-101B-9397-08002B2CF9AE}" pid="17" name="Description">
    <vt:lpwstr/>
  </property>
  <property fmtid="{D5CDD505-2E9C-101B-9397-08002B2CF9AE}" pid="18" name="Publisher">
    <vt:lpwstr/>
  </property>
  <property fmtid="{D5CDD505-2E9C-101B-9397-08002B2CF9AE}" pid="19" name="Reference">
    <vt:lpwstr/>
  </property>
  <property fmtid="{D5CDD505-2E9C-101B-9397-08002B2CF9AE}" pid="20" name="Rights">
    <vt:lpwstr/>
  </property>
  <property fmtid="{D5CDD505-2E9C-101B-9397-08002B2CF9AE}" pid="21" name="Part">
    <vt:lpwstr>1</vt:lpwstr>
  </property>
  <property fmtid="{D5CDD505-2E9C-101B-9397-08002B2CF9AE}" pid="22" name="Total parts">
    <vt:lpwstr>1</vt:lpwstr>
  </property>
  <property fmtid="{D5CDD505-2E9C-101B-9397-08002B2CF9AE}" pid="23" name="DocStatus">
    <vt:lpwstr>Green</vt:lpwstr>
  </property>
  <property fmtid="{D5CDD505-2E9C-101B-9397-08002B2CF9AE}" pid="24" name="Level of sensitivity">
    <vt:lpwstr>Standard treatment</vt:lpwstr>
  </property>
</Properties>
</file>