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48D34581-CBF6-4450-A602-4D15F73A6CAF"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ind w:left="850"/>
        <w:rPr>
          <w:rFonts w:eastAsia="Times New Roman"/>
          <w:noProof/>
        </w:rPr>
      </w:pPr>
      <w:r>
        <w:rPr>
          <w:noProof/>
        </w:rPr>
        <w:t>Посоченото по-долу предложение за отмяна на Регламент (ЕС) № 256/2014 („регламентът“) се прави в контекста на програмата REFIT на Комисията и ангажимента ѝ за по-добро законотворчество. Целта е да се осигури подходяща и висококачествена законодателна рамка, както е посочено в Междуинституционалното споразумение между Европейския парламент, Съвета на Европейския съюз и Европейската комисия за по-добро законотворчество</w:t>
      </w:r>
      <w:r>
        <w:rPr>
          <w:rStyle w:val="FootnoteReference"/>
          <w:noProof/>
        </w:rPr>
        <w:footnoteReference w:id="2"/>
      </w:r>
      <w:r>
        <w:rPr>
          <w:noProof/>
        </w:rPr>
        <w:t>. Комисията установи, че посоченият регламент вече не е подходящ за постигане на предвидените цели, и предлага да бъде отменен.</w:t>
      </w:r>
    </w:p>
    <w:p>
      <w:pPr>
        <w:ind w:left="850"/>
        <w:rPr>
          <w:rFonts w:eastAsia="Times New Roman"/>
          <w:noProof/>
          <w:szCs w:val="24"/>
        </w:rPr>
      </w:pPr>
      <w:r>
        <w:rPr>
          <w:noProof/>
        </w:rPr>
        <w:t>На 26 февруари 2014 г. бе приет Регламент (ЕС) № 256/2014 относно нотифицирането до Комисията на инвестиционните проекти в областта на енергийната инфраструктура в Европейския съюз, за да се гарантира, че развитието на енергийната политика на ЕС се извършва по ефективен начин и съответства на неговите реални потребности. Посоченият регламент бе подкрепен от Регламент за изпълнение (ЕС) № 1113/2014 на Комисията от 16 октомври 2014 г., в който се определят формата и техническите подробности за нотификацията, посочена в членове 3 и 5 от Регламент (ЕС) № 256/2014</w:t>
      </w:r>
      <w:r>
        <w:rPr>
          <w:rStyle w:val="FootnoteReference"/>
          <w:noProof/>
        </w:rPr>
        <w:footnoteReference w:id="3"/>
      </w:r>
      <w:r>
        <w:rPr>
          <w:noProof/>
        </w:rPr>
        <w:t>.</w:t>
      </w:r>
    </w:p>
    <w:p>
      <w:pPr>
        <w:ind w:left="850"/>
        <w:rPr>
          <w:rFonts w:eastAsia="Times New Roman"/>
          <w:noProof/>
          <w:szCs w:val="24"/>
        </w:rPr>
      </w:pPr>
      <w:r>
        <w:rPr>
          <w:noProof/>
        </w:rPr>
        <w:t>Въз основа на член 194 от Договора за функционирането на Европейския съюз с Регламент (ЕС) № 256/2014 и Регламент за изпълнение (ЕС) № 1113/2014 на Комисията от държавите членки се изисква да нотифицират Комисията относно инвестиционните проекти, по които са започнали дейности по изграждане или извеждане от експлоатация, или за които е взето окончателно инвестиционно решение. По този начин Комисията целеше да получи достъп до данни и информация относно планирани промени в мощностите за производство, пренос и съхранение, както и относно проектите в различните сектори на енергетиката, които са от интерес за ЕС и са от значение за бъдещите политики в областта на енергетиката и инвестициите.</w:t>
      </w:r>
    </w:p>
    <w:p>
      <w:pPr>
        <w:ind w:left="850"/>
        <w:rPr>
          <w:rFonts w:eastAsia="Times New Roman"/>
          <w:noProof/>
          <w:szCs w:val="24"/>
        </w:rPr>
      </w:pPr>
      <w:r>
        <w:rPr>
          <w:noProof/>
        </w:rPr>
        <w:t xml:space="preserve">Поради това регламентът имаше за цел на Комисията да се предостави цялостна картина на развитието на инвестициите в областта на енергийната инфраструктура в ЕС, така че отговорностите в областта на енергетиката да се изпълняват по по-добър начин. </w:t>
      </w:r>
    </w:p>
    <w:p>
      <w:pPr>
        <w:ind w:left="850"/>
        <w:rPr>
          <w:rFonts w:ascii="Lucida Sans Unicode" w:hAnsi="Lucida Sans Unicode" w:cs="Lucida Sans Unicode"/>
          <w:noProof/>
          <w:color w:val="444444"/>
          <w:sz w:val="19"/>
          <w:szCs w:val="19"/>
        </w:rPr>
      </w:pPr>
      <w:r>
        <w:rPr>
          <w:noProof/>
        </w:rPr>
        <w:t>Задълженията съгласно посочения регламент вече бяха въведени в сила съгласно Регламент (ЕС, Евратом) № 617/2010 на Съвета от 24 юни 2010 г. относно съобщаването на Комисията на инвестиционни проекти за енергийна инфраструктура в Европейския съюз, както и за отмяна на Регламент (ЕО) № 736/96</w:t>
      </w:r>
      <w:r>
        <w:rPr>
          <w:rStyle w:val="FootnoteReference"/>
          <w:noProof/>
        </w:rPr>
        <w:footnoteReference w:id="4"/>
      </w:r>
      <w:r>
        <w:rPr>
          <w:noProof/>
          <w:color w:val="444444"/>
          <w:sz w:val="22"/>
        </w:rPr>
        <w:t xml:space="preserve">. </w:t>
      </w:r>
      <w:r>
        <w:rPr>
          <w:noProof/>
        </w:rPr>
        <w:t>Съдът на Европейския съюз отмени Регламент (ЕС, Евратом) № 617/2010 на Съвета</w:t>
      </w:r>
      <w:r>
        <w:rPr>
          <w:rStyle w:val="FootnoteReference"/>
          <w:noProof/>
        </w:rPr>
        <w:footnoteReference w:id="5"/>
      </w:r>
      <w:r>
        <w:rPr>
          <w:rFonts w:ascii="Lucida Sans Unicode" w:hAnsi="Lucida Sans Unicode"/>
          <w:noProof/>
          <w:color w:val="444444"/>
          <w:sz w:val="19"/>
        </w:rPr>
        <w:t xml:space="preserve"> </w:t>
      </w:r>
      <w:r>
        <w:rPr>
          <w:noProof/>
        </w:rPr>
        <w:t>поради погрешно правно основание, но неговото действие остана в сила до приемането на Регламент (ЕС) № 256/2014.</w:t>
      </w:r>
      <w:r>
        <w:rPr>
          <w:rFonts w:ascii="Lucida Sans Unicode" w:hAnsi="Lucida Sans Unicode"/>
          <w:noProof/>
          <w:color w:val="444444"/>
          <w:sz w:val="19"/>
        </w:rPr>
        <w:t xml:space="preserve"> </w:t>
      </w:r>
    </w:p>
    <w:p>
      <w:pPr>
        <w:ind w:left="850"/>
        <w:rPr>
          <w:rFonts w:eastAsia="Times New Roman"/>
          <w:noProof/>
          <w:szCs w:val="24"/>
        </w:rPr>
      </w:pPr>
      <w:r>
        <w:rPr>
          <w:noProof/>
        </w:rPr>
        <w:lastRenderedPageBreak/>
        <w:t xml:space="preserve">Държавите членки взеха участие в три периода на докладване (2011 г., 2013 г. и 2015 г.), през които бяха в сила задълженията съгласно посочения регламент и предшестващия го Регламент (ЕС, Евратом) № 617/2010 на Съвета. Така че Комисията имаше на разположение достатъчно време, за да може да извърши основан на доказателства критичен анализ относно това дали регламентът е постигнал очакваните резултати. </w:t>
      </w:r>
    </w:p>
    <w:p>
      <w:pPr>
        <w:pStyle w:val="ManualHeading1"/>
        <w:rPr>
          <w:noProof/>
        </w:rPr>
      </w:pPr>
      <w:r>
        <w:rPr>
          <w:noProof/>
        </w:rPr>
        <w:t>2.</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 пригодност и опростяване на законодателството</w:t>
      </w:r>
    </w:p>
    <w:p>
      <w:pPr>
        <w:ind w:left="788"/>
        <w:rPr>
          <w:rFonts w:eastAsia="Times New Roman"/>
          <w:noProof/>
        </w:rPr>
      </w:pPr>
      <w:r>
        <w:rPr>
          <w:noProof/>
        </w:rPr>
        <w:t>Комисията поръча извършването на три външни проучвания след приключването в рамките на посочения регламент и предшестващия го регламент на трите периода на докладване от страна на държавите членки. Предвид направените в тях констатации, през 2016 г. Комисията направи преглед на Регламент (ЕС) № 256/2014 съгласно предвиденото в член 11 от него. Това бе част от една по-голяма проверка за пригодност, обхващаща задълженията във връзка с планирането и докладването в рамките на законодателството в областта на енергетиката. Комисията публикува информация за нея през ноември 2016 г.</w:t>
      </w:r>
      <w:r>
        <w:rPr>
          <w:rStyle w:val="FootnoteReference"/>
          <w:noProof/>
        </w:rPr>
        <w:footnoteReference w:id="6"/>
      </w:r>
      <w:r>
        <w:rPr>
          <w:noProof/>
        </w:rPr>
        <w:t xml:space="preserve"> заедно с предложението си за регламент относно управлението на енергийния съюз</w:t>
      </w:r>
      <w:r>
        <w:rPr>
          <w:rStyle w:val="FootnoteReference"/>
          <w:noProof/>
        </w:rPr>
        <w:footnoteReference w:id="7"/>
      </w:r>
      <w:r>
        <w:rPr>
          <w:noProof/>
        </w:rPr>
        <w:t xml:space="preserve">. </w:t>
      </w:r>
    </w:p>
    <w:p>
      <w:pPr>
        <w:ind w:left="788"/>
        <w:rPr>
          <w:rFonts w:eastAsia="Times New Roman"/>
          <w:noProof/>
        </w:rPr>
      </w:pPr>
      <w:r>
        <w:rPr>
          <w:noProof/>
        </w:rPr>
        <w:t>В резултат от това се достигна до следните заключения:</w:t>
      </w:r>
    </w:p>
    <w:p>
      <w:pPr>
        <w:pStyle w:val="ManualNumPar1"/>
        <w:rPr>
          <w:noProof/>
        </w:rPr>
      </w:pPr>
      <w:r>
        <w:t>1.</w:t>
      </w:r>
      <w:r>
        <w:tab/>
      </w:r>
      <w:r>
        <w:rPr>
          <w:noProof/>
        </w:rPr>
        <w:t>Има значително припокриване между задълженията за докладване съгласно посочения регламент и задълженията за докладване към ЕМОПС за електроенергия</w:t>
      </w:r>
      <w:r>
        <w:rPr>
          <w:rStyle w:val="FootnoteReference"/>
          <w:noProof/>
        </w:rPr>
        <w:footnoteReference w:id="8"/>
      </w:r>
      <w:r>
        <w:rPr>
          <w:noProof/>
        </w:rPr>
        <w:t xml:space="preserve"> и ЕМОПС за газ</w:t>
      </w:r>
      <w:r>
        <w:rPr>
          <w:rStyle w:val="FootnoteReference"/>
          <w:noProof/>
        </w:rPr>
        <w:footnoteReference w:id="9"/>
      </w:r>
      <w:r>
        <w:rPr>
          <w:noProof/>
        </w:rPr>
        <w:t xml:space="preserve">, като задълженията съгласно посочения регламент имат малка или нямат никаква добавена стойност. </w:t>
      </w:r>
    </w:p>
    <w:p>
      <w:pPr>
        <w:pStyle w:val="ManualNumPar1"/>
        <w:rPr>
          <w:noProof/>
        </w:rPr>
      </w:pPr>
      <w:r>
        <w:t>2.</w:t>
      </w:r>
      <w:r>
        <w:tab/>
      </w:r>
      <w:r>
        <w:rPr>
          <w:noProof/>
        </w:rPr>
        <w:t>По-голямата част от информацията, предоставена от държавите членки съгласно посочения регламент, може лесно да се набави от други източници: ЕМОПС (Европейската мрежа на операторите на преносни системи), десетгодишните планове за развитие на мрежата (TYNDP), годишните доклади на операторите на преносни системи и дружества за комунални услуги, националните секторни планове за развитие (например плановете за действие относно възобновяемите източници) и т.н. Освен това Комисията редовно събира пазарна информация чрез своята Система за наблюдение на енергийния пазар (EMOS).</w:t>
      </w:r>
    </w:p>
    <w:p>
      <w:pPr>
        <w:pStyle w:val="ManualNumPar1"/>
        <w:rPr>
          <w:noProof/>
        </w:rPr>
      </w:pPr>
      <w:r>
        <w:t>3.</w:t>
      </w:r>
      <w:r>
        <w:tab/>
      </w:r>
      <w:r>
        <w:rPr>
          <w:noProof/>
        </w:rPr>
        <w:t>Данните, събрани след приключване на трите периода на докладване, обхващаха само около половината от енергийния сектор на ЕС.</w:t>
      </w:r>
    </w:p>
    <w:p>
      <w:pPr>
        <w:pStyle w:val="ManualNumPar1"/>
        <w:rPr>
          <w:noProof/>
        </w:rPr>
      </w:pPr>
      <w:r>
        <w:lastRenderedPageBreak/>
        <w:t>4.</w:t>
      </w:r>
      <w:r>
        <w:tab/>
      </w:r>
      <w:r>
        <w:rPr>
          <w:noProof/>
        </w:rPr>
        <w:t>Присъщите трудности при прилагането на някои от изискванията на регламента, по-специално във връзка с информацията, която трябва да се представя относно бъдещия капацитет, ограничаваха ползите от трите периода на докладване.</w:t>
      </w:r>
    </w:p>
    <w:p>
      <w:pPr>
        <w:ind w:left="851"/>
        <w:rPr>
          <w:noProof/>
        </w:rPr>
      </w:pPr>
      <w:r>
        <w:rPr>
          <w:noProof/>
        </w:rPr>
        <w:t>В резултат на това Комисията стигна до заключението, че Регламент (ЕС) № 256/2014 не е постигал очакваните резултати. Поради това следва да се предложи той да бъде отменен.</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autoSpaceDE w:val="0"/>
        <w:autoSpaceDN w:val="0"/>
        <w:adjustRightInd w:val="0"/>
        <w:ind w:left="851"/>
        <w:rPr>
          <w:noProof/>
        </w:rPr>
      </w:pPr>
      <w:r>
        <w:rPr>
          <w:noProof/>
        </w:rPr>
        <w:t>Като част от подготвителната работа по предложението ѝ за законодателна инициатива относно управлението на енергийния съюз</w:t>
      </w:r>
      <w:r>
        <w:rPr>
          <w:rStyle w:val="FootnoteReference"/>
          <w:noProof/>
        </w:rPr>
        <w:footnoteReference w:id="10"/>
      </w:r>
      <w:r>
        <w:rPr>
          <w:noProof/>
        </w:rPr>
        <w:t xml:space="preserve"> Комисията проведе широка консултация с цел събиране на информация за становищата и приноса на заинтересованите страни, гражданите и държавите членки. По време на консултацията бе поставен въпросът по какъв начин могат да се подобрят съществуващите механизми за планиране и докладване в областта на енергетиката, за да се постигнат целите на енергийния съюз и да се намали административната тежест.</w:t>
      </w:r>
    </w:p>
    <w:p>
      <w:pPr>
        <w:autoSpaceDE w:val="0"/>
        <w:autoSpaceDN w:val="0"/>
        <w:adjustRightInd w:val="0"/>
        <w:ind w:left="851"/>
        <w:rPr>
          <w:noProof/>
        </w:rPr>
      </w:pPr>
      <w:r>
        <w:rPr>
          <w:noProof/>
        </w:rPr>
        <w:t>Обществената консултация започна на 11 януари 2016 г., продължи над 12 седмици и приключи на 22 април 2016 г. Отговорите бяха включени в извършените от Комисията оценка и проверка за пригодност на съществуващите задължения във връзка с планирането и докладването, както и в оценката на въздействието на нейното законодателно предложение относно управлението на енергийния съюз.</w:t>
      </w:r>
    </w:p>
    <w:p>
      <w:pPr>
        <w:autoSpaceDE w:val="0"/>
        <w:autoSpaceDN w:val="0"/>
        <w:adjustRightInd w:val="0"/>
        <w:ind w:left="851"/>
        <w:rPr>
          <w:noProof/>
        </w:rPr>
      </w:pPr>
      <w:r>
        <w:rPr>
          <w:noProof/>
        </w:rPr>
        <w:t>Отговорилите в рамките на консултацията посочиха, че задълженията съгласно Регламент (ЕС) № 256/2014 биха могли да бъдат отменени</w:t>
      </w:r>
      <w:r>
        <w:rPr>
          <w:rStyle w:val="FootnoteReference"/>
          <w:noProof/>
        </w:rPr>
        <w:footnoteReference w:id="11"/>
      </w:r>
      <w:r>
        <w:rPr>
          <w:noProof/>
        </w:rPr>
        <w:t>.</w:t>
      </w:r>
    </w:p>
    <w:p>
      <w:pPr>
        <w:autoSpaceDE w:val="0"/>
        <w:autoSpaceDN w:val="0"/>
        <w:adjustRightInd w:val="0"/>
        <w:rPr>
          <w:noProof/>
        </w:rPr>
      </w:pPr>
    </w:p>
    <w:p>
      <w:pPr>
        <w:pStyle w:val="ManualHeading2"/>
        <w:rPr>
          <w:rFonts w:eastAsia="Arial Unicode MS"/>
          <w:noProof/>
          <w:u w:color="000000"/>
          <w:bdr w:val="nil"/>
        </w:rPr>
      </w:pPr>
      <w:r>
        <w:rPr>
          <w:noProof/>
        </w:rPr>
        <w:t>3.</w:t>
      </w:r>
      <w:r>
        <w:rPr>
          <w:noProof/>
        </w:rPr>
        <w:tab/>
        <w:t>ПРАВНИ ЕЛЕМЕНТИ НА ПРЕДЛОЖЕНИЕТО</w:t>
      </w:r>
    </w:p>
    <w:p>
      <w:pPr>
        <w:ind w:left="850"/>
        <w:rPr>
          <w:rFonts w:eastAsia="Times New Roman"/>
          <w:noProof/>
        </w:rPr>
      </w:pPr>
      <w:r>
        <w:rPr>
          <w:noProof/>
        </w:rPr>
        <w:t>С предложението се отменя Регламент (ЕС) № 256/2014 на Европейския парламент и на Съвета от 26 февруари 2014 г. относно нотифицирането до Комисията на инвестиционните проекти в областта на енергийната инфраструктура в Европейския съюз, за замяна на Регламент (ЕС, Евратом) № 617/2010 и за отмяна на Регламент (ЕО) № 736/96 на Съвета.</w:t>
      </w:r>
    </w:p>
    <w:p>
      <w:pPr>
        <w:ind w:left="850"/>
        <w:rPr>
          <w:rFonts w:eastAsia="Times New Roman"/>
          <w:noProof/>
        </w:rPr>
      </w:pPr>
      <w:r>
        <w:rPr>
          <w:noProof/>
        </w:rPr>
        <w:t>Правното основание за Регламент (ЕС) № 256/2014, а по-специално член 194 от Договора за функционирането на Европейския съюз, е предмет на обикновената законодателна процедура. Поради това Комисията предлага на Европейския парламент и на Съвета посоченият регламент да бъде отменен.</w:t>
      </w:r>
    </w:p>
    <w:p>
      <w:pPr>
        <w:pStyle w:val="ManualHeading1"/>
        <w:rPr>
          <w:noProof/>
        </w:rPr>
      </w:pPr>
      <w:r>
        <w:rPr>
          <w:noProof/>
        </w:rPr>
        <w:lastRenderedPageBreak/>
        <w:t>4.</w:t>
      </w:r>
      <w:r>
        <w:rPr>
          <w:noProof/>
        </w:rPr>
        <w:tab/>
        <w:t xml:space="preserve">ОТРАЖЕНИЕ ВЪРХУ БЮДЖЕТА </w:t>
      </w:r>
    </w:p>
    <w:p>
      <w:pPr>
        <w:autoSpaceDE w:val="0"/>
        <w:autoSpaceDN w:val="0"/>
        <w:adjustRightInd w:val="0"/>
        <w:rPr>
          <w:noProof/>
        </w:rPr>
      </w:pPr>
      <w:r>
        <w:rPr>
          <w:noProof/>
        </w:rPr>
        <w:t>Регламентът има много ограничено отражение върху бюджета, което е свързано с разходите във връзка с информационните технологии, закупуването на данни и възстановяването на разходите на експертите. Не се очаква също така значително пряко отражение върху бюджетите на държавите членки.</w:t>
      </w:r>
    </w:p>
    <w:p>
      <w:pPr>
        <w:autoSpaceDE w:val="0"/>
        <w:autoSpaceDN w:val="0"/>
        <w:adjustRightInd w:val="0"/>
        <w:rPr>
          <w:noProof/>
        </w:rPr>
      </w:pPr>
      <w:r>
        <w:rPr>
          <w:noProof/>
        </w:rPr>
        <w:t>С отмяната на посочения регламент ще се сложи край на свързаните с него ограничени разходи. Това ще спомогне за рационализиране на използването на ресурсите на Комисията и на държавите членки чрез премахване на двойните задължения за докладване и обработка на данни, които са достъпни чрез други източници с по-високо качество.</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2017/0347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за отмяна на Регламент (ЕС) № 256/2014 на Европейския парламент и на Съвета относно нотифицирането до Комисията на инвестиционните проекти в областта на енергийната инфраструктура в Европейския съюз </w:t>
      </w:r>
      <w:r>
        <w:rPr>
          <w:noProof/>
        </w:rPr>
        <w:br/>
      </w:r>
      <w:r>
        <w:rPr>
          <w:noProof/>
        </w:rPr>
        <w:br/>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194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2"/>
      </w:r>
      <w:r>
        <w:rPr>
          <w:noProof/>
        </w:rPr>
        <w:t>,</w:t>
      </w:r>
    </w:p>
    <w:p>
      <w:pPr>
        <w:rPr>
          <w:noProof/>
        </w:rPr>
      </w:pPr>
      <w:r>
        <w:rPr>
          <w:noProof/>
        </w:rPr>
        <w:t>като взеха предвид становището на Комитета на регионите</w:t>
      </w:r>
      <w:r>
        <w:rPr>
          <w:rStyle w:val="FootnoteReference"/>
          <w:noProof/>
        </w:rPr>
        <w:footnoteReference w:id="13"/>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Европейският парламент, Съветът на Европейския съюз и Европейската комисия потвърдиха съвместния си ангажимент за актуализиране и опростяване на законодателството в Междуинституционалното споразумение за по-добро законотворчество от 13 април 2016 г</w:t>
      </w:r>
      <w:r>
        <w:rPr>
          <w:rStyle w:val="FootnoteReference"/>
          <w:noProof/>
        </w:rPr>
        <w:footnoteReference w:id="14"/>
      </w:r>
      <w:r>
        <w:rPr>
          <w:noProof/>
        </w:rPr>
        <w:t>.</w:t>
      </w:r>
    </w:p>
    <w:p>
      <w:pPr>
        <w:pStyle w:val="ManualConsidrant"/>
        <w:rPr>
          <w:noProof/>
        </w:rPr>
      </w:pPr>
      <w:r>
        <w:t>(2)</w:t>
      </w:r>
      <w:r>
        <w:tab/>
      </w:r>
      <w:r>
        <w:rPr>
          <w:noProof/>
        </w:rPr>
        <w:t>С цел актуализиране и намаляване на обема на законодателството е необходимо да се определят законовите актове, които са остарели или вече не са адекватни на поставените цели. Отмяната на такива законодателни актове прави законодателната рамка прозрачна, ясна и лесна за прилагане.</w:t>
      </w:r>
    </w:p>
    <w:p>
      <w:pPr>
        <w:pStyle w:val="ManualConsidrant"/>
        <w:rPr>
          <w:noProof/>
        </w:rPr>
      </w:pPr>
      <w:r>
        <w:t>(3)</w:t>
      </w:r>
      <w:r>
        <w:tab/>
      </w:r>
      <w:r>
        <w:rPr>
          <w:noProof/>
        </w:rPr>
        <w:t>С Регламент (ЕС) № 256/2014 на Европейския парламент и на Съвета</w:t>
      </w:r>
      <w:r>
        <w:rPr>
          <w:rStyle w:val="FootnoteReference"/>
          <w:noProof/>
        </w:rPr>
        <w:footnoteReference w:id="15"/>
      </w:r>
      <w:r>
        <w:rPr>
          <w:noProof/>
        </w:rPr>
        <w:t xml:space="preserve"> от държавите членки се изисква да нотифицират Комисията относно инвестиционните проекти, по които са започнали дейности по изграждане или извеждане от експлоатация, или за които е взето окончателно инвестиционно решение. </w:t>
      </w:r>
    </w:p>
    <w:p>
      <w:pPr>
        <w:pStyle w:val="ManualConsidrant"/>
        <w:rPr>
          <w:noProof/>
        </w:rPr>
      </w:pPr>
      <w:r>
        <w:t>(4)</w:t>
      </w:r>
      <w:r>
        <w:tab/>
      </w:r>
      <w:r>
        <w:rPr>
          <w:noProof/>
        </w:rPr>
        <w:t xml:space="preserve">Задълженията съгласно Регламент (ЕС) № 256/2014 относно нотифицирането на инвестиционни проекти и на свързани с тях определена информация и данни </w:t>
      </w:r>
      <w:r>
        <w:rPr>
          <w:noProof/>
        </w:rPr>
        <w:lastRenderedPageBreak/>
        <w:t>вече съществуваха по силата на Регламент (ЕС, Евратом) № 617/2010 на Съвета</w:t>
      </w:r>
      <w:r>
        <w:rPr>
          <w:rStyle w:val="FootnoteReference"/>
          <w:noProof/>
        </w:rPr>
        <w:footnoteReference w:id="16"/>
      </w:r>
      <w:r>
        <w:rPr>
          <w:noProof/>
        </w:rPr>
        <w:t>. Съдът на Европейския съюз отмени Регламент (ЕС, Евратом) № 617/2010</w:t>
      </w:r>
      <w:r>
        <w:rPr>
          <w:rStyle w:val="FootnoteReference"/>
          <w:noProof/>
        </w:rPr>
        <w:footnoteReference w:id="17"/>
      </w:r>
      <w:r>
        <w:rPr>
          <w:noProof/>
        </w:rPr>
        <w:t xml:space="preserve"> поради това, че в него не е посочено правилното правно основание, но неговото действие остана в сила до приемането на Регламент (ЕС) № 256/2014. </w:t>
      </w:r>
    </w:p>
    <w:p>
      <w:pPr>
        <w:pStyle w:val="ManualConsidrant"/>
        <w:rPr>
          <w:noProof/>
        </w:rPr>
      </w:pPr>
      <w:r>
        <w:t>(5)</w:t>
      </w:r>
      <w:r>
        <w:tab/>
      </w:r>
      <w:r>
        <w:rPr>
          <w:noProof/>
        </w:rPr>
        <w:t>Целта на предходната законодателна рамка бе на Комисията да се предоставят данни и информация относно планирани промени в мощностите за производство, пренос и съхранение, както и относно проектите в различните сектори на енергетиката. Тя имаше за цел на Комисията да се предостави цялостна картина на развитието на инвестициите в областта на енергийната инфраструктура в Съюза.</w:t>
      </w:r>
    </w:p>
    <w:p>
      <w:pPr>
        <w:pStyle w:val="ManualConsidrant"/>
        <w:rPr>
          <w:noProof/>
        </w:rPr>
      </w:pPr>
      <w:r>
        <w:t>(6)</w:t>
      </w:r>
      <w:r>
        <w:tab/>
      </w:r>
      <w:r>
        <w:rPr>
          <w:noProof/>
        </w:rPr>
        <w:t xml:space="preserve">От вменяването на задълженията съгласно Регламент (ЕС) № 256/2014 и Регламент (ЕС, Евратом) № 617/2010 на Съвета изминаха три периода на докладване (през 2011 г., 2013 г. и 2015 г.). Комисията също така поръча извършването на три външни проучвания след приключването в рамките на Регламент (ЕС) № 256/2014 на трите периода на докладване от страна на държавите членки. Следователно Комисията имаше на разположение достатъчно време и натрупа достатъчно опит, за да може да извърши основан на доказателства критичен анализ относно това дали регламентът е постигнал очакваните резултати. </w:t>
      </w:r>
    </w:p>
    <w:p>
      <w:pPr>
        <w:pStyle w:val="ManualConsidrant"/>
        <w:rPr>
          <w:noProof/>
        </w:rPr>
      </w:pPr>
      <w:r>
        <w:t>(7)</w:t>
      </w:r>
      <w:r>
        <w:tab/>
      </w:r>
      <w:r>
        <w:rPr>
          <w:noProof/>
        </w:rPr>
        <w:t>През 2016 г. Комисията извърши прегледа, предвиден в член 11 от Регламент (ЕС) № 256/2014, включително проведе консултация със заинтересованите страни, която обхващаше всички задължения във връзка с планирането и докладването в енергийния сектор. Комисията стигна до заключението, че е налице значително припокриване между задълженията за докладване съгласно Регламент (ЕС) № 256/2014 и задълженията за докладване на операторите на енергийните преносни системи ЕМОПС за електроенергия и ЕМОПС за газ. Също така стана ясно, че качеството и целесъобразността на получаваните информация и данни често не са на достатъчно добро равнище и че тази информация и данни са на разположение на Комисията чрез други източници, като например ЕМОПС (Европейската мрежа на операторите на преносни системи), десетгодишните планове за развитие на мрежата (TYNDP), годишните доклади на операторите на преносни системи и дружества за комунални услуги, националните планове за развитие и т.н. Освен това бе отбелязано, че Комисията има пряк достъп до данните за пазара чрез своята Система за наблюдение на енергийния пазар (EMOS).</w:t>
      </w:r>
    </w:p>
    <w:p>
      <w:pPr>
        <w:pStyle w:val="ManualConsidrant"/>
        <w:rPr>
          <w:noProof/>
        </w:rPr>
      </w:pPr>
      <w:r>
        <w:t>(8)</w:t>
      </w:r>
      <w:r>
        <w:tab/>
      </w:r>
      <w:r>
        <w:rPr>
          <w:noProof/>
        </w:rPr>
        <w:t>Така че Регламент (ЕС) № 256/2014 не е постигнал очакваните резултати по отношение на количеството, качеството и целесъобразността на получаваните от Комисията данни и информация.</w:t>
      </w:r>
    </w:p>
    <w:p>
      <w:pPr>
        <w:pStyle w:val="ManualConsidrant"/>
        <w:rPr>
          <w:noProof/>
        </w:rPr>
      </w:pPr>
      <w:r>
        <w:t>(9)</w:t>
      </w:r>
      <w:r>
        <w:tab/>
      </w:r>
      <w:r>
        <w:rPr>
          <w:noProof/>
        </w:rPr>
        <w:t>Поради това Регламент (EС) № 256/2014 следва да бъде отменен,</w:t>
      </w:r>
    </w:p>
    <w:p>
      <w:pPr>
        <w:pStyle w:val="Formuledadoption"/>
        <w:rPr>
          <w:noProof/>
        </w:rPr>
      </w:pPr>
      <w:r>
        <w:rPr>
          <w:noProof/>
        </w:rPr>
        <w:lastRenderedPageBreak/>
        <w:t>ПРИЕХА НАСТОЯЩИЯ РЕГЛАМЕНТ:</w:t>
      </w:r>
    </w:p>
    <w:p>
      <w:pPr>
        <w:pStyle w:val="Titrearticle"/>
        <w:rPr>
          <w:noProof/>
        </w:rPr>
      </w:pPr>
      <w:r>
        <w:rPr>
          <w:noProof/>
        </w:rPr>
        <w:t>Член 1</w:t>
      </w:r>
    </w:p>
    <w:p>
      <w:pPr>
        <w:rPr>
          <w:noProof/>
        </w:rPr>
      </w:pPr>
      <w:r>
        <w:rPr>
          <w:noProof/>
        </w:rPr>
        <w:t>Регламент (ЕС) № 256/2014 се отменя.</w:t>
      </w:r>
    </w:p>
    <w:p>
      <w:pPr>
        <w:rPr>
          <w:noProof/>
        </w:rPr>
      </w:pP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 xml:space="preserve">. </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rStyle w:val="Strong"/>
          <w:b w:val="0"/>
        </w:rPr>
        <w:t>Междуинституционално споразумение между Европейския парламент, Съвета на Европейския съюз и Европейската комисия за по-добро законотворчество</w:t>
      </w:r>
      <w:r>
        <w:rPr>
          <w:rStyle w:val="Strong"/>
        </w:rPr>
        <w:t xml:space="preserve"> </w:t>
      </w:r>
      <w:r>
        <w:rPr>
          <w:rStyle w:val="Hyperlink"/>
          <w:color w:val="auto"/>
        </w:rPr>
        <w:t>(OВ L 123, 12.5.2016 г., стр. 1—14).</w:t>
      </w:r>
    </w:p>
  </w:footnote>
  <w:footnote w:id="3">
    <w:p>
      <w:pPr>
        <w:pStyle w:val="FootnoteText"/>
      </w:pPr>
      <w:r>
        <w:rPr>
          <w:rStyle w:val="FootnoteReference"/>
        </w:rPr>
        <w:footnoteRef/>
      </w:r>
      <w:r>
        <w:tab/>
      </w:r>
      <w:r>
        <w:rPr>
          <w:rStyle w:val="Strong"/>
          <w:b w:val="0"/>
        </w:rPr>
        <w:t>ОВ L 302, 22.10.2014 г., стр. 26.</w:t>
      </w:r>
    </w:p>
  </w:footnote>
  <w:footnote w:id="4">
    <w:p>
      <w:pPr>
        <w:pStyle w:val="FootnoteText"/>
      </w:pPr>
      <w:r>
        <w:rPr>
          <w:rStyle w:val="FootnoteReference"/>
        </w:rPr>
        <w:footnoteRef/>
      </w:r>
      <w:r>
        <w:tab/>
      </w:r>
      <w:hyperlink r:id="rId1">
        <w:r>
          <w:rPr>
            <w:rStyle w:val="Hyperlink"/>
            <w:color w:val="auto"/>
            <w:u w:val="none"/>
          </w:rPr>
          <w:t>ОВ L 180, 15.7.2010 г., стр. 7.</w:t>
        </w:r>
      </w:hyperlink>
    </w:p>
  </w:footnote>
  <w:footnote w:id="5">
    <w:p>
      <w:pPr>
        <w:pStyle w:val="FootnoteText"/>
      </w:pPr>
      <w:r>
        <w:rPr>
          <w:rStyle w:val="FootnoteReference"/>
        </w:rPr>
        <w:footnoteRef/>
      </w:r>
      <w:r>
        <w:tab/>
        <w:t>Решение на Съда на Европейския съюз от 6 септември 2012 г. по дело C-490/10, Парламент/Съвет (Сборник 2012 г., стр. I-0000).</w:t>
      </w:r>
    </w:p>
  </w:footnote>
  <w:footnote w:id="6">
    <w:p>
      <w:pPr>
        <w:pStyle w:val="FootnoteText"/>
        <w:jc w:val="left"/>
      </w:pPr>
      <w:r>
        <w:rPr>
          <w:rStyle w:val="FootnoteReference"/>
        </w:rPr>
        <w:footnoteRef/>
      </w:r>
      <w:r>
        <w:tab/>
        <w:t xml:space="preserve">Работен документ на службите на Комисията SWD (2016) 396 final. </w:t>
      </w:r>
      <w:hyperlink r:id="rId2">
        <w:r>
          <w:rPr>
            <w:rStyle w:val="Hyperlink"/>
            <w:color w:val="auto"/>
          </w:rPr>
          <w:t>http://ec.europa.eu/energy/sites/ener/files/documents/1_en_autre_document_travail_service_part1_v4.pdf</w:t>
        </w:r>
      </w:hyperlink>
      <w:r>
        <w:t>.</w:t>
      </w:r>
    </w:p>
  </w:footnote>
  <w:footnote w:id="7">
    <w:p>
      <w:pPr>
        <w:pStyle w:val="FootnoteText"/>
      </w:pPr>
      <w:r>
        <w:rPr>
          <w:rStyle w:val="FootnoteReference"/>
        </w:rPr>
        <w:footnoteRef/>
      </w:r>
      <w:r>
        <w:tab/>
        <w:t>COM/2016/0759 окончателен/2 — 2016/0375 (COD).</w:t>
      </w:r>
      <w:r>
        <w:rPr>
          <w:rFonts w:ascii="Lucida Sans Unicode" w:hAnsi="Lucida Sans Unicode"/>
          <w:sz w:val="19"/>
        </w:rPr>
        <w:t xml:space="preserve"> </w:t>
      </w:r>
      <w:r>
        <w:t xml:space="preserve">Предложение за регламент на Европейския парламент и на Съвета относно управлението на Енергийния съюз, за изменение на Директива 94/22/ЕО, Директива 98/70/ЕО, Директива 2009/31/ЕО, Регламент (ЕО) № 663/2009, Регламент (ЕО) № 715/2009, Директива 2009/73/ЕО, Директива 2009/119/ЕО на Съвета, Директива 2010/31/ЕС, Директива 2012/27/ЕС, Директива 2013/30/ЕС и Директива (ЕС) 2015/652 на Съвета и за отмяна на Регламент (ЕС) № 525/2013. </w:t>
      </w:r>
    </w:p>
  </w:footnote>
  <w:footnote w:id="8">
    <w:p>
      <w:pPr>
        <w:pStyle w:val="FootnoteText"/>
      </w:pPr>
      <w:r>
        <w:rPr>
          <w:rStyle w:val="FootnoteReference"/>
        </w:rPr>
        <w:footnoteRef/>
      </w:r>
      <w:r>
        <w:tab/>
        <w:t>Европейска мрежа на операторите на преносни системи за електроенергия.</w:t>
      </w:r>
    </w:p>
  </w:footnote>
  <w:footnote w:id="9">
    <w:p>
      <w:pPr>
        <w:pStyle w:val="FootnoteText"/>
      </w:pPr>
      <w:r>
        <w:rPr>
          <w:rStyle w:val="FootnoteReference"/>
        </w:rPr>
        <w:footnoteRef/>
      </w:r>
      <w:r>
        <w:tab/>
        <w:t>Европейска мрежа на операторите на преносни системи за газ.</w:t>
      </w:r>
    </w:p>
  </w:footnote>
  <w:footnote w:id="10">
    <w:p>
      <w:pPr>
        <w:pStyle w:val="FootnoteText"/>
      </w:pPr>
      <w:r>
        <w:rPr>
          <w:rStyle w:val="FootnoteReference"/>
        </w:rPr>
        <w:footnoteRef/>
      </w:r>
      <w:r>
        <w:tab/>
        <w:t>COM/2016/0759 окончателен/2 — 2016/0375 (COD).</w:t>
      </w:r>
      <w:r>
        <w:rPr>
          <w:rFonts w:ascii="Lucida Sans Unicode" w:hAnsi="Lucida Sans Unicode"/>
          <w:sz w:val="19"/>
        </w:rPr>
        <w:t xml:space="preserve"> </w:t>
      </w:r>
      <w:r>
        <w:t xml:space="preserve">Предложение за регламент на Европейския парламент и на Съвета относно управлението на Енергийния съюз, за изменение на Директива 94/22/ЕО, Директива 98/70/ЕО, Директива 2009/31/ЕО, Регламент (ЕО) № 663/2009, Регламент (ЕО) № 715/2009, Директива 2009/73/ЕО, Директива 2009/119/ЕО на Съвета, Директива 2010/31/ЕС, Директива 2012/27/ЕС, Директива 2013/30/ЕС и Директива (ЕС) 2015/652 на Съвета и за отмяна на Регламент (ЕС) № 525/2013. </w:t>
      </w:r>
    </w:p>
  </w:footnote>
  <w:footnote w:id="11">
    <w:p>
      <w:pPr>
        <w:pStyle w:val="FootnoteText"/>
      </w:pPr>
      <w:r>
        <w:rPr>
          <w:rStyle w:val="FootnoteReference"/>
        </w:rPr>
        <w:footnoteRef/>
      </w:r>
      <w:r>
        <w:tab/>
        <w:t>Вж. пак там SWD (2016) 396 final, стр. 118.</w:t>
      </w:r>
    </w:p>
  </w:footnote>
  <w:footnote w:id="12">
    <w:p>
      <w:pPr>
        <w:pStyle w:val="FootnoteText"/>
      </w:pPr>
      <w:r>
        <w:rPr>
          <w:rStyle w:val="FootnoteReference"/>
        </w:rPr>
        <w:footnoteRef/>
      </w:r>
      <w:r>
        <w:tab/>
        <w:t>ОВ C […], […] г., стр. […].</w:t>
      </w:r>
    </w:p>
  </w:footnote>
  <w:footnote w:id="13">
    <w:p>
      <w:pPr>
        <w:pStyle w:val="FootnoteText"/>
      </w:pPr>
      <w:r>
        <w:rPr>
          <w:rStyle w:val="FootnoteReference"/>
        </w:rPr>
        <w:footnoteRef/>
      </w:r>
      <w:r>
        <w:tab/>
        <w:t>ОВ C […], […] г., стр. […].</w:t>
      </w:r>
    </w:p>
  </w:footnote>
  <w:footnote w:id="14">
    <w:p>
      <w:pPr>
        <w:pStyle w:val="FootnoteText"/>
      </w:pPr>
      <w:r>
        <w:rPr>
          <w:rStyle w:val="FootnoteReference"/>
        </w:rPr>
        <w:footnoteRef/>
      </w:r>
      <w:r>
        <w:tab/>
        <w:t>ОВ L 123, 12.5.2016 г., стр. 1.</w:t>
      </w:r>
    </w:p>
  </w:footnote>
  <w:footnote w:id="15">
    <w:p>
      <w:pPr>
        <w:pStyle w:val="FootnoteText"/>
      </w:pPr>
      <w:r>
        <w:rPr>
          <w:rStyle w:val="FootnoteReference"/>
        </w:rPr>
        <w:footnoteRef/>
      </w:r>
      <w:r>
        <w:tab/>
        <w:t>Регламент (ЕС) № 256/2014 на Европейския парламент и на Съвета от 26 февруари 2014 г. относно нотифицирането до Комисията на инвестиционните проекти в областта на енергийната инфраструктура в Европейския съюз, за замяна на Регламент (ЕС, Евратом) № 617/2010 и за отмяна на Регламент (ЕО) № 736/96 на Съвета (ОВ L 84, 20.3.2014 г., стр. 61).</w:t>
      </w:r>
    </w:p>
  </w:footnote>
  <w:footnote w:id="16">
    <w:p>
      <w:pPr>
        <w:pStyle w:val="FootnoteText"/>
      </w:pPr>
      <w:r>
        <w:rPr>
          <w:rStyle w:val="FootnoteReference"/>
        </w:rPr>
        <w:footnoteRef/>
      </w:r>
      <w:r>
        <w:tab/>
        <w:t>Регламент (ЕС, Евратом) № 617/2010 на Съвета от 24 юни 2010 г. относно съобщаването на Комисията на инвестиционни проекти за енергийна инфраструктура в Европейския съюз, както и за отмяна на Регламент (ЕО) № 736/96 (</w:t>
      </w:r>
      <w:hyperlink r:id="rId3">
        <w:r>
          <w:rPr>
            <w:rStyle w:val="Hyperlink"/>
            <w:color w:val="auto"/>
            <w:u w:val="none"/>
          </w:rPr>
          <w:t>ОВ L 180, 15.7.2010 г., стр. 7</w:t>
        </w:r>
      </w:hyperlink>
      <w:r>
        <w:rPr>
          <w:rStyle w:val="Hyperlink"/>
          <w:color w:val="auto"/>
          <w:u w:val="none"/>
        </w:rPr>
        <w:t>).</w:t>
      </w:r>
    </w:p>
  </w:footnote>
  <w:footnote w:id="17">
    <w:p>
      <w:pPr>
        <w:pStyle w:val="FootnoteText"/>
      </w:pPr>
      <w:r>
        <w:rPr>
          <w:rStyle w:val="FootnoteReference"/>
        </w:rPr>
        <w:footnoteRef/>
      </w:r>
      <w:r>
        <w:tab/>
        <w:t>Решение на Съда на Европейския съюз от 6 септември 2012 г. по дело C-490/10, Парламент/Съвет (ECLI:EU:C:2012:525).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5078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6681B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8BEA2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2AFA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8AEAF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F9030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064E98E"/>
    <w:lvl w:ilvl="0">
      <w:start w:val="1"/>
      <w:numFmt w:val="decimal"/>
      <w:pStyle w:val="ListNumber"/>
      <w:lvlText w:val="%1."/>
      <w:lvlJc w:val="left"/>
      <w:pPr>
        <w:tabs>
          <w:tab w:val="num" w:pos="360"/>
        </w:tabs>
        <w:ind w:left="360" w:hanging="360"/>
      </w:pPr>
    </w:lvl>
  </w:abstractNum>
  <w:abstractNum w:abstractNumId="7">
    <w:nsid w:val="FFFFFF89"/>
    <w:multiLevelType w:val="singleLevel"/>
    <w:tmpl w:val="933273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8 16:17:4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8D34581-CBF6-4450-A602-4D15F73A6CAF"/>
    <w:docVar w:name="LW_COVERPAGE_TYPE" w:val="1"/>
    <w:docVar w:name="LW_CROSSREFERENCE" w:val="&lt;UNUSED&gt;"/>
    <w:docVar w:name="LW_DocType" w:val="COM"/>
    <w:docVar w:name="LW_EMISSION" w:val="19.12.2017"/>
    <w:docVar w:name="LW_EMISSION_ISODATE" w:val="2017-12-1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47"/>
    <w:docVar w:name="LW_REF.II.NEW.CP_YEAR" w:val="2017"/>
    <w:docVar w:name="LW_REF.INST.NEW" w:val="COM"/>
    <w:docVar w:name="LW_REF.INST.NEW_ADOPTED" w:val="final"/>
    <w:docVar w:name="LW_REF.INST.NEW_TEXT" w:val="(2017) 7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6?\u1090?\u1084?\u1103?\u1085?\u1072? \u1085?\u1072? \u1056?\u1077?\u1075?\u1083?\u1072?\u1084?\u1077?\u1085?\u1090? (\u1045?\u1057?) \u8470? 256/2014 \u1085?\u1072? \u1045?\u1074?\u1088?\u1086?\u1087?\u1077?\u1081?\u1089?\u1082?\u1080?\u1103? \u1087?\u1072?\u1088?\u1083?\u1072?\u1084?\u1077?\u1085?\u1090? \u1080? \u1085?\u1072? \u1057?\u1098?\u1074?\u1077?\u1090?\u1072? \u1086?\u1090?\u1085?\u1086?\u1089?\u1085?\u1086? \u1085?\u1086?\u1090?\u1080?\u1092?\u1080?\u1094?\u1080?\u1088?\u1072?\u1085?\u1077?\u1090?\u1086? \u1076?\u1086? \u1050?\u1086?\u1084?\u1080?\u1089?\u1080?\u1103?\u1090?\u1072? \u1085?\u1072? \u1080?\u1085?\u1074?\u1077?\u1089?\u1090?\u1080?\u1094?\u1080?\u1086?\u1085?\u1085?\u1080?\u1090?\u1077? \u1087?\u1088?\u1086?\u1077?\u1082?\u1090?\u1080? \u1074? \u1086?\u1073?\u1083?\u1072?\u1089?\u1090?\u1090?\u1072? \u1085?\u1072? \u1077?\u1085?\u1077?\u1088?\u1075?\u1080?\u1081?\u1085?\u1072?\u1090?\u1072? \u1080?\u1085?\u1092?\u1088?\u1072?\u1089?\u1090?\u1088?\u1091?\u1082?\u1090?\u1091?\u1088?\u1072? \u1074? \u1045?\u1074?\u1088?\u1086?\u1087?\u1077?\u1081?\u1089?\u1082?\u1080?\u1103? \u1089?\u1098?\u1102?\u1079? _x000b_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
    <w:name w:val="Footnote"/>
    <w:basedOn w:val="Default"/>
    <w:rPr>
      <w:color w:val="auto"/>
      <w:sz w:val="20"/>
      <w:szCs w:val="20"/>
    </w:rPr>
  </w:style>
  <w:style w:type="character" w:styleId="Strong">
    <w:name w:val="Strong"/>
    <w:basedOn w:val="DefaultParagraphFont"/>
    <w:uiPriority w:val="22"/>
    <w:qFormat/>
    <w:rPr>
      <w:b/>
      <w:bCs/>
    </w:rPr>
  </w:style>
  <w:style w:type="paragraph" w:customStyle="1" w:styleId="doc-ti2">
    <w:name w:val="doc-ti2"/>
    <w:basedOn w:val="Normal"/>
    <w:pPr>
      <w:spacing w:before="240" w:line="312" w:lineRule="atLeast"/>
      <w:jc w:val="center"/>
    </w:pPr>
    <w:rPr>
      <w:rFonts w:eastAsia="Times New Roman"/>
      <w:b/>
      <w:bCs/>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
    <w:name w:val="Footnote"/>
    <w:basedOn w:val="Default"/>
    <w:rPr>
      <w:color w:val="auto"/>
      <w:sz w:val="20"/>
      <w:szCs w:val="20"/>
    </w:rPr>
  </w:style>
  <w:style w:type="character" w:styleId="Strong">
    <w:name w:val="Strong"/>
    <w:basedOn w:val="DefaultParagraphFont"/>
    <w:uiPriority w:val="22"/>
    <w:qFormat/>
    <w:rPr>
      <w:b/>
      <w:bCs/>
    </w:rPr>
  </w:style>
  <w:style w:type="paragraph" w:customStyle="1" w:styleId="doc-ti2">
    <w:name w:val="doc-ti2"/>
    <w:basedOn w:val="Normal"/>
    <w:pPr>
      <w:spacing w:before="240" w:line="312" w:lineRule="atLeast"/>
      <w:jc w:val="center"/>
    </w:pPr>
    <w:rPr>
      <w:rFonts w:eastAsia="Times New Roman"/>
      <w:b/>
      <w:bCs/>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932031">
      <w:bodyDiv w:val="1"/>
      <w:marLeft w:val="0"/>
      <w:marRight w:val="0"/>
      <w:marTop w:val="0"/>
      <w:marBottom w:val="0"/>
      <w:divBdr>
        <w:top w:val="none" w:sz="0" w:space="0" w:color="auto"/>
        <w:left w:val="none" w:sz="0" w:space="0" w:color="auto"/>
        <w:bottom w:val="none" w:sz="0" w:space="0" w:color="auto"/>
        <w:right w:val="none" w:sz="0" w:space="0" w:color="auto"/>
      </w:divBdr>
      <w:divsChild>
        <w:div w:id="1797749863">
          <w:marLeft w:val="0"/>
          <w:marRight w:val="0"/>
          <w:marTop w:val="0"/>
          <w:marBottom w:val="0"/>
          <w:divBdr>
            <w:top w:val="none" w:sz="0" w:space="0" w:color="auto"/>
            <w:left w:val="none" w:sz="0" w:space="0" w:color="auto"/>
            <w:bottom w:val="none" w:sz="0" w:space="0" w:color="auto"/>
            <w:right w:val="none" w:sz="0" w:space="0" w:color="auto"/>
          </w:divBdr>
          <w:divsChild>
            <w:div w:id="284704445">
              <w:marLeft w:val="0"/>
              <w:marRight w:val="0"/>
              <w:marTop w:val="0"/>
              <w:marBottom w:val="0"/>
              <w:divBdr>
                <w:top w:val="none" w:sz="0" w:space="0" w:color="auto"/>
                <w:left w:val="none" w:sz="0" w:space="0" w:color="auto"/>
                <w:bottom w:val="none" w:sz="0" w:space="0" w:color="auto"/>
                <w:right w:val="none" w:sz="0" w:space="0" w:color="auto"/>
              </w:divBdr>
              <w:divsChild>
                <w:div w:id="36316893">
                  <w:marLeft w:val="0"/>
                  <w:marRight w:val="0"/>
                  <w:marTop w:val="0"/>
                  <w:marBottom w:val="0"/>
                  <w:divBdr>
                    <w:top w:val="none" w:sz="0" w:space="0" w:color="auto"/>
                    <w:left w:val="none" w:sz="0" w:space="0" w:color="auto"/>
                    <w:bottom w:val="none" w:sz="0" w:space="0" w:color="auto"/>
                    <w:right w:val="none" w:sz="0" w:space="0" w:color="auto"/>
                  </w:divBdr>
                  <w:divsChild>
                    <w:div w:id="2008820015">
                      <w:marLeft w:val="1"/>
                      <w:marRight w:val="1"/>
                      <w:marTop w:val="0"/>
                      <w:marBottom w:val="0"/>
                      <w:divBdr>
                        <w:top w:val="none" w:sz="0" w:space="0" w:color="auto"/>
                        <w:left w:val="none" w:sz="0" w:space="0" w:color="auto"/>
                        <w:bottom w:val="none" w:sz="0" w:space="0" w:color="auto"/>
                        <w:right w:val="none" w:sz="0" w:space="0" w:color="auto"/>
                      </w:divBdr>
                      <w:divsChild>
                        <w:div w:id="864171505">
                          <w:marLeft w:val="0"/>
                          <w:marRight w:val="0"/>
                          <w:marTop w:val="0"/>
                          <w:marBottom w:val="0"/>
                          <w:divBdr>
                            <w:top w:val="none" w:sz="0" w:space="0" w:color="auto"/>
                            <w:left w:val="none" w:sz="0" w:space="0" w:color="auto"/>
                            <w:bottom w:val="none" w:sz="0" w:space="0" w:color="auto"/>
                            <w:right w:val="none" w:sz="0" w:space="0" w:color="auto"/>
                          </w:divBdr>
                          <w:divsChild>
                            <w:div w:id="909921040">
                              <w:marLeft w:val="0"/>
                              <w:marRight w:val="0"/>
                              <w:marTop w:val="0"/>
                              <w:marBottom w:val="360"/>
                              <w:divBdr>
                                <w:top w:val="none" w:sz="0" w:space="0" w:color="auto"/>
                                <w:left w:val="none" w:sz="0" w:space="0" w:color="auto"/>
                                <w:bottom w:val="none" w:sz="0" w:space="0" w:color="auto"/>
                                <w:right w:val="none" w:sz="0" w:space="0" w:color="auto"/>
                              </w:divBdr>
                              <w:divsChild>
                                <w:div w:id="903683626">
                                  <w:marLeft w:val="0"/>
                                  <w:marRight w:val="0"/>
                                  <w:marTop w:val="0"/>
                                  <w:marBottom w:val="0"/>
                                  <w:divBdr>
                                    <w:top w:val="none" w:sz="0" w:space="0" w:color="auto"/>
                                    <w:left w:val="none" w:sz="0" w:space="0" w:color="auto"/>
                                    <w:bottom w:val="none" w:sz="0" w:space="0" w:color="auto"/>
                                    <w:right w:val="none" w:sz="0" w:space="0" w:color="auto"/>
                                  </w:divBdr>
                                  <w:divsChild>
                                    <w:div w:id="461922125">
                                      <w:marLeft w:val="0"/>
                                      <w:marRight w:val="0"/>
                                      <w:marTop w:val="0"/>
                                      <w:marBottom w:val="0"/>
                                      <w:divBdr>
                                        <w:top w:val="none" w:sz="0" w:space="0" w:color="auto"/>
                                        <w:left w:val="none" w:sz="0" w:space="0" w:color="auto"/>
                                        <w:bottom w:val="none" w:sz="0" w:space="0" w:color="auto"/>
                                        <w:right w:val="none" w:sz="0" w:space="0" w:color="auto"/>
                                      </w:divBdr>
                                      <w:divsChild>
                                        <w:div w:id="1164584403">
                                          <w:marLeft w:val="0"/>
                                          <w:marRight w:val="0"/>
                                          <w:marTop w:val="0"/>
                                          <w:marBottom w:val="0"/>
                                          <w:divBdr>
                                            <w:top w:val="none" w:sz="0" w:space="0" w:color="auto"/>
                                            <w:left w:val="none" w:sz="0" w:space="0" w:color="auto"/>
                                            <w:bottom w:val="none" w:sz="0" w:space="0" w:color="auto"/>
                                            <w:right w:val="none" w:sz="0" w:space="0" w:color="auto"/>
                                          </w:divBdr>
                                          <w:divsChild>
                                            <w:div w:id="1663463957">
                                              <w:marLeft w:val="0"/>
                                              <w:marRight w:val="0"/>
                                              <w:marTop w:val="0"/>
                                              <w:marBottom w:val="0"/>
                                              <w:divBdr>
                                                <w:top w:val="none" w:sz="0" w:space="0" w:color="auto"/>
                                                <w:left w:val="none" w:sz="0" w:space="0" w:color="auto"/>
                                                <w:bottom w:val="none" w:sz="0" w:space="0" w:color="auto"/>
                                                <w:right w:val="none" w:sz="0" w:space="0" w:color="auto"/>
                                              </w:divBdr>
                                              <w:divsChild>
                                                <w:div w:id="7582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48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BG/AUTO/?uri=OJ:L:2010:180:TOC" TargetMode="External"/><Relationship Id="rId2" Type="http://schemas.openxmlformats.org/officeDocument/2006/relationships/hyperlink" Target="http://ec.europa.eu/energy/sites/ener/files/documents/1_en_autre_document_travail_service_part1_v4.pdf" TargetMode="External"/><Relationship Id="rId1" Type="http://schemas.openxmlformats.org/officeDocument/2006/relationships/hyperlink" Target="http://eur-lex.europa.eu/legal-content/EN/AUTO/?uri=OJ:L:2010:180: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C4432-6972-480B-B670-AB8D86F8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1802</Words>
  <Characters>10636</Characters>
  <Application>Microsoft Office Word</Application>
  <DocSecurity>0</DocSecurity>
  <Lines>208</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2017-10-05T12:15:00Z</cp:lastPrinted>
  <dcterms:created xsi:type="dcterms:W3CDTF">2017-12-01T13:46:00Z</dcterms:created>
  <dcterms:modified xsi:type="dcterms:W3CDTF">2017-12-18T15:17:00Z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Green (DQC version 03)</vt:lpwstr>
  </property>
</Properties>
</file>