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194B55A-4034-4FD4-9A47-50A84F789DB2"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1"/>
      </w:r>
      <w:r>
        <w:rPr>
          <w:iCs/>
          <w:noProof/>
        </w:rPr>
        <w:t xml:space="preserve"> and pursuant to the Treaty, the Commission is responsible, on behalf of the Union, for negotiating international agreements with third countries for the exchange of personal data with Europol.</w:t>
      </w:r>
      <w:r>
        <w:rPr>
          <w:noProof/>
        </w:rPr>
        <w:t xml:space="preserve"> In so far as necessary for the performance of its tasks, Europol may establish and maintain cooperative relations with external partners through working and administrative arrangements that cannot by themselves be a legal basis for the exchange of personal data.</w:t>
      </w:r>
      <w:r>
        <w:rPr>
          <w:iCs/>
          <w:noProof/>
        </w:rPr>
        <w:t xml:space="preserve"> </w:t>
      </w:r>
    </w:p>
    <w:p>
      <w:pPr>
        <w:rPr>
          <w:iCs/>
          <w:noProof/>
        </w:rPr>
      </w:pPr>
      <w:r>
        <w:rPr>
          <w:iCs/>
          <w:noProof/>
        </w:rPr>
        <w:t>Taking into account the political strategy as outlined in the European Agenda on Security</w:t>
      </w:r>
      <w:r>
        <w:rPr>
          <w:rStyle w:val="FootnoteReference"/>
          <w:iCs/>
          <w:noProof/>
        </w:rPr>
        <w:footnoteReference w:id="2"/>
      </w:r>
      <w:r>
        <w:rPr>
          <w:iCs/>
          <w:noProof/>
        </w:rPr>
        <w:t>, Council Conclusions</w:t>
      </w:r>
      <w:r>
        <w:rPr>
          <w:rStyle w:val="FootnoteReference"/>
          <w:iCs/>
          <w:noProof/>
        </w:rPr>
        <w:footnoteReference w:id="3"/>
      </w:r>
      <w:r>
        <w:rPr>
          <w:iCs/>
          <w:noProof/>
        </w:rPr>
        <w:t>, and the Global Strategy</w:t>
      </w:r>
      <w:r>
        <w:rPr>
          <w:rStyle w:val="FootnoteReference"/>
          <w:iCs/>
          <w:noProof/>
        </w:rPr>
        <w:footnoteReference w:id="4"/>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5"/>
      </w:r>
      <w:r>
        <w:rPr>
          <w:iCs/>
          <w:noProof/>
        </w:rPr>
        <w:t xml:space="preserve">. </w:t>
      </w:r>
    </w:p>
    <w:p>
      <w:pPr>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6"/>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7"/>
      </w:r>
      <w:r>
        <w:rPr>
          <w:noProof/>
        </w:rPr>
        <w:t xml:space="preserve">. </w:t>
      </w:r>
    </w:p>
    <w:p>
      <w:pPr>
        <w:rPr>
          <w:noProof/>
        </w:rPr>
      </w:pPr>
      <w:r>
        <w:rPr>
          <w:noProof/>
        </w:rPr>
        <w:t xml:space="preserve">Europol does not have any agreements in place with any of the countries in this region. </w:t>
      </w:r>
    </w:p>
    <w:p>
      <w:pPr>
        <w:rPr>
          <w:iCs/>
          <w:noProof/>
        </w:rPr>
      </w:pPr>
      <w:r>
        <w:rPr>
          <w:iCs/>
          <w:noProof/>
        </w:rPr>
        <w:t>This Recommendation specifically concerns negotiations with Morocco, although cooperation with any MENA country needs to be seen in the context of the region as a whole. The current instability in the region, especially the situation in Syria,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8"/>
      </w:r>
      <w:r>
        <w:rPr>
          <w:noProof/>
        </w:rPr>
        <w:t>, and migration-related challenges such as the facilitation of irregular migration and trafficking in human beings.  Cooperation with local law enforcement is critical to addressing these challenges.</w:t>
      </w:r>
    </w:p>
    <w:p>
      <w:pPr>
        <w:spacing w:after="300"/>
        <w:rPr>
          <w:iCs/>
          <w:noProof/>
        </w:rPr>
      </w:pPr>
      <w:r>
        <w:rPr>
          <w:iCs/>
          <w:noProof/>
        </w:rPr>
        <w:t xml:space="preserve">On the basis of technical dialogues to define common actions to improve exchange of information and joint law enforcement operational action against firearms trafficking, the EU has already agreed with Morocco a list of actions to </w:t>
      </w:r>
      <w:r>
        <w:rPr>
          <w:bCs/>
          <w:iCs/>
          <w:noProof/>
        </w:rPr>
        <w:t>enhance EU-MENA cooperation among relevant law enforcement agencies</w:t>
      </w:r>
      <w:r>
        <w:rPr>
          <w:iCs/>
          <w:noProof/>
        </w:rPr>
        <w:t xml:space="preserve">, ensure </w:t>
      </w:r>
      <w:r>
        <w:rPr>
          <w:bCs/>
          <w:iCs/>
          <w:noProof/>
        </w:rPr>
        <w:t>capacity-building assistance</w:t>
      </w:r>
      <w:r>
        <w:rPr>
          <w:b/>
          <w:bCs/>
          <w:iCs/>
          <w:noProof/>
        </w:rPr>
        <w:t xml:space="preserve"> </w:t>
      </w:r>
      <w:r>
        <w:rPr>
          <w:iCs/>
          <w:noProof/>
        </w:rPr>
        <w:t xml:space="preserve">in relevant regional </w:t>
      </w:r>
      <w:r>
        <w:rPr>
          <w:iCs/>
          <w:noProof/>
        </w:rPr>
        <w:lastRenderedPageBreak/>
        <w:t xml:space="preserve">and/or bilateral programmes and develop </w:t>
      </w:r>
      <w:r>
        <w:rPr>
          <w:bCs/>
          <w:iCs/>
          <w:noProof/>
        </w:rPr>
        <w:t>operational actions</w:t>
      </w:r>
      <w:r>
        <w:rPr>
          <w:b/>
          <w:bCs/>
          <w:iCs/>
          <w:noProof/>
        </w:rPr>
        <w:t xml:space="preserve"> </w:t>
      </w:r>
      <w:r>
        <w:rPr>
          <w:iCs/>
          <w:noProof/>
        </w:rPr>
        <w:t>under a commonly agreed framework</w:t>
      </w:r>
      <w:r>
        <w:rPr>
          <w:rStyle w:val="FootnoteReference"/>
          <w:iCs/>
          <w:noProof/>
        </w:rPr>
        <w:footnoteReference w:id="9"/>
      </w:r>
      <w:r>
        <w:rPr>
          <w:iCs/>
          <w:noProof/>
        </w:rPr>
        <w:t>. This does not, however, cover the transfer of personal data.</w:t>
      </w:r>
    </w:p>
    <w:p>
      <w:pPr>
        <w:rPr>
          <w:i/>
          <w:noProof/>
        </w:rPr>
      </w:pPr>
      <w:r>
        <w:rPr>
          <w:i/>
          <w:noProof/>
        </w:rPr>
        <w:t xml:space="preserve">Political context </w:t>
      </w:r>
    </w:p>
    <w:p>
      <w:pPr>
        <w:spacing w:after="0"/>
        <w:rPr>
          <w:noProof/>
          <w:lang w:val="en"/>
        </w:rPr>
      </w:pPr>
      <w:r>
        <w:rPr>
          <w:rFonts w:eastAsia="Calibri"/>
          <w:noProof/>
          <w:szCs w:val="24"/>
          <w:lang w:val="en"/>
        </w:rPr>
        <w:t>The historic partnership between EU and the Kingdom of Morocco is underpinned by a number of political and economic agreements. Since 2000 the entry into force of the Euro-Mediterranean Association Agreement has marked the relations between the EU and Morocco.</w:t>
      </w:r>
      <w:r>
        <w:rPr>
          <w:rStyle w:val="FootnoteReference"/>
          <w:rFonts w:eastAsia="Calibri"/>
          <w:noProof/>
          <w:szCs w:val="24"/>
          <w:lang w:val="en"/>
        </w:rPr>
        <w:footnoteReference w:id="10"/>
      </w:r>
      <w:r>
        <w:rPr>
          <w:rFonts w:eastAsia="Calibri"/>
          <w:noProof/>
          <w:szCs w:val="24"/>
          <w:lang w:val="en"/>
        </w:rPr>
        <w:t xml:space="preserve"> Morocco has benefited from an advanced status with the European neighborhood policy since 2008. Among others, one objective relates to </w:t>
      </w:r>
      <w:r>
        <w:rPr>
          <w:noProof/>
          <w:lang w:val="en"/>
        </w:rPr>
        <w:t>strengthening dialogue and cooperation in the areas of politics and security;</w:t>
      </w:r>
    </w:p>
    <w:p>
      <w:pPr>
        <w:rPr>
          <w:noProof/>
        </w:rPr>
      </w:pPr>
      <w:r>
        <w:rPr>
          <w:noProof/>
          <w:lang w:val="en"/>
        </w:rPr>
        <w:t>Political relations with Morocco, including talks on security and counter-terrorism, have been put on hold in the context surrounding the judgment of the General Court in December 2015</w:t>
      </w:r>
      <w:r>
        <w:rPr>
          <w:rStyle w:val="FootnoteReference"/>
          <w:rFonts w:eastAsia="Calibri"/>
          <w:noProof/>
          <w:szCs w:val="24"/>
          <w:lang w:val="en"/>
        </w:rPr>
        <w:footnoteReference w:id="11"/>
      </w:r>
      <w:r>
        <w:rPr>
          <w:noProof/>
          <w:lang w:val="en"/>
        </w:rPr>
        <w:t>. However, following the appeal to the Court of Justice</w:t>
      </w:r>
      <w:r>
        <w:rPr>
          <w:rStyle w:val="FootnoteReference"/>
          <w:rFonts w:eastAsia="Calibri"/>
          <w:noProof/>
          <w:szCs w:val="24"/>
          <w:lang w:val="en"/>
        </w:rPr>
        <w:footnoteReference w:id="12"/>
      </w:r>
      <w:r>
        <w:rPr>
          <w:noProof/>
          <w:lang w:val="en"/>
        </w:rPr>
        <w:t>, some political discussions took place, primarily focused on how to address the legal implications of the judgment on EU-Morocco bilateral relations. Morocco has informally indicated the importance it attaches to security cooperation with the EU. Morocco was the first MENA countries to be offered a CT dialogue, and preparations were well advanced already in mid-2015 before its eventual postponement.</w:t>
      </w:r>
    </w:p>
    <w:p>
      <w:pPr>
        <w:rPr>
          <w:rFonts w:eastAsia="Calibri"/>
          <w:noProof/>
          <w:szCs w:val="24"/>
        </w:rPr>
      </w:pPr>
      <w:r>
        <w:rPr>
          <w:rFonts w:eastAsia="Calibri"/>
          <w:noProof/>
          <w:szCs w:val="24"/>
        </w:rPr>
        <w:t>Morocco has developed close bilateral CT cooperation with EU Member States, including Spain and France, and regularly dismantles terrorist networks. Morocco is the co-chair of the Global Counter Terrorism Forum (GCTF) and a member of the Global Coalition against Daesh. It hosts one of the EU-funded regional CBRN Centres of Excellence.</w:t>
      </w:r>
    </w:p>
    <w:p>
      <w:pPr>
        <w:spacing w:before="360"/>
        <w:rPr>
          <w:noProof/>
        </w:rPr>
      </w:pPr>
      <w:r>
        <w:rPr>
          <w:i/>
          <w:noProof/>
        </w:rPr>
        <w:t>Operational needs</w:t>
      </w:r>
    </w:p>
    <w:p>
      <w:pPr>
        <w:rPr>
          <w:noProof/>
        </w:rPr>
      </w:pPr>
      <w:r>
        <w:rPr>
          <w:noProof/>
        </w:rPr>
        <w:t>Based on data in the SOCTA 2017</w:t>
      </w:r>
      <w:r>
        <w:rPr>
          <w:rStyle w:val="FootnoteReference"/>
          <w:noProof/>
        </w:rPr>
        <w:footnoteReference w:id="13"/>
      </w:r>
      <w:r>
        <w:rPr>
          <w:noProof/>
        </w:rPr>
        <w:t xml:space="preserve"> and TE-SAT 2017</w:t>
      </w:r>
      <w:r>
        <w:rPr>
          <w:rStyle w:val="FootnoteReference"/>
          <w:noProof/>
        </w:rPr>
        <w:footnoteReference w:id="14"/>
      </w:r>
      <w:r>
        <w:rPr>
          <w:noProof/>
        </w:rPr>
        <w:t>, the above discussions, as well as, inter alia, Europol's in-house expert knowledge, cooperation with Morocco is needed in particular to counter the following crime phenomena:</w:t>
      </w:r>
    </w:p>
    <w:p>
      <w:pPr>
        <w:rPr>
          <w:noProof/>
        </w:rPr>
      </w:pPr>
      <w:r>
        <w:rPr>
          <w:noProof/>
        </w:rPr>
        <w:t>Terrorism</w:t>
      </w:r>
      <w:r>
        <w:rPr>
          <w:b/>
          <w:noProof/>
        </w:rPr>
        <w:t xml:space="preserve"> </w:t>
      </w:r>
      <w:r>
        <w:rPr>
          <w:noProof/>
        </w:rPr>
        <w:t>poses a serious threat to both Morocco and the EU, which have been the target of terrorist attacks. In addition to improving the threat picture and the identification of new trends, closer cooperation including the exchange of personal data is needed to address the phenomenon of foreign terrorist fighters (including on suspects holding dual citizenship or legal residence in the EU and Morocco) and effectively detect, prevent and prosecute terrorism travel, terrorist misuse of the Internet, terrorism financing as well as the nexus with organised crime.</w:t>
      </w:r>
    </w:p>
    <w:p>
      <w:pPr>
        <w:rPr>
          <w:noProof/>
        </w:rPr>
      </w:pPr>
      <w:r>
        <w:rPr>
          <w:noProof/>
        </w:rPr>
        <w:t>Firearms trafficking: The ongoing instability in the MENA region, and in particular the conflicts in Libya, considerably increased firearms trafficking in the region. This creates a threat for the security both in the short and the long term. Morocco is a key partner to slow the flow of illicit firearms to its neighbours and prevent trafficking into the EU through container ships, ferries and smaller boats crossing the Mediterranean.</w:t>
      </w:r>
    </w:p>
    <w:p>
      <w:pPr>
        <w:rPr>
          <w:noProof/>
        </w:rPr>
      </w:pPr>
      <w:r>
        <w:rPr>
          <w:noProof/>
        </w:rPr>
        <w:t>Migration-related challenges: Morocco remains an important partner for the EU to develop cooperation in preventing irregular migration, and flows into the EU have been increasing recently. Morocco is both a source country for irregular migration but also a significant route taken by nationals sub-Saharan African countries too. The 2017 European Border and Coast Guard's risk analysis report highlighted document fraud and migrant smuggling as important risks.</w:t>
      </w:r>
    </w:p>
    <w:p>
      <w:pPr>
        <w:rPr>
          <w:noProof/>
        </w:rPr>
      </w:pPr>
      <w:r>
        <w:rPr>
          <w:noProof/>
        </w:rPr>
        <w:t>Drug trafficking: The Middle East and North Africa (MENA) is a major source, transit point, and consumer of illicit drugs. With a steady base of clientele to the north, the Sahelian smuggling route to its south and the heroin route traversing it from east to west, the region both influences and is negatively influenced by illicit substance abuse and production. Morocco is a major producer of cannabis and a key source country for cannabis products entering the EU market. Production of synthetic drugs based on medicines is also an issue.</w:t>
      </w:r>
    </w:p>
    <w:p>
      <w:pPr>
        <w:rPr>
          <w:noProof/>
        </w:rPr>
      </w:pPr>
      <w:r>
        <w:rPr>
          <w:noProof/>
        </w:rPr>
        <w:t>In 2016, the EU-funded Cocaine Route Programme (component AIRCOP) launched a Joint Airport Interdiction Task Force Legal Authority (JAITFs) in Morocco.</w:t>
      </w:r>
    </w:p>
    <w:p>
      <w:pPr>
        <w:rPr>
          <w:noProof/>
        </w:rPr>
      </w:pPr>
      <w:r>
        <w:rPr>
          <w:noProof/>
        </w:rPr>
        <w:t>Cybercrime: Morocco is making progress in addressing cybercrime threats, thanks to the fact it is a priority country for EU-Council of Europe capacity-building programmes on cybercrime, including in the area of child sexual exploitation and travelling child sex offenders. The development of Morocco's capacity for cooperation is likely to lead to an increased need for information sharing to address transnational threats in the areas of cybercrime and child sexual exploitation.</w:t>
      </w:r>
    </w:p>
    <w:p>
      <w:pPr>
        <w:pStyle w:val="ManualHeading1"/>
        <w:rPr>
          <w:noProof/>
        </w:rPr>
      </w:pPr>
      <w:r>
        <w:rPr>
          <w:noProof/>
        </w:rPr>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noProof/>
        </w:rPr>
      </w:pPr>
      <w:r>
        <w:rPr>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In line with Article 218 of Treaty on the Functioning of the European Union, the Commission shall be nominated as the Union negotiator for the conclusion of an agreement between the European Union and Morocco on the exchange of personal data between the European Union Agency for Law Enforcement Cooperation (Europol) and the Moroccan competent authorities for fighting serious crime and terrorism.</w:t>
      </w: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Kingdom of Morocco on the exchange of personal data between the European Union Agency for Law Enforcement Cooperation (Europol) and the Moroccan competent authorities for fighting serious crime and terrorism</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p>
    <w:p>
      <w:pPr>
        <w:rPr>
          <w:noProof/>
        </w:rPr>
      </w:pPr>
      <w:r>
        <w:rPr>
          <w:noProof/>
        </w:rPr>
        <w:t>Whereas:</w:t>
      </w:r>
    </w:p>
    <w:p>
      <w:pPr>
        <w:rPr>
          <w:noProof/>
        </w:rPr>
      </w:pPr>
    </w:p>
    <w:p>
      <w:pPr>
        <w:pStyle w:val="ManualConsidrant"/>
        <w:rPr>
          <w:noProof/>
        </w:rPr>
      </w:pPr>
      <w:r>
        <w:t>(1)</w:t>
      </w:r>
      <w:r>
        <w:tab/>
      </w:r>
      <w:r>
        <w:rPr>
          <w:noProof/>
        </w:rPr>
        <w:t>Regulation (EU) 2016/794 of the European Parliament and of the Council</w:t>
      </w:r>
      <w:r>
        <w:rPr>
          <w:rStyle w:val="FootnoteReference"/>
          <w:noProof/>
        </w:rPr>
        <w:footnoteReference w:id="15"/>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the Kingdom of Morocco.</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hereby authorised to negotiate, on behalf of the Union, an agreement between the European Union and the Kingdom of Morocco on the exchange of personal data between the European Union Agency for Law Enforcement Cooperation (Europol) and the Moroccan competent authorities for fighting serious crime and terrorism.</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 (EU) 2016/794 of 11 May 2016, OJ L 135, 24.5.2016, p. 53. </w:t>
      </w:r>
    </w:p>
  </w:footnote>
  <w:footnote w:id="2">
    <w:p>
      <w:pPr>
        <w:pStyle w:val="FootnoteText"/>
        <w:rPr>
          <w:lang w:val="pt-PT"/>
        </w:rPr>
      </w:pPr>
      <w:r>
        <w:rPr>
          <w:rStyle w:val="FootnoteReference"/>
        </w:rPr>
        <w:footnoteRef/>
      </w:r>
      <w:r>
        <w:rPr>
          <w:lang w:val="pt-PT"/>
        </w:rPr>
        <w:tab/>
        <w:t>COM(2015) 185 final.</w:t>
      </w:r>
    </w:p>
  </w:footnote>
  <w:footnote w:id="3">
    <w:p>
      <w:pPr>
        <w:pStyle w:val="FootnoteText"/>
        <w:rPr>
          <w:lang w:val="pt-PT"/>
        </w:rPr>
      </w:pPr>
      <w:r>
        <w:rPr>
          <w:rStyle w:val="FootnoteReference"/>
        </w:rPr>
        <w:footnoteRef/>
      </w:r>
      <w:r>
        <w:rPr>
          <w:lang w:val="pt-PT"/>
        </w:rPr>
        <w:tab/>
        <w:t>Council Document 10384/17, 19 June 2017.</w:t>
      </w:r>
    </w:p>
  </w:footnote>
  <w:footnote w:id="4">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7">
    <w:p>
      <w:pPr>
        <w:pStyle w:val="FootnoteText"/>
      </w:pPr>
      <w:r>
        <w:rPr>
          <w:rStyle w:val="FootnoteReference"/>
        </w:rPr>
        <w:footnoteRef/>
      </w:r>
      <w:r>
        <w:tab/>
        <w:t>Europol External Strategy 2017-2020, Adopted by Europol Management Board on 13 December 2016, EDOC#865852v3.</w:t>
      </w:r>
    </w:p>
  </w:footnote>
  <w:footnote w:id="8">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9">
    <w:p>
      <w:pPr>
        <w:pStyle w:val="FootnoteText"/>
      </w:pPr>
      <w:r>
        <w:rPr>
          <w:rStyle w:val="FootnoteReference"/>
        </w:rPr>
        <w:footnoteRef/>
      </w:r>
      <w:r>
        <w:tab/>
        <w:t>Several initiatives in this context have been included in the firearms priority as part of the EU Policy Cycle on serious and organised crime, as well as in the Communication from the Commission to the EP and the Council Implementing the European Agenda on Security: EU action plan against illicit trafficking in and use of firearms and explosives, of 2.12.2015 COM(2015) 624 final.</w:t>
      </w:r>
    </w:p>
  </w:footnote>
  <w:footnote w:id="10">
    <w:p>
      <w:pPr>
        <w:pStyle w:val="FootnoteText"/>
      </w:pPr>
      <w:r>
        <w:rPr>
          <w:rStyle w:val="FootnoteReference"/>
        </w:rPr>
        <w:footnoteRef/>
      </w:r>
      <w:r>
        <w:tab/>
        <w:t>Euro-Mediterranean Agreement establishing an association between the European Communities and their Member States, of the one part, and the Kingdom of Morocco, of the other part, OJ L 070, 18.3.2000.</w:t>
      </w:r>
    </w:p>
  </w:footnote>
  <w:footnote w:id="11">
    <w:p>
      <w:pPr>
        <w:pStyle w:val="FootnoteText"/>
      </w:pPr>
      <w:r>
        <w:rPr>
          <w:rStyle w:val="FootnoteReference"/>
        </w:rPr>
        <w:footnoteRef/>
      </w:r>
      <w:r>
        <w:tab/>
      </w:r>
      <w:r>
        <w:rPr>
          <w:rFonts w:eastAsia="Calibri"/>
          <w:szCs w:val="24"/>
          <w:lang w:val="en"/>
        </w:rPr>
        <w:t>Case T-512/12 Front Polisario v. Council.</w:t>
      </w:r>
    </w:p>
  </w:footnote>
  <w:footnote w:id="12">
    <w:p>
      <w:pPr>
        <w:pStyle w:val="FootnoteText"/>
      </w:pPr>
      <w:r>
        <w:rPr>
          <w:rStyle w:val="FootnoteReference"/>
        </w:rPr>
        <w:footnoteRef/>
      </w:r>
      <w:r>
        <w:tab/>
        <w:t>Case C-104/16 Council v Front Polisario.</w:t>
      </w:r>
    </w:p>
  </w:footnote>
  <w:footnote w:id="13">
    <w:p>
      <w:pPr>
        <w:pStyle w:val="FootnoteText"/>
      </w:pPr>
      <w:r>
        <w:rPr>
          <w:rStyle w:val="FootnoteReference"/>
        </w:rPr>
        <w:footnoteRef/>
      </w:r>
      <w:r>
        <w:tab/>
      </w:r>
      <w:hyperlink r:id="rId3" w:history="1">
        <w:r>
          <w:rPr>
            <w:rStyle w:val="Hyperlink"/>
          </w:rPr>
          <w:t>https://www.europol.europa.eu/socta/2017</w:t>
        </w:r>
      </w:hyperlink>
    </w:p>
  </w:footnote>
  <w:footnote w:id="14">
    <w:p>
      <w:pPr>
        <w:pStyle w:val="FootnoteText"/>
      </w:pPr>
      <w:r>
        <w:rPr>
          <w:rStyle w:val="FootnoteReference"/>
        </w:rPr>
        <w:footnoteRef/>
      </w:r>
      <w:r>
        <w:tab/>
      </w:r>
      <w:hyperlink r:id="rId4" w:history="1">
        <w:r>
          <w:rPr>
            <w:rStyle w:val="Hyperlink"/>
          </w:rPr>
          <w:t>https://www.europol.europa.eu/sites/default/files/documents/tesat2017.pdf</w:t>
        </w:r>
      </w:hyperlink>
    </w:p>
  </w:footnote>
  <w:footnote w:id="15">
    <w:p>
      <w:pPr>
        <w:pStyle w:val="FootnoteText"/>
      </w:pPr>
      <w:r>
        <w:rPr>
          <w:rStyle w:val="FootnoteReference"/>
        </w:rPr>
        <w:footnoteRef/>
      </w:r>
      <w:r>
        <w:tab/>
        <w:t xml:space="preserve">Regulation (EU) 2016/794 of the European Parliament and of the Council of 11 May 2016 on the European Union Agency for Law Enforcement Cooperation (Europol) and replacing and repealing Council Decisions 2009/371/JHA, 2009/934/JHA, 2009/935/JHA, 2009/936/JHA and 2009/968/JHA (OJ L 135, 24.5.2016,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F29E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CE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8A3C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CEBF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DC2A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86ED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E8D2A"/>
    <w:lvl w:ilvl="0">
      <w:start w:val="1"/>
      <w:numFmt w:val="decimal"/>
      <w:pStyle w:val="ListNumber"/>
      <w:lvlText w:val="%1."/>
      <w:lvlJc w:val="left"/>
      <w:pPr>
        <w:tabs>
          <w:tab w:val="num" w:pos="360"/>
        </w:tabs>
        <w:ind w:left="360" w:hanging="360"/>
      </w:pPr>
    </w:lvl>
  </w:abstractNum>
  <w:abstractNum w:abstractNumId="7">
    <w:nsid w:val="FFFFFF89"/>
    <w:multiLevelType w:val="singleLevel"/>
    <w:tmpl w:val="3BE89C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30: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94B55A-4034-4FD4-9A47-50A84F789DB2"/>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Kingdom of Morocco on the exchange of personal data between the European Union Agency for Law Enforcement Cooperation (Europol) and the Moroccan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5049">
      <w:bodyDiv w:val="1"/>
      <w:marLeft w:val="0"/>
      <w:marRight w:val="0"/>
      <w:marTop w:val="0"/>
      <w:marBottom w:val="0"/>
      <w:divBdr>
        <w:top w:val="none" w:sz="0" w:space="0" w:color="auto"/>
        <w:left w:val="none" w:sz="0" w:space="0" w:color="auto"/>
        <w:bottom w:val="none" w:sz="0" w:space="0" w:color="auto"/>
        <w:right w:val="none" w:sz="0" w:space="0" w:color="auto"/>
      </w:divBdr>
    </w:div>
    <w:div w:id="715812325">
      <w:bodyDiv w:val="1"/>
      <w:marLeft w:val="0"/>
      <w:marRight w:val="0"/>
      <w:marTop w:val="0"/>
      <w:marBottom w:val="0"/>
      <w:divBdr>
        <w:top w:val="none" w:sz="0" w:space="0" w:color="auto"/>
        <w:left w:val="none" w:sz="0" w:space="0" w:color="auto"/>
        <w:bottom w:val="none" w:sz="0" w:space="0" w:color="auto"/>
        <w:right w:val="none" w:sz="0" w:space="0" w:color="auto"/>
      </w:divBdr>
    </w:div>
    <w:div w:id="1115489382">
      <w:bodyDiv w:val="1"/>
      <w:marLeft w:val="0"/>
      <w:marRight w:val="0"/>
      <w:marTop w:val="0"/>
      <w:marBottom w:val="0"/>
      <w:divBdr>
        <w:top w:val="none" w:sz="0" w:space="0" w:color="auto"/>
        <w:left w:val="none" w:sz="0" w:space="0" w:color="auto"/>
        <w:bottom w:val="none" w:sz="0" w:space="0" w:color="auto"/>
        <w:right w:val="none" w:sz="0" w:space="0" w:color="auto"/>
      </w:divBdr>
    </w:div>
    <w:div w:id="1163350184">
      <w:bodyDiv w:val="1"/>
      <w:marLeft w:val="0"/>
      <w:marRight w:val="0"/>
      <w:marTop w:val="0"/>
      <w:marBottom w:val="0"/>
      <w:divBdr>
        <w:top w:val="none" w:sz="0" w:space="0" w:color="auto"/>
        <w:left w:val="none" w:sz="0" w:space="0" w:color="auto"/>
        <w:bottom w:val="none" w:sz="0" w:space="0" w:color="auto"/>
        <w:right w:val="none" w:sz="0" w:space="0" w:color="auto"/>
      </w:divBdr>
    </w:div>
    <w:div w:id="1285431226">
      <w:bodyDiv w:val="1"/>
      <w:marLeft w:val="0"/>
      <w:marRight w:val="0"/>
      <w:marTop w:val="0"/>
      <w:marBottom w:val="0"/>
      <w:divBdr>
        <w:top w:val="none" w:sz="0" w:space="0" w:color="auto"/>
        <w:left w:val="none" w:sz="0" w:space="0" w:color="auto"/>
        <w:bottom w:val="none" w:sz="0" w:space="0" w:color="auto"/>
        <w:right w:val="none" w:sz="0" w:space="0" w:color="auto"/>
      </w:divBdr>
    </w:div>
    <w:div w:id="18716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7254-1EE4-4B86-A7B3-D9B40457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1689</Words>
  <Characters>9412</Characters>
  <Application>Microsoft Office Word</Application>
  <DocSecurity>0</DocSecurity>
  <Lines>156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2017-12-11T11:37:00Z</dcterms:created>
  <dcterms:modified xsi:type="dcterms:W3CDTF">2017-12-19T16:30:00Z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