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8A" w:rsidRDefault="004E10A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3F1EC99-A8CF-42FC-ABCD-36C6550DEE18" style="width:450.55pt;height:379.65pt">
            <v:imagedata r:id="rId8" o:title=""/>
          </v:shape>
        </w:pict>
      </w:r>
    </w:p>
    <w:p w:rsidR="003D268A" w:rsidRDefault="003D268A">
      <w:pPr>
        <w:pStyle w:val="Pagedecouverture"/>
        <w:rPr>
          <w:noProof/>
        </w:rPr>
        <w:sectPr w:rsidR="003D268A">
          <w:footerReference w:type="default" r:id="rId9"/>
          <w:pgSz w:w="11907" w:h="16839"/>
          <w:pgMar w:top="1134" w:right="1417" w:bottom="1134" w:left="1417" w:header="709" w:footer="709" w:gutter="0"/>
          <w:pgNumType w:start="0"/>
          <w:cols w:space="720"/>
          <w:docGrid w:linePitch="360"/>
        </w:sectPr>
      </w:pPr>
    </w:p>
    <w:p w:rsidR="003D268A" w:rsidRDefault="004E10AA">
      <w:pPr>
        <w:pStyle w:val="Exposdesmotifstitre"/>
        <w:rPr>
          <w:noProof/>
        </w:rPr>
      </w:pPr>
      <w:r>
        <w:rPr>
          <w:noProof/>
        </w:rPr>
        <w:lastRenderedPageBreak/>
        <w:t>EXPLANATORY MEMORANDUM</w:t>
      </w:r>
    </w:p>
    <w:p w:rsidR="003D268A" w:rsidRDefault="004E10AA">
      <w:pPr>
        <w:pStyle w:val="ManualHeading1"/>
        <w:rPr>
          <w:noProof/>
        </w:rPr>
      </w:pPr>
      <w:r>
        <w:rPr>
          <w:noProof/>
        </w:rPr>
        <w:t>1.</w:t>
      </w:r>
      <w:r>
        <w:rPr>
          <w:noProof/>
        </w:rPr>
        <w:tab/>
        <w:t>CONTEXT OF THE RECOMMENDATION</w:t>
      </w:r>
    </w:p>
    <w:p w:rsidR="003D268A" w:rsidRDefault="004E10AA">
      <w:pPr>
        <w:autoSpaceDE w:val="0"/>
        <w:autoSpaceDN w:val="0"/>
        <w:adjustRightInd w:val="0"/>
        <w:rPr>
          <w:noProof/>
        </w:rPr>
      </w:pPr>
      <w:r>
        <w:rPr>
          <w:noProof/>
        </w:rPr>
        <w:t xml:space="preserve">In the globalised world where serious crime and terrorism are increasingly transnational and </w:t>
      </w:r>
      <w:r>
        <w:rPr>
          <w:noProof/>
        </w:rPr>
        <w:t>polyvalent, law enforcement authorities should be fully equipped to cooperate with external partners to ensure the security of their citizens. Europol should therefore be able to exchange personal data with law enforcement authorities of third countries to</w:t>
      </w:r>
      <w:r>
        <w:rPr>
          <w:noProof/>
        </w:rPr>
        <w:t xml:space="preserve"> the extent necessary for the accomplishment of its tasks.</w:t>
      </w:r>
    </w:p>
    <w:p w:rsidR="003D268A" w:rsidRDefault="004E10AA">
      <w:pPr>
        <w:rPr>
          <w:iCs/>
          <w:noProof/>
        </w:rPr>
      </w:pPr>
      <w:r>
        <w:rPr>
          <w:iCs/>
          <w:noProof/>
        </w:rPr>
        <w:t>Since the entry into application of Regulation 2016/794 on 1 May 2017</w:t>
      </w:r>
      <w:r>
        <w:rPr>
          <w:rStyle w:val="FootnoteReference"/>
          <w:iCs/>
          <w:noProof/>
        </w:rPr>
        <w:footnoteReference w:id="1"/>
      </w:r>
      <w:r>
        <w:rPr>
          <w:iCs/>
          <w:noProof/>
        </w:rPr>
        <w:t xml:space="preserve"> and pursuant to the Treaty, the Commission is responsible, on behalf of the Union, for negotiating international agreements wi</w:t>
      </w:r>
      <w:r>
        <w:rPr>
          <w:iCs/>
          <w:noProof/>
        </w:rPr>
        <w:t>th third countries for the exchange of personal data with Europol.</w:t>
      </w:r>
      <w:r>
        <w:rPr>
          <w:noProof/>
        </w:rPr>
        <w:t xml:space="preserve"> In so far as necessary for the performance of its tasks, Europol may establish and maintain cooperative relations with external partners through working and administrative arrangements that</w:t>
      </w:r>
      <w:r>
        <w:rPr>
          <w:noProof/>
        </w:rPr>
        <w:t xml:space="preserve"> cannot by themselves be a legal basis for the exchange of personal data</w:t>
      </w:r>
      <w:r>
        <w:rPr>
          <w:iCs/>
          <w:noProof/>
        </w:rPr>
        <w:t xml:space="preserve">. </w:t>
      </w:r>
    </w:p>
    <w:p w:rsidR="003D268A" w:rsidRDefault="004E10AA">
      <w:pPr>
        <w:rPr>
          <w:iCs/>
          <w:noProof/>
        </w:rPr>
      </w:pPr>
      <w:r>
        <w:rPr>
          <w:iCs/>
          <w:noProof/>
        </w:rPr>
        <w:t>Taking into account the political strategy as outlined in the European Agenda on Security</w:t>
      </w:r>
      <w:r>
        <w:rPr>
          <w:rStyle w:val="FootnoteReference"/>
          <w:iCs/>
          <w:noProof/>
        </w:rPr>
        <w:footnoteReference w:id="2"/>
      </w:r>
      <w:r>
        <w:rPr>
          <w:iCs/>
          <w:noProof/>
        </w:rPr>
        <w:t>, Council Conclusions</w:t>
      </w:r>
      <w:r>
        <w:rPr>
          <w:rStyle w:val="FootnoteReference"/>
          <w:iCs/>
          <w:noProof/>
        </w:rPr>
        <w:footnoteReference w:id="3"/>
      </w:r>
      <w:r>
        <w:rPr>
          <w:iCs/>
          <w:noProof/>
        </w:rPr>
        <w:t>, and the Global Strategy</w:t>
      </w:r>
      <w:r>
        <w:rPr>
          <w:rStyle w:val="FootnoteReference"/>
          <w:iCs/>
          <w:noProof/>
        </w:rPr>
        <w:footnoteReference w:id="4"/>
      </w:r>
      <w:r>
        <w:rPr>
          <w:iCs/>
          <w:noProof/>
        </w:rPr>
        <w:t xml:space="preserve">, the operational needs of law enforcement </w:t>
      </w:r>
      <w:r>
        <w:rPr>
          <w:iCs/>
          <w:noProof/>
        </w:rPr>
        <w:t>authorities across the EU, and the potential benefits of closer cooperation in this area, the Commission considers it necessary to start negotiations in the short-term with eight countries, as identified in the 11</w:t>
      </w:r>
      <w:r>
        <w:rPr>
          <w:iCs/>
          <w:noProof/>
          <w:vertAlign w:val="superscript"/>
        </w:rPr>
        <w:t>th</w:t>
      </w:r>
      <w:r>
        <w:rPr>
          <w:iCs/>
          <w:noProof/>
        </w:rPr>
        <w:t xml:space="preserve"> progress report towards a genuine and ef</w:t>
      </w:r>
      <w:r>
        <w:rPr>
          <w:iCs/>
          <w:noProof/>
        </w:rPr>
        <w:t>fective Security Union</w:t>
      </w:r>
      <w:r>
        <w:rPr>
          <w:rStyle w:val="FootnoteReference"/>
          <w:iCs/>
          <w:noProof/>
        </w:rPr>
        <w:footnoteReference w:id="5"/>
      </w:r>
      <w:r>
        <w:rPr>
          <w:iCs/>
          <w:noProof/>
        </w:rPr>
        <w:t xml:space="preserve">. </w:t>
      </w:r>
    </w:p>
    <w:p w:rsidR="003D268A" w:rsidRDefault="004E10AA">
      <w:pPr>
        <w:pStyle w:val="Text1"/>
        <w:ind w:left="0"/>
        <w:rPr>
          <w:noProof/>
        </w:rPr>
      </w:pPr>
      <w:r>
        <w:rPr>
          <w:iCs/>
          <w:noProof/>
        </w:rPr>
        <w:t xml:space="preserve">The Commission has made its assessment of priority countries taking into account Europol's operational needs. </w:t>
      </w:r>
      <w:r>
        <w:rPr>
          <w:noProof/>
        </w:rPr>
        <w:t>The Europol Strategy 2016-2020 identifies the Mediterranean region as priority for enhanced partnerships</w:t>
      </w:r>
      <w:r>
        <w:rPr>
          <w:rStyle w:val="FootnoteReference"/>
          <w:noProof/>
        </w:rPr>
        <w:footnoteReference w:id="6"/>
      </w:r>
      <w:r>
        <w:rPr>
          <w:noProof/>
        </w:rPr>
        <w:t>. The Europol E</w:t>
      </w:r>
      <w:r>
        <w:rPr>
          <w:noProof/>
        </w:rPr>
        <w:t>xternal Strategy 2017-2020 also stresses the need for closer cooperation between Europol and the Middle East/North Africa (MENA) due to the current terrorist threat and migration-related challenges</w:t>
      </w:r>
      <w:r>
        <w:rPr>
          <w:rStyle w:val="FootnoteReference"/>
          <w:noProof/>
        </w:rPr>
        <w:footnoteReference w:id="7"/>
      </w:r>
      <w:r>
        <w:rPr>
          <w:noProof/>
        </w:rPr>
        <w:t>.</w:t>
      </w:r>
    </w:p>
    <w:p w:rsidR="003D268A" w:rsidRDefault="004E10AA">
      <w:pPr>
        <w:rPr>
          <w:noProof/>
        </w:rPr>
      </w:pPr>
      <w:r>
        <w:rPr>
          <w:noProof/>
        </w:rPr>
        <w:t>Europol does not have any agreements in place with any o</w:t>
      </w:r>
      <w:r>
        <w:rPr>
          <w:noProof/>
        </w:rPr>
        <w:t>f the countries in this region.</w:t>
      </w:r>
    </w:p>
    <w:p w:rsidR="003D268A" w:rsidRDefault="004E10AA">
      <w:pPr>
        <w:rPr>
          <w:noProof/>
        </w:rPr>
      </w:pPr>
      <w:r>
        <w:rPr>
          <w:noProof/>
        </w:rPr>
        <w:t>This Recommendation specifically concerns negotiations with Israel, although cooperation with any MENA country needs to be seen in the context of the region as a whole.</w:t>
      </w:r>
    </w:p>
    <w:p w:rsidR="003D268A" w:rsidRDefault="004E10AA">
      <w:pPr>
        <w:rPr>
          <w:i/>
          <w:noProof/>
        </w:rPr>
      </w:pPr>
      <w:r>
        <w:rPr>
          <w:i/>
          <w:noProof/>
        </w:rPr>
        <w:t>Political context</w:t>
      </w:r>
    </w:p>
    <w:p w:rsidR="003D268A" w:rsidRDefault="004E10AA">
      <w:pPr>
        <w:rPr>
          <w:rFonts w:eastAsia="Calibri"/>
          <w:noProof/>
        </w:rPr>
      </w:pPr>
      <w:r>
        <w:rPr>
          <w:rFonts w:eastAsia="Calibri"/>
          <w:noProof/>
        </w:rPr>
        <w:t>The EU and Israel developed sound rel</w:t>
      </w:r>
      <w:r>
        <w:rPr>
          <w:rFonts w:eastAsia="Calibri"/>
          <w:noProof/>
        </w:rPr>
        <w:t>ations based on the 1995 Association agreement (into force since 2000). Both the EU and Israel are strongly focused on countering security threats, namely countering terrorism threats. Israel is very interested in intensifying cooperation with the EU on co</w:t>
      </w:r>
      <w:r>
        <w:rPr>
          <w:rFonts w:eastAsia="Calibri"/>
          <w:noProof/>
        </w:rPr>
        <w:t>unter-terrorism (CT). The first EU-Israel Counter Terrorism and Security Dialogue took place in Brussels in March 2015, followed by a second in Israel in September 2016. Both parties agreed to cooperate in areas such as countering violent extremism, terror</w:t>
      </w:r>
      <w:r>
        <w:rPr>
          <w:rFonts w:eastAsia="Calibri"/>
          <w:noProof/>
        </w:rPr>
        <w:t>ism financing, non-conventional terrorism, aviation and transport security as well as cybercrime. Interest was expressed to enhance cooperation with EU agencies in the field of justice and home affairs, notably Europol.</w:t>
      </w:r>
    </w:p>
    <w:p w:rsidR="003D268A" w:rsidRDefault="004E10AA">
      <w:pPr>
        <w:rPr>
          <w:rFonts w:eastAsia="Calibri"/>
          <w:noProof/>
          <w:szCs w:val="24"/>
        </w:rPr>
      </w:pPr>
      <w:r>
        <w:rPr>
          <w:rFonts w:eastAsia="Calibri"/>
          <w:noProof/>
          <w:szCs w:val="24"/>
        </w:rPr>
        <w:lastRenderedPageBreak/>
        <w:t xml:space="preserve">The Council has already previously </w:t>
      </w:r>
      <w:r>
        <w:rPr>
          <w:rFonts w:eastAsia="Calibri"/>
          <w:noProof/>
          <w:szCs w:val="24"/>
        </w:rPr>
        <w:t>authorised negotiations between Europol and Israel on an operational cooperation agreement</w:t>
      </w:r>
      <w:r>
        <w:rPr>
          <w:rStyle w:val="FootnoteReference"/>
          <w:rFonts w:eastAsia="Calibri"/>
          <w:noProof/>
          <w:szCs w:val="24"/>
        </w:rPr>
        <w:footnoteReference w:id="8"/>
      </w:r>
      <w:r>
        <w:rPr>
          <w:rFonts w:eastAsia="Calibri"/>
          <w:noProof/>
          <w:szCs w:val="24"/>
        </w:rPr>
        <w:t>. The negotiations were started in 2010 but could not reach a conclusion under the old legal framework of Europol. In this context, some technical meetings already t</w:t>
      </w:r>
      <w:r>
        <w:rPr>
          <w:rFonts w:eastAsia="Calibri"/>
          <w:noProof/>
          <w:szCs w:val="24"/>
        </w:rPr>
        <w:t xml:space="preserve">ook place between Europol and Israeli authorities. </w:t>
      </w:r>
    </w:p>
    <w:p w:rsidR="003D268A" w:rsidRDefault="004E10AA">
      <w:pPr>
        <w:rPr>
          <w:noProof/>
        </w:rPr>
      </w:pPr>
      <w:r>
        <w:rPr>
          <w:i/>
          <w:noProof/>
        </w:rPr>
        <w:t>Operational needs</w:t>
      </w:r>
    </w:p>
    <w:p w:rsidR="003D268A" w:rsidRDefault="004E10AA">
      <w:pPr>
        <w:rPr>
          <w:noProof/>
        </w:rPr>
      </w:pPr>
      <w:r>
        <w:rPr>
          <w:noProof/>
        </w:rPr>
        <w:t>Based on data in the SOCTA 2017</w:t>
      </w:r>
      <w:r>
        <w:rPr>
          <w:rStyle w:val="FootnoteReference"/>
          <w:noProof/>
        </w:rPr>
        <w:footnoteReference w:id="9"/>
      </w:r>
      <w:r>
        <w:rPr>
          <w:noProof/>
        </w:rPr>
        <w:t xml:space="preserve"> and TE-SAT 2017</w:t>
      </w:r>
      <w:r>
        <w:rPr>
          <w:rStyle w:val="FootnoteReference"/>
          <w:noProof/>
        </w:rPr>
        <w:footnoteReference w:id="10"/>
      </w:r>
      <w:r>
        <w:rPr>
          <w:noProof/>
        </w:rPr>
        <w:t xml:space="preserve">, the above discussions, as well as, inter alia, Europol's in-house expert knowledge, cooperation with Israel is needed in particular to </w:t>
      </w:r>
      <w:r>
        <w:rPr>
          <w:noProof/>
        </w:rPr>
        <w:t>counter the following crime phenomena:</w:t>
      </w:r>
    </w:p>
    <w:p w:rsidR="003D268A" w:rsidRDefault="004E10AA">
      <w:pPr>
        <w:rPr>
          <w:noProof/>
          <w:szCs w:val="24"/>
        </w:rPr>
      </w:pPr>
      <w:r>
        <w:rPr>
          <w:noProof/>
          <w:szCs w:val="24"/>
        </w:rPr>
        <w:t>Terrorism: The EU and Israel face both a serious threat posed by terrorist groups operating in the region and globally. Closer cooperation, including the exchange of personal data, will aim at addressing the threat po</w:t>
      </w:r>
      <w:r>
        <w:rPr>
          <w:noProof/>
          <w:szCs w:val="24"/>
        </w:rPr>
        <w:t>sed by terrorists (including foreign terrorist fighters) with a view to detect, prevent and prosecute terrorist travel, terrorism financing as well as terrorists' misuse of the Internet.</w:t>
      </w:r>
    </w:p>
    <w:p w:rsidR="003D268A" w:rsidRDefault="004E10AA">
      <w:pPr>
        <w:rPr>
          <w:noProof/>
          <w:szCs w:val="24"/>
        </w:rPr>
      </w:pPr>
      <w:r>
        <w:rPr>
          <w:noProof/>
          <w:szCs w:val="24"/>
        </w:rPr>
        <w:t>Cybercrime: Cooperation with Israel should be established in particul</w:t>
      </w:r>
      <w:r>
        <w:rPr>
          <w:noProof/>
          <w:szCs w:val="24"/>
        </w:rPr>
        <w:t>ar given their expertise in investigating/dealing with high tech cybercrime. The need for increased intelligence sharing would be beneficial for a range of transnational cybercrime or cyber-enabled crimes, including Distributed Denial of Service (DDoS) att</w:t>
      </w:r>
      <w:r>
        <w:rPr>
          <w:noProof/>
          <w:szCs w:val="24"/>
        </w:rPr>
        <w:t>acks, cryptocurrency laundering cases, e-commerce fraud, business email compromise and online child sexual exploitation.</w:t>
      </w:r>
    </w:p>
    <w:p w:rsidR="003D268A" w:rsidRDefault="004E10AA">
      <w:pPr>
        <w:pStyle w:val="ManualHeading1"/>
        <w:rPr>
          <w:noProof/>
        </w:rPr>
      </w:pPr>
      <w:r>
        <w:rPr>
          <w:noProof/>
        </w:rPr>
        <w:t>2.</w:t>
      </w:r>
      <w:r>
        <w:rPr>
          <w:noProof/>
        </w:rPr>
        <w:tab/>
        <w:t>LEGAL ELEMENTS OF THE RECOMMENDATION</w:t>
      </w:r>
    </w:p>
    <w:p w:rsidR="003D268A" w:rsidRDefault="004E10AA">
      <w:pPr>
        <w:rPr>
          <w:noProof/>
        </w:rPr>
      </w:pPr>
      <w:r>
        <w:rPr>
          <w:noProof/>
        </w:rPr>
        <w:t>Regulation (EU) 2016/794 on the European Union Agency for Law Enforcement Cooperation (Europol)</w:t>
      </w:r>
      <w:r>
        <w:rPr>
          <w:noProof/>
        </w:rPr>
        <w:t xml:space="preserve"> sets out a legal framework for Europol, in particular its objectives, tasks, scope of competence, data protection safeguards and ways to cooperate with external partners. </w:t>
      </w:r>
    </w:p>
    <w:p w:rsidR="003D268A" w:rsidRDefault="004E10AA">
      <w:pPr>
        <w:rPr>
          <w:noProof/>
        </w:rPr>
      </w:pPr>
      <w:r>
        <w:rPr>
          <w:noProof/>
        </w:rPr>
        <w:t>This Recommendation is consistent with the provisions of the Europol Regulation.</w:t>
      </w:r>
    </w:p>
    <w:p w:rsidR="003D268A" w:rsidRDefault="004E10AA">
      <w:pPr>
        <w:rPr>
          <w:noProof/>
        </w:rPr>
      </w:pPr>
      <w:r>
        <w:rPr>
          <w:noProof/>
        </w:rPr>
        <w:t>Th</w:t>
      </w:r>
      <w:r>
        <w:rPr>
          <w:noProof/>
        </w:rPr>
        <w:t xml:space="preserve">e objective of this recommendation is to obtain from the Council the authorisation for the Commission to negotiate the future agreement on behalf of the EU. The legal basis for the Council to authorise the opening of negotiations is Article 218(3) and (4) </w:t>
      </w:r>
      <w:r>
        <w:rPr>
          <w:noProof/>
        </w:rPr>
        <w:t>TFEU.</w:t>
      </w:r>
    </w:p>
    <w:p w:rsidR="003D268A" w:rsidRDefault="004E10AA">
      <w:pPr>
        <w:rPr>
          <w:rFonts w:eastAsia="Arial Unicode MS"/>
          <w:noProof/>
          <w:u w:color="000000"/>
          <w:bdr w:val="nil"/>
          <w:lang w:val="en-US" w:eastAsia="en-GB"/>
        </w:rPr>
      </w:pPr>
      <w:r>
        <w:rPr>
          <w:noProof/>
        </w:rPr>
        <w:t>In line with Article 218 of Treaty on the Functioning of the European Union, the Commission shall be nominated as the Union negotiator for the agreement between the European Union and Israel on the exchange of personal data between the European Union</w:t>
      </w:r>
      <w:r>
        <w:rPr>
          <w:noProof/>
        </w:rPr>
        <w:t xml:space="preserve"> Agency for Law Enforcement Cooperation (Europol) and the Israeli competent authorities for fighting serious crime and terrorism.</w:t>
      </w:r>
    </w:p>
    <w:p w:rsidR="003D268A" w:rsidRDefault="003D268A">
      <w:pPr>
        <w:rPr>
          <w:noProof/>
        </w:rPr>
        <w:sectPr w:rsidR="003D268A">
          <w:footerReference w:type="default" r:id="rId10"/>
          <w:footerReference w:type="first" r:id="rId11"/>
          <w:pgSz w:w="11907" w:h="16839"/>
          <w:pgMar w:top="1134" w:right="1417" w:bottom="1134" w:left="1417" w:header="709" w:footer="709" w:gutter="0"/>
          <w:cols w:space="708"/>
          <w:docGrid w:linePitch="360"/>
        </w:sectPr>
      </w:pPr>
    </w:p>
    <w:p w:rsidR="003D268A" w:rsidRDefault="004E10AA">
      <w:pPr>
        <w:pStyle w:val="Statut"/>
        <w:rPr>
          <w:noProof/>
        </w:rPr>
      </w:pPr>
      <w:r>
        <w:rPr>
          <w:noProof/>
        </w:rPr>
        <w:t>Recommendation for a</w:t>
      </w:r>
    </w:p>
    <w:p w:rsidR="003D268A" w:rsidRDefault="004E10AA">
      <w:pPr>
        <w:pStyle w:val="Typedudocument"/>
        <w:rPr>
          <w:noProof/>
        </w:rPr>
      </w:pPr>
      <w:r>
        <w:rPr>
          <w:noProof/>
        </w:rPr>
        <w:t>COUNCIL DECISION</w:t>
      </w:r>
    </w:p>
    <w:p w:rsidR="003D268A" w:rsidRDefault="004E10AA">
      <w:pPr>
        <w:pStyle w:val="Titreobjet"/>
        <w:rPr>
          <w:noProof/>
        </w:rPr>
      </w:pPr>
      <w:r>
        <w:rPr>
          <w:noProof/>
        </w:rPr>
        <w:t>authorising the opening of negotiat</w:t>
      </w:r>
      <w:r>
        <w:rPr>
          <w:noProof/>
        </w:rPr>
        <w:t>ions for an agreement between the European Union and the State of Israel on the exchange of personal data between the European Union Agency for Law Enforcement Cooperation (Europol) and the Israeli competent authorities for fighting serious crime and terro</w:t>
      </w:r>
      <w:r>
        <w:rPr>
          <w:noProof/>
        </w:rPr>
        <w:t>rism</w:t>
      </w:r>
      <w:r>
        <w:rPr>
          <w:noProof/>
        </w:rPr>
        <w:br/>
      </w:r>
    </w:p>
    <w:p w:rsidR="003D268A" w:rsidRDefault="004E10AA">
      <w:pPr>
        <w:pStyle w:val="Institutionquiagit"/>
        <w:rPr>
          <w:noProof/>
        </w:rPr>
      </w:pPr>
      <w:r>
        <w:rPr>
          <w:noProof/>
        </w:rPr>
        <w:t>THE COUNCIL OF THE EUROPEAN UNION,</w:t>
      </w:r>
    </w:p>
    <w:p w:rsidR="003D268A" w:rsidRDefault="004E10AA">
      <w:pPr>
        <w:rPr>
          <w:noProof/>
        </w:rPr>
      </w:pPr>
      <w:r>
        <w:rPr>
          <w:noProof/>
        </w:rPr>
        <w:t>Having regard to the Treaty on the Functioning of the European Union (TFEU), and in particular Article 218(3) and (4) thereof,</w:t>
      </w:r>
    </w:p>
    <w:p w:rsidR="003D268A" w:rsidRDefault="004E10AA">
      <w:pPr>
        <w:rPr>
          <w:noProof/>
        </w:rPr>
      </w:pPr>
      <w:r>
        <w:rPr>
          <w:noProof/>
        </w:rPr>
        <w:t xml:space="preserve">Having regard to the recommendation from the European Commission, </w:t>
      </w:r>
    </w:p>
    <w:p w:rsidR="003D268A" w:rsidRDefault="003D268A">
      <w:pPr>
        <w:rPr>
          <w:noProof/>
        </w:rPr>
      </w:pPr>
    </w:p>
    <w:p w:rsidR="003D268A" w:rsidRDefault="004E10AA">
      <w:pPr>
        <w:rPr>
          <w:noProof/>
        </w:rPr>
      </w:pPr>
      <w:r>
        <w:rPr>
          <w:noProof/>
        </w:rPr>
        <w:t>Whereas:</w:t>
      </w:r>
    </w:p>
    <w:p w:rsidR="003D268A" w:rsidRDefault="003D268A">
      <w:pPr>
        <w:rPr>
          <w:noProof/>
        </w:rPr>
      </w:pPr>
    </w:p>
    <w:p w:rsidR="003D268A" w:rsidRDefault="004E10AA">
      <w:pPr>
        <w:pStyle w:val="ManualConsidrant"/>
        <w:rPr>
          <w:noProof/>
        </w:rPr>
      </w:pPr>
      <w:r>
        <w:t>(1)</w:t>
      </w:r>
      <w:r>
        <w:tab/>
      </w:r>
      <w:r>
        <w:rPr>
          <w:noProof/>
        </w:rPr>
        <w:t>Regula</w:t>
      </w:r>
      <w:r>
        <w:rPr>
          <w:noProof/>
        </w:rPr>
        <w:t>tion (EU) 2016/794 of the European Parliament and of the Council</w:t>
      </w:r>
      <w:r>
        <w:rPr>
          <w:rStyle w:val="FootnoteReference"/>
          <w:noProof/>
        </w:rPr>
        <w:footnoteReference w:id="11"/>
      </w:r>
      <w:r>
        <w:rPr>
          <w:noProof/>
        </w:rPr>
        <w:t xml:space="preserve"> was adopted on 11 May 2016 and is applicable as of 1 May 2017. </w:t>
      </w:r>
    </w:p>
    <w:p w:rsidR="003D268A" w:rsidRDefault="004E10AA">
      <w:pPr>
        <w:pStyle w:val="ManualConsidrant"/>
        <w:rPr>
          <w:noProof/>
        </w:rPr>
      </w:pPr>
      <w:r>
        <w:t>(2)</w:t>
      </w:r>
      <w:r>
        <w:tab/>
      </w:r>
      <w:r>
        <w:rPr>
          <w:noProof/>
        </w:rPr>
        <w:t>This Regulation, in particular its Article 25, sets out the rules for the transfer of personal data from the European Union Agency for Law Enforcement Cooperation (Europol) to third countries and international organisations. Europol may transfer personal d</w:t>
      </w:r>
      <w:r>
        <w:rPr>
          <w:noProof/>
        </w:rPr>
        <w:t xml:space="preserve">ata to an authority of a third country on the basis of an international agreement concluded between the Union and that third country pursuant to Article 218 TFEU adducing adequate safeguards with respect to the protection of privacy and fundamental rights </w:t>
      </w:r>
      <w:r>
        <w:rPr>
          <w:noProof/>
        </w:rPr>
        <w:t xml:space="preserve">and freedoms of individuals. </w:t>
      </w:r>
    </w:p>
    <w:p w:rsidR="003D268A" w:rsidRDefault="004E10AA">
      <w:pPr>
        <w:pStyle w:val="ManualConsidrant"/>
        <w:rPr>
          <w:noProof/>
        </w:rPr>
      </w:pPr>
      <w:r>
        <w:t>(3)</w:t>
      </w:r>
      <w:r>
        <w:tab/>
      </w:r>
      <w:r>
        <w:rPr>
          <w:noProof/>
        </w:rPr>
        <w:t>Negotiations should be opened with a view to concluding such an Agreement between the European Union and the State of Israel.</w:t>
      </w:r>
    </w:p>
    <w:p w:rsidR="003D268A" w:rsidRDefault="004E10AA">
      <w:pPr>
        <w:pStyle w:val="ManualConsidrant"/>
        <w:rPr>
          <w:noProof/>
        </w:rPr>
      </w:pPr>
      <w:r>
        <w:t>(4)</w:t>
      </w:r>
      <w:r>
        <w:tab/>
      </w:r>
      <w:r>
        <w:rPr>
          <w:noProof/>
        </w:rPr>
        <w:t>The Agreement should respect the fundamental rights and observe the principles recognised by</w:t>
      </w:r>
      <w:r>
        <w:rPr>
          <w:noProof/>
        </w:rPr>
        <w:t xml:space="preserve"> the Charter of Fundamental Rights of the European Union, in particular the right to private and family life, recognised in Article 7 of the Charter, the right to the protection of personal data, recognised in Article 8 of the Charter and the right to effe</w:t>
      </w:r>
      <w:r>
        <w:rPr>
          <w:noProof/>
        </w:rPr>
        <w:t>ctive remedy and fair trial recognised by Article 47 of the Charter. The Agreement should be applied in accordance with those rights and principles.</w:t>
      </w:r>
    </w:p>
    <w:p w:rsidR="003D268A" w:rsidRDefault="004E10AA">
      <w:pPr>
        <w:pStyle w:val="Formuledadoption"/>
        <w:rPr>
          <w:noProof/>
        </w:rPr>
      </w:pPr>
      <w:r>
        <w:rPr>
          <w:noProof/>
        </w:rPr>
        <w:t xml:space="preserve">HAS ADOPTED THIS DECISION: </w:t>
      </w:r>
    </w:p>
    <w:p w:rsidR="003D268A" w:rsidRDefault="004E10AA">
      <w:pPr>
        <w:pStyle w:val="Titrearticle"/>
        <w:rPr>
          <w:noProof/>
        </w:rPr>
      </w:pPr>
      <w:r>
        <w:rPr>
          <w:noProof/>
        </w:rPr>
        <w:t>Article 1</w:t>
      </w:r>
    </w:p>
    <w:p w:rsidR="003D268A" w:rsidRDefault="004E10AA">
      <w:pPr>
        <w:rPr>
          <w:noProof/>
        </w:rPr>
      </w:pPr>
      <w:r>
        <w:rPr>
          <w:noProof/>
        </w:rPr>
        <w:t xml:space="preserve">The Commission is hereby authorised to negotiate, on behalf of the </w:t>
      </w:r>
      <w:r>
        <w:rPr>
          <w:noProof/>
        </w:rPr>
        <w:t>Union, an agreement between the European Union and the State of Israel on the exchange of personal data between the European Union Agency for Law Enforcement Cooperation (Europol) and the Israeli competent authorities for fighting serious crime and terrori</w:t>
      </w:r>
      <w:r>
        <w:rPr>
          <w:noProof/>
        </w:rPr>
        <w:t>sm.</w:t>
      </w:r>
    </w:p>
    <w:p w:rsidR="003D268A" w:rsidRDefault="004E10AA">
      <w:pPr>
        <w:pStyle w:val="Titrearticle"/>
        <w:rPr>
          <w:noProof/>
        </w:rPr>
      </w:pPr>
      <w:r>
        <w:rPr>
          <w:noProof/>
        </w:rPr>
        <w:t>Article 2</w:t>
      </w:r>
    </w:p>
    <w:p w:rsidR="003D268A" w:rsidRDefault="004E10AA">
      <w:pPr>
        <w:rPr>
          <w:noProof/>
        </w:rPr>
      </w:pPr>
      <w:r>
        <w:rPr>
          <w:noProof/>
        </w:rPr>
        <w:t>The negotiating directives are set out in the Annex.</w:t>
      </w:r>
    </w:p>
    <w:p w:rsidR="003D268A" w:rsidRDefault="004E10AA">
      <w:pPr>
        <w:pStyle w:val="Titrearticle"/>
        <w:rPr>
          <w:noProof/>
        </w:rPr>
      </w:pPr>
      <w:r>
        <w:rPr>
          <w:noProof/>
        </w:rPr>
        <w:t>Article 3</w:t>
      </w:r>
    </w:p>
    <w:p w:rsidR="003D268A" w:rsidRDefault="004E10AA">
      <w:pPr>
        <w:rPr>
          <w:noProof/>
        </w:rPr>
      </w:pPr>
      <w:r>
        <w:rPr>
          <w:noProof/>
        </w:rPr>
        <w:t xml:space="preserve">The negotiations shall be conducted in consultation with [name of the special committee to be inserted by the Council]. </w:t>
      </w:r>
    </w:p>
    <w:p w:rsidR="003D268A" w:rsidRDefault="004E10AA">
      <w:pPr>
        <w:pStyle w:val="Titrearticle"/>
        <w:rPr>
          <w:noProof/>
        </w:rPr>
      </w:pPr>
      <w:r>
        <w:rPr>
          <w:noProof/>
        </w:rPr>
        <w:t>Article 4</w:t>
      </w:r>
    </w:p>
    <w:p w:rsidR="003D268A" w:rsidRDefault="004E10AA">
      <w:pPr>
        <w:rPr>
          <w:noProof/>
        </w:rPr>
      </w:pPr>
      <w:r>
        <w:rPr>
          <w:noProof/>
        </w:rPr>
        <w:t xml:space="preserve">This Decision is addressed to the Commission. </w:t>
      </w:r>
    </w:p>
    <w:p w:rsidR="003D268A" w:rsidRDefault="004E10AA">
      <w:pPr>
        <w:pStyle w:val="Fait"/>
        <w:rPr>
          <w:noProof/>
        </w:rPr>
      </w:pPr>
      <w:r>
        <w:t>D</w:t>
      </w:r>
      <w:r>
        <w:t xml:space="preserve">one at Brussels, </w:t>
      </w:r>
      <w:bookmarkStart w:id="0" w:name="_GoBack"/>
      <w:bookmarkEnd w:id="0"/>
    </w:p>
    <w:p w:rsidR="003D268A" w:rsidRDefault="004E10AA">
      <w:pPr>
        <w:pStyle w:val="Institutionquisigne"/>
        <w:rPr>
          <w:noProof/>
        </w:rPr>
      </w:pPr>
      <w:r>
        <w:rPr>
          <w:noProof/>
        </w:rPr>
        <w:tab/>
        <w:t>For the Council</w:t>
      </w:r>
    </w:p>
    <w:p w:rsidR="003D268A" w:rsidRDefault="004E10AA">
      <w:pPr>
        <w:pStyle w:val="Personnequisigne"/>
        <w:rPr>
          <w:noProof/>
        </w:rPr>
      </w:pPr>
      <w:r>
        <w:rPr>
          <w:noProof/>
        </w:rPr>
        <w:tab/>
        <w:t>The President</w:t>
      </w:r>
    </w:p>
    <w:sectPr w:rsidR="003D268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68A" w:rsidRDefault="004E10AA">
      <w:pPr>
        <w:spacing w:before="0" w:after="0"/>
      </w:pPr>
      <w:r>
        <w:separator/>
      </w:r>
    </w:p>
  </w:endnote>
  <w:endnote w:type="continuationSeparator" w:id="0">
    <w:p w:rsidR="003D268A" w:rsidRDefault="004E10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8A" w:rsidRDefault="004E10AA">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8A" w:rsidRDefault="004E10AA">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68A" w:rsidRDefault="003D2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68A" w:rsidRDefault="004E10AA">
      <w:pPr>
        <w:spacing w:before="0" w:after="0"/>
      </w:pPr>
      <w:r>
        <w:separator/>
      </w:r>
    </w:p>
  </w:footnote>
  <w:footnote w:type="continuationSeparator" w:id="0">
    <w:p w:rsidR="003D268A" w:rsidRDefault="004E10AA">
      <w:pPr>
        <w:spacing w:before="0" w:after="0"/>
      </w:pPr>
      <w:r>
        <w:continuationSeparator/>
      </w:r>
    </w:p>
  </w:footnote>
  <w:footnote w:id="1">
    <w:p w:rsidR="003D268A" w:rsidRDefault="004E10AA">
      <w:pPr>
        <w:pStyle w:val="FootnoteText"/>
      </w:pPr>
      <w:r>
        <w:rPr>
          <w:rStyle w:val="FootnoteReference"/>
        </w:rPr>
        <w:footnoteRef/>
      </w:r>
      <w:r>
        <w:tab/>
        <w:t>Regulation (EU) 2016/794 of 11 May 2016, OJ L 135, 24.5.2016, p. 53.</w:t>
      </w:r>
    </w:p>
  </w:footnote>
  <w:footnote w:id="2">
    <w:p w:rsidR="003D268A" w:rsidRDefault="004E10AA">
      <w:pPr>
        <w:pStyle w:val="FootnoteText"/>
        <w:rPr>
          <w:lang w:val="pt-PT"/>
        </w:rPr>
      </w:pPr>
      <w:r>
        <w:rPr>
          <w:rStyle w:val="FootnoteReference"/>
        </w:rPr>
        <w:footnoteRef/>
      </w:r>
      <w:r>
        <w:rPr>
          <w:lang w:val="pt-PT"/>
        </w:rPr>
        <w:tab/>
      </w:r>
      <w:proofErr w:type="gramStart"/>
      <w:r>
        <w:rPr>
          <w:lang w:val="pt-PT"/>
        </w:rPr>
        <w:t>COM(2015</w:t>
      </w:r>
      <w:proofErr w:type="gramEnd"/>
      <w:r>
        <w:rPr>
          <w:lang w:val="pt-PT"/>
        </w:rPr>
        <w:t>) 185 final.</w:t>
      </w:r>
    </w:p>
  </w:footnote>
  <w:footnote w:id="3">
    <w:p w:rsidR="003D268A" w:rsidRDefault="004E10AA">
      <w:pPr>
        <w:pStyle w:val="FootnoteText"/>
        <w:rPr>
          <w:lang w:val="pt-PT"/>
        </w:rPr>
      </w:pPr>
      <w:r>
        <w:rPr>
          <w:rStyle w:val="FootnoteReference"/>
        </w:rPr>
        <w:footnoteRef/>
      </w:r>
      <w:r>
        <w:rPr>
          <w:lang w:val="pt-PT"/>
        </w:rPr>
        <w:tab/>
      </w:r>
      <w:proofErr w:type="spellStart"/>
      <w:r>
        <w:rPr>
          <w:lang w:val="pt-PT"/>
        </w:rPr>
        <w:t>Council</w:t>
      </w:r>
      <w:proofErr w:type="spellEnd"/>
      <w:r>
        <w:rPr>
          <w:lang w:val="pt-PT"/>
        </w:rPr>
        <w:t xml:space="preserve"> </w:t>
      </w:r>
      <w:proofErr w:type="spellStart"/>
      <w:r>
        <w:rPr>
          <w:lang w:val="pt-PT"/>
        </w:rPr>
        <w:t>Document</w:t>
      </w:r>
      <w:proofErr w:type="spellEnd"/>
      <w:r>
        <w:rPr>
          <w:lang w:val="pt-PT"/>
        </w:rPr>
        <w:t xml:space="preserve"> 10384/17, 19 </w:t>
      </w:r>
      <w:proofErr w:type="spellStart"/>
      <w:r>
        <w:rPr>
          <w:lang w:val="pt-PT"/>
        </w:rPr>
        <w:t>June</w:t>
      </w:r>
      <w:proofErr w:type="spellEnd"/>
      <w:r>
        <w:rPr>
          <w:lang w:val="pt-PT"/>
        </w:rPr>
        <w:t xml:space="preserve"> 2017.</w:t>
      </w:r>
    </w:p>
  </w:footnote>
  <w:footnote w:id="4">
    <w:p w:rsidR="003D268A" w:rsidRDefault="004E10AA">
      <w:pPr>
        <w:pStyle w:val="FootnoteText"/>
      </w:pPr>
      <w:r>
        <w:rPr>
          <w:rStyle w:val="FootnoteReference"/>
        </w:rPr>
        <w:footnoteRef/>
      </w:r>
      <w:r>
        <w:tab/>
      </w:r>
      <w:r>
        <w:rPr>
          <w:i/>
        </w:rPr>
        <w:t>Shared Vision, Common Action: A Stronger Europe</w:t>
      </w:r>
      <w:r>
        <w:t xml:space="preserve"> </w:t>
      </w:r>
      <w:r>
        <w:rPr>
          <w:i/>
        </w:rPr>
        <w:t>- A Global Strat</w:t>
      </w:r>
      <w:r>
        <w:rPr>
          <w:i/>
        </w:rPr>
        <w:t xml:space="preserve">egy for the European Union’s Foreign And Security Policy </w:t>
      </w:r>
      <w:hyperlink r:id="rId1" w:history="1">
        <w:r>
          <w:rPr>
            <w:rStyle w:val="Hyperlink"/>
          </w:rPr>
          <w:t>http://europa.eu/globalstrategy/en</w:t>
        </w:r>
      </w:hyperlink>
      <w:r>
        <w:t xml:space="preserve"> </w:t>
      </w:r>
    </w:p>
  </w:footnote>
  <w:footnote w:id="5">
    <w:p w:rsidR="003D268A" w:rsidRDefault="004E10AA">
      <w:pPr>
        <w:pStyle w:val="FootnoteText"/>
      </w:pPr>
      <w:r>
        <w:rPr>
          <w:rStyle w:val="FootnoteReference"/>
        </w:rPr>
        <w:footnoteRef/>
      </w:r>
      <w:r>
        <w:tab/>
      </w:r>
      <w:proofErr w:type="gramStart"/>
      <w:r>
        <w:t>COM(</w:t>
      </w:r>
      <w:proofErr w:type="gramEnd"/>
      <w:r>
        <w:t>2017) 608 final.</w:t>
      </w:r>
    </w:p>
  </w:footnote>
  <w:footnote w:id="6">
    <w:p w:rsidR="003D268A" w:rsidRDefault="004E10AA">
      <w:pPr>
        <w:pStyle w:val="FootnoteText"/>
      </w:pPr>
      <w:r>
        <w:rPr>
          <w:rStyle w:val="FootnoteReference"/>
        </w:rPr>
        <w:footnoteRef/>
      </w:r>
      <w:r>
        <w:tab/>
        <w:t xml:space="preserve">Europol Strategy 2016-2020, Adopted by Europol's Management Board on 1 December 2015, </w:t>
      </w:r>
      <w:hyperlink r:id="rId2" w:history="1">
        <w:r>
          <w:rPr>
            <w:rStyle w:val="Hyperlink"/>
          </w:rPr>
          <w:t>https://www.europol.europa.eu/publications-documents/europol-strategy-2016-2020</w:t>
        </w:r>
      </w:hyperlink>
      <w:r>
        <w:t xml:space="preserve"> </w:t>
      </w:r>
    </w:p>
  </w:footnote>
  <w:footnote w:id="7">
    <w:p w:rsidR="003D268A" w:rsidRDefault="004E10AA">
      <w:pPr>
        <w:pStyle w:val="FootnoteText"/>
      </w:pPr>
      <w:r>
        <w:rPr>
          <w:rStyle w:val="FootnoteReference"/>
        </w:rPr>
        <w:footnoteRef/>
      </w:r>
      <w:r>
        <w:tab/>
      </w:r>
      <w:proofErr w:type="gramStart"/>
      <w:r>
        <w:t>Europol External Strategy 2017-2020, Adopted by Europol Management Board on 13</w:t>
      </w:r>
      <w:r>
        <w:t xml:space="preserve"> December 2016, EDOC#865852v3.</w:t>
      </w:r>
      <w:proofErr w:type="gramEnd"/>
    </w:p>
  </w:footnote>
  <w:footnote w:id="8">
    <w:p w:rsidR="003D268A" w:rsidRDefault="004E10AA">
      <w:pPr>
        <w:pStyle w:val="FootnoteText"/>
      </w:pPr>
      <w:r>
        <w:rPr>
          <w:rStyle w:val="FootnoteReference"/>
        </w:rPr>
        <w:footnoteRef/>
      </w:r>
      <w:r>
        <w:tab/>
      </w:r>
      <w:proofErr w:type="gramStart"/>
      <w:r>
        <w:t>Council Decision 2009/371.</w:t>
      </w:r>
      <w:proofErr w:type="gramEnd"/>
    </w:p>
  </w:footnote>
  <w:footnote w:id="9">
    <w:p w:rsidR="003D268A" w:rsidRDefault="004E10AA">
      <w:pPr>
        <w:pStyle w:val="FootnoteText"/>
      </w:pPr>
      <w:r>
        <w:rPr>
          <w:rStyle w:val="FootnoteReference"/>
        </w:rPr>
        <w:footnoteRef/>
      </w:r>
      <w:r>
        <w:tab/>
      </w:r>
      <w:hyperlink r:id="rId3" w:history="1">
        <w:r>
          <w:rPr>
            <w:rStyle w:val="Hyperlink"/>
          </w:rPr>
          <w:t>https://www.europol.europa.eu/socta/2017</w:t>
        </w:r>
      </w:hyperlink>
      <w:r>
        <w:t xml:space="preserve"> </w:t>
      </w:r>
    </w:p>
  </w:footnote>
  <w:footnote w:id="10">
    <w:p w:rsidR="003D268A" w:rsidRDefault="004E10AA">
      <w:pPr>
        <w:pStyle w:val="FootnoteText"/>
      </w:pPr>
      <w:r>
        <w:rPr>
          <w:rStyle w:val="FootnoteReference"/>
        </w:rPr>
        <w:footnoteRef/>
      </w:r>
      <w:r>
        <w:tab/>
      </w:r>
      <w:hyperlink r:id="rId4" w:history="1">
        <w:r>
          <w:rPr>
            <w:rStyle w:val="Hyperlink"/>
          </w:rPr>
          <w:t>https://www.europol.europa.eu/sites/default/files/documents/tesat2017.pdf</w:t>
        </w:r>
      </w:hyperlink>
      <w:r>
        <w:rPr>
          <w:rStyle w:val="Hyperlink"/>
        </w:rPr>
        <w:t>.</w:t>
      </w:r>
    </w:p>
  </w:footnote>
  <w:footnote w:id="11">
    <w:p w:rsidR="003D268A" w:rsidRDefault="004E10AA">
      <w:pPr>
        <w:pStyle w:val="FootnoteText"/>
      </w:pPr>
      <w:r>
        <w:rPr>
          <w:rStyle w:val="FootnoteReference"/>
        </w:rPr>
        <w:footnoteRef/>
      </w:r>
      <w:r>
        <w:tab/>
        <w:t>Regulation (EU) 2016/794 of the European Parliament and of the Council of 11 May 2016 on the European Union Agency for Law Enforcement Cooperation (Europol) and replacing and repe</w:t>
      </w:r>
      <w:r>
        <w:t xml:space="preserve">aling Council Decisions 2009/371/JHA, 2009/934/JHA, 2009/935/JHA, 2009/936/JHA and 2009/968/JHA (OJ L 135, 24.5.2016, p. 53).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B0856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1F60C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2683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9D42D8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624E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9922A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BBC1F7A"/>
    <w:lvl w:ilvl="0">
      <w:start w:val="1"/>
      <w:numFmt w:val="decimal"/>
      <w:pStyle w:val="ListNumber"/>
      <w:lvlText w:val="%1."/>
      <w:lvlJc w:val="left"/>
      <w:pPr>
        <w:tabs>
          <w:tab w:val="num" w:pos="360"/>
        </w:tabs>
        <w:ind w:left="360" w:hanging="360"/>
      </w:pPr>
    </w:lvl>
  </w:abstractNum>
  <w:abstractNum w:abstractNumId="7">
    <w:nsid w:val="FFFFFF89"/>
    <w:multiLevelType w:val="singleLevel"/>
    <w:tmpl w:val="76062AD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3 15:11: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3F1EC99-A8CF-42FC-ABCD-36C6550DEE18"/>
    <w:docVar w:name="LW_COVERPAGE_TYPE" w:val="1"/>
    <w:docVar w:name="LW_CROSSREFERENCE" w:val="&lt;UNUSED&gt;"/>
    <w:docVar w:name="LW_DocType" w:val="COM"/>
    <w:docVar w:name="LW_EMISSION" w:val="20.12.2017"/>
    <w:docVar w:name="LW_EMISSION_ISODATE" w:val="2017-12-20"/>
    <w:docVar w:name="LW_EMISSION_LOCATION" w:val="BRX"/>
    <w:docVar w:name="LW_EMISSION_PREFIX" w:val="Brussels,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authorising the opening of negotiations for an agreement between the European Union and the State of Israel on the exchange of personal data between the European Union Agency for Law Enforcement Cooperation (Europol) and the Israeli competent authorities for fighting serious crime and terrorism_x000b_"/>
    <w:docVar w:name="LW_TYPE.DOC.CP" w:val="COUNCIL DECISION"/>
  </w:docVars>
  <w:rsids>
    <w:rsidRoot w:val="003D268A"/>
    <w:rsid w:val="003D268A"/>
    <w:rsid w:val="004E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ind w:left="720"/>
      <w:contextualSpacing/>
    </w:pPr>
  </w:style>
  <w:style w:type="paragraph" w:styleId="NormalWeb">
    <w:name w:val="Normal (Web)"/>
    <w:basedOn w:val="Normal"/>
    <w:uiPriority w:val="99"/>
    <w:unhideWhenUsed/>
    <w:pPr>
      <w:spacing w:before="100" w:beforeAutospacing="1" w:after="300"/>
      <w:jc w:val="left"/>
    </w:pPr>
    <w:rPr>
      <w:rFonts w:eastAsia="Times New Roman"/>
      <w:szCs w:val="24"/>
      <w:lang w:eastAsia="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rFonts w:ascii="Times New Roman" w:hAnsi="Times New Roman" w:cs="Times New Roman"/>
      <w:sz w:val="24"/>
      <w:lang w:val="en-GB"/>
    </w:rPr>
  </w:style>
  <w:style w:type="character" w:styleId="Hyperlink">
    <w:name w:val="Hyperlink"/>
    <w:basedOn w:val="DefaultParagraphFont"/>
    <w:uiPriority w:val="99"/>
    <w:unhideWhenUsed/>
    <w:rPr>
      <w:color w:val="0000FF"/>
      <w:u w:val="single"/>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6644">
      <w:bodyDiv w:val="1"/>
      <w:marLeft w:val="0"/>
      <w:marRight w:val="0"/>
      <w:marTop w:val="0"/>
      <w:marBottom w:val="0"/>
      <w:divBdr>
        <w:top w:val="none" w:sz="0" w:space="0" w:color="auto"/>
        <w:left w:val="none" w:sz="0" w:space="0" w:color="auto"/>
        <w:bottom w:val="none" w:sz="0" w:space="0" w:color="auto"/>
        <w:right w:val="none" w:sz="0" w:space="0" w:color="auto"/>
      </w:divBdr>
    </w:div>
    <w:div w:id="429546310">
      <w:bodyDiv w:val="1"/>
      <w:marLeft w:val="0"/>
      <w:marRight w:val="0"/>
      <w:marTop w:val="0"/>
      <w:marBottom w:val="0"/>
      <w:divBdr>
        <w:top w:val="none" w:sz="0" w:space="0" w:color="auto"/>
        <w:left w:val="none" w:sz="0" w:space="0" w:color="auto"/>
        <w:bottom w:val="none" w:sz="0" w:space="0" w:color="auto"/>
        <w:right w:val="none" w:sz="0" w:space="0" w:color="auto"/>
      </w:divBdr>
    </w:div>
    <w:div w:id="653217695">
      <w:bodyDiv w:val="1"/>
      <w:marLeft w:val="0"/>
      <w:marRight w:val="0"/>
      <w:marTop w:val="0"/>
      <w:marBottom w:val="0"/>
      <w:divBdr>
        <w:top w:val="none" w:sz="0" w:space="0" w:color="auto"/>
        <w:left w:val="none" w:sz="0" w:space="0" w:color="auto"/>
        <w:bottom w:val="none" w:sz="0" w:space="0" w:color="auto"/>
        <w:right w:val="none" w:sz="0" w:space="0" w:color="auto"/>
      </w:divBdr>
    </w:div>
    <w:div w:id="785537362">
      <w:bodyDiv w:val="1"/>
      <w:marLeft w:val="0"/>
      <w:marRight w:val="0"/>
      <w:marTop w:val="0"/>
      <w:marBottom w:val="0"/>
      <w:divBdr>
        <w:top w:val="none" w:sz="0" w:space="0" w:color="auto"/>
        <w:left w:val="none" w:sz="0" w:space="0" w:color="auto"/>
        <w:bottom w:val="none" w:sz="0" w:space="0" w:color="auto"/>
        <w:right w:val="none" w:sz="0" w:space="0" w:color="auto"/>
      </w:divBdr>
    </w:div>
    <w:div w:id="788083426">
      <w:bodyDiv w:val="1"/>
      <w:marLeft w:val="0"/>
      <w:marRight w:val="0"/>
      <w:marTop w:val="0"/>
      <w:marBottom w:val="0"/>
      <w:divBdr>
        <w:top w:val="none" w:sz="0" w:space="0" w:color="auto"/>
        <w:left w:val="none" w:sz="0" w:space="0" w:color="auto"/>
        <w:bottom w:val="none" w:sz="0" w:space="0" w:color="auto"/>
        <w:right w:val="none" w:sz="0" w:space="0" w:color="auto"/>
      </w:divBdr>
    </w:div>
    <w:div w:id="800460617">
      <w:bodyDiv w:val="1"/>
      <w:marLeft w:val="0"/>
      <w:marRight w:val="0"/>
      <w:marTop w:val="0"/>
      <w:marBottom w:val="0"/>
      <w:divBdr>
        <w:top w:val="none" w:sz="0" w:space="0" w:color="auto"/>
        <w:left w:val="none" w:sz="0" w:space="0" w:color="auto"/>
        <w:bottom w:val="none" w:sz="0" w:space="0" w:color="auto"/>
        <w:right w:val="none" w:sz="0" w:space="0" w:color="auto"/>
      </w:divBdr>
    </w:div>
    <w:div w:id="1300647246">
      <w:bodyDiv w:val="1"/>
      <w:marLeft w:val="0"/>
      <w:marRight w:val="0"/>
      <w:marTop w:val="0"/>
      <w:marBottom w:val="0"/>
      <w:divBdr>
        <w:top w:val="none" w:sz="0" w:space="0" w:color="auto"/>
        <w:left w:val="none" w:sz="0" w:space="0" w:color="auto"/>
        <w:bottom w:val="none" w:sz="0" w:space="0" w:color="auto"/>
        <w:right w:val="none" w:sz="0" w:space="0" w:color="auto"/>
      </w:divBdr>
    </w:div>
    <w:div w:id="19945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socta/2017" TargetMode="External"/><Relationship Id="rId2" Type="http://schemas.openxmlformats.org/officeDocument/2006/relationships/hyperlink" Target="https://www.europol.europa.eu/publications-documents/europol-strategy-2016-2020" TargetMode="External"/><Relationship Id="rId1" Type="http://schemas.openxmlformats.org/officeDocument/2006/relationships/hyperlink" Target="http://europa.eu/globalstrategy/en" TargetMode="External"/><Relationship Id="rId4" Type="http://schemas.openxmlformats.org/officeDocument/2006/relationships/hyperlink" Target="https://www.europol.europa.eu/sites/default/files/documents/tesat20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1257</Words>
  <Characters>6704</Characters>
  <Application>Microsoft Office Word</Application>
  <DocSecurity>0</DocSecurity>
  <Lines>124</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18</cp:revision>
  <dcterms:created xsi:type="dcterms:W3CDTF">2017-12-01T08:43:00Z</dcterms:created>
  <dcterms:modified xsi:type="dcterms:W3CDTF">2017-12-13T14:36:00Z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