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15DE173-1E80-4A32-8802-8013497B159A" style="width:450.35pt;height:397.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spacing w:before="0" w:after="200" w:line="276" w:lineRule="auto"/>
        <w:jc w:val="center"/>
        <w:rPr>
          <w:b/>
          <w:noProof/>
          <w:sz w:val="28"/>
          <w:szCs w:val="28"/>
        </w:rPr>
      </w:pPr>
      <w:r>
        <w:rPr>
          <w:b/>
          <w:noProof/>
          <w:sz w:val="28"/>
        </w:rPr>
        <w:t>РЕШЕНИЕ № 2018/1</w:t>
      </w:r>
    </w:p>
    <w:p>
      <w:pPr>
        <w:spacing w:before="0" w:after="200" w:line="276" w:lineRule="auto"/>
        <w:jc w:val="center"/>
        <w:rPr>
          <w:b/>
          <w:noProof/>
          <w:sz w:val="28"/>
          <w:szCs w:val="28"/>
        </w:rPr>
      </w:pPr>
      <w:r>
        <w:rPr>
          <w:b/>
          <w:noProof/>
          <w:sz w:val="28"/>
        </w:rPr>
        <w:t>НА СЪВЕТА НА МИНИСТРИТЕ НА ТРАНСПОРТНАТА ОБЩНОСТ</w:t>
      </w:r>
    </w:p>
    <w:p>
      <w:pPr>
        <w:spacing w:before="0" w:after="200" w:line="276" w:lineRule="auto"/>
        <w:jc w:val="left"/>
        <w:rPr>
          <w:b/>
          <w:noProof/>
          <w:sz w:val="28"/>
          <w:szCs w:val="28"/>
        </w:rPr>
      </w:pPr>
    </w:p>
    <w:p>
      <w:pPr>
        <w:spacing w:before="0" w:after="200" w:line="276" w:lineRule="auto"/>
        <w:rPr>
          <w:b/>
          <w:noProof/>
          <w:szCs w:val="24"/>
        </w:rPr>
      </w:pPr>
      <w:r>
        <w:rPr>
          <w:b/>
          <w:noProof/>
        </w:rPr>
        <w:t>D/2018/1/MC-TC от … 2018 г.: Процедурен правилник на Съвета на министрите</w:t>
      </w:r>
    </w:p>
    <w:p>
      <w:pPr>
        <w:spacing w:before="0" w:after="200" w:line="276" w:lineRule="auto"/>
        <w:rPr>
          <w:b/>
          <w:noProof/>
          <w:sz w:val="28"/>
          <w:szCs w:val="28"/>
        </w:rPr>
      </w:pPr>
    </w:p>
    <w:p>
      <w:pPr>
        <w:spacing w:before="0" w:after="200" w:line="276" w:lineRule="auto"/>
        <w:rPr>
          <w:noProof/>
          <w:szCs w:val="24"/>
        </w:rPr>
      </w:pPr>
      <w:r>
        <w:rPr>
          <w:noProof/>
        </w:rPr>
        <w:t>СЪВЕТЪТ НА МИНИСТРИТЕ НА ТРАНСПОРТНАТА ОБЩНОСТ,</w:t>
      </w:r>
    </w:p>
    <w:p>
      <w:pPr>
        <w:spacing w:before="0" w:after="200" w:line="276" w:lineRule="auto"/>
        <w:rPr>
          <w:noProof/>
          <w:szCs w:val="24"/>
        </w:rPr>
      </w:pPr>
      <w:r>
        <w:rPr>
          <w:noProof/>
        </w:rPr>
        <w:t>като взе предвид Договора за създаване на транспортната общност, и по-специално членове 21, 22 и 23 от него,</w:t>
      </w:r>
    </w:p>
    <w:p>
      <w:pPr>
        <w:spacing w:before="0" w:after="200" w:line="276" w:lineRule="auto"/>
        <w:rPr>
          <w:noProof/>
          <w:szCs w:val="24"/>
        </w:rPr>
      </w:pPr>
      <w:r>
        <w:rPr>
          <w:noProof/>
        </w:rPr>
        <w:t>РЕШИ:</w:t>
      </w:r>
    </w:p>
    <w:p>
      <w:pPr>
        <w:spacing w:before="0" w:after="200" w:line="276" w:lineRule="auto"/>
        <w:rPr>
          <w:noProof/>
          <w:szCs w:val="24"/>
        </w:rPr>
      </w:pPr>
    </w:p>
    <w:p>
      <w:pPr>
        <w:spacing w:before="0" w:after="200" w:line="276" w:lineRule="auto"/>
        <w:jc w:val="center"/>
        <w:rPr>
          <w:b/>
          <w:noProof/>
          <w:szCs w:val="24"/>
        </w:rPr>
      </w:pPr>
      <w:r>
        <w:rPr>
          <w:b/>
          <w:noProof/>
        </w:rPr>
        <w:t xml:space="preserve">Член единствен </w:t>
      </w:r>
    </w:p>
    <w:p>
      <w:pPr>
        <w:spacing w:before="0" w:after="200" w:line="276" w:lineRule="auto"/>
        <w:rPr>
          <w:noProof/>
          <w:szCs w:val="24"/>
          <w:highlight w:val="cyan"/>
        </w:rPr>
      </w:pPr>
      <w:r>
        <w:rPr>
          <w:noProof/>
        </w:rPr>
        <w:t>Процедурният правилник на Съвета на министрите, приложен към настоящото решение, се приема.</w:t>
      </w:r>
    </w:p>
    <w:p>
      <w:pPr>
        <w:spacing w:before="0" w:after="200" w:line="276" w:lineRule="auto"/>
        <w:rPr>
          <w:noProof/>
          <w:szCs w:val="24"/>
        </w:rPr>
      </w:pPr>
    </w:p>
    <w:p>
      <w:pPr>
        <w:spacing w:before="0" w:after="200" w:line="276" w:lineRule="auto"/>
        <w:rPr>
          <w:noProof/>
          <w:szCs w:val="24"/>
        </w:rPr>
      </w:pPr>
      <w:r>
        <w:rPr>
          <w:noProof/>
        </w:rPr>
        <w:t>Съставено в [...] на [...] 2018 година.</w:t>
      </w:r>
    </w:p>
    <w:p>
      <w:pPr>
        <w:spacing w:before="0" w:after="200" w:line="276" w:lineRule="auto"/>
        <w:rPr>
          <w:noProof/>
          <w:szCs w:val="24"/>
        </w:rPr>
      </w:pPr>
    </w:p>
    <w:p>
      <w:pPr>
        <w:spacing w:before="0" w:after="200" w:line="276" w:lineRule="auto"/>
        <w:rPr>
          <w:noProof/>
          <w:szCs w:val="24"/>
        </w:rPr>
      </w:pPr>
      <w:r>
        <w:rPr>
          <w:noProof/>
        </w:rPr>
        <w:t>За Съвета на министрите</w:t>
      </w:r>
    </w:p>
    <w:p>
      <w:pPr>
        <w:spacing w:before="0" w:after="200" w:line="276" w:lineRule="auto"/>
        <w:rPr>
          <w:noProof/>
          <w:szCs w:val="24"/>
        </w:rPr>
      </w:pPr>
    </w:p>
    <w:p>
      <w:pPr>
        <w:spacing w:before="0" w:after="200" w:line="276" w:lineRule="auto"/>
        <w:rPr>
          <w:noProof/>
          <w:szCs w:val="24"/>
        </w:rPr>
      </w:pPr>
      <w:r>
        <w:rPr>
          <w:noProof/>
        </w:rPr>
        <w:t>.................................</w:t>
      </w:r>
    </w:p>
    <w:p>
      <w:pPr>
        <w:spacing w:before="0" w:after="200" w:line="276" w:lineRule="auto"/>
        <w:jc w:val="left"/>
        <w:rPr>
          <w:b/>
          <w:noProof/>
          <w:sz w:val="28"/>
          <w:szCs w:val="28"/>
        </w:rPr>
      </w:pPr>
      <w:r>
        <w:rPr>
          <w:noProof/>
        </w:rPr>
        <w:br w:type="page"/>
      </w:r>
    </w:p>
    <w:p>
      <w:pPr>
        <w:spacing w:before="0" w:after="200" w:line="276" w:lineRule="auto"/>
        <w:jc w:val="center"/>
        <w:rPr>
          <w:b/>
          <w:noProof/>
          <w:sz w:val="28"/>
          <w:szCs w:val="28"/>
        </w:rPr>
      </w:pPr>
      <w:r>
        <w:rPr>
          <w:b/>
          <w:noProof/>
          <w:sz w:val="28"/>
        </w:rPr>
        <w:t>ПРИТУРКА: ПРОЦЕДУРЕН ПРАВИЛНИК НА СЪВЕТА НА МИНИСТРИТЕ НА ТРАНСПОРТНАТА ОБЩНОСТ</w:t>
      </w:r>
    </w:p>
    <w:p>
      <w:pPr>
        <w:spacing w:before="0" w:after="200" w:line="276" w:lineRule="auto"/>
        <w:jc w:val="left"/>
        <w:rPr>
          <w:b/>
          <w:noProof/>
          <w:szCs w:val="24"/>
        </w:rPr>
      </w:pPr>
    </w:p>
    <w:p>
      <w:pPr>
        <w:spacing w:before="0" w:after="200" w:line="276" w:lineRule="auto"/>
        <w:jc w:val="left"/>
        <w:rPr>
          <w:b/>
          <w:noProof/>
          <w:szCs w:val="24"/>
        </w:rPr>
      </w:pPr>
      <w:r>
        <w:rPr>
          <w:b/>
          <w:noProof/>
        </w:rPr>
        <w:t>I.</w:t>
      </w:r>
      <w:r>
        <w:rPr>
          <w:noProof/>
        </w:rPr>
        <w:tab/>
      </w:r>
      <w:r>
        <w:rPr>
          <w:b/>
          <w:noProof/>
        </w:rPr>
        <w:t>ОБЩИ ПОЛОЖЕНИЯ</w:t>
      </w:r>
    </w:p>
    <w:p>
      <w:pPr>
        <w:spacing w:before="0" w:after="200" w:line="276" w:lineRule="auto"/>
        <w:rPr>
          <w:noProof/>
          <w:szCs w:val="24"/>
        </w:rPr>
      </w:pPr>
      <w:r>
        <w:rPr>
          <w:noProof/>
        </w:rPr>
        <w:t>1.</w:t>
      </w:r>
      <w:r>
        <w:rPr>
          <w:noProof/>
        </w:rPr>
        <w:tab/>
        <w:t>С настоящия процедурен правилник се определят вътрешните процедури за функционирането на Съвета на министрите като институция по силата на Договора за създаване на Транспортната общност („договорът“).</w:t>
      </w:r>
    </w:p>
    <w:p>
      <w:pPr>
        <w:spacing w:before="0" w:after="200" w:line="276" w:lineRule="auto"/>
        <w:rPr>
          <w:noProof/>
          <w:szCs w:val="24"/>
        </w:rPr>
      </w:pPr>
      <w:r>
        <w:rPr>
          <w:noProof/>
        </w:rPr>
        <w:t>2.</w:t>
      </w:r>
      <w:r>
        <w:rPr>
          <w:noProof/>
        </w:rPr>
        <w:tab/>
        <w:t>В случай на противоречие между настоящия процедурен правилник и договора, се прилагат разпоредбите на договора.</w:t>
      </w:r>
    </w:p>
    <w:p>
      <w:pPr>
        <w:spacing w:before="0" w:after="200" w:line="276" w:lineRule="auto"/>
        <w:jc w:val="left"/>
        <w:rPr>
          <w:b/>
          <w:noProof/>
          <w:szCs w:val="24"/>
        </w:rPr>
      </w:pPr>
      <w:r>
        <w:rPr>
          <w:b/>
          <w:noProof/>
        </w:rPr>
        <w:t>II.</w:t>
      </w:r>
      <w:r>
        <w:rPr>
          <w:noProof/>
        </w:rPr>
        <w:tab/>
      </w:r>
      <w:r>
        <w:rPr>
          <w:b/>
          <w:noProof/>
        </w:rPr>
        <w:t>СТРАНИ, НАБЛЮДАТЕЛИ И ДРУГИ УЧАСТНИЦИ</w:t>
      </w:r>
    </w:p>
    <w:p>
      <w:pPr>
        <w:spacing w:before="0" w:after="200" w:line="276" w:lineRule="auto"/>
        <w:rPr>
          <w:noProof/>
          <w:szCs w:val="24"/>
        </w:rPr>
      </w:pPr>
      <w:r>
        <w:rPr>
          <w:noProof/>
        </w:rPr>
        <w:t>1.</w:t>
      </w:r>
      <w:r>
        <w:rPr>
          <w:noProof/>
        </w:rPr>
        <w:tab/>
        <w:t xml:space="preserve">Като общо правило, страните по договора следва да бъдат представени в Съвета на министрите на министерско или равностойно равнище. </w:t>
      </w:r>
    </w:p>
    <w:p>
      <w:pPr>
        <w:spacing w:before="0" w:after="200" w:line="276" w:lineRule="auto"/>
        <w:rPr>
          <w:noProof/>
          <w:szCs w:val="24"/>
        </w:rPr>
      </w:pPr>
      <w:r>
        <w:rPr>
          <w:noProof/>
        </w:rPr>
        <w:t>2.</w:t>
      </w:r>
      <w:r>
        <w:rPr>
          <w:noProof/>
        </w:rPr>
        <w:tab/>
        <w:t>Без да се засяга позицията на наблюдателите в съответствие с член 22, второто изречение от договора, председателят и заместник-председателят, както е посочено в раздел III, точка 2, когато е уместно, може да се съгласят да поканят представители на други държави, международни организации или други организации, включително представители на гражданското общество,</w:t>
      </w:r>
      <w:r>
        <w:rPr>
          <w:rFonts w:asciiTheme="minorHAnsi" w:hAnsiTheme="minorHAnsi" w:cstheme="minorBidi"/>
          <w:noProof/>
          <w:sz w:val="22"/>
        </w:rPr>
        <w:t xml:space="preserve"> </w:t>
      </w:r>
      <w:r>
        <w:rPr>
          <w:noProof/>
        </w:rPr>
        <w:t>да присъстват на ad hoc принцип на конкретни заседания на Съвета на министрите или на една или повече части от тях.</w:t>
      </w:r>
    </w:p>
    <w:p>
      <w:pPr>
        <w:spacing w:before="0" w:after="200" w:line="276" w:lineRule="auto"/>
        <w:rPr>
          <w:noProof/>
          <w:szCs w:val="24"/>
        </w:rPr>
      </w:pPr>
      <w:r>
        <w:rPr>
          <w:noProof/>
        </w:rPr>
        <w:t>3.</w:t>
      </w:r>
      <w:r>
        <w:rPr>
          <w:noProof/>
        </w:rPr>
        <w:tab/>
        <w:t>Когато председателят и заместник-председателят се съгласят да поканят представители на други държави, международни организации или други организации, председателят информира страните по договора и Постоянния секретариат на транспортната общност („секретариатът“) най-малко три седмици преди заседанието. Страните по договора и секретариатът може да представят становищата си на председателя в рамките на пет работни дни от получаването на посочената информация.</w:t>
      </w:r>
    </w:p>
    <w:p>
      <w:pPr>
        <w:spacing w:before="0" w:after="200" w:line="276" w:lineRule="auto"/>
        <w:jc w:val="left"/>
        <w:rPr>
          <w:b/>
          <w:noProof/>
          <w:szCs w:val="24"/>
        </w:rPr>
      </w:pPr>
      <w:r>
        <w:rPr>
          <w:b/>
          <w:noProof/>
        </w:rPr>
        <w:t>III.</w:t>
      </w:r>
      <w:r>
        <w:rPr>
          <w:noProof/>
        </w:rPr>
        <w:tab/>
      </w:r>
      <w:r>
        <w:rPr>
          <w:b/>
          <w:noProof/>
        </w:rPr>
        <w:t>ПРЕДСЕДАТЕЛ</w:t>
      </w:r>
    </w:p>
    <w:p>
      <w:pPr>
        <w:spacing w:before="0" w:after="200" w:line="276" w:lineRule="auto"/>
        <w:rPr>
          <w:noProof/>
          <w:szCs w:val="24"/>
        </w:rPr>
      </w:pPr>
      <w:r>
        <w:rPr>
          <w:noProof/>
        </w:rPr>
        <w:t>1.</w:t>
      </w:r>
      <w:r>
        <w:rPr>
          <w:noProof/>
        </w:rPr>
        <w:tab/>
        <w:t>Председателството на Съвета на министрите се поема от същата страна по договора от Югоизточна Европа, която председателства Регионалния управителен комитет в съответствие с член 24, параграф 6 от договора и разпоредбите, предвидени в процедурния правилник на Регионалния управителен комитет.</w:t>
      </w:r>
    </w:p>
    <w:p>
      <w:pPr>
        <w:spacing w:before="0" w:after="200" w:line="276" w:lineRule="auto"/>
        <w:rPr>
          <w:noProof/>
          <w:szCs w:val="24"/>
        </w:rPr>
      </w:pPr>
      <w:r>
        <w:rPr>
          <w:noProof/>
        </w:rPr>
        <w:t>2.</w:t>
      </w:r>
      <w:r>
        <w:rPr>
          <w:noProof/>
        </w:rPr>
        <w:tab/>
        <w:t>Председателят ръководи заседанията на Съвета на министрите. Той се подпомага от един представител на Европейския съюз и един представител на следващото председателство, наричани заедно „заместник-председател“.</w:t>
      </w:r>
    </w:p>
    <w:p>
      <w:pPr>
        <w:spacing w:before="0" w:after="200" w:line="276" w:lineRule="auto"/>
        <w:rPr>
          <w:noProof/>
          <w:szCs w:val="24"/>
        </w:rPr>
      </w:pPr>
      <w:r>
        <w:rPr>
          <w:noProof/>
        </w:rPr>
        <w:t>3.</w:t>
      </w:r>
      <w:r>
        <w:rPr>
          <w:noProof/>
        </w:rPr>
        <w:tab/>
        <w:t>В случай че председателят не е в състояние да изпълнява задълженията си по време на конкретно заседание, въпросното заседание се председателства от представителя на Европейския съюз в качеството му на заместник-председател.</w:t>
      </w:r>
    </w:p>
    <w:p>
      <w:pPr>
        <w:spacing w:before="0" w:after="200" w:line="276" w:lineRule="auto"/>
        <w:jc w:val="left"/>
        <w:rPr>
          <w:b/>
          <w:noProof/>
          <w:szCs w:val="24"/>
        </w:rPr>
      </w:pPr>
      <w:r>
        <w:rPr>
          <w:b/>
          <w:noProof/>
        </w:rPr>
        <w:t xml:space="preserve">IV. </w:t>
      </w:r>
      <w:r>
        <w:rPr>
          <w:noProof/>
        </w:rPr>
        <w:tab/>
      </w:r>
      <w:r>
        <w:rPr>
          <w:b/>
          <w:noProof/>
        </w:rPr>
        <w:t>ПОДГОТОВКА НА ЗАСЕДАНИЯТА</w:t>
      </w:r>
    </w:p>
    <w:p>
      <w:pPr>
        <w:spacing w:before="0" w:after="200" w:line="276" w:lineRule="auto"/>
        <w:rPr>
          <w:noProof/>
          <w:szCs w:val="24"/>
        </w:rPr>
      </w:pPr>
      <w:r>
        <w:rPr>
          <w:noProof/>
        </w:rPr>
        <w:t>1.</w:t>
      </w:r>
      <w:r>
        <w:rPr>
          <w:noProof/>
        </w:rPr>
        <w:tab/>
        <w:t>В допълнение към заседанията, организирани ежегодно в съответствие с член 23 от договора, Съветът на министрите може да провежда и други заседания, ако това е наложително. За тези цели заседанията се свикват от председателя, след постигнато споразумение със заместник-председателя.</w:t>
      </w:r>
    </w:p>
    <w:p>
      <w:pPr>
        <w:spacing w:before="0" w:after="200" w:line="276" w:lineRule="auto"/>
        <w:rPr>
          <w:noProof/>
          <w:szCs w:val="24"/>
        </w:rPr>
      </w:pPr>
      <w:r>
        <w:rPr>
          <w:noProof/>
        </w:rPr>
        <w:t>2.</w:t>
      </w:r>
      <w:r>
        <w:rPr>
          <w:noProof/>
        </w:rPr>
        <w:tab/>
        <w:t>Мястото на заседанията на Съвета на министрите се определя от председателя, след консултации със заместник-председателя и секретариата. Решение за това се взема най-малко два месеца преди съответното заседание. Приносът на секретариата към организационните разходи за заседанията, провеждани извън седалището на секретариата, е предмет на неговите вътрешни бюджетни правила.</w:t>
      </w:r>
    </w:p>
    <w:p>
      <w:pPr>
        <w:spacing w:before="0" w:after="200" w:line="276" w:lineRule="auto"/>
        <w:rPr>
          <w:noProof/>
          <w:szCs w:val="24"/>
        </w:rPr>
      </w:pPr>
      <w:r>
        <w:rPr>
          <w:noProof/>
        </w:rPr>
        <w:t>3.</w:t>
      </w:r>
      <w:r>
        <w:rPr>
          <w:noProof/>
        </w:rPr>
        <w:tab/>
        <w:t>Датите на заседанията се съгласуват между председателя, заместник-председателя и секретариата. Като общо правило, датите се съгласуват най-малко два месеца преди съответното заседание.</w:t>
      </w:r>
    </w:p>
    <w:p>
      <w:pPr>
        <w:spacing w:before="0" w:after="200" w:line="276" w:lineRule="auto"/>
        <w:rPr>
          <w:noProof/>
          <w:szCs w:val="24"/>
        </w:rPr>
      </w:pPr>
      <w:r>
        <w:rPr>
          <w:noProof/>
        </w:rPr>
        <w:t>4.</w:t>
      </w:r>
      <w:r>
        <w:rPr>
          <w:noProof/>
        </w:rPr>
        <w:tab/>
        <w:t>Проектът на дневния ред се съгласува между председателя, заместник-председателя и секретариата. Проектът на дневния ред и всички документи, свързани с него, се предоставят на страните по договора и на наблюдателите най-малко два месеца преди съответното заседание. Страните по договора могат да правят коментари и да предлагат добавянето на нови точки от дневния ред. Материали, представляващи интерес за тях, се изпращат и до представителите, поканени в съответствие с раздел II, точка 2.</w:t>
      </w:r>
    </w:p>
    <w:p>
      <w:pPr>
        <w:spacing w:before="0" w:after="200" w:line="276" w:lineRule="auto"/>
        <w:rPr>
          <w:noProof/>
          <w:szCs w:val="24"/>
        </w:rPr>
      </w:pPr>
      <w:r>
        <w:rPr>
          <w:noProof/>
        </w:rPr>
        <w:t>5.</w:t>
      </w:r>
      <w:r>
        <w:rPr>
          <w:noProof/>
        </w:rPr>
        <w:tab/>
        <w:t>Секретариатът отговаря за подготовката на заседанията. Той информира председателя и заместник-председателя периодично и при поискване относно процеса на подготовка и следва техните препоръки и насоки в това отношение.</w:t>
      </w:r>
    </w:p>
    <w:p>
      <w:pPr>
        <w:spacing w:before="0" w:after="200" w:line="276" w:lineRule="auto"/>
        <w:jc w:val="left"/>
        <w:rPr>
          <w:b/>
          <w:noProof/>
          <w:szCs w:val="24"/>
        </w:rPr>
      </w:pPr>
      <w:r>
        <w:rPr>
          <w:b/>
          <w:noProof/>
        </w:rPr>
        <w:t>V.</w:t>
      </w:r>
      <w:r>
        <w:rPr>
          <w:noProof/>
        </w:rPr>
        <w:tab/>
      </w:r>
      <w:r>
        <w:rPr>
          <w:b/>
          <w:noProof/>
        </w:rPr>
        <w:t xml:space="preserve">ЗАСЕДАНИЯ НА СЪВЕТА НА МИНИСТРИТЕ — ПРОЦЕДУРНИ ПРАВИЛА    </w:t>
      </w:r>
    </w:p>
    <w:p>
      <w:pPr>
        <w:spacing w:before="0" w:after="200" w:line="276" w:lineRule="auto"/>
        <w:rPr>
          <w:noProof/>
          <w:szCs w:val="24"/>
        </w:rPr>
      </w:pPr>
      <w:r>
        <w:rPr>
          <w:noProof/>
        </w:rPr>
        <w:t xml:space="preserve">1. </w:t>
      </w:r>
      <w:r>
        <w:rPr>
          <w:noProof/>
        </w:rPr>
        <w:tab/>
        <w:t>Заседанията на Съвета на министрите са закрити, освен ако Съветът на министрите реши друго.</w:t>
      </w:r>
    </w:p>
    <w:p>
      <w:pPr>
        <w:spacing w:before="0" w:after="200" w:line="276" w:lineRule="auto"/>
        <w:rPr>
          <w:noProof/>
          <w:szCs w:val="24"/>
        </w:rPr>
      </w:pPr>
      <w:r>
        <w:rPr>
          <w:noProof/>
        </w:rPr>
        <w:t xml:space="preserve">2. </w:t>
      </w:r>
      <w:r>
        <w:rPr>
          <w:noProof/>
        </w:rPr>
        <w:tab/>
        <w:t>Всяка страна по договора или друг участник в заседанието могат да бъдат придружавани от длъжностни лица, които да ги подпомагат. Имената и функциите на тези длъжностни лица се съобщават предварително на секретариата. Като общо правило, тези длъжностни лица не може да бъдат повече от три за всяка от страните по договора и повече от две за всеки друг участник в заседанието. Независимо от това, председателят може допълнително да предостави становище относно максималния брой представители от всяка делегация.</w:t>
      </w:r>
    </w:p>
    <w:p>
      <w:pPr>
        <w:spacing w:before="0" w:after="200" w:line="276" w:lineRule="auto"/>
        <w:rPr>
          <w:noProof/>
          <w:szCs w:val="24"/>
        </w:rPr>
      </w:pPr>
      <w:r>
        <w:rPr>
          <w:noProof/>
        </w:rPr>
        <w:t>3.</w:t>
      </w:r>
      <w:r>
        <w:rPr>
          <w:noProof/>
        </w:rPr>
        <w:tab/>
        <w:t>Задължителният кворум в Съвета на министрите се счита за достигнат, само ако са представени четири от страните по договора от Югоизточна Европа и Европейският съюз.</w:t>
      </w:r>
    </w:p>
    <w:p>
      <w:pPr>
        <w:spacing w:before="0" w:after="200" w:line="276" w:lineRule="auto"/>
        <w:rPr>
          <w:noProof/>
          <w:szCs w:val="24"/>
        </w:rPr>
      </w:pPr>
      <w:r>
        <w:rPr>
          <w:noProof/>
        </w:rPr>
        <w:t>4.</w:t>
      </w:r>
      <w:r>
        <w:rPr>
          <w:noProof/>
        </w:rPr>
        <w:tab/>
        <w:t>Съветът на министрите взема решения с консенсус.</w:t>
      </w:r>
      <w:r>
        <w:rPr>
          <w:rFonts w:asciiTheme="minorHAnsi" w:hAnsiTheme="minorHAnsi" w:cstheme="minorBidi"/>
          <w:noProof/>
          <w:sz w:val="22"/>
        </w:rPr>
        <w:t xml:space="preserve"> </w:t>
      </w:r>
      <w:r>
        <w:rPr>
          <w:noProof/>
        </w:rPr>
        <w:t>Въздържането от гласуване на дадена страна по договора не е пречка Съветът на министрите да предприеме съответните действия, при условие че е налице кворум в съответствие с точка 3 от настоящия раздел.</w:t>
      </w:r>
    </w:p>
    <w:p>
      <w:pPr>
        <w:spacing w:before="0" w:after="200" w:line="276" w:lineRule="auto"/>
        <w:rPr>
          <w:noProof/>
          <w:szCs w:val="24"/>
        </w:rPr>
      </w:pPr>
      <w:r>
        <w:rPr>
          <w:noProof/>
        </w:rPr>
        <w:t>5.</w:t>
      </w:r>
      <w:r>
        <w:rPr>
          <w:noProof/>
        </w:rPr>
        <w:tab/>
        <w:t>Дневният ред на заседанието се одобрява в неговото начало. В спешни случаи по време на заседанието в дневния ред могат да бъдат включени нови точки със съгласието на председателя и заместник-председателя.</w:t>
      </w:r>
    </w:p>
    <w:p>
      <w:pPr>
        <w:spacing w:before="0" w:after="200" w:line="276" w:lineRule="auto"/>
        <w:rPr>
          <w:noProof/>
          <w:szCs w:val="24"/>
        </w:rPr>
      </w:pPr>
      <w:r>
        <w:rPr>
          <w:noProof/>
        </w:rPr>
        <w:t>6.</w:t>
      </w:r>
      <w:r>
        <w:rPr>
          <w:noProof/>
        </w:rPr>
        <w:tab/>
        <w:t xml:space="preserve">Наблюдателите могат да правят изявления след получаване на разрешение или ако са поканени от председателя. </w:t>
      </w:r>
    </w:p>
    <w:p>
      <w:pPr>
        <w:spacing w:before="0" w:after="200" w:line="276" w:lineRule="auto"/>
        <w:rPr>
          <w:noProof/>
          <w:szCs w:val="24"/>
        </w:rPr>
      </w:pPr>
      <w:r>
        <w:rPr>
          <w:noProof/>
        </w:rPr>
        <w:t>7.</w:t>
      </w:r>
      <w:r>
        <w:rPr>
          <w:noProof/>
        </w:rPr>
        <w:tab/>
        <w:t>Лицата, поканени в съответствие с раздел II, точка 2, могат да участват в обсъжданията, но не могат да вземат участие в каквото и да било действие на Съвета на министрите.</w:t>
      </w:r>
    </w:p>
    <w:p>
      <w:pPr>
        <w:spacing w:before="0" w:after="200" w:line="276" w:lineRule="auto"/>
        <w:rPr>
          <w:noProof/>
          <w:szCs w:val="24"/>
        </w:rPr>
      </w:pPr>
      <w:r>
        <w:rPr>
          <w:noProof/>
        </w:rPr>
        <w:t>8.</w:t>
      </w:r>
      <w:r>
        <w:rPr>
          <w:noProof/>
        </w:rPr>
        <w:tab/>
        <w:t>С помощта на секретариата се изготвят заключения от всяко заседание. Те се подписват от председателя и се предоставят на страните по договора и наблюдателите. В случай че до края на съответното заседание не е възможно проектозаключенията да бъдат финализирани, председателят осигурява тяхното финализиране и разпространяване в рамките на седем календарни дни след заседанието. Всяка от страните по договора може да поиска поправки в рамките на седем календарни дни от получаването на проектозаключенията. Председателят осигурява разпространяването на окончателния текст в рамките на седем дни след изтичането на крайния срок за представяне на коментари.</w:t>
      </w:r>
    </w:p>
    <w:p>
      <w:pPr>
        <w:spacing w:before="0" w:after="200" w:line="276" w:lineRule="auto"/>
        <w:rPr>
          <w:noProof/>
          <w:szCs w:val="24"/>
        </w:rPr>
      </w:pPr>
      <w:r>
        <w:rPr>
          <w:noProof/>
        </w:rPr>
        <w:t>9.</w:t>
      </w:r>
      <w:r>
        <w:rPr>
          <w:noProof/>
        </w:rPr>
        <w:tab/>
        <w:t>Всички общи политически насоки или мерки, приети на заседанието, се записват в заключенията.</w:t>
      </w:r>
    </w:p>
    <w:p>
      <w:pPr>
        <w:spacing w:before="0" w:after="200" w:line="276" w:lineRule="auto"/>
        <w:rPr>
          <w:noProof/>
          <w:szCs w:val="24"/>
        </w:rPr>
      </w:pPr>
      <w:r>
        <w:rPr>
          <w:noProof/>
        </w:rPr>
        <w:t>10.</w:t>
      </w:r>
      <w:r>
        <w:rPr>
          <w:noProof/>
        </w:rPr>
        <w:tab/>
        <w:t>Заключенията от заседанията не могат по никакъв начин да ограничат обхвата или правните последици от законодателни актове или от договора. Не се допускат декларации или заключения, които са в противоречие със задължителни правни разпоредби. Заключенията от заседанията не представляват част от законодателни актове, нито имат нормативен характер.</w:t>
      </w:r>
    </w:p>
    <w:p>
      <w:pPr>
        <w:spacing w:before="0" w:after="200" w:line="276" w:lineRule="auto"/>
        <w:rPr>
          <w:b/>
          <w:noProof/>
          <w:szCs w:val="24"/>
        </w:rPr>
      </w:pPr>
      <w:r>
        <w:rPr>
          <w:b/>
          <w:noProof/>
        </w:rPr>
        <w:t>VI.</w:t>
      </w:r>
      <w:r>
        <w:rPr>
          <w:noProof/>
        </w:rPr>
        <w:tab/>
      </w:r>
      <w:r>
        <w:rPr>
          <w:b/>
          <w:noProof/>
        </w:rPr>
        <w:t xml:space="preserve">ФОРМИ НА ДЕЙСТВИЕ И ПРОЦЕДУРА, КОЯТО ТРЯБВА ДА БЪДЕ СЛЕДВАНА ОТ СЪВЕТА НА МИНИСТРИТЕ </w:t>
      </w:r>
    </w:p>
    <w:p>
      <w:pPr>
        <w:spacing w:before="0" w:after="200" w:line="276" w:lineRule="auto"/>
        <w:rPr>
          <w:noProof/>
          <w:szCs w:val="24"/>
        </w:rPr>
      </w:pPr>
      <w:r>
        <w:rPr>
          <w:noProof/>
        </w:rPr>
        <w:t>1.</w:t>
      </w:r>
      <w:r>
        <w:rPr>
          <w:noProof/>
        </w:rPr>
        <w:tab/>
        <w:t xml:space="preserve">Съветът на министрите действа като приема, според случая: </w:t>
      </w:r>
    </w:p>
    <w:p>
      <w:pPr>
        <w:spacing w:before="0" w:after="200" w:line="276" w:lineRule="auto"/>
        <w:ind w:firstLine="720"/>
        <w:rPr>
          <w:noProof/>
          <w:szCs w:val="24"/>
        </w:rPr>
      </w:pPr>
      <w:r>
        <w:rPr>
          <w:noProof/>
        </w:rPr>
        <w:t>— общи политически насоки и</w:t>
      </w:r>
    </w:p>
    <w:p>
      <w:pPr>
        <w:spacing w:before="0" w:after="200" w:line="276" w:lineRule="auto"/>
        <w:ind w:firstLine="720"/>
        <w:rPr>
          <w:noProof/>
          <w:szCs w:val="24"/>
        </w:rPr>
      </w:pPr>
      <w:r>
        <w:rPr>
          <w:noProof/>
        </w:rPr>
        <w:t>— решения, препоръки или становища (наричани заедно „мерки“).</w:t>
      </w:r>
    </w:p>
    <w:p>
      <w:pPr>
        <w:spacing w:before="0" w:after="200" w:line="276" w:lineRule="auto"/>
        <w:rPr>
          <w:noProof/>
          <w:szCs w:val="24"/>
        </w:rPr>
      </w:pPr>
      <w:r>
        <w:rPr>
          <w:noProof/>
        </w:rPr>
        <w:t>Приемането на правила, предназначени да гарантират функционирането на Съвета на министрите, както и приемането на доклади, се счита за приемане на решения.</w:t>
      </w:r>
    </w:p>
    <w:p>
      <w:pPr>
        <w:spacing w:before="0" w:after="200" w:line="276" w:lineRule="auto"/>
        <w:rPr>
          <w:noProof/>
          <w:szCs w:val="24"/>
        </w:rPr>
      </w:pPr>
      <w:r>
        <w:rPr>
          <w:noProof/>
        </w:rPr>
        <w:t xml:space="preserve">2. </w:t>
      </w:r>
      <w:r>
        <w:rPr>
          <w:noProof/>
        </w:rPr>
        <w:tab/>
        <w:t xml:space="preserve">След като общите политически насоки или мерките са приети или изменени, те незабавно се подписват от председателя и след това се изпращат от секретариата до всички страни по договора. </w:t>
      </w:r>
    </w:p>
    <w:p>
      <w:pPr>
        <w:spacing w:before="0" w:after="200" w:line="276" w:lineRule="auto"/>
        <w:rPr>
          <w:noProof/>
          <w:szCs w:val="24"/>
        </w:rPr>
      </w:pPr>
      <w:r>
        <w:rPr>
          <w:noProof/>
        </w:rPr>
        <w:t>3.</w:t>
      </w:r>
      <w:r>
        <w:rPr>
          <w:noProof/>
        </w:rPr>
        <w:tab/>
        <w:t>Освен ако в тях е предвидено друго, общите политически насоки и мерките влизат в сила от датата на приемането им.</w:t>
      </w:r>
    </w:p>
    <w:p>
      <w:pPr>
        <w:spacing w:before="0" w:after="200" w:line="276" w:lineRule="auto"/>
        <w:rPr>
          <w:b/>
          <w:noProof/>
          <w:szCs w:val="24"/>
        </w:rPr>
      </w:pPr>
      <w:r>
        <w:rPr>
          <w:b/>
          <w:noProof/>
        </w:rPr>
        <w:t>Общи политически насоки</w:t>
      </w:r>
    </w:p>
    <w:p>
      <w:pPr>
        <w:spacing w:before="0" w:after="200" w:line="276" w:lineRule="auto"/>
        <w:rPr>
          <w:noProof/>
          <w:szCs w:val="24"/>
        </w:rPr>
      </w:pPr>
      <w:r>
        <w:rPr>
          <w:noProof/>
        </w:rPr>
        <w:t>4.</w:t>
      </w:r>
      <w:r>
        <w:rPr>
          <w:noProof/>
        </w:rPr>
        <w:tab/>
        <w:t>Страна по договора или секретариатът може да поиска приемане или изменение на общите политически насоки. Искането се отправя писмено и съдържа достатъчно информация, поясняваща необходимостта от приемане или изменение на предложените насоки от страна на Съвета на министрите.</w:t>
      </w:r>
    </w:p>
    <w:p>
      <w:pPr>
        <w:spacing w:before="0" w:after="200" w:line="276" w:lineRule="auto"/>
        <w:rPr>
          <w:noProof/>
          <w:szCs w:val="24"/>
        </w:rPr>
      </w:pPr>
      <w:r>
        <w:rPr>
          <w:noProof/>
        </w:rPr>
        <w:t>5.</w:t>
      </w:r>
      <w:r>
        <w:rPr>
          <w:noProof/>
        </w:rPr>
        <w:tab/>
        <w:t>Отправилата писменото искане страна по договора го подава до председателя, с копие до заместник-председателя и до секретариата. Председателят уведомява всички други страни по договора в срок от седем календарни дни след получаване на искането. При необходимост отправилата искането страна по договора или секретариатът иска становището на Регионалния управителен комитет.</w:t>
      </w:r>
    </w:p>
    <w:p>
      <w:pPr>
        <w:spacing w:before="0" w:after="200" w:line="276" w:lineRule="auto"/>
        <w:rPr>
          <w:noProof/>
          <w:szCs w:val="24"/>
        </w:rPr>
      </w:pPr>
      <w:r>
        <w:rPr>
          <w:noProof/>
        </w:rPr>
        <w:t>6.</w:t>
      </w:r>
      <w:r>
        <w:rPr>
          <w:noProof/>
        </w:rPr>
        <w:tab/>
        <w:t>След консултация и със съгласието на заместник-председателя, председателят организира изготвянето на проект на позиция на Съвета на министрите, който се представя за обсъждане на следващото заседание на Съвета на министрите. Проектът на позиция се изпраща до всички страни по договора най-малко 30 календарни дни преди заседанието.</w:t>
      </w:r>
    </w:p>
    <w:p>
      <w:pPr>
        <w:spacing w:before="0" w:after="200" w:line="276" w:lineRule="auto"/>
        <w:rPr>
          <w:noProof/>
          <w:szCs w:val="24"/>
        </w:rPr>
      </w:pPr>
      <w:r>
        <w:rPr>
          <w:noProof/>
        </w:rPr>
        <w:t>7.</w:t>
      </w:r>
      <w:r>
        <w:rPr>
          <w:noProof/>
        </w:rPr>
        <w:tab/>
        <w:t>В надлежно обосновани случаи общите политически насоки могат да бъдат приемани или изменяни, без да се използват форматът и процедурите, посочени в точки 4—6 от настоящия раздел.</w:t>
      </w:r>
    </w:p>
    <w:p>
      <w:pPr>
        <w:spacing w:before="0" w:after="200" w:line="276" w:lineRule="auto"/>
        <w:rPr>
          <w:b/>
          <w:noProof/>
          <w:szCs w:val="24"/>
        </w:rPr>
      </w:pPr>
      <w:r>
        <w:rPr>
          <w:b/>
          <w:noProof/>
        </w:rPr>
        <w:t>Мерки</w:t>
      </w:r>
    </w:p>
    <w:p>
      <w:pPr>
        <w:spacing w:before="0" w:after="200" w:line="276" w:lineRule="auto"/>
        <w:rPr>
          <w:noProof/>
          <w:szCs w:val="24"/>
        </w:rPr>
      </w:pPr>
      <w:r>
        <w:rPr>
          <w:noProof/>
        </w:rPr>
        <w:t>9.</w:t>
      </w:r>
      <w:r>
        <w:rPr>
          <w:noProof/>
        </w:rPr>
        <w:tab/>
        <w:t>Освен ако е посочено друго в настоящия процедурен правилник или в други правила, предвидени от Съвета на министрите за конкретни случаи, приемането или изменението на мерките се извършва по същата процедура.</w:t>
      </w:r>
    </w:p>
    <w:p>
      <w:pPr>
        <w:spacing w:before="0" w:after="200" w:line="276" w:lineRule="auto"/>
        <w:rPr>
          <w:noProof/>
          <w:szCs w:val="24"/>
        </w:rPr>
      </w:pPr>
      <w:r>
        <w:rPr>
          <w:noProof/>
        </w:rPr>
        <w:t>10.</w:t>
      </w:r>
      <w:r>
        <w:rPr>
          <w:noProof/>
        </w:rPr>
        <w:tab/>
        <w:t>Всяко искане за приемане или за изменение на мярка от страна по договора или от секретариата трябва да бъде отправено писмено най-малко 60 календарни дни преди заседанието на Съвета на министрите, на което то ще се обсъжда.</w:t>
      </w:r>
    </w:p>
    <w:p>
      <w:pPr>
        <w:spacing w:before="0" w:after="200" w:line="276" w:lineRule="auto"/>
        <w:rPr>
          <w:noProof/>
          <w:szCs w:val="24"/>
        </w:rPr>
      </w:pPr>
      <w:r>
        <w:rPr>
          <w:noProof/>
        </w:rPr>
        <w:t>11.</w:t>
      </w:r>
      <w:r>
        <w:rPr>
          <w:noProof/>
        </w:rPr>
        <w:tab/>
        <w:t>Искането се изпраща до председателя, с копие до всички страни по договора и до секретариата. То е придружено от съответните обяснителни бележки. При необходимост се търси становището на Регионалния управителен комитет от отправилата искането страна по договора или от секретариата.</w:t>
      </w:r>
    </w:p>
    <w:p>
      <w:pPr>
        <w:spacing w:before="0" w:after="200" w:line="276" w:lineRule="auto"/>
        <w:rPr>
          <w:noProof/>
          <w:szCs w:val="24"/>
        </w:rPr>
      </w:pPr>
      <w:r>
        <w:rPr>
          <w:noProof/>
        </w:rPr>
        <w:t>12.</w:t>
      </w:r>
      <w:r>
        <w:rPr>
          <w:noProof/>
        </w:rPr>
        <w:tab/>
        <w:t>В надлежно обосновани случаи мерките могат да бъдат приемани или изменяни, без да се използват форматът и процедурите, посочени в точки 10 и 11 от настоящия раздел.</w:t>
      </w:r>
    </w:p>
    <w:p>
      <w:pPr>
        <w:spacing w:before="0" w:after="200" w:line="276" w:lineRule="auto"/>
        <w:rPr>
          <w:b/>
          <w:noProof/>
          <w:szCs w:val="24"/>
        </w:rPr>
      </w:pPr>
      <w:r>
        <w:rPr>
          <w:b/>
          <w:noProof/>
        </w:rPr>
        <w:t>Приемане на общи политически насоки и мерки посредством кореспонденция</w:t>
      </w:r>
    </w:p>
    <w:p>
      <w:pPr>
        <w:spacing w:before="0" w:after="200" w:line="276" w:lineRule="auto"/>
        <w:rPr>
          <w:noProof/>
          <w:szCs w:val="24"/>
        </w:rPr>
      </w:pPr>
      <w:r>
        <w:rPr>
          <w:noProof/>
        </w:rPr>
        <w:t>13.</w:t>
      </w:r>
      <w:r>
        <w:rPr>
          <w:noProof/>
        </w:rPr>
        <w:tab/>
        <w:t>В интервалите между заседанията си Съветът на министрите може да приема и изменя общите политически насоки или мерките посредством кореспонденция. По искане на някоя от страните по договора или на секретариата за приемане посредством кореспонденция на общи политически насоки или мерки или по своя собствена инициатива, след консултация и със съгласието на заместник-председателя, председателят решава дали повдигнатият въпрос оправдава използването на процедурата посредством кореспонденция.</w:t>
      </w:r>
    </w:p>
    <w:p>
      <w:pPr>
        <w:spacing w:before="0" w:after="200" w:line="276" w:lineRule="auto"/>
        <w:rPr>
          <w:noProof/>
          <w:szCs w:val="24"/>
        </w:rPr>
      </w:pPr>
      <w:r>
        <w:rPr>
          <w:noProof/>
        </w:rPr>
        <w:t>14.</w:t>
      </w:r>
      <w:r>
        <w:rPr>
          <w:noProof/>
        </w:rPr>
        <w:tab/>
        <w:t>Когато председателят реши, че ще се следва процедурата посредством кореспонденция, той дава указания на секретариата да изпрати искането до всяка страна по договора, заедно с информацията, която председателят — след консултация и със съгласието на заместник-председателя — счита за необходима. След консултация и със съгласието на заместник-председателя, председателят посочва също така дали и при какви условия страните по договора могат да правят изменения по искането.</w:t>
      </w:r>
    </w:p>
    <w:p>
      <w:pPr>
        <w:spacing w:before="0" w:after="200" w:line="276" w:lineRule="auto"/>
        <w:rPr>
          <w:noProof/>
          <w:szCs w:val="24"/>
        </w:rPr>
      </w:pPr>
      <w:r>
        <w:rPr>
          <w:noProof/>
        </w:rPr>
        <w:t>15.</w:t>
      </w:r>
      <w:r>
        <w:rPr>
          <w:noProof/>
        </w:rPr>
        <w:tab/>
        <w:t xml:space="preserve">След консултация и със съгласието на заместник-председателя, председателят определя крайна дата и час за получаване на отговорите, което в никакъв случай не може да бъде по-рано от 10 календарни дни, считано от датата на предаване на информацията, посочена в точка 14 от настоящия раздел. При изключителни обстоятелства — при поискване или по свое усмотрение, след консултация и със съгласието на заместник-председателя, председателят може да удължи срока за получаване на отговори. Всяка страна по договора, която не е дала писмен отговор (включително по електронната поща) в определения срок, се счита за въздържала се. </w:t>
      </w:r>
    </w:p>
    <w:p>
      <w:pPr>
        <w:spacing w:before="0" w:after="200" w:line="276" w:lineRule="auto"/>
        <w:jc w:val="left"/>
        <w:rPr>
          <w:b/>
          <w:noProof/>
          <w:szCs w:val="24"/>
        </w:rPr>
      </w:pPr>
      <w:r>
        <w:rPr>
          <w:b/>
          <w:noProof/>
        </w:rPr>
        <w:t xml:space="preserve">VII. </w:t>
      </w:r>
      <w:r>
        <w:rPr>
          <w:noProof/>
        </w:rPr>
        <w:tab/>
      </w:r>
      <w:r>
        <w:rPr>
          <w:b/>
          <w:noProof/>
        </w:rPr>
        <w:t>РАЗГЛАСЯВАНЕ НА ИНФОРМАЦИЯ</w:t>
      </w:r>
    </w:p>
    <w:p>
      <w:pPr>
        <w:spacing w:before="0" w:after="200" w:line="276" w:lineRule="auto"/>
        <w:rPr>
          <w:noProof/>
          <w:szCs w:val="24"/>
        </w:rPr>
      </w:pPr>
      <w:r>
        <w:rPr>
          <w:noProof/>
        </w:rPr>
        <w:t>1.</w:t>
      </w:r>
      <w:r>
        <w:rPr>
          <w:noProof/>
        </w:rPr>
        <w:tab/>
        <w:t>Освен ако е решено друго, окончателните документи от заседанията (дневен ред, заключения и т.н.) се публикуват на уебсайта на секретариата.</w:t>
      </w:r>
    </w:p>
    <w:p>
      <w:pPr>
        <w:spacing w:before="0" w:after="200" w:line="276" w:lineRule="auto"/>
        <w:rPr>
          <w:noProof/>
          <w:szCs w:val="24"/>
        </w:rPr>
      </w:pPr>
      <w:r>
        <w:rPr>
          <w:noProof/>
        </w:rPr>
        <w:t xml:space="preserve">2. </w:t>
      </w:r>
      <w:r>
        <w:rPr>
          <w:noProof/>
        </w:rPr>
        <w:tab/>
        <w:t>Правото на достъп до документи, съхранявани от Съвета на министрите, се определя от Регионалния управителен комитет, в съответствие с член 38, параграфи 2 и 3 от договора.</w:t>
      </w:r>
    </w:p>
    <w:p>
      <w:pPr>
        <w:spacing w:before="0" w:after="200" w:line="276" w:lineRule="auto"/>
        <w:jc w:val="left"/>
        <w:rPr>
          <w:b/>
          <w:noProof/>
          <w:szCs w:val="24"/>
        </w:rPr>
      </w:pPr>
      <w:r>
        <w:rPr>
          <w:b/>
          <w:noProof/>
        </w:rPr>
        <w:t xml:space="preserve">VIII. </w:t>
      </w:r>
      <w:r>
        <w:rPr>
          <w:noProof/>
        </w:rPr>
        <w:tab/>
      </w:r>
      <w:r>
        <w:rPr>
          <w:b/>
          <w:noProof/>
        </w:rPr>
        <w:t>ЗАКЛЮЧИТЕЛНИ РАЗПОРЕДБИ</w:t>
      </w:r>
    </w:p>
    <w:p>
      <w:pPr>
        <w:spacing w:before="0" w:after="200" w:line="276" w:lineRule="auto"/>
        <w:rPr>
          <w:noProof/>
          <w:szCs w:val="24"/>
        </w:rPr>
      </w:pPr>
      <w:r>
        <w:rPr>
          <w:noProof/>
        </w:rPr>
        <w:t>1.</w:t>
      </w:r>
      <w:r>
        <w:rPr>
          <w:noProof/>
        </w:rPr>
        <w:tab/>
        <w:t>Наблюдателите и лицата, поканени в съответствие с раздел II, точка 2, спазват всички изисквания за поверителност, които се отнасят до страните по договора. Тези изисквания се отразяват в заключенията от съответното заседание.</w:t>
      </w:r>
    </w:p>
    <w:p>
      <w:pPr>
        <w:spacing w:before="0" w:after="200" w:line="276" w:lineRule="auto"/>
        <w:rPr>
          <w:noProof/>
          <w:szCs w:val="24"/>
        </w:rPr>
      </w:pPr>
      <w:r>
        <w:rPr>
          <w:noProof/>
        </w:rPr>
        <w:t>2.</w:t>
      </w:r>
      <w:r>
        <w:rPr>
          <w:noProof/>
        </w:rPr>
        <w:tab/>
        <w:t>От лицата, поканени в съответствие с раздел II, точка 2, се изисква да подпишат декларация за поверителност преди да се включат в съответните обсъждания. Декларацията за поверителност съдържа ангажимент за зачитане на правилата за поверителност, посочени в първа точка от настоящия раздел. В случай че откажат да подпишат декларацията, лицата не се допускат до участие в обсъжданията.</w:t>
      </w:r>
    </w:p>
    <w:p>
      <w:pPr>
        <w:spacing w:before="0" w:after="200" w:line="276" w:lineRule="auto"/>
        <w:rPr>
          <w:noProof/>
          <w:szCs w:val="24"/>
        </w:rPr>
      </w:pPr>
      <w:r>
        <w:rPr>
          <w:noProof/>
        </w:rPr>
        <w:t>3.</w:t>
      </w:r>
      <w:r>
        <w:rPr>
          <w:noProof/>
        </w:rPr>
        <w:tab/>
        <w:t>Всички актове на Съвета на министрите се подписват от председателя.</w:t>
      </w:r>
    </w:p>
    <w:p>
      <w:pPr>
        <w:spacing w:before="0" w:after="200" w:line="276" w:lineRule="auto"/>
        <w:rPr>
          <w:noProof/>
          <w:szCs w:val="24"/>
        </w:rPr>
      </w:pPr>
      <w:r>
        <w:rPr>
          <w:noProof/>
        </w:rPr>
        <w:t>4.</w:t>
      </w:r>
      <w:r>
        <w:rPr>
          <w:noProof/>
        </w:rPr>
        <w:tab/>
        <w:t>Всички изменения на настоящия процедурен правилник се приемат с решение на Съвета на министрите.</w:t>
      </w:r>
    </w:p>
    <w:p>
      <w:pPr>
        <w:spacing w:before="0" w:after="200" w:line="276" w:lineRule="auto"/>
        <w:rPr>
          <w:noProof/>
          <w:szCs w:val="24"/>
        </w:rPr>
      </w:pPr>
      <w:r>
        <w:rPr>
          <w:noProof/>
        </w:rPr>
        <w:t>5.</w:t>
      </w:r>
      <w:r>
        <w:rPr>
          <w:noProof/>
        </w:rPr>
        <w:tab/>
        <w:t>Ако прилагането на настоящия процедурен правилник в конкретна ситуация създаде затруднения при тълкуването, председателят — след консултация и със съгласието на заместник-председателя — предоставя становище с оглед намиране на решение на ситуацията.</w:t>
      </w:r>
    </w:p>
    <w:p>
      <w:pPr>
        <w:spacing w:before="0" w:after="200" w:line="276" w:lineRule="auto"/>
        <w:rPr>
          <w:noProof/>
          <w:szCs w:val="24"/>
        </w:rPr>
      </w:pPr>
      <w:r>
        <w:rPr>
          <w:noProof/>
        </w:rPr>
        <w:t>6.</w:t>
      </w:r>
      <w:r>
        <w:rPr>
          <w:noProof/>
        </w:rPr>
        <w:tab/>
        <w:t>Една година след влизането в сила на настоящия процедурен правилник, въз основа на практическия опит от неговото прилагане, секретариатът може да предложи изменения по него, ако това е полезно или необходимо. Когато една от страните по договора желае да предложи такова изменение, тя се консултира първо със секретариата.</w:t>
      </w:r>
    </w:p>
    <w:p>
      <w:pPr>
        <w:spacing w:before="0" w:after="200" w:line="276" w:lineRule="auto"/>
        <w:rPr>
          <w:noProof/>
          <w:szCs w:val="24"/>
        </w:rPr>
      </w:pPr>
      <w:r>
        <w:rPr>
          <w:noProof/>
        </w:rPr>
        <w:t xml:space="preserve">Настоящият процедурен правилник влиза в сила в деня на приемането му от Съвета на министрите. </w:t>
      </w:r>
    </w:p>
    <w:p>
      <w:pPr>
        <w:rPr>
          <w:b/>
          <w:noProof/>
        </w:rPr>
      </w:pPr>
    </w:p>
    <w:sectPr>
      <w:footerReference w:type="default" r:id="rId15"/>
      <w:footerReference w:type="first" r:id="rId16"/>
      <w:pgSz w:w="11907" w:h="16839"/>
      <w:pgMar w:top="1134" w:right="1417" w:bottom="1134" w:left="1417" w:header="709" w:footer="709"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C7BCE2" w15:done="0"/>
  <w15:commentEx w15:paraId="0CA6230A" w15:done="0"/>
  <w15:commentEx w15:paraId="5C9AF08D" w15:done="0"/>
  <w15:commentEx w15:paraId="71416221" w15:done="0"/>
  <w15:commentEx w15:paraId="3F0B3AB9" w15:done="0"/>
  <w15:commentEx w15:paraId="5EAF3243" w15:done="0"/>
  <w15:commentEx w15:paraId="02281D18" w15:done="0"/>
  <w15:commentEx w15:paraId="57F0D2A5" w15:done="0"/>
  <w15:commentEx w15:paraId="14CD57BA" w15:done="0"/>
  <w15:commentEx w15:paraId="7A50F329" w15:done="0"/>
  <w15:commentEx w15:paraId="5BB9029C" w15:done="0"/>
  <w15:commentEx w15:paraId="63A60C56" w15:done="0"/>
  <w15:commentEx w15:paraId="74342E22" w15:done="0"/>
  <w15:commentEx w15:paraId="10DAC7F7" w15:done="0"/>
  <w15:commentEx w15:paraId="74523FF9" w15:done="0"/>
  <w15:commentEx w15:paraId="0D9D0B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16E3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2A26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2FA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F001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CC90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0071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D06324"/>
    <w:lvl w:ilvl="0">
      <w:start w:val="1"/>
      <w:numFmt w:val="decimal"/>
      <w:pStyle w:val="ListNumber"/>
      <w:lvlText w:val="%1."/>
      <w:lvlJc w:val="left"/>
      <w:pPr>
        <w:tabs>
          <w:tab w:val="num" w:pos="360"/>
        </w:tabs>
        <w:ind w:left="360" w:hanging="360"/>
      </w:pPr>
    </w:lvl>
  </w:abstractNum>
  <w:abstractNum w:abstractNumId="7">
    <w:nsid w:val="FFFFFF89"/>
    <w:multiLevelType w:val="singleLevel"/>
    <w:tmpl w:val="5CDE41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2 10:04: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315DE173-1E80-4A32-8802-8013497B159A"/>
    <w:docVar w:name="LW_COVERPAGE_TYPE" w:val="1"/>
    <w:docVar w:name="LW_CROSSREFERENCE" w:val="&lt;UNUSED&gt;"/>
    <w:docVar w:name="LW_DocType" w:val="ANNEX"/>
    <w:docVar w:name="LW_EMISSION" w:val="22.11.2017"/>
    <w:docVar w:name="LW_EMISSION_ISODATE" w:val="2017-11-22"/>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57?\u1098?\u1074?\u1077?\u1090?\u1072? \u1085?\u1072? \u1084?\u1080?\u1085?\u1080?\u1089?\u1090?\u1088?\u1080?\u1090?\u1077?, \u1089?\u1098?\u1079?\u1076?\u1072?\u1076?\u1077?\u1085? \u1089?\u1098?\u1075?\u1083?\u1072?\u1089?\u1085?\u1086? \u1044?\u1086?\u1075?\u1086?\u1074?\u1086?\u1088?\u1072? \u1079?\u1072? \u1089?\u1098?\u1079?\u1076?\u1072?\u1074?\u1072?\u1085?\u1077? \u1085?\u1072? \u1058?\u1088?\u1072?\u1085?\u1089?\u1087?\u1086?\u1088?\u1090?\u1085?\u1072?\u1090?\u1072? \u1086?\u1073?\u1097?\u1085?\u1086?\u1089?\u1090?"/>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57?\u1098?\u1074?\u1077?\u1090?\u1072? \u1085?\u1072? \u1084?\u1080?\u1085?\u1080?\u1089?\u1090?\u1088?\u1080?\u1090?\u1077?, \u1089?\u1098?\u1079?\u1076?\u1072?\u1076?\u1077?\u1085? \u1089?\u1098?\u1075?\u1083?\u1072?\u1089?\u1085?\u1086? \u1044?\u1086?\u1075?\u1086?\u1074?\u1086?\u1088?\u1072? \u1079?\u1072? \u1089?\u1098?\u1079?\u1076?\u1072?\u1074?\u1072?\u1085?\u1077? \u1085?\u1072? \u1058?\u1088?\u1072?\u1085?\u1089?\u1087?\u1086?\u1088?\u1090?\u1085?\u1072?\u1090?\u1072? \u1086?\u1073?\u1097?\u1085?\u1086?\u1089?\u1090?"/>
    <w:docVar w:name="LW_PART_NBR" w:val="1"/>
    <w:docVar w:name="LW_PART_NBR_TOTAL" w:val="1"/>
    <w:docVar w:name="LW_REF.INST.NEW" w:val="COM"/>
    <w:docVar w:name="LW_REF.INST.NEW_ADOPTED" w:val="final"/>
    <w:docVar w:name="LW_REF.INST.NEW_TEXT" w:val="(2017)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1923</Words>
  <Characters>11505</Characters>
  <Application>Microsoft Office Word</Application>
  <DocSecurity>0</DocSecurity>
  <Lines>221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LUKAC Ivan (MOVE)</dc:creator>
  <cp:lastModifiedBy>DIGIT/A3</cp:lastModifiedBy>
  <cp:revision>7</cp:revision>
  <cp:lastPrinted>2017-11-14T13:58:00Z</cp:lastPrinted>
  <dcterms:created xsi:type="dcterms:W3CDTF">2017-12-21T08:45:00Z</dcterms:created>
  <dcterms:modified xsi:type="dcterms:W3CDTF">2017-12-22T09:04:00Z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