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6B" w:rsidRDefault="001D37C8" w:rsidP="001D37C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AA4E6C38-31D9-4E1D-9352-5E44A4820343" style="width:450.75pt;height:424.5pt">
            <v:imagedata r:id="rId8" o:title=""/>
          </v:shape>
        </w:pict>
      </w:r>
    </w:p>
    <w:p w:rsidR="00C7616B" w:rsidRDefault="00C7616B">
      <w:pPr>
        <w:rPr>
          <w:noProof/>
        </w:rPr>
        <w:sectPr w:rsidR="00C7616B" w:rsidSect="001D37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7616B" w:rsidRDefault="001D37C8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 w:rsidR="00C7616B" w:rsidRDefault="00C7616B">
      <w:pPr>
        <w:rPr>
          <w:noProof/>
        </w:rPr>
      </w:pPr>
    </w:p>
    <w:p w:rsidR="00C7616B" w:rsidRDefault="001D37C8">
      <w:pPr>
        <w:jc w:val="center"/>
        <w:rPr>
          <w:b/>
          <w:noProof/>
        </w:rPr>
      </w:pPr>
      <w:r>
        <w:rPr>
          <w:b/>
          <w:noProof/>
        </w:rPr>
        <w:t>УКАЗАНИЯ ЗА ВОДЕНЕ НА ПРЕГОВОРИ</w:t>
      </w:r>
    </w:p>
    <w:p w:rsidR="00C7616B" w:rsidRDefault="00C7616B">
      <w:pPr>
        <w:jc w:val="center"/>
        <w:rPr>
          <w:b/>
          <w:noProof/>
        </w:rPr>
      </w:pPr>
    </w:p>
    <w:p w:rsidR="00C7616B" w:rsidRDefault="001D37C8">
      <w:pPr>
        <w:rPr>
          <w:b/>
          <w:noProof/>
        </w:rPr>
      </w:pPr>
      <w:r>
        <w:rPr>
          <w:b/>
          <w:noProof/>
        </w:rPr>
        <w:t>1. Принципи</w:t>
      </w:r>
    </w:p>
    <w:p w:rsidR="00C7616B" w:rsidRDefault="001D37C8">
      <w:pPr>
        <w:rPr>
          <w:noProof/>
        </w:rPr>
      </w:pPr>
      <w:r>
        <w:rPr>
          <w:noProof/>
        </w:rPr>
        <w:t xml:space="preserve">При преговорите по текста на международен правно обвързващ инструмент в рамките на </w:t>
      </w:r>
      <w:r>
        <w:rPr>
          <w:noProof/>
        </w:rPr>
        <w:t>Конвенцията на ООН по морско право, предназначен за опазване и устойчиво използване на морското биологично разнообразие в зоните, разположени извън националните юрисдикции (наричан по-долу „инструментът“), Комисията се стреми да гарантира, че:</w:t>
      </w:r>
    </w:p>
    <w:p w:rsidR="00C7616B" w:rsidRDefault="001D37C8">
      <w:pPr>
        <w:ind w:left="720" w:hanging="720"/>
        <w:rPr>
          <w:noProof/>
        </w:rPr>
      </w:pPr>
      <w:r>
        <w:rPr>
          <w:noProof/>
        </w:rPr>
        <w:t>— разпоредби</w:t>
      </w:r>
      <w:r>
        <w:rPr>
          <w:noProof/>
        </w:rPr>
        <w:t>те на инструмента са в пълно съответствие с международното право и по-специално с разпоредбите на UNCLOS и че бъдещият инструмент не нарушава баланса между правата и задълженията, залегнал в Конвенцията на ООН по морско право;</w:t>
      </w:r>
    </w:p>
    <w:p w:rsidR="00C7616B" w:rsidRDefault="001D37C8">
      <w:pPr>
        <w:ind w:left="720" w:hanging="720"/>
        <w:rPr>
          <w:noProof/>
        </w:rPr>
      </w:pPr>
      <w:r>
        <w:rPr>
          <w:noProof/>
        </w:rPr>
        <w:t>— разпоредбите на инструмента</w:t>
      </w:r>
      <w:r>
        <w:rPr>
          <w:noProof/>
        </w:rPr>
        <w:t xml:space="preserve"> са в съответствие с приложимото законодателство на Съюза и съответните двустранни и многостранни споразумения, по които Съюзът е страна.</w:t>
      </w:r>
    </w:p>
    <w:p w:rsidR="00C7616B" w:rsidRDefault="001D37C8">
      <w:pPr>
        <w:rPr>
          <w:noProof/>
        </w:rPr>
      </w:pPr>
      <w:r>
        <w:rPr>
          <w:noProof/>
        </w:rPr>
        <w:t>Комисията гарантира, че преговорите се водят в консултация със специалния комитет, заседаващ в Брюксел или на място. Т</w:t>
      </w:r>
      <w:r>
        <w:rPr>
          <w:noProof/>
        </w:rPr>
        <w:t xml:space="preserve">я докладва редовно на Съвета относно резултатите от преговорите. </w:t>
      </w:r>
    </w:p>
    <w:p w:rsidR="00C7616B" w:rsidRDefault="00C7616B">
      <w:pPr>
        <w:rPr>
          <w:noProof/>
        </w:rPr>
      </w:pPr>
    </w:p>
    <w:p w:rsidR="00C7616B" w:rsidRDefault="001D37C8">
      <w:pPr>
        <w:rPr>
          <w:b/>
          <w:noProof/>
        </w:rPr>
      </w:pPr>
      <w:r>
        <w:rPr>
          <w:b/>
          <w:noProof/>
        </w:rPr>
        <w:t>2. Насоки</w:t>
      </w:r>
    </w:p>
    <w:p w:rsidR="00C7616B" w:rsidRDefault="001D37C8">
      <w:pPr>
        <w:rPr>
          <w:noProof/>
        </w:rPr>
      </w:pPr>
      <w:r>
        <w:rPr>
          <w:noProof/>
        </w:rPr>
        <w:t>2.1. Комисията се стреми да гарантира, че:</w:t>
      </w:r>
    </w:p>
    <w:p w:rsidR="00C7616B" w:rsidRDefault="001D37C8">
      <w:pPr>
        <w:pStyle w:val="Bullet0"/>
        <w:numPr>
          <w:ilvl w:val="0"/>
          <w:numId w:val="9"/>
        </w:numPr>
        <w:rPr>
          <w:noProof/>
        </w:rPr>
      </w:pPr>
      <w:r>
        <w:rPr>
          <w:noProof/>
        </w:rPr>
        <w:t>Обхватът на преговорите включва изцяло елементите, посочени в Резолюция [...];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 xml:space="preserve">Правилата относно процедурата за провеждане на преговори </w:t>
      </w:r>
      <w:r>
        <w:rPr>
          <w:noProof/>
        </w:rPr>
        <w:t>в рамките на междуправителствената конференция дават възможност за пълноценно участие на ЕС в преговорите и са в съответствие с установената практика за договаряне на споразумения за изпълнение на UNCLOS.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В рамките на инструмента е предвидена ефективна пра</w:t>
      </w:r>
      <w:r>
        <w:rPr>
          <w:noProof/>
        </w:rPr>
        <w:t>вна уредба за опазването и устойчивото използване на морското биологично разнообразие в зоните, разположени извън националните юрисдикции.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Инструментът е насочен към изпълнението, укрепването и уточняването на редица задължения, които вече са включени в UN</w:t>
      </w:r>
      <w:r>
        <w:rPr>
          <w:noProof/>
        </w:rPr>
        <w:t>CLOS, при надлежно зачитане на предвидените в Конвенцията права и свободи.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В инструмента се предвижда изрично задължение държавите да си сътрудничат — поотделно и чрез компетентните международни и регионални организации и договорености — за опазването и ус</w:t>
      </w:r>
      <w:r>
        <w:rPr>
          <w:noProof/>
        </w:rPr>
        <w:t>тойчивото използване на морското биологично разнообразие в зоните, разположени извън националните юрисдикции.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 xml:space="preserve">Инструментът няма неблагоприятен ефект върху съществуващите правни инструменти и правна уредба, нито върху компетентните организации на </w:t>
      </w:r>
      <w:r>
        <w:rPr>
          <w:noProof/>
        </w:rPr>
        <w:lastRenderedPageBreak/>
        <w:t xml:space="preserve">световно, </w:t>
      </w:r>
      <w:r>
        <w:rPr>
          <w:noProof/>
        </w:rPr>
        <w:t>регионално и отраслово ниво или правата и задълженията, произтичащи от тях.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Съгласно инструмента ще се зачитат мандатите на съответните компетентните организации на световно, регионално и отраслово ниво и ще се търсят полезни взаимодействия, като се избягв</w:t>
      </w:r>
      <w:r>
        <w:rPr>
          <w:noProof/>
        </w:rPr>
        <w:t>а дублирането на тяхната дейност.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Инструментът не засяга правата и задълженията на страните по UNCLOS, включително правото им на морски зони съгласно UNCLOS.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 xml:space="preserve">Инструментът съдържа подходящи разпоредби, позволяващи на Съюза да стане страна по споразумението </w:t>
      </w:r>
      <w:r>
        <w:rPr>
          <w:noProof/>
        </w:rPr>
        <w:t>и да участва пълноценно в процедурите за вземане на решения, които ще бъдат установени в инструмента в съответствие с член 305 и приложение IX към UNCLOS.</w:t>
      </w:r>
    </w:p>
    <w:p w:rsidR="00C7616B" w:rsidRDefault="001D37C8">
      <w:pPr>
        <w:rPr>
          <w:noProof/>
        </w:rPr>
      </w:pPr>
      <w:r>
        <w:rPr>
          <w:noProof/>
        </w:rPr>
        <w:t xml:space="preserve">2.2. По-специално Комисията се стреми да гарантира, че инструментът включва или отразява, </w:t>
      </w:r>
      <w:r>
        <w:rPr>
          <w:i/>
          <w:noProof/>
        </w:rPr>
        <w:t>inter alia</w:t>
      </w:r>
      <w:r>
        <w:rPr>
          <w:noProof/>
        </w:rPr>
        <w:t>,</w:t>
      </w:r>
      <w:r>
        <w:rPr>
          <w:noProof/>
        </w:rPr>
        <w:t xml:space="preserve"> следното:</w:t>
      </w:r>
    </w:p>
    <w:p w:rsidR="00C7616B" w:rsidRDefault="001D37C8">
      <w:pPr>
        <w:rPr>
          <w:noProof/>
        </w:rPr>
      </w:pPr>
      <w:r>
        <w:rPr>
          <w:noProof/>
        </w:rPr>
        <w:t xml:space="preserve">а) </w:t>
      </w:r>
      <w:r>
        <w:rPr>
          <w:noProof/>
          <w:u w:val="single"/>
        </w:rPr>
        <w:t>Хоризонтални въпроси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 xml:space="preserve">Общи принципи за добро управление, като например: защита и опазване на морската среда, международно сътрудничество, използване на научнообоснован подход и на екосистемен подход, прилагане на принципа на предпазните мерки </w:t>
      </w:r>
      <w:r>
        <w:rPr>
          <w:noProof/>
        </w:rPr>
        <w:t>и на принципа „замърсителят плаща“, устойчиво и справедливо използване на морските ресурси, наличие на обществено достъпна информация, прозрачни и открити процедури за вземане на решения, както и отговорност на държавите при полагането на грижи за морската</w:t>
      </w:r>
      <w:r>
        <w:rPr>
          <w:noProof/>
        </w:rPr>
        <w:t xml:space="preserve"> среда в света;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подходящи и икономически ефективни механизми и уредба — както нови, така и вече съществуващи, включително такива за по-активно сътрудничество и координация със съществуващите органи, действащи в тази област, и между самите органи — по-специ</w:t>
      </w:r>
      <w:r>
        <w:rPr>
          <w:noProof/>
        </w:rPr>
        <w:t>ално органите, упълномощени да регулират дейностите в зоните, разположени извън националните юрисдикции, или да предприемат мерки за опазване на морската среда в тези зони.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Подходящи механизми, за да се гарантира спазването на материалноправните разпоредби</w:t>
      </w:r>
      <w:r>
        <w:rPr>
          <w:noProof/>
        </w:rPr>
        <w:t xml:space="preserve"> на инструмента;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Подходящи механизми за уреждане на спорове в съответствие с UNCLOS.</w:t>
      </w:r>
    </w:p>
    <w:p w:rsidR="00C7616B" w:rsidRDefault="001D37C8">
      <w:pPr>
        <w:rPr>
          <w:noProof/>
        </w:rPr>
      </w:pPr>
      <w:r>
        <w:rPr>
          <w:noProof/>
        </w:rPr>
        <w:t xml:space="preserve">б) </w:t>
      </w:r>
      <w:r>
        <w:rPr>
          <w:noProof/>
          <w:u w:val="single"/>
        </w:rPr>
        <w:t>Морски генетични ресурси (МГР), включително въпроси относно споделянето на ползите;</w:t>
      </w:r>
    </w:p>
    <w:p w:rsidR="00C7616B" w:rsidRDefault="001D37C8">
      <w:pPr>
        <w:rPr>
          <w:noProof/>
        </w:rPr>
      </w:pPr>
      <w:r>
        <w:rPr>
          <w:noProof/>
        </w:rPr>
        <w:t>Комисията се стреми да гарантира, че инструментът допринася за опазването и устойчив</w:t>
      </w:r>
      <w:r>
        <w:rPr>
          <w:noProof/>
        </w:rPr>
        <w:t>ото използване на МГР с произход от зоните, разположени извън националните юрисдикции. По-специално, инструментът следва да: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 xml:space="preserve">насърчава достъпа до генетични ресурси по екологосъобразен начин, съвместим с тяхното опазване и устойчиво използване, и да не </w:t>
      </w:r>
      <w:r>
        <w:rPr>
          <w:noProof/>
        </w:rPr>
        <w:t>ограничава неоснователно залегналата в UNCLOS свобода на морските научни изследвания;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не урежда въпроси, свързани с правата върху интелектуалната собственост или други свързани с нея въпроси;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осигури правна сигурност за ползвателите на МГР и да насърчава б</w:t>
      </w:r>
      <w:r>
        <w:rPr>
          <w:noProof/>
        </w:rPr>
        <w:t>иотехнологичните иновации, които нямат отрицателно въздействие върху биологичното разнообразие;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lastRenderedPageBreak/>
        <w:t>подобри прозрачността и наличието на информация за генетичните ресурси, произхождащи от зоните, разположени извън националните юрисдикции;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урежда въпроси във вр</w:t>
      </w:r>
      <w:r>
        <w:rPr>
          <w:noProof/>
        </w:rPr>
        <w:t>ъзка с споделянето на ползите, произтичащи от използването на МГР от зони, намиращи се извън националните юрисдикции.</w:t>
      </w:r>
    </w:p>
    <w:p w:rsidR="00C7616B" w:rsidRDefault="001D37C8">
      <w:pPr>
        <w:rPr>
          <w:noProof/>
        </w:rPr>
      </w:pPr>
      <w:r>
        <w:rPr>
          <w:noProof/>
        </w:rPr>
        <w:t xml:space="preserve">в) </w:t>
      </w:r>
      <w:r>
        <w:rPr>
          <w:noProof/>
          <w:u w:val="single"/>
        </w:rPr>
        <w:t>Мерки, като например инструменти за управление на отделни зони, включително на защитените морски зони (ЗМЗ)</w:t>
      </w:r>
    </w:p>
    <w:p w:rsidR="00C7616B" w:rsidRDefault="001D37C8">
      <w:pPr>
        <w:rPr>
          <w:noProof/>
        </w:rPr>
      </w:pPr>
      <w:r>
        <w:rPr>
          <w:noProof/>
        </w:rPr>
        <w:t>Комисията се стреми да гара</w:t>
      </w:r>
      <w:r>
        <w:rPr>
          <w:noProof/>
        </w:rPr>
        <w:t xml:space="preserve">нтира, че съгласно инструмента са предвидени, </w:t>
      </w:r>
      <w:r>
        <w:rPr>
          <w:i/>
          <w:noProof/>
        </w:rPr>
        <w:t>inter alia</w:t>
      </w:r>
      <w:r>
        <w:rPr>
          <w:noProof/>
        </w:rPr>
        <w:t>, процедури/механизми за: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идентифициране, определяне и установяване на световно признати ЗМЗ, като бъдат включени съответните критерии, основани на най-качествената налична научна информация; формулир</w:t>
      </w:r>
      <w:r>
        <w:rPr>
          <w:noProof/>
        </w:rPr>
        <w:t>ане на всеобхватни цели за опазване и управление на определените зони; мониторинг и наблюдение на дейности, насочени към постигането на целите за опазване и управление;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 xml:space="preserve">световно признаване на инструментите за управление на отделни зони, които са създадени </w:t>
      </w:r>
      <w:r>
        <w:rPr>
          <w:noProof/>
        </w:rPr>
        <w:t>от съответните регионални организации и конвенции и отговарят на приетите критерии.</w:t>
      </w:r>
    </w:p>
    <w:p w:rsidR="00C7616B" w:rsidRDefault="001D37C8">
      <w:pPr>
        <w:rPr>
          <w:noProof/>
        </w:rPr>
      </w:pPr>
      <w:r>
        <w:rPr>
          <w:noProof/>
        </w:rPr>
        <w:t>По този начин Комисията се стреми да гарантира, че инструментът допринася за изпълнението на поетите международни ангажименти на Съюза, свързани със създаването на глобална</w:t>
      </w:r>
      <w:r>
        <w:rPr>
          <w:noProof/>
        </w:rPr>
        <w:t xml:space="preserve"> мрежа от ефективно и справедливо управлявани, екологично представителни и добре свързани помежду си системи от защитени зони, както и други ефективни мерки за опазване на околната среда в конкретните зони.</w:t>
      </w:r>
    </w:p>
    <w:p w:rsidR="00C7616B" w:rsidRDefault="001D37C8">
      <w:pPr>
        <w:rPr>
          <w:noProof/>
        </w:rPr>
      </w:pPr>
      <w:r>
        <w:rPr>
          <w:noProof/>
        </w:rPr>
        <w:t xml:space="preserve">г) </w:t>
      </w:r>
      <w:r>
        <w:rPr>
          <w:noProof/>
          <w:u w:val="single"/>
        </w:rPr>
        <w:t>Оценки на въздействието върху околната среда</w:t>
      </w:r>
    </w:p>
    <w:p w:rsidR="00C7616B" w:rsidRDefault="001D37C8">
      <w:pPr>
        <w:rPr>
          <w:noProof/>
        </w:rPr>
      </w:pPr>
      <w:r>
        <w:rPr>
          <w:noProof/>
        </w:rPr>
        <w:t>К</w:t>
      </w:r>
      <w:r>
        <w:rPr>
          <w:noProof/>
        </w:rPr>
        <w:t>омисията се стреми да гарантира, че инструментът улеснява оценката на кумулативното въздействие на различните дейности, извършвани в една и съща зона, с цел предотвратяване на неблагоприятните въздействия върху морското биологично разнообразие, включително</w:t>
      </w:r>
      <w:r>
        <w:rPr>
          <w:noProof/>
        </w:rPr>
        <w:t xml:space="preserve"> от нови и нововъзникващи дейности, като същевременно се отчита текущото състояние на околната среда и кумулативните последици от други заплахи, като например изменението на климата. По-специално Комисията се стреми да гарантира, че с помощта на инструмент</w:t>
      </w:r>
      <w:r>
        <w:rPr>
          <w:noProof/>
        </w:rPr>
        <w:t>а се изясняват, укрепват и уточняват задълженията съгласно член 206 от UNCLOS, така че: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Индивидуалното и кумулативното въздействие върху околната среда от дейностите под юрисдикцията или контрола на държавите — страни по Конвенцията, които дейности могат д</w:t>
      </w:r>
      <w:r>
        <w:rPr>
          <w:noProof/>
        </w:rPr>
        <w:t>а причинят значително замърсяване или съществени и вредни изменения на морската среда („вредните въздействия“), включително на морското биологично разнообразие, в зони, намиращи се извън националните юрисдикции, се оценяват по подходящ начин чрез оценки на</w:t>
      </w:r>
      <w:r>
        <w:rPr>
          <w:noProof/>
        </w:rPr>
        <w:t xml:space="preserve"> въздействието върху околната среда и стратегически оценки на околната среда — в зависимост от случая; и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Всички вредни въздействия са идентифицирани и взети предвид при процедурата за вземане на решения и тези дейности са в съответствие с предвидените в UN</w:t>
      </w:r>
      <w:r>
        <w:rPr>
          <w:noProof/>
        </w:rPr>
        <w:t>CLOS задължения на държавите за защита и опазване на морската среда, включително чрез приемането на подходящи мерки за предотвратяване и смекчаване на такива вредни въздействия.</w:t>
      </w:r>
    </w:p>
    <w:p w:rsidR="00C7616B" w:rsidRDefault="001D37C8">
      <w:pPr>
        <w:rPr>
          <w:noProof/>
        </w:rPr>
      </w:pPr>
      <w:r>
        <w:rPr>
          <w:noProof/>
        </w:rPr>
        <w:t xml:space="preserve">д) </w:t>
      </w:r>
      <w:r>
        <w:rPr>
          <w:noProof/>
          <w:u w:val="single"/>
        </w:rPr>
        <w:t>Изграждане на капацитет и трансфер на морски технологии</w:t>
      </w:r>
    </w:p>
    <w:p w:rsidR="00C7616B" w:rsidRDefault="001D37C8">
      <w:pPr>
        <w:rPr>
          <w:noProof/>
        </w:rPr>
      </w:pPr>
      <w:r>
        <w:rPr>
          <w:noProof/>
        </w:rPr>
        <w:t>Комисията стреми да</w:t>
      </w:r>
      <w:r>
        <w:rPr>
          <w:noProof/>
        </w:rPr>
        <w:t xml:space="preserve"> гарантира, че инструментът: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Включва разпоредби в съответствие с UNCLOS, насочени към изграждането на капацитет и трансфера на морски технологии за опазването и устойчивото използване на морското биологично разнообразие в в зоните, разположени извън национ</w:t>
      </w:r>
      <w:r>
        <w:rPr>
          <w:noProof/>
        </w:rPr>
        <w:t>алните юрисдикции;</w:t>
      </w:r>
    </w:p>
    <w:p w:rsidR="00C7616B" w:rsidRDefault="001D37C8">
      <w:pPr>
        <w:pStyle w:val="Bullet0"/>
        <w:rPr>
          <w:noProof/>
        </w:rPr>
      </w:pPr>
      <w:r>
        <w:rPr>
          <w:noProof/>
        </w:rPr>
        <w:t>Улеснява международното сътрудничество за изграждане на капацитет и трансфер на морски технологии за постигане на целите и изискванията на UNCLOS за опазването и устойчивото използване на морското биологично разнообразие в зоните, разпол</w:t>
      </w:r>
      <w:r>
        <w:rPr>
          <w:noProof/>
        </w:rPr>
        <w:t>ожени извън националните юрисдикции.</w:t>
      </w:r>
    </w:p>
    <w:p w:rsidR="00C7616B" w:rsidRDefault="00C7616B">
      <w:pPr>
        <w:rPr>
          <w:noProof/>
        </w:rPr>
      </w:pPr>
    </w:p>
    <w:sectPr w:rsidR="00C7616B" w:rsidSect="001D37C8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6B" w:rsidRDefault="001D37C8">
      <w:pPr>
        <w:spacing w:before="0" w:after="0"/>
      </w:pPr>
      <w:r>
        <w:separator/>
      </w:r>
    </w:p>
  </w:endnote>
  <w:endnote w:type="continuationSeparator" w:id="0">
    <w:p w:rsidR="00C7616B" w:rsidRDefault="001D37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C8" w:rsidRPr="001D37C8" w:rsidRDefault="001D37C8" w:rsidP="001D3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6B" w:rsidRPr="001D37C8" w:rsidRDefault="001D37C8" w:rsidP="001D37C8">
    <w:pPr>
      <w:pStyle w:val="Footer"/>
      <w:rPr>
        <w:rFonts w:ascii="Arial" w:hAnsi="Arial" w:cs="Arial"/>
        <w:b/>
        <w:sz w:val="48"/>
      </w:rPr>
    </w:pPr>
    <w:r w:rsidRPr="001D37C8">
      <w:rPr>
        <w:rFonts w:ascii="Arial" w:hAnsi="Arial" w:cs="Arial"/>
        <w:b/>
        <w:sz w:val="48"/>
      </w:rPr>
      <w:t>BG</w:t>
    </w:r>
    <w:r w:rsidRPr="001D37C8">
      <w:rPr>
        <w:rFonts w:ascii="Arial" w:hAnsi="Arial" w:cs="Arial"/>
        <w:b/>
        <w:sz w:val="48"/>
      </w:rPr>
      <w:tab/>
    </w:r>
    <w:r w:rsidRPr="001D37C8">
      <w:rPr>
        <w:rFonts w:ascii="Arial" w:hAnsi="Arial" w:cs="Arial"/>
        <w:b/>
        <w:sz w:val="48"/>
      </w:rPr>
      <w:tab/>
    </w:r>
    <w:r w:rsidRPr="001D37C8">
      <w:tab/>
    </w:r>
    <w:proofErr w:type="spellStart"/>
    <w:r w:rsidRPr="001D37C8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C8" w:rsidRPr="001D37C8" w:rsidRDefault="001D37C8" w:rsidP="001D37C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C8" w:rsidRPr="001D37C8" w:rsidRDefault="001D37C8" w:rsidP="001D37C8">
    <w:pPr>
      <w:pStyle w:val="Footer"/>
      <w:rPr>
        <w:rFonts w:ascii="Arial" w:hAnsi="Arial" w:cs="Arial"/>
        <w:b/>
        <w:sz w:val="48"/>
      </w:rPr>
    </w:pPr>
    <w:r w:rsidRPr="001D37C8">
      <w:rPr>
        <w:rFonts w:ascii="Arial" w:hAnsi="Arial" w:cs="Arial"/>
        <w:b/>
        <w:sz w:val="48"/>
      </w:rPr>
      <w:t>BG</w:t>
    </w:r>
    <w:r w:rsidRPr="001D37C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 w:rsidRPr="001D37C8">
      <w:tab/>
    </w:r>
    <w:r w:rsidRPr="001D37C8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C8" w:rsidRPr="001D37C8" w:rsidRDefault="001D37C8" w:rsidP="001D3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6B" w:rsidRDefault="001D37C8">
      <w:pPr>
        <w:spacing w:before="0" w:after="0"/>
      </w:pPr>
      <w:r>
        <w:separator/>
      </w:r>
    </w:p>
  </w:footnote>
  <w:footnote w:type="continuationSeparator" w:id="0">
    <w:p w:rsidR="00C7616B" w:rsidRDefault="001D37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C8" w:rsidRPr="001D37C8" w:rsidRDefault="001D37C8" w:rsidP="001D3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C8" w:rsidRPr="001D37C8" w:rsidRDefault="001D37C8" w:rsidP="001D3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C8" w:rsidRPr="001D37C8" w:rsidRDefault="001D37C8" w:rsidP="001D3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04FA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34ADF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D50DC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142B2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6A35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27C79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5924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CC6A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8 07:52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A4E6C38-31D9-4E1D-9352-5E44A4820343"/>
    <w:docVar w:name="LW_COVERPAGE_TYPE" w:val="1"/>
    <w:docVar w:name="LW_CROSSREFERENCE" w:val="&lt;UNUSED&gt;"/>
    <w:docVar w:name="LW_DocType" w:val="ANNEX"/>
    <w:docVar w:name="LW_EMISSION" w:val="4.1.2018"/>
    <w:docVar w:name="LW_EMISSION_ISODATE" w:val="2018-01-04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4?\u1077?\u1078?\u1076?\u1091?\u1085?\u1072?\u1088?\u1086?\u1076?\u1077?\u1085? \u1087?\u1088?\u1072?\u1074?\u1085?\u1086? \u1086?\u1073?\u1074?\u1098?\u1088?\u1079?\u1074?\u1072?\u1097? \u1080?\u1085?\u1089?\u1090?\u1088?\u1091?\u1084?\u1077?\u1085?\u1090? \u1074? \u1088?\u1072?\u1084?\u1082?\u1080?\u1090?\u1077? \u1085?\u1072? \u1050?\u1086?\u1085?\u1074?\u1077?\u1085?\u1094?\u1080?\u1103?\u1090?\u1072? \u1085?\u1072? \u1054?\u1054?\u1053? \u1087?\u1086? \u1084?\u1086?\u1088?\u1089?\u1082?\u1086? \u1087?\u1088?\u1072?\u1074?\u1086?, \u1087?\u1088?\u1077?\u1076?\u1085?\u1072?\u1079?\u1085?\u1072?\u1095?\u1077?\u1085? \u1079?\u1072? \u1086?\u1087?\u1072?\u1079?\u1074?\u1072?\u1085?\u1077? \u1080? \u1091?\u1089?\u1090?\u1086?\u1081?\u1095?\u1080?\u1074?\u1086? \u1080?\u1079?\u1087?\u1086?\u1083?\u1079?\u1074?\u1072?\u1085?\u1077? \u1085?\u1072? \u1084?\u1086?\u1088?\u1089?\u1082?\u1086?\u1090?\u1086? \u1073?\u1080?\u1086?\u1083?\u1086?\u1075?\u1080?\u1095?\u1085?\u1086? \u1088?\u1072?\u1079?\u1085?\u1086?\u1086?\u1073?\u1088?\u1072?\u1079?\u1080?\u1077? \u1074? \u1079?\u1086?\u1085?\u1080?\u1090?\u1077?, \u1088?\u1072?\u1079?\u1087?\u1086?\u1083?\u1086?\u1078?\u1077?\u1085?\u1080? \u1080?\u1079?\u1074?\u1098?\u1085? \u1085?\u1072?\u1094?\u1080?\u1086?\u1085?\u1072?\u1083?\u1085?\u1080?\u1090?\u1077? \u1102?\u1088?\u1080?\u1089?\u1076?\u1080?\u1082?\u1094?\u1080?\u1080?_x000b_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4?\u1077?\u1078?\u1076?\u1091?\u1085?\u1072?\u1088?\u1086?\u1076?\u1077?\u1085? \u1087?\u1088?\u1072?\u1074?\u1085?\u1086? \u1086?\u1073?\u1074?\u1098?\u1088?\u1079?\u1074?\u1072?\u1097? \u1080?\u1085?\u1089?\u1090?\u1088?\u1091?\u1084?\u1077?\u1085?\u1090? \u1074? \u1088?\u1072?\u1084?\u1082?\u1080?\u1090?\u1077? \u1085?\u1072? \u1050?\u1086?\u1085?\u1074?\u1077?\u1085?\u1094?\u1080?\u1103?\u1090?\u1072? \u1085?\u1072? \u1054?\u1054?\u1053? \u1087?\u1086? \u1084?\u1086?\u1088?\u1089?\u1082?\u1086? \u1087?\u1088?\u1072?\u1074?\u1086?, \u1087?\u1088?\u1077?\u1076?\u1085?\u1072?\u1079?\u1085?\u1072?\u1095?\u1077?\u1085? \u1079?\u1072? \u1086?\u1087?\u1072?\u1079?\u1074?\u1072?\u1085?\u1077? \u1080? \u1091?\u1089?\u1090?\u1086?\u1081?\u1095?\u1080?\u1074?\u1086? \u1080?\u1079?\u1087?\u1086?\u1083?\u1079?\u1074?\u1072?\u1085?\u1077? \u1085?\u1072? \u1084?\u1086?\u1088?\u1089?\u1082?\u1086?\u1090?\u1086? \u1073?\u1080?\u1086?\u1083?\u1086?\u1075?\u1080?\u1095?\u1085?\u1086? \u1088?\u1072?\u1079?\u1085?\u1086?\u1086?\u1073?\u1088?\u1072?\u1079?\u1080?\u1077? \u1074? \u1079?\u1086?\u1085?\u1080?\u1090?\u1077?, \u1088?\u1072?\u1079?\u1087?\u1086?\u1083?\u1086?\u1078?\u1077?\u1085?\u1080? \u1080?\u1079?\u1074?\u1098?\u1085? \u1085?\u1072?\u1094?\u1080?\u1086?\u1085?\u1072?\u1083?\u1085?\u1080?\u1090?\u1077? \u1102?\u1088?\u1080?\u1089?\u1076?\u1080?\u1082?\u1094?\u1080?\u108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8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45?\u1064?\u1045?\u1053?\u1048?\u1045? \u1053?\u1040? \u1057?\u1066?\u1042?\u1045?\u1058?\u1040?"/>
    <w:docVar w:name="LW_TYPEACTEPRINCIPAL.CP" w:val="\u1055?\u1088?\u1077?\u1087?\u1086?\u1088?\u1098?\u1082?\u1072? \u1079?\u1072? \u1056?\u1045?\u1064?\u1045?\u1053?\u1048?\u1045? \u1053?\u1040? \u1057?\u1066?\u1042?\u1045?\u1058?\u1040?"/>
  </w:docVars>
  <w:rsids>
    <w:rsidRoot w:val="00C7616B"/>
    <w:rsid w:val="001D37C8"/>
    <w:rsid w:val="00C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D37C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D37C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D37C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D37C8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D37C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1D37C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D37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1D37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D37C8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D37C8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D37C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D37C8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D37C8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1D37C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D37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1D37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9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1126</Words>
  <Characters>7251</Characters>
  <Application>Microsoft Office Word</Application>
  <DocSecurity>0</DocSecurity>
  <Lines>141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OLIVOS PASCUAL Cristina (MARE)</dc:creator>
  <cp:lastModifiedBy>LAGES CARVALHO Patrick (SG)</cp:lastModifiedBy>
  <cp:revision>8</cp:revision>
  <dcterms:created xsi:type="dcterms:W3CDTF">2017-12-15T14:43:00Z</dcterms:created>
  <dcterms:modified xsi:type="dcterms:W3CDTF">2017-12-18T07:11:00Z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Yellow (DQC version 03)</vt:lpwstr>
  </property>
</Properties>
</file>