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BF" w:rsidRDefault="00FE463F" w:rsidP="00FE463F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78E76A36-FD31-4E06-BABE-8878676CE273" style="width:450.75pt;height:366pt">
            <v:imagedata r:id="rId9" o:title=""/>
          </v:shape>
        </w:pict>
      </w:r>
    </w:p>
    <w:p w:rsidR="00AC6BBF" w:rsidRDefault="00AC6BBF">
      <w:pPr>
        <w:rPr>
          <w:noProof/>
        </w:rPr>
        <w:sectPr w:rsidR="00AC6BBF" w:rsidSect="00FE463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AC6BBF" w:rsidRDefault="00FE463F"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 w:rsidR="00AC6BBF" w:rsidRDefault="00FE463F"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ПРЕПОРЪКАТА</w:t>
      </w:r>
    </w:p>
    <w:p w:rsidR="00AC6BBF" w:rsidRDefault="00FE463F"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и цели на препоръката</w:t>
      </w:r>
    </w:p>
    <w:p w:rsidR="00AC6BBF" w:rsidRDefault="00FE463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В параграф 198 от своята Резолюция 68/70 Общото събрание на ООН поиска неформалната отворена </w:t>
      </w:r>
      <w:r>
        <w:rPr>
          <w:i/>
          <w:noProof/>
        </w:rPr>
        <w:t>ad hoc</w:t>
      </w:r>
      <w:r>
        <w:rPr>
          <w:noProof/>
        </w:rPr>
        <w:t xml:space="preserve"> работна група на ООН да проучи въпросите, свързани с опазването и устойчивото използване на морското биологично разнообразие в зоните, разположени извън нац</w:t>
      </w:r>
      <w:r>
        <w:rPr>
          <w:noProof/>
        </w:rPr>
        <w:t>ионалните юрисдикции (наричана по-долу „работна група на ООН по БРИНЮ“), за да отправи препоръки относно обхвата, параметрите и осъществимостта на международен инструмент в рамките на Конвенцията на ООН по морско право (наричана по-долу „UNCLOS“).</w:t>
      </w:r>
    </w:p>
    <w:p w:rsidR="00AC6BBF" w:rsidRDefault="00FE463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На </w:t>
      </w:r>
      <w:r>
        <w:rPr>
          <w:noProof/>
        </w:rPr>
        <w:t>заключителното си заседание през януари 2015 г. работната група на ООН по БРИНЮ прие препоръки въз основа на работата си от 2006 г. насам, в които подчерта необходимостта от всеобхватен режим в световен мащаб, за да се подобри опазването и устойчивото изпо</w:t>
      </w:r>
      <w:r>
        <w:rPr>
          <w:noProof/>
        </w:rPr>
        <w:t>лзване на морското биологично разнообразие в зоните, разположени извън националните юрисдикции, като бъде разработен международен правно обвързващ инструмент в рамките на UNCLOS, предназначен за опазване и устойчиво използване на морското биологично разноо</w:t>
      </w:r>
      <w:r>
        <w:rPr>
          <w:noProof/>
        </w:rPr>
        <w:t>бразие в зоните, разположени в такива зони (наричан по-долу „инструментът“).</w:t>
      </w:r>
    </w:p>
    <w:p w:rsidR="00AC6BBF" w:rsidRDefault="00FE463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С Резолюция 69/292 на Общото събрание на ООН, приета на 19 юни 2015 г., беше създаден подготвителен комитет (наричан по-долу „подготвителният комитет“), който е отворен за всички </w:t>
      </w:r>
      <w:r>
        <w:rPr>
          <w:noProof/>
        </w:rPr>
        <w:t>държави — членки на Организацията на обединените нации, както и за членовете на специализирани агенции и страни по UNCLOS, и който има за задача да отправи до Общото събрание препоръки по същество относно елементите на проект на текст във връзка с инструме</w:t>
      </w:r>
      <w:r>
        <w:rPr>
          <w:noProof/>
        </w:rPr>
        <w:t xml:space="preserve">нта. В резолюцията е предвидено също, че преди края на седемдесет и втората си сесия Общото събрание на ООН следва да вземе решение относно свикването на междуправителствена конференция (наричана по-долу „МПК“) за договарянето на такъв инструмент, както и </w:t>
      </w:r>
      <w:r>
        <w:rPr>
          <w:noProof/>
        </w:rPr>
        <w:t>за началната дата на неговото прилагане, като вземе предвид доклада на подготвителния комитет.</w:t>
      </w:r>
    </w:p>
    <w:p w:rsidR="00AC6BBF" w:rsidRDefault="00FE463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През март 2016 г. Съветът взе решение да упълномощи Комисията да преговаря от името на Европейския съюз (Решение 6862/16 от 15 март 2016 г.) по въпросите, попада</w:t>
      </w:r>
      <w:r>
        <w:rPr>
          <w:noProof/>
        </w:rPr>
        <w:t>щи в областите на компетентност на Съюза и по отношение на които Съюзът е приел правила, както и по елементите на проекта на текст на инструмента. Обхватът на упълномощаването и насоките за водене на преговори са изрично ограничени до заседанията на подгот</w:t>
      </w:r>
      <w:r>
        <w:rPr>
          <w:noProof/>
        </w:rPr>
        <w:t>вителния комитет.</w:t>
      </w:r>
    </w:p>
    <w:p w:rsidR="00AC6BBF" w:rsidRDefault="00FE463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През 2016 г. и 2017 г. подготвителният комитет проведе четири заседания, последното от които се състоя между 10 и 21 юли 2017 г. При преговорите по време на четирите заседания бяха разгледани въпросите, посочени в препоръките от проведено</w:t>
      </w:r>
      <w:r>
        <w:rPr>
          <w:noProof/>
        </w:rPr>
        <w:t>то през 2011 г. заседание на работната група на ООН по БРИНЮ, а именно: морските генетични ресурси, включително въпроси относно споделянето на ползите; мерки, като например инструменти за управление на отделни зони, включително на защитените морски зони; о</w:t>
      </w:r>
      <w:r>
        <w:rPr>
          <w:noProof/>
        </w:rPr>
        <w:t>ценки на въздействието върху околната среда; изграждане на капацитет и трансфер на морски технологии, както и по-общи хоризонтални въпроси, сред които принципи, вземане на решения и процедури за уреждане на спорове, връзка с други правни инструменти, участ</w:t>
      </w:r>
      <w:r>
        <w:rPr>
          <w:noProof/>
        </w:rPr>
        <w:t xml:space="preserve">ие и т.н. На 21 юли 2017 г. с консенсус бяха приети окончателните препоръки, които са включени в доклада на подготвителния комитет </w:t>
      </w:r>
      <w:r>
        <w:rPr>
          <w:noProof/>
        </w:rPr>
        <w:lastRenderedPageBreak/>
        <w:t xml:space="preserve">(публикуван на </w:t>
      </w:r>
      <w:hyperlink r:id="rId16">
        <w:r>
          <w:rPr>
            <w:rStyle w:val="Hyperlink"/>
            <w:noProof/>
          </w:rPr>
          <w:t>http://www.un.org/depts/los/biodiversity/prepcom_files/Procedural_report_of_BBNJ_PrepCom.pdf</w:t>
        </w:r>
      </w:hyperlink>
      <w:r>
        <w:rPr>
          <w:noProof/>
        </w:rPr>
        <w:t xml:space="preserve"> ). Една от препоръките на подготвителния комитет е Общото събрание на ООН да вземе решение възможно най-скоро да бъде свикана МПК, която да изготви текста на инс</w:t>
      </w:r>
      <w:r>
        <w:rPr>
          <w:noProof/>
        </w:rPr>
        <w:t xml:space="preserve">трумента. </w:t>
      </w:r>
    </w:p>
    <w:p w:rsidR="00AC6BBF" w:rsidRDefault="00FE463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Решението за свикване на МПК вероятно ще бъде взето от Общото събрание на ООН преди края на 2017 г., след което МПК ще може да започне работа и да проведе първото си заседание през първата половина на 2018 г.</w:t>
      </w:r>
    </w:p>
    <w:p w:rsidR="00AC6BBF" w:rsidRDefault="00FE463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Като страна по UNCLOS и един от осно</w:t>
      </w:r>
      <w:r>
        <w:rPr>
          <w:noProof/>
        </w:rPr>
        <w:t>вните защитници на необходимостта от такъв инструмент от началото на дискусиите в ООН през 2006 г., ЕС следва да продължи да взема активно участие в този процес в рамките на ООН, като по този начин и съобразно разпоредбите на UNCLOS допринася за по-доброто</w:t>
      </w:r>
      <w:r>
        <w:rPr>
          <w:noProof/>
        </w:rPr>
        <w:t xml:space="preserve"> опазване и устойчивото използване на морските биологични ресурси в зоните, разположени извън националните юрисдикции. ЕС следва също така да направи необходимото, за да бъдат включени разпоредби, позволяващи му да стане страна по този инструмент.</w:t>
      </w:r>
    </w:p>
    <w:p w:rsidR="00AC6BBF" w:rsidRDefault="00FE463F"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</w:t>
      </w:r>
      <w:r>
        <w:rPr>
          <w:noProof/>
        </w:rPr>
        <w:t>уваност със съществуващите разпоредби в тази област на политиката</w:t>
      </w:r>
    </w:p>
    <w:p w:rsidR="00AC6BBF" w:rsidRDefault="00FE463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Комисията следва да гарантира, че преговорите по текста на бъдещия инструмент са изцяло съобразени със съответните правила и политики на Съюза в областите, които ще бъдат обхванати от инстру</w:t>
      </w:r>
      <w:r>
        <w:rPr>
          <w:noProof/>
        </w:rPr>
        <w:t>мента (политика в областта на околната среда, политика в областта на морския транспорт, обща политика в областта на рибарството, политика в областта на вътрешния пазар, обща търговска политика, политика в областта на научните изследвания и технологичното р</w:t>
      </w:r>
      <w:r>
        <w:rPr>
          <w:noProof/>
        </w:rPr>
        <w:t>азвитие, политиката в областта на климата, други имащи отношение политики), както и с двустранните и многостранните споразумения, по които Съюзът вече е страна.</w:t>
      </w:r>
    </w:p>
    <w:p w:rsidR="00AC6BBF" w:rsidRDefault="00FE463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Тъй като инструментът ще представлява споразумение за изпълнение на Конвенцията на ООН по морск</w:t>
      </w:r>
      <w:r>
        <w:rPr>
          <w:noProof/>
        </w:rPr>
        <w:t>о право, която вече е част от достиженията на правото на Съюза, Комисията трябва да гарантира, че изцяло са спазени разпоредбите и балансът между правата и задълженията, залегнали в UNCLOS и отразени в достиженията на правото на ЕС, и че резултатът от прег</w:t>
      </w:r>
      <w:r>
        <w:rPr>
          <w:noProof/>
        </w:rPr>
        <w:t>оворите е в пълно съответствие с UNCLOS.</w:t>
      </w:r>
    </w:p>
    <w:p w:rsidR="00AC6BBF" w:rsidRDefault="00FE463F"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ПРАВНИ ЕЛЕМЕНТИ НА ПРЕПОРЪКАТА</w:t>
      </w:r>
    </w:p>
    <w:p w:rsidR="00AC6BBF" w:rsidRDefault="00AC6BBF">
      <w:pPr>
        <w:pStyle w:val="ManualHeading2"/>
        <w:ind w:left="0" w:firstLine="0"/>
        <w:rPr>
          <w:rFonts w:eastAsia="Arial Unicode MS"/>
          <w:noProof/>
          <w:u w:color="000000"/>
          <w:bdr w:val="nil"/>
        </w:rPr>
      </w:pPr>
    </w:p>
    <w:p w:rsidR="00AC6BBF" w:rsidRDefault="00FE463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Целта на настоящата препоръка е Съветът да упълномощи Комисията да преговаря от името на ЕС относно бъдещия инструмент. Правното основание Съветът да разреши започването на </w:t>
      </w:r>
      <w:r>
        <w:rPr>
          <w:noProof/>
        </w:rPr>
        <w:t>преговори е член 218, параграфи 3 и 4 от ДФЕС.</w:t>
      </w:r>
    </w:p>
    <w:p w:rsidR="00AC6BBF" w:rsidRDefault="00FE463F"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КОНСУЛТАЦИИТЕ СЪС ЗАИНТЕРЕСОВАНИТЕ ТРЕТИ СТРАНИ</w:t>
      </w:r>
    </w:p>
    <w:p w:rsidR="00AC6BBF" w:rsidRDefault="00FE463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При изготвянето на проекта за препоръка не бяха проведени консултации със заинтересованите страни. </w:t>
      </w:r>
    </w:p>
    <w:p w:rsidR="00AC6BBF" w:rsidRDefault="00FE463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В съответствие с разпоредбите на Резолюция 69</w:t>
      </w:r>
      <w:r>
        <w:rPr>
          <w:noProof/>
        </w:rPr>
        <w:t xml:space="preserve">/292 на Общото събрание на ООН решението за свикване на междуправителствена конференция трябваше да бъде взето от Общото събрание на ООН не по-късно от септември 2018 г. Беше решено обаче </w:t>
      </w:r>
      <w:r>
        <w:rPr>
          <w:noProof/>
        </w:rPr>
        <w:lastRenderedPageBreak/>
        <w:t xml:space="preserve">работата на ООН да се ускори, за да бъде свикана възможно най-скоро </w:t>
      </w:r>
      <w:r>
        <w:rPr>
          <w:noProof/>
        </w:rPr>
        <w:t>МПК, чието първо заседание да бъде още през 2018 г., като по този начин се запази набраната скорост на дискусиите. Тъй като е необходимо указанията за водене на преговори да се приемат преди началото на конференцията, не беше възможно да се проведе обществ</w:t>
      </w:r>
      <w:r>
        <w:rPr>
          <w:noProof/>
        </w:rPr>
        <w:t>ена консултация, нито да бъде публикувана пътна карта, за да се получи обратна информация от заинтересованите страни и гражданите в съответствие с установената практика.</w:t>
      </w:r>
    </w:p>
    <w:p w:rsidR="00AC6BBF" w:rsidRDefault="00FE463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ЕС спазва политически ангажимент към този процес в продължение на много години, през к</w:t>
      </w:r>
      <w:r>
        <w:rPr>
          <w:noProof/>
        </w:rPr>
        <w:t>оито са провеждани редовни консултации със съответните заинтересовани страни, по-специално с организации на гражданското общество и други организации, представени в контекста на ООН.</w:t>
      </w:r>
    </w:p>
    <w:p w:rsidR="00AC6BBF" w:rsidRDefault="00FE463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Активното участие и обратната информация от заинтересованите страни ще са</w:t>
      </w:r>
      <w:r>
        <w:rPr>
          <w:noProof/>
        </w:rPr>
        <w:t xml:space="preserve"> необходими и в хода на преговорния процес, тъй като тогава ще се изискват по-конкретни (съществени) преговорни позиции и така ще се гарантира, че тези позиции отразяват мненията на заинтересованите страни.</w:t>
      </w:r>
    </w:p>
    <w:p w:rsidR="00AC6BBF" w:rsidRDefault="00AC6BBF">
      <w:pPr>
        <w:rPr>
          <w:noProof/>
        </w:rPr>
        <w:sectPr w:rsidR="00AC6BBF" w:rsidSect="00FE463F">
          <w:footerReference w:type="default" r:id="rId17"/>
          <w:footerReference w:type="first" r:id="rId18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 w:rsidR="00AC6BBF" w:rsidRDefault="00FE463F" w:rsidP="00FE463F">
      <w:pPr>
        <w:pStyle w:val="Statut"/>
        <w:rPr>
          <w:noProof/>
        </w:rPr>
      </w:pPr>
      <w:r w:rsidRPr="00FE463F">
        <w:t>Препоръка за</w:t>
      </w:r>
    </w:p>
    <w:p w:rsidR="00AC6BBF" w:rsidRDefault="00FE463F" w:rsidP="00FE463F">
      <w:pPr>
        <w:pStyle w:val="Typedudocument"/>
        <w:rPr>
          <w:noProof/>
        </w:rPr>
      </w:pPr>
      <w:r w:rsidRPr="00FE463F">
        <w:t>РЕШЕНИЕ НА СЪВЕТА</w:t>
      </w:r>
    </w:p>
    <w:p w:rsidR="00AC6BBF" w:rsidRDefault="00FE463F" w:rsidP="00FE463F">
      <w:pPr>
        <w:pStyle w:val="Titreobjet"/>
        <w:rPr>
          <w:noProof/>
        </w:rPr>
      </w:pPr>
      <w:r w:rsidRPr="00FE463F">
        <w:t>за разрешаване на започването на преговори по международен правно обвързващ инструмент в рамките на Конвенцията на ООН по морско право, предназначен за опазване и устойчиво използване на морското биологично разнообразие в зоните, разположени извън националните юрисдикции</w:t>
      </w:r>
    </w:p>
    <w:p w:rsidR="00AC6BBF" w:rsidRDefault="00FE463F"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 w:rsidR="00AC6BBF" w:rsidRDefault="00FE463F"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218, параграфи 3 и 4 от него,</w:t>
      </w:r>
    </w:p>
    <w:p w:rsidR="00AC6BBF" w:rsidRDefault="00FE463F">
      <w:pPr>
        <w:rPr>
          <w:noProof/>
        </w:rPr>
      </w:pPr>
      <w:r>
        <w:rPr>
          <w:noProof/>
        </w:rPr>
        <w:t xml:space="preserve">като взе предвид препоръката на Европейската </w:t>
      </w:r>
      <w:r>
        <w:rPr>
          <w:noProof/>
        </w:rPr>
        <w:t>комисия,</w:t>
      </w:r>
    </w:p>
    <w:p w:rsidR="00AC6BBF" w:rsidRDefault="00FE463F">
      <w:pPr>
        <w:rPr>
          <w:noProof/>
        </w:rPr>
      </w:pPr>
      <w:r>
        <w:rPr>
          <w:noProof/>
        </w:rPr>
        <w:t>като има предвид, че:</w:t>
      </w:r>
    </w:p>
    <w:p w:rsidR="00AC6BBF" w:rsidRDefault="00FE463F">
      <w:pPr>
        <w:rPr>
          <w:noProof/>
        </w:rPr>
      </w:pPr>
      <w:r>
        <w:rPr>
          <w:noProof/>
        </w:rPr>
        <w:t>(1) С Решение 98/392/ЕО на Съвета от 23 март 1998 г.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Съюзът ратифицира Конвенцията на Организацията на обединените нации по морско право (наричана по-долу „UNCLOS“) в качеството си на единствената до момента международна орг</w:t>
      </w:r>
      <w:r>
        <w:rPr>
          <w:noProof/>
        </w:rPr>
        <w:t>анизация, която е страна по тази конвенция по смисъла на член 305, параграф 1, буква е) и член 1 от приложение IX към UNCLOS.</w:t>
      </w:r>
    </w:p>
    <w:p w:rsidR="00AC6BBF" w:rsidRDefault="00FE463F">
      <w:pPr>
        <w:rPr>
          <w:noProof/>
        </w:rPr>
      </w:pPr>
      <w:r>
        <w:rPr>
          <w:noProof/>
        </w:rPr>
        <w:t xml:space="preserve">(2) Като страна по UNCLOS Съюзът участва в проведените между 2006 и 2015 г. заседания на неформалната отворена </w:t>
      </w:r>
      <w:r>
        <w:rPr>
          <w:i/>
          <w:noProof/>
        </w:rPr>
        <w:t>ad hoc</w:t>
      </w:r>
      <w:r>
        <w:rPr>
          <w:noProof/>
        </w:rPr>
        <w:t xml:space="preserve"> работна груп</w:t>
      </w:r>
      <w:r>
        <w:rPr>
          <w:noProof/>
        </w:rPr>
        <w:t xml:space="preserve">а на ООН, проучваща въпросите, свързани с опазването и устойчивото използване на морското биологично разнообразие в зоните, разположени извън националните юрисдикции; през 2016 г. и 2017 г. Съюзът участва също в четири заседания на подготвителния комитет, </w:t>
      </w:r>
      <w:r>
        <w:rPr>
          <w:noProof/>
        </w:rPr>
        <w:t>на който беше възложено да направи препоръки по същество до Общото събрание относно елементите на бъдещия международен правно обвързващ инструмент в рамките на UNCLOS, предназначен за опазване и устойчиво използване на морското биологично разнообразие в зо</w:t>
      </w:r>
      <w:r>
        <w:rPr>
          <w:noProof/>
        </w:rPr>
        <w:t>ните, разположени извън националните юрисдикции (наричан по-долу „инструментът“).</w:t>
      </w:r>
    </w:p>
    <w:p w:rsidR="00AC6BBF" w:rsidRDefault="00FE463F">
      <w:pPr>
        <w:rPr>
          <w:noProof/>
        </w:rPr>
      </w:pPr>
      <w:r>
        <w:rPr>
          <w:noProof/>
        </w:rPr>
        <w:t>(3) На 21 юли 2017 г. подготвителният комитет прие доклада си и препоръча на Общото събрание да разгледа елементите, съдържащи се в препоръката, и да вземе решение възможно н</w:t>
      </w:r>
      <w:r>
        <w:rPr>
          <w:noProof/>
        </w:rPr>
        <w:t>ай-скоро да бъде свикана междуправителствена конференция под егидата на ООН, в рамките на която да се разгледат препоръките на подготвителния комитет и да се изготви текстът на международен правно обвързващ инструмент в рамките на UNCLOS.</w:t>
      </w:r>
    </w:p>
    <w:p w:rsidR="00AC6BBF" w:rsidRDefault="00FE463F">
      <w:pPr>
        <w:rPr>
          <w:noProof/>
        </w:rPr>
      </w:pPr>
      <w:r>
        <w:rPr>
          <w:noProof/>
        </w:rPr>
        <w:t>(4) Въз основа на</w:t>
      </w:r>
      <w:r>
        <w:rPr>
          <w:noProof/>
        </w:rPr>
        <w:t xml:space="preserve"> тези препоръки Общото събрание на Обединените нации реши на [...] да свика междуправителствена конференция, която да изготви текста на международен правно обвързващ инструмент в рамките на UNCLOS, предназначен за опазване и устойчиво използване на морскот</w:t>
      </w:r>
      <w:r>
        <w:rPr>
          <w:noProof/>
        </w:rPr>
        <w:t>о биологично разнообразие в зоните, разположени извън националните юрисдикции.</w:t>
      </w:r>
    </w:p>
    <w:p w:rsidR="00AC6BBF" w:rsidRDefault="00FE463F">
      <w:pPr>
        <w:rPr>
          <w:noProof/>
        </w:rPr>
      </w:pPr>
      <w:r>
        <w:rPr>
          <w:noProof/>
        </w:rPr>
        <w:t>(5) Като страна по UNCLOS Европейският съюз следва да участва пълноценно в преговорите по инструмента,</w:t>
      </w:r>
    </w:p>
    <w:p w:rsidR="00AC6BBF" w:rsidRDefault="00AC6BBF">
      <w:pPr>
        <w:rPr>
          <w:noProof/>
        </w:rPr>
      </w:pPr>
    </w:p>
    <w:p w:rsidR="00AC6BBF" w:rsidRDefault="00FE463F"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 w:rsidR="00AC6BBF" w:rsidRDefault="00FE463F">
      <w:pPr>
        <w:pStyle w:val="Titrearticle"/>
        <w:rPr>
          <w:noProof/>
        </w:rPr>
      </w:pPr>
      <w:r>
        <w:rPr>
          <w:noProof/>
        </w:rPr>
        <w:t>Член 1</w:t>
      </w:r>
    </w:p>
    <w:p w:rsidR="00AC6BBF" w:rsidRDefault="00FE463F">
      <w:pPr>
        <w:rPr>
          <w:noProof/>
        </w:rPr>
      </w:pPr>
      <w:bookmarkStart w:id="1" w:name="_CopyToNewDocument_"/>
      <w:bookmarkEnd w:id="1"/>
      <w:r>
        <w:rPr>
          <w:noProof/>
        </w:rPr>
        <w:t>Комисията се оправомощава да преговаря о</w:t>
      </w:r>
      <w:r>
        <w:rPr>
          <w:noProof/>
        </w:rPr>
        <w:t>т името на Съюза по проект на текст на международен правно обвързващ инструмент в рамките на Конвенцията на ООН по морско право, предназначен за опазване и устойчиво използване на морското биологично разнообразие в зоните, разположени извън националните юр</w:t>
      </w:r>
      <w:r>
        <w:rPr>
          <w:noProof/>
        </w:rPr>
        <w:t>исдикции.</w:t>
      </w:r>
    </w:p>
    <w:p w:rsidR="00AC6BBF" w:rsidRDefault="00FE463F">
      <w:pPr>
        <w:pStyle w:val="Titrearticle"/>
        <w:rPr>
          <w:noProof/>
        </w:rPr>
      </w:pPr>
      <w:r>
        <w:rPr>
          <w:noProof/>
        </w:rPr>
        <w:t>Член 2</w:t>
      </w:r>
    </w:p>
    <w:p w:rsidR="00AC6BBF" w:rsidRDefault="00FE463F">
      <w:pPr>
        <w:rPr>
          <w:noProof/>
        </w:rPr>
      </w:pPr>
      <w:r>
        <w:rPr>
          <w:noProof/>
        </w:rPr>
        <w:t>Указанията за водене на преговорите се съдържат в приложението.</w:t>
      </w:r>
    </w:p>
    <w:p w:rsidR="00AC6BBF" w:rsidRDefault="00FE463F">
      <w:pPr>
        <w:pStyle w:val="Titrearticle"/>
        <w:rPr>
          <w:noProof/>
        </w:rPr>
      </w:pPr>
      <w:r>
        <w:rPr>
          <w:noProof/>
        </w:rPr>
        <w:t>Член 3</w:t>
      </w:r>
    </w:p>
    <w:p w:rsidR="00AC6BBF" w:rsidRDefault="00FE463F">
      <w:pPr>
        <w:rPr>
          <w:noProof/>
        </w:rPr>
      </w:pPr>
      <w:r>
        <w:rPr>
          <w:noProof/>
        </w:rPr>
        <w:t>Преговорите се провеждат в консултация със специалния комитет, определен от Съвета.</w:t>
      </w:r>
    </w:p>
    <w:p w:rsidR="00AC6BBF" w:rsidRDefault="00FE463F">
      <w:pPr>
        <w:pStyle w:val="Titrearticle"/>
        <w:rPr>
          <w:noProof/>
        </w:rPr>
      </w:pPr>
      <w:r>
        <w:rPr>
          <w:noProof/>
        </w:rPr>
        <w:t>Член 4</w:t>
      </w:r>
    </w:p>
    <w:p w:rsidR="00AC6BBF" w:rsidRDefault="00FE463F">
      <w:pPr>
        <w:rPr>
          <w:noProof/>
        </w:rPr>
      </w:pPr>
      <w:r>
        <w:rPr>
          <w:noProof/>
        </w:rPr>
        <w:t>Адресат на настоящото решение е Комисията.</w:t>
      </w:r>
    </w:p>
    <w:p w:rsidR="00AC6BBF" w:rsidRDefault="00AC6BBF">
      <w:pPr>
        <w:rPr>
          <w:noProof/>
        </w:rPr>
      </w:pPr>
    </w:p>
    <w:p w:rsidR="00AC6BBF" w:rsidRDefault="00FE463F" w:rsidP="00FE463F">
      <w:pPr>
        <w:pStyle w:val="Fait"/>
        <w:rPr>
          <w:noProof/>
        </w:rPr>
      </w:pPr>
      <w:r w:rsidRPr="00FE463F">
        <w:t xml:space="preserve">Съставено в Брюксел на </w:t>
      </w:r>
      <w:r w:rsidRPr="00FE463F">
        <w:rPr>
          <w:rStyle w:val="Marker"/>
        </w:rPr>
        <w:t>[…]</w:t>
      </w:r>
      <w:r w:rsidRPr="00FE463F">
        <w:t xml:space="preserve"> година.</w:t>
      </w:r>
    </w:p>
    <w:p w:rsidR="00AC6BBF" w:rsidRDefault="00FE463F"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 w:rsidR="00AC6BBF" w:rsidRDefault="00FE463F"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 w:rsidR="00AC6BBF" w:rsidSect="00FE463F"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BBF" w:rsidRDefault="00FE463F">
      <w:pPr>
        <w:spacing w:before="0" w:after="0"/>
      </w:pPr>
      <w:r>
        <w:separator/>
      </w:r>
    </w:p>
  </w:endnote>
  <w:endnote w:type="continuationSeparator" w:id="0">
    <w:p w:rsidR="00AC6BBF" w:rsidRDefault="00FE46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63F" w:rsidRPr="00FE463F" w:rsidRDefault="00FE463F" w:rsidP="00FE46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BBF" w:rsidRPr="00FE463F" w:rsidRDefault="00FE463F" w:rsidP="00FE463F">
    <w:pPr>
      <w:pStyle w:val="Footer"/>
      <w:rPr>
        <w:rFonts w:ascii="Arial" w:hAnsi="Arial" w:cs="Arial"/>
        <w:b/>
        <w:sz w:val="48"/>
      </w:rPr>
    </w:pPr>
    <w:r w:rsidRPr="00FE463F">
      <w:rPr>
        <w:rFonts w:ascii="Arial" w:hAnsi="Arial" w:cs="Arial"/>
        <w:b/>
        <w:sz w:val="48"/>
      </w:rPr>
      <w:t>BG</w:t>
    </w:r>
    <w:r w:rsidRPr="00FE463F">
      <w:rPr>
        <w:rFonts w:ascii="Arial" w:hAnsi="Arial" w:cs="Arial"/>
        <w:b/>
        <w:sz w:val="48"/>
      </w:rPr>
      <w:tab/>
    </w:r>
    <w:r w:rsidRPr="00FE463F">
      <w:rPr>
        <w:rFonts w:ascii="Arial" w:hAnsi="Arial" w:cs="Arial"/>
        <w:b/>
        <w:sz w:val="48"/>
      </w:rPr>
      <w:tab/>
    </w:r>
    <w:r w:rsidRPr="00FE463F">
      <w:tab/>
    </w:r>
    <w:r w:rsidRPr="00FE463F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63F" w:rsidRPr="00FE463F" w:rsidRDefault="00FE463F" w:rsidP="00FE463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63F" w:rsidRPr="00FE463F" w:rsidRDefault="00FE463F" w:rsidP="00FE463F">
    <w:pPr>
      <w:pStyle w:val="Footer"/>
      <w:rPr>
        <w:rFonts w:ascii="Arial" w:hAnsi="Arial" w:cs="Arial"/>
        <w:b/>
        <w:sz w:val="48"/>
      </w:rPr>
    </w:pPr>
    <w:r w:rsidRPr="00FE463F">
      <w:rPr>
        <w:rFonts w:ascii="Arial" w:hAnsi="Arial" w:cs="Arial"/>
        <w:b/>
        <w:sz w:val="48"/>
      </w:rPr>
      <w:t>BG</w:t>
    </w:r>
    <w:r w:rsidRPr="00FE463F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 w:rsidRPr="00FE463F">
      <w:tab/>
    </w:r>
    <w:r w:rsidRPr="00FE463F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63F" w:rsidRPr="00FE463F" w:rsidRDefault="00FE463F" w:rsidP="00FE46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BBF" w:rsidRDefault="00FE463F">
      <w:pPr>
        <w:spacing w:before="0" w:after="0"/>
      </w:pPr>
      <w:r>
        <w:separator/>
      </w:r>
    </w:p>
  </w:footnote>
  <w:footnote w:type="continuationSeparator" w:id="0">
    <w:p w:rsidR="00AC6BBF" w:rsidRDefault="00FE463F">
      <w:pPr>
        <w:spacing w:before="0" w:after="0"/>
      </w:pPr>
      <w:r>
        <w:continuationSeparator/>
      </w:r>
    </w:p>
  </w:footnote>
  <w:footnote w:id="1">
    <w:p w:rsidR="00AC6BBF" w:rsidRDefault="00FE463F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ab/>
        <w:t>ОВ L 179, 23.6.1998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63F" w:rsidRPr="00FE463F" w:rsidRDefault="00FE463F" w:rsidP="00FE46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63F" w:rsidRPr="00FE463F" w:rsidRDefault="00FE463F" w:rsidP="00FE46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63F" w:rsidRPr="00FE463F" w:rsidRDefault="00FE463F" w:rsidP="00FE46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3580A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36E6F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6B4730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09EE2A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7C81F1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9374774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72693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EB1069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7-12-18 07:50:23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CORRIGENDUM" w:val="&lt;UNUSED&gt;"/>
    <w:docVar w:name="LW_COVERPAGE_EXISTS" w:val="True"/>
    <w:docVar w:name="LW_COVERPAGE_GUID" w:val="78E76A36-FD31-4E06-BABE-8878676CE273"/>
    <w:docVar w:name="LW_COVERPAGE_TYPE" w:val="1"/>
    <w:docVar w:name="LW_CROSSREFERENCE" w:val="&lt;UNUSED&gt;"/>
    <w:docVar w:name="LW_DocType" w:val="COM"/>
    <w:docVar w:name="LW_EMISSION" w:val="4.1.2018"/>
    <w:docVar w:name="LW_EMISSION_ISODATE" w:val="2018-01-04"/>
    <w:docVar w:name="LW_EMISSION_LOCATION" w:val="BRX"/>
    <w:docVar w:name="LW_EMISSION_PREFIX" w:val="\u1041?\u1088?\u1102?\u1082?\u1089?\u1077?\u1083?,"/>
    <w:docVar w:name="LW_EMISSION_SUFFIX" w:val=" \u1075?."/>
    <w:docVar w:name="LW_ID_DOCMODEL" w:val="SG-001"/>
    <w:docVar w:name="LW_ID_DOCSIGNATURE" w:val="SG-001"/>
    <w:docVar w:name="LW_ID_DOCSTRUCTURE" w:val="COM/PL/ORG"/>
    <w:docVar w:name="LW_ID_DOCTYPE" w:val="SG-001"/>
    <w:docVar w:name="LW_ID_STATUT" w:val="SG-001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7"/>
    <w:docVar w:name="LW_REF.INST.NEW" w:val="COM"/>
    <w:docVar w:name="LW_REF.INST.NEW_ADOPTED" w:val="final"/>
    <w:docVar w:name="LW_REF.INST.NEW_TEXT" w:val="(2017) 81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OUS.TITRE.OBJ.CP" w:val="&lt;UNUSED&gt;"/>
    <w:docVar w:name="LW_STATUT.CP" w:val="\u1055?\u1088?\u1077?\u1087?\u1086?\u1088?\u1098?\u1082?\u1072? \u1079?\u1072?"/>
    <w:docVar w:name="LW_SUPERTITRE" w:val="&lt;UNUSED&gt;"/>
    <w:docVar w:name="LW_TITRE.OBJ.CP" w:val="\u1079?\u1072? \u1088?\u1072?\u1079?\u1088?\u1077?\u1096?\u1072?\u1074?\u1072?\u1085?\u1077? \u1085?\u1072? \u1079?\u1072?\u1087?\u1086?\u1095?\u1074?\u1072?\u1085?\u1077?\u1090?\u1086? \u1085?\u1072? \u1087?\u1088?\u1077?\u1075?\u1086?\u1074?\u1086?\u1088?\u1080? \u1087?\u1086? \u1084?\u1077?\u1078?\u1076?\u1091?\u1085?\u1072?\u1088?\u1086?\u1076?\u1077?\u1085? \u1087?\u1088?\u1072?\u1074?\u1085?\u1086? \u1086?\u1073?\u1074?\u1098?\u1088?\u1079?\u1074?\u1072?\u1097? \u1080?\u1085?\u1089?\u1090?\u1088?\u1091?\u1084?\u1077?\u1085?\u1090? \u1074? \u1088?\u1072?\u1084?\u1082?\u1080?\u1090?\u1077? \u1085?\u1072? \u1050?\u1086?\u1085?\u1074?\u1077?\u1085?\u1094?\u1080?\u1103?\u1090?\u1072? \u1085?\u1072? \u1054?\u1054?\u1053? \u1087?\u1086? \u1084?\u1086?\u1088?\u1089?\u1082?\u1086? \u1087?\u1088?\u1072?\u1074?\u1086?, \u1087?\u1088?\u1077?\u1076?\u1085?\u1072?\u1079?\u1085?\u1072?\u1095?\u1077?\u1085? \u1079?\u1072? \u1086?\u1087?\u1072?\u1079?\u1074?\u1072?\u1085?\u1077? \u1080? \u1091?\u1089?\u1090?\u1086?\u1081?\u1095?\u1080?\u1074?\u1086? \u1080?\u1079?\u1087?\u1086?\u1083?\u1079?\u1074?\u1072?\u1085?\u1077? \u1085?\u1072? \u1084?\u1086?\u1088?\u1089?\u1082?\u1086?\u1090?\u1086? \u1073?\u1080?\u1086?\u1083?\u1086?\u1075?\u1080?\u1095?\u1085?\u1086? \u1088?\u1072?\u1079?\u1085?\u1086?\u1086?\u1073?\u1088?\u1072?\u1079?\u1080?\u1077? \u1074? \u1079?\u1086?\u1085?\u1080?\u1090?\u1077?, \u1088?\u1072?\u1079?\u1087?\u1086?\u1083?\u1086?\u1078?\u1077?\u1085?\u1080? \u1080?\u1079?\u1074?\u1098?\u1085? \u1085?\u1072?\u1094?\u1080?\u1086?\u1085?\u1072?\u1083?\u1085?\u1080?\u1090?\u1077? \u1102?\u1088?\u1080?\u1089?\u1076?\u1080?\u1082?\u1094?\u1080?\u1080?"/>
    <w:docVar w:name="LW_TYPE.DOC.CP" w:val="\u1056?\u1045?\u1064?\u1045?\u1053?\u1048?\u1045? \u1053?\u1040? \u1057?\u1066?\u1042?\u1045?\u1058?\u1040?"/>
  </w:docVars>
  <w:rsids>
    <w:rsidRoot w:val="00AC6BBF"/>
    <w:rsid w:val="00AC6BBF"/>
    <w:rsid w:val="00FE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FE463F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FE463F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FE463F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FE463F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FE463F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FE463F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FE463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rsid w:val="00FE463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FE463F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FE463F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FE463F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FE463F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FE463F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FE463F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FE463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rsid w:val="00FE463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un.org/depts/los/biodiversity/prepcom_files/Procedural_report_of_BBNJ_PrepCom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BE9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41E78-CCAF-4811-91E5-33D028051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3</TotalTime>
  <Pages>6</Pages>
  <Words>1510</Words>
  <Characters>8764</Characters>
  <Application>Microsoft Office Word</Application>
  <DocSecurity>0</DocSecurity>
  <Lines>165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LAGES CARVALHO Patrick (SG)</cp:lastModifiedBy>
  <cp:revision>18</cp:revision>
  <cp:lastPrinted>2017-11-20T09:51:00Z</cp:lastPrinted>
  <dcterms:created xsi:type="dcterms:W3CDTF">2017-12-15T14:37:00Z</dcterms:created>
  <dcterms:modified xsi:type="dcterms:W3CDTF">2017-12-18T07:11:00Z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5.84.2.0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20150407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WTemplateID">
    <vt:lpwstr>SG-001</vt:lpwstr>
  </property>
  <property fmtid="{D5CDD505-2E9C-101B-9397-08002B2CF9AE}" pid="9" name="Level of sensitivity">
    <vt:lpwstr>Standard treatment</vt:lpwstr>
  </property>
  <property fmtid="{D5CDD505-2E9C-101B-9397-08002B2CF9AE}" pid="10" name="DQCStatus">
    <vt:lpwstr>Yellow (DQC version 03)</vt:lpwstr>
  </property>
</Properties>
</file>