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24" w:rsidRDefault="006F795C" w:rsidP="006F795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C781FF-8BC4-49B9-8AD7-32A2EE1A2234" style="width:450.45pt;height:404.9pt">
            <v:imagedata r:id="rId12" o:title=""/>
          </v:shape>
        </w:pict>
      </w:r>
    </w:p>
    <w:bookmarkEnd w:id="0"/>
    <w:p w:rsidR="00C35F24" w:rsidRDefault="00C35F24">
      <w:pPr>
        <w:rPr>
          <w:noProof/>
        </w:rPr>
        <w:sectPr w:rsidR="00C35F24" w:rsidSect="006F795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rsidR="00C35F24" w:rsidRDefault="006F795C">
      <w:pPr>
        <w:pStyle w:val="TOCHeading"/>
        <w:rPr>
          <w:noProof/>
          <w:sz w:val="28"/>
          <w:szCs w:val="28"/>
        </w:rPr>
      </w:pPr>
      <w:bookmarkStart w:id="1" w:name="_GoBack"/>
      <w:bookmarkEnd w:id="1"/>
      <w:r>
        <w:rPr>
          <w:noProof/>
          <w:sz w:val="28"/>
          <w:szCs w:val="28"/>
        </w:rPr>
        <w:lastRenderedPageBreak/>
        <w:t>Table des matières</w:t>
      </w:r>
    </w:p>
    <w:p w:rsidR="00C35F24" w:rsidRDefault="006F795C">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494291878" w:history="1">
        <w:r>
          <w:rPr>
            <w:rStyle w:val="Hyperlink"/>
            <w:noProof/>
            <w:lang w:val="fr-FR"/>
          </w:rPr>
          <w:t>1.</w:t>
        </w:r>
        <w:r>
          <w:rPr>
            <w:rFonts w:asciiTheme="minorHAnsi" w:eastAsiaTheme="minorEastAsia" w:hAnsiTheme="minorHAnsi" w:cstheme="minorBidi"/>
            <w:caps w:val="0"/>
            <w:noProof/>
            <w:sz w:val="22"/>
            <w:szCs w:val="22"/>
            <w:lang w:eastAsia="en-GB"/>
          </w:rPr>
          <w:tab/>
        </w:r>
        <w:r>
          <w:rPr>
            <w:rStyle w:val="Hyperlink"/>
            <w:noProof/>
            <w:lang w:val="fr-FR"/>
          </w:rPr>
          <w:t>Introduction</w:t>
        </w:r>
        <w:r>
          <w:rPr>
            <w:noProof/>
            <w:webHidden/>
          </w:rPr>
          <w:tab/>
        </w:r>
        <w:r>
          <w:rPr>
            <w:noProof/>
            <w:webHidden/>
          </w:rPr>
          <w:fldChar w:fldCharType="begin"/>
        </w:r>
        <w:r>
          <w:rPr>
            <w:noProof/>
            <w:webHidden/>
          </w:rPr>
          <w:instrText xml:space="preserve"> PAGEREF _Toc494291878 \h </w:instrText>
        </w:r>
        <w:r>
          <w:rPr>
            <w:noProof/>
            <w:webHidden/>
          </w:rPr>
        </w:r>
        <w:r>
          <w:rPr>
            <w:noProof/>
            <w:webHidden/>
          </w:rPr>
          <w:fldChar w:fldCharType="separate"/>
        </w:r>
        <w:r>
          <w:rPr>
            <w:noProof/>
            <w:webHidden/>
          </w:rPr>
          <w:t>2</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79" w:history="1">
        <w:r>
          <w:rPr>
            <w:rStyle w:val="Hyperlink"/>
            <w:noProof/>
            <w:lang w:val="fr-FR"/>
          </w:rPr>
          <w:t>2.</w:t>
        </w:r>
        <w:r>
          <w:rPr>
            <w:rFonts w:asciiTheme="minorHAnsi" w:eastAsiaTheme="minorEastAsia" w:hAnsiTheme="minorHAnsi" w:cstheme="minorBidi"/>
            <w:caps w:val="0"/>
            <w:noProof/>
            <w:sz w:val="22"/>
            <w:szCs w:val="22"/>
            <w:lang w:eastAsia="en-GB"/>
          </w:rPr>
          <w:tab/>
        </w:r>
        <w:r>
          <w:rPr>
            <w:rStyle w:val="Hyperlink"/>
            <w:noProof/>
            <w:lang w:val="fr-FR"/>
          </w:rPr>
          <w:t>Contexte</w:t>
        </w:r>
        <w:r>
          <w:rPr>
            <w:noProof/>
            <w:webHidden/>
          </w:rPr>
          <w:tab/>
        </w:r>
        <w:r>
          <w:rPr>
            <w:noProof/>
            <w:webHidden/>
          </w:rPr>
          <w:fldChar w:fldCharType="begin"/>
        </w:r>
        <w:r>
          <w:rPr>
            <w:noProof/>
            <w:webHidden/>
          </w:rPr>
          <w:instrText xml:space="preserve"> PAGEREF _Toc494291879 \h </w:instrText>
        </w:r>
        <w:r>
          <w:rPr>
            <w:noProof/>
            <w:webHidden/>
          </w:rPr>
        </w:r>
        <w:r>
          <w:rPr>
            <w:noProof/>
            <w:webHidden/>
          </w:rPr>
          <w:fldChar w:fldCharType="separate"/>
        </w:r>
        <w:r>
          <w:rPr>
            <w:noProof/>
            <w:webHidden/>
          </w:rPr>
          <w:t>3</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0" w:history="1">
        <w:r>
          <w:rPr>
            <w:rStyle w:val="Hyperlink"/>
            <w:noProof/>
            <w:lang w:val="fr-FR"/>
          </w:rPr>
          <w:t>3.</w:t>
        </w:r>
        <w:r>
          <w:rPr>
            <w:rFonts w:asciiTheme="minorHAnsi" w:eastAsiaTheme="minorEastAsia" w:hAnsiTheme="minorHAnsi" w:cstheme="minorBidi"/>
            <w:caps w:val="0"/>
            <w:noProof/>
            <w:sz w:val="22"/>
            <w:szCs w:val="22"/>
            <w:lang w:eastAsia="en-GB"/>
          </w:rPr>
          <w:tab/>
        </w:r>
        <w:r>
          <w:rPr>
            <w:rStyle w:val="Hyperlink"/>
            <w:noProof/>
            <w:lang w:val="fr-FR"/>
          </w:rPr>
          <w:t>Mise en œuvre/ Etat des lieux</w:t>
        </w:r>
        <w:r>
          <w:rPr>
            <w:noProof/>
            <w:webHidden/>
          </w:rPr>
          <w:tab/>
        </w:r>
        <w:r>
          <w:rPr>
            <w:noProof/>
            <w:webHidden/>
          </w:rPr>
          <w:fldChar w:fldCharType="begin"/>
        </w:r>
        <w:r>
          <w:rPr>
            <w:noProof/>
            <w:webHidden/>
          </w:rPr>
          <w:instrText xml:space="preserve"> PAGEREF _Toc494291880 \h </w:instrText>
        </w:r>
        <w:r>
          <w:rPr>
            <w:noProof/>
            <w:webHidden/>
          </w:rPr>
        </w:r>
        <w:r>
          <w:rPr>
            <w:noProof/>
            <w:webHidden/>
          </w:rPr>
          <w:fldChar w:fldCharType="separate"/>
        </w:r>
        <w:r>
          <w:rPr>
            <w:noProof/>
            <w:webHidden/>
          </w:rPr>
          <w:t>4</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1" w:history="1">
        <w:r>
          <w:rPr>
            <w:rStyle w:val="Hyperlink"/>
            <w:noProof/>
            <w:lang w:val="fr-FR"/>
          </w:rPr>
          <w:t>4.</w:t>
        </w:r>
        <w:r>
          <w:rPr>
            <w:rFonts w:asciiTheme="minorHAnsi" w:eastAsiaTheme="minorEastAsia" w:hAnsiTheme="minorHAnsi" w:cstheme="minorBidi"/>
            <w:caps w:val="0"/>
            <w:noProof/>
            <w:sz w:val="22"/>
            <w:szCs w:val="22"/>
            <w:lang w:eastAsia="en-GB"/>
          </w:rPr>
          <w:tab/>
        </w:r>
        <w:r>
          <w:rPr>
            <w:rStyle w:val="Hyperlink"/>
            <w:noProof/>
            <w:lang w:val="fr-FR"/>
          </w:rPr>
          <w:t>Méthodologie</w:t>
        </w:r>
        <w:r>
          <w:rPr>
            <w:noProof/>
            <w:webHidden/>
          </w:rPr>
          <w:tab/>
        </w:r>
        <w:r>
          <w:rPr>
            <w:noProof/>
            <w:webHidden/>
          </w:rPr>
          <w:fldChar w:fldCharType="begin"/>
        </w:r>
        <w:r>
          <w:rPr>
            <w:noProof/>
            <w:webHidden/>
          </w:rPr>
          <w:instrText xml:space="preserve"> PAGEREF _Toc494291881 \h </w:instrText>
        </w:r>
        <w:r>
          <w:rPr>
            <w:noProof/>
            <w:webHidden/>
          </w:rPr>
        </w:r>
        <w:r>
          <w:rPr>
            <w:noProof/>
            <w:webHidden/>
          </w:rPr>
          <w:fldChar w:fldCharType="separate"/>
        </w:r>
        <w:r>
          <w:rPr>
            <w:noProof/>
            <w:webHidden/>
          </w:rPr>
          <w:t>5</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2" w:history="1">
        <w:r>
          <w:rPr>
            <w:rStyle w:val="Hyperlink"/>
            <w:noProof/>
            <w:lang w:val="fr-BE"/>
          </w:rPr>
          <w:t>5.</w:t>
        </w:r>
        <w:r>
          <w:rPr>
            <w:rFonts w:asciiTheme="minorHAnsi" w:eastAsiaTheme="minorEastAsia" w:hAnsiTheme="minorHAnsi" w:cstheme="minorBidi"/>
            <w:caps w:val="0"/>
            <w:noProof/>
            <w:sz w:val="22"/>
            <w:szCs w:val="22"/>
            <w:lang w:eastAsia="en-GB"/>
          </w:rPr>
          <w:tab/>
        </w:r>
        <w:r>
          <w:rPr>
            <w:rStyle w:val="Hyperlink"/>
            <w:noProof/>
            <w:lang w:val="fr-BE"/>
          </w:rPr>
          <w:t>Analyse et réponses aux questions d'évaluation</w:t>
        </w:r>
        <w:r>
          <w:rPr>
            <w:noProof/>
            <w:webHidden/>
          </w:rPr>
          <w:tab/>
        </w:r>
        <w:r>
          <w:rPr>
            <w:noProof/>
            <w:webHidden/>
          </w:rPr>
          <w:fldChar w:fldCharType="begin"/>
        </w:r>
        <w:r>
          <w:rPr>
            <w:noProof/>
            <w:webHidden/>
          </w:rPr>
          <w:instrText xml:space="preserve"> PAGEREF _Toc494291882 \h </w:instrText>
        </w:r>
        <w:r>
          <w:rPr>
            <w:noProof/>
            <w:webHidden/>
          </w:rPr>
        </w:r>
        <w:r>
          <w:rPr>
            <w:noProof/>
            <w:webHidden/>
          </w:rPr>
          <w:fldChar w:fldCharType="separate"/>
        </w:r>
        <w:r>
          <w:rPr>
            <w:noProof/>
            <w:webHidden/>
          </w:rPr>
          <w:t>6</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3" w:history="1">
        <w:r>
          <w:rPr>
            <w:rStyle w:val="Hyperlink"/>
            <w:noProof/>
            <w:lang w:val="fr-BE"/>
          </w:rPr>
          <w:t>6.</w:t>
        </w:r>
        <w:r>
          <w:rPr>
            <w:rFonts w:asciiTheme="minorHAnsi" w:eastAsiaTheme="minorEastAsia" w:hAnsiTheme="minorHAnsi" w:cstheme="minorBidi"/>
            <w:caps w:val="0"/>
            <w:noProof/>
            <w:sz w:val="22"/>
            <w:szCs w:val="22"/>
            <w:lang w:eastAsia="en-GB"/>
          </w:rPr>
          <w:tab/>
        </w:r>
        <w:r>
          <w:rPr>
            <w:rStyle w:val="Hyperlink"/>
            <w:noProof/>
            <w:lang w:val="fr-BE"/>
          </w:rPr>
          <w:t>Conclusions</w:t>
        </w:r>
        <w:r>
          <w:rPr>
            <w:noProof/>
            <w:webHidden/>
          </w:rPr>
          <w:tab/>
        </w:r>
        <w:r>
          <w:rPr>
            <w:noProof/>
            <w:webHidden/>
          </w:rPr>
          <w:fldChar w:fldCharType="begin"/>
        </w:r>
        <w:r>
          <w:rPr>
            <w:noProof/>
            <w:webHidden/>
          </w:rPr>
          <w:instrText xml:space="preserve"> PAGEREF _Toc494291883 \h </w:instrText>
        </w:r>
        <w:r>
          <w:rPr>
            <w:noProof/>
            <w:webHidden/>
          </w:rPr>
        </w:r>
        <w:r>
          <w:rPr>
            <w:noProof/>
            <w:webHidden/>
          </w:rPr>
          <w:fldChar w:fldCharType="separate"/>
        </w:r>
        <w:r>
          <w:rPr>
            <w:noProof/>
            <w:webHidden/>
          </w:rPr>
          <w:t>8</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4" w:history="1">
        <w:r>
          <w:rPr>
            <w:rStyle w:val="Hyperlink"/>
            <w:noProof/>
            <w:lang w:val="fr-BE"/>
          </w:rPr>
          <w:t>Annexe 1: Informations sur les procédures</w:t>
        </w:r>
        <w:r>
          <w:rPr>
            <w:noProof/>
            <w:webHidden/>
          </w:rPr>
          <w:tab/>
        </w:r>
        <w:r>
          <w:rPr>
            <w:noProof/>
            <w:webHidden/>
          </w:rPr>
          <w:fldChar w:fldCharType="begin"/>
        </w:r>
        <w:r>
          <w:rPr>
            <w:noProof/>
            <w:webHidden/>
          </w:rPr>
          <w:instrText xml:space="preserve"> PAGEREF _Toc494291884 \h </w:instrText>
        </w:r>
        <w:r>
          <w:rPr>
            <w:noProof/>
            <w:webHidden/>
          </w:rPr>
        </w:r>
        <w:r>
          <w:rPr>
            <w:noProof/>
            <w:webHidden/>
          </w:rPr>
          <w:fldChar w:fldCharType="separate"/>
        </w:r>
        <w:r>
          <w:rPr>
            <w:noProof/>
            <w:webHidden/>
          </w:rPr>
          <w:t>11</w:t>
        </w:r>
        <w:r>
          <w:rPr>
            <w:noProof/>
            <w:webHidden/>
          </w:rPr>
          <w:fldChar w:fldCharType="end"/>
        </w:r>
      </w:hyperlink>
    </w:p>
    <w:p w:rsidR="00C35F24" w:rsidRDefault="006F795C">
      <w:pPr>
        <w:pStyle w:val="TOC1"/>
        <w:rPr>
          <w:rFonts w:asciiTheme="minorHAnsi" w:eastAsiaTheme="minorEastAsia" w:hAnsiTheme="minorHAnsi" w:cstheme="minorBidi"/>
          <w:caps w:val="0"/>
          <w:noProof/>
          <w:sz w:val="22"/>
          <w:szCs w:val="22"/>
          <w:lang w:eastAsia="en-GB"/>
        </w:rPr>
      </w:pPr>
      <w:hyperlink w:anchor="_Toc494291885" w:history="1">
        <w:r>
          <w:rPr>
            <w:rStyle w:val="Hyperlink"/>
            <w:noProof/>
            <w:lang w:val="fr-BE"/>
          </w:rPr>
          <w:t>Annexe 2: consultation des parties prenantes</w:t>
        </w:r>
        <w:r>
          <w:rPr>
            <w:noProof/>
            <w:webHidden/>
          </w:rPr>
          <w:tab/>
        </w:r>
        <w:r>
          <w:rPr>
            <w:noProof/>
            <w:webHidden/>
          </w:rPr>
          <w:fldChar w:fldCharType="begin"/>
        </w:r>
        <w:r>
          <w:rPr>
            <w:noProof/>
            <w:webHidden/>
          </w:rPr>
          <w:instrText xml:space="preserve"> PAGEREF _Toc494291885 \h </w:instrText>
        </w:r>
        <w:r>
          <w:rPr>
            <w:noProof/>
            <w:webHidden/>
          </w:rPr>
        </w:r>
        <w:r>
          <w:rPr>
            <w:noProof/>
            <w:webHidden/>
          </w:rPr>
          <w:fldChar w:fldCharType="separate"/>
        </w:r>
        <w:r>
          <w:rPr>
            <w:noProof/>
            <w:webHidden/>
          </w:rPr>
          <w:t>12</w:t>
        </w:r>
        <w:r>
          <w:rPr>
            <w:noProof/>
            <w:webHidden/>
          </w:rPr>
          <w:fldChar w:fldCharType="end"/>
        </w:r>
      </w:hyperlink>
    </w:p>
    <w:p w:rsidR="00C35F24" w:rsidRDefault="006F795C">
      <w:pPr>
        <w:pStyle w:val="TOC1"/>
        <w:tabs>
          <w:tab w:val="left" w:pos="709"/>
        </w:tabs>
        <w:ind w:left="1276" w:hanging="1276"/>
        <w:rPr>
          <w:rFonts w:asciiTheme="minorHAnsi" w:eastAsiaTheme="minorEastAsia" w:hAnsiTheme="minorHAnsi" w:cstheme="minorBidi"/>
          <w:caps w:val="0"/>
          <w:noProof/>
          <w:sz w:val="22"/>
          <w:szCs w:val="22"/>
          <w:lang w:eastAsia="en-GB"/>
        </w:rPr>
      </w:pPr>
      <w:hyperlink w:anchor="_Toc494291886" w:history="1">
        <w:r>
          <w:rPr>
            <w:rStyle w:val="Hyperlink"/>
            <w:noProof/>
            <w:lang w:val="fr-BE"/>
          </w:rPr>
          <w:t>Annexe 3: méthodes et modèles analytiques utilisés pour élaborer l'évaluation</w:t>
        </w:r>
        <w:r>
          <w:rPr>
            <w:noProof/>
            <w:webHidden/>
          </w:rPr>
          <w:tab/>
        </w:r>
        <w:r>
          <w:rPr>
            <w:noProof/>
            <w:webHidden/>
          </w:rPr>
          <w:fldChar w:fldCharType="begin"/>
        </w:r>
        <w:r>
          <w:rPr>
            <w:noProof/>
            <w:webHidden/>
          </w:rPr>
          <w:instrText xml:space="preserve"> PAGEREF _Toc494291886 \h </w:instrText>
        </w:r>
        <w:r>
          <w:rPr>
            <w:noProof/>
            <w:webHidden/>
          </w:rPr>
        </w:r>
        <w:r>
          <w:rPr>
            <w:noProof/>
            <w:webHidden/>
          </w:rPr>
          <w:fldChar w:fldCharType="separate"/>
        </w:r>
        <w:r>
          <w:rPr>
            <w:noProof/>
            <w:webHidden/>
          </w:rPr>
          <w:t>14</w:t>
        </w:r>
        <w:r>
          <w:rPr>
            <w:noProof/>
            <w:webHidden/>
          </w:rPr>
          <w:fldChar w:fldCharType="end"/>
        </w:r>
      </w:hyperlink>
    </w:p>
    <w:p w:rsidR="00C35F24" w:rsidRDefault="006F795C">
      <w:pPr>
        <w:spacing w:after="0" w:line="480" w:lineRule="auto"/>
        <w:rPr>
          <w:noProof/>
          <w:lang w:val="fr-BE"/>
        </w:rPr>
        <w:sectPr w:rsidR="00C35F24">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pPr>
      <w:r>
        <w:rPr>
          <w:noProof/>
        </w:rPr>
        <w:fldChar w:fldCharType="end"/>
      </w:r>
    </w:p>
    <w:p w:rsidR="00C35F24" w:rsidRDefault="006F795C">
      <w:pPr>
        <w:pStyle w:val="ManualHeading1"/>
        <w:rPr>
          <w:noProof/>
          <w:lang w:val="fr-FR"/>
        </w:rPr>
      </w:pPr>
      <w:bookmarkStart w:id="2" w:name="_Toc494291878"/>
      <w:r>
        <w:rPr>
          <w:noProof/>
          <w:lang w:val="fr-FR"/>
        </w:rPr>
        <w:lastRenderedPageBreak/>
        <w:t>1.</w:t>
      </w:r>
      <w:r>
        <w:rPr>
          <w:noProof/>
          <w:lang w:val="fr-FR"/>
        </w:rPr>
        <w:tab/>
        <w:t>Introduction</w:t>
      </w:r>
      <w:bookmarkEnd w:id="2"/>
      <w:r>
        <w:rPr>
          <w:noProof/>
          <w:lang w:val="fr-FR"/>
        </w:rPr>
        <w:t xml:space="preserve"> </w:t>
      </w:r>
    </w:p>
    <w:p w:rsidR="00C35F24" w:rsidRDefault="006F795C">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Les accords de pêche bilatéraux conclus entre l’Union européenne (UE) et les pays tiers sont depuis longtemps une composante de la politique commune de la pêche (PCP)</w:t>
      </w:r>
      <w:r>
        <w:rPr>
          <w:rStyle w:val="FootnoteReference"/>
          <w:rFonts w:ascii="Times New Roman" w:hAnsi="Times New Roman" w:cs="Times New Roman"/>
          <w:noProof/>
          <w:color w:val="222222"/>
          <w:szCs w:val="24"/>
          <w:lang w:val="fr-FR"/>
        </w:rPr>
        <w:footnoteReference w:id="1"/>
      </w:r>
      <w:r>
        <w:rPr>
          <w:rFonts w:ascii="Times New Roman" w:hAnsi="Times New Roman" w:cs="Times New Roman"/>
          <w:noProof/>
          <w:color w:val="222222"/>
          <w:sz w:val="24"/>
          <w:szCs w:val="24"/>
          <w:lang w:val="fr-FR"/>
        </w:rPr>
        <w:t xml:space="preserve">. La réforme de 2013 a précisé qu'ils </w:t>
      </w:r>
      <w:r>
        <w:rPr>
          <w:rFonts w:ascii="Times New Roman" w:hAnsi="Times New Roman" w:cs="Times New Roman"/>
          <w:noProof/>
          <w:color w:val="222222"/>
          <w:sz w:val="24"/>
          <w:szCs w:val="24"/>
          <w:lang w:val="fr-FR"/>
        </w:rPr>
        <w:t>contribuent à promouvoir les objectifs de la PCP à l'échelle internationale, en veillant à ce que les activités de pêche de l'Union en dehors des eaux de l'Union soient fondées sur les mêmes principes et normes que ceux applicables en vertu du droit de l'U</w:t>
      </w:r>
      <w:r>
        <w:rPr>
          <w:rFonts w:ascii="Times New Roman" w:hAnsi="Times New Roman" w:cs="Times New Roman"/>
          <w:noProof/>
          <w:color w:val="222222"/>
          <w:sz w:val="24"/>
          <w:szCs w:val="24"/>
          <w:lang w:val="fr-FR"/>
        </w:rPr>
        <w:t>nion. Les accords de partenariat de pêche durable (APPD)</w:t>
      </w:r>
      <w:r>
        <w:rPr>
          <w:rStyle w:val="FootnoteReference"/>
          <w:rFonts w:ascii="Times New Roman" w:hAnsi="Times New Roman" w:cs="Times New Roman"/>
          <w:noProof/>
          <w:color w:val="222222"/>
          <w:szCs w:val="24"/>
          <w:lang w:val="fr-FR"/>
        </w:rPr>
        <w:footnoteReference w:id="2"/>
      </w:r>
      <w:r>
        <w:rPr>
          <w:rFonts w:ascii="Times New Roman" w:hAnsi="Times New Roman" w:cs="Times New Roman"/>
          <w:noProof/>
          <w:color w:val="222222"/>
          <w:sz w:val="24"/>
          <w:szCs w:val="24"/>
          <w:lang w:val="fr-FR"/>
        </w:rPr>
        <w:t xml:space="preserve"> sont fondés sur les meilleurs avis scientifiques disponibles, la transparence, la non-discrimination et contribuent à l'établissement d'un cadre de gouvernance pour les activités de pêche externe.</w:t>
      </w:r>
    </w:p>
    <w:p w:rsidR="00C35F24" w:rsidRDefault="006F795C">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L</w:t>
      </w:r>
      <w:r>
        <w:rPr>
          <w:rFonts w:ascii="Times New Roman" w:hAnsi="Times New Roman" w:cs="Times New Roman"/>
          <w:noProof/>
          <w:color w:val="222222"/>
          <w:sz w:val="24"/>
          <w:szCs w:val="24"/>
          <w:lang w:val="fr-FR"/>
        </w:rPr>
        <w:t>es APPD sont mis en œuvre par le biais de protocoles, à durée limitée, qui fixent les possibilités de pêche et la contrepartie financière correspondante. Les conclusions du Conseil sur la dimension extérieure de la politique commune de la pêche (PCP) adopt</w:t>
      </w:r>
      <w:r>
        <w:rPr>
          <w:rFonts w:ascii="Times New Roman" w:hAnsi="Times New Roman" w:cs="Times New Roman"/>
          <w:noProof/>
          <w:color w:val="222222"/>
          <w:sz w:val="24"/>
          <w:szCs w:val="24"/>
          <w:lang w:val="fr-FR"/>
        </w:rPr>
        <w:t>ées le 19 mars 2012 demandent qu’une évaluation ex-post et ex-ante soit réalisée par la Commission avant de négocier tout nouveau protocole. Cette obligation a été consacrée à l’article 31, paragraphe 10 de l’actuel règlement de base de la PCP qui fait ain</w:t>
      </w:r>
      <w:r>
        <w:rPr>
          <w:rFonts w:ascii="Times New Roman" w:hAnsi="Times New Roman" w:cs="Times New Roman"/>
          <w:noProof/>
          <w:color w:val="222222"/>
          <w:sz w:val="24"/>
          <w:szCs w:val="24"/>
          <w:lang w:val="fr-FR"/>
        </w:rPr>
        <w:t>si de l'évaluation une étape systématique du processus de négociation. En outre, l'engagement de l'UE de promouvoir une politique de gouvernance des océans au niveau global devrait également se traduire à travers le cadre des relations bilatérales entreten</w:t>
      </w:r>
      <w:r>
        <w:rPr>
          <w:rFonts w:ascii="Times New Roman" w:hAnsi="Times New Roman" w:cs="Times New Roman"/>
          <w:noProof/>
          <w:color w:val="222222"/>
          <w:sz w:val="24"/>
          <w:szCs w:val="24"/>
          <w:lang w:val="fr-FR"/>
        </w:rPr>
        <w:t xml:space="preserve">ues avec les pays partenaires bénéficiaires d'un APPD. </w:t>
      </w:r>
    </w:p>
    <w:p w:rsidR="00C35F24" w:rsidRDefault="006F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noProof/>
          <w:szCs w:val="24"/>
          <w:lang w:val="fr-BE" w:eastAsia="en-GB"/>
        </w:rPr>
      </w:pPr>
      <w:r>
        <w:rPr>
          <w:noProof/>
          <w:color w:val="222222"/>
          <w:szCs w:val="24"/>
          <w:lang w:val="fr-FR" w:eastAsia="en-GB"/>
        </w:rPr>
        <w:t>Le présent document de travail des services de la Commission (DTS) présente les résultats d'une évaluation ex-post et ex-ante</w:t>
      </w:r>
      <w:r>
        <w:rPr>
          <w:rStyle w:val="FootnoteReference"/>
          <w:noProof/>
          <w:color w:val="222222"/>
          <w:szCs w:val="24"/>
          <w:lang w:val="fr-FR" w:eastAsia="en-GB"/>
        </w:rPr>
        <w:footnoteReference w:id="3"/>
      </w:r>
      <w:r>
        <w:rPr>
          <w:noProof/>
          <w:color w:val="222222"/>
          <w:szCs w:val="24"/>
          <w:lang w:val="fr-FR" w:eastAsia="en-GB"/>
        </w:rPr>
        <w:t xml:space="preserve"> du protocole actuel (2014-2018) entre l'Union européenne et le Royaume du</w:t>
      </w:r>
      <w:r>
        <w:rPr>
          <w:noProof/>
          <w:color w:val="222222"/>
          <w:szCs w:val="24"/>
          <w:lang w:val="fr-FR" w:eastAsia="en-GB"/>
        </w:rPr>
        <w:t xml:space="preserve"> Maroc (ci-après, le </w:t>
      </w:r>
      <w:r>
        <w:rPr>
          <w:noProof/>
          <w:szCs w:val="24"/>
          <w:lang w:val="fr-BE"/>
        </w:rPr>
        <w:t>Maroc</w:t>
      </w:r>
      <w:r>
        <w:rPr>
          <w:noProof/>
          <w:color w:val="222222"/>
          <w:szCs w:val="24"/>
          <w:lang w:val="fr-FR" w:eastAsia="en-GB"/>
        </w:rPr>
        <w:t>), qui expire le 14 juillet 2018</w:t>
      </w:r>
      <w:r>
        <w:rPr>
          <w:rStyle w:val="FootnoteReference"/>
          <w:noProof/>
          <w:color w:val="222222"/>
          <w:szCs w:val="24"/>
          <w:lang w:val="fr-FR" w:eastAsia="en-GB"/>
        </w:rPr>
        <w:footnoteReference w:id="4"/>
      </w:r>
      <w:r>
        <w:rPr>
          <w:noProof/>
          <w:color w:val="222222"/>
          <w:szCs w:val="24"/>
          <w:lang w:val="fr-FR" w:eastAsia="en-GB"/>
        </w:rPr>
        <w:t xml:space="preserve">. </w:t>
      </w:r>
      <w:r>
        <w:rPr>
          <w:noProof/>
          <w:szCs w:val="24"/>
          <w:lang w:val="fr-BE" w:eastAsia="en-GB"/>
        </w:rPr>
        <w:t>Concernant l’évaluation ex-post</w:t>
      </w:r>
      <w:r>
        <w:rPr>
          <w:noProof/>
          <w:lang w:val="fr-BE"/>
        </w:rPr>
        <w:t xml:space="preserve"> et du </w:t>
      </w:r>
      <w:r>
        <w:rPr>
          <w:noProof/>
          <w:szCs w:val="24"/>
          <w:lang w:val="fr-BE" w:eastAsia="en-GB"/>
        </w:rPr>
        <w:t xml:space="preserve">fait de la disponibilité des données, les travaux de l'étude ont couvert la période allant de l’entrée en vigueur du protocole (15 juillet 2014) à la fin de </w:t>
      </w:r>
      <w:r>
        <w:rPr>
          <w:noProof/>
          <w:szCs w:val="24"/>
          <w:lang w:val="fr-BE" w:eastAsia="en-GB"/>
        </w:rPr>
        <w:t>2016 en ce qui concerne les données de captures, à la fin du 1</w:t>
      </w:r>
      <w:r>
        <w:rPr>
          <w:noProof/>
          <w:szCs w:val="24"/>
          <w:vertAlign w:val="superscript"/>
          <w:lang w:val="fr-BE" w:eastAsia="en-GB"/>
        </w:rPr>
        <w:t>er</w:t>
      </w:r>
      <w:r>
        <w:rPr>
          <w:noProof/>
          <w:szCs w:val="24"/>
          <w:lang w:val="fr-BE" w:eastAsia="en-GB"/>
        </w:rPr>
        <w:t xml:space="preserve"> trimestre de 2017 en ce qui concerne l'utilisation des licences, et à la fin juillet 2017 en ce qui concerne la partie appui sectoriel payé par l'UE. Il s’agit donc plutôt d’une évaluation en</w:t>
      </w:r>
      <w:r>
        <w:rPr>
          <w:noProof/>
          <w:szCs w:val="24"/>
          <w:lang w:val="fr-BE" w:eastAsia="en-GB"/>
        </w:rPr>
        <w:t xml:space="preserve"> cours de mise en œuvre. </w:t>
      </w:r>
    </w:p>
    <w:p w:rsidR="00C35F24" w:rsidRDefault="006F795C">
      <w:pPr>
        <w:rPr>
          <w:noProof/>
          <w:color w:val="222222"/>
          <w:szCs w:val="24"/>
          <w:lang w:val="fr-FR" w:eastAsia="en-GB"/>
        </w:rPr>
      </w:pPr>
      <w:r>
        <w:rPr>
          <w:noProof/>
          <w:szCs w:val="24"/>
          <w:lang w:val="fr-BE"/>
        </w:rPr>
        <w:t>L'évaluation est faite à l'aide des différentes questions d’évaluation posées aux parties prenantes. Pour l'analyse ex-post, les questions d’évaluation traitent successivement de l’efficacité, l’efficience, l’économie, la pertinence, la cohérence, la valeu</w:t>
      </w:r>
      <w:r>
        <w:rPr>
          <w:noProof/>
          <w:szCs w:val="24"/>
          <w:lang w:val="fr-BE"/>
        </w:rPr>
        <w:t>r-ajoutée de l’UE et l’acceptabilité du protocole (pages 91-111 de l'étude). Pour l'analyse ex-ante, les questions se focalisent sur l'identification des problèmes et des besoins, les objectifs à atteindre, les options disponibles (renouvellement/ ou non-r</w:t>
      </w:r>
      <w:r>
        <w:rPr>
          <w:noProof/>
          <w:szCs w:val="24"/>
          <w:lang w:val="fr-BE"/>
        </w:rPr>
        <w:t xml:space="preserve">enouvellement du protocole) et les risques associés, la plus-value pour l'UE ainsi que les leçons tirées du passé (pages 112-120 de l'étude). </w:t>
      </w:r>
      <w:r>
        <w:rPr>
          <w:noProof/>
          <w:color w:val="222222"/>
          <w:szCs w:val="24"/>
          <w:lang w:val="fr-FR" w:eastAsia="en-GB"/>
        </w:rPr>
        <w:t>Le contractant a réalisé les analyses nécessaires, a répondu à toutes les questions ex-ante et ex-post, et en a ti</w:t>
      </w:r>
      <w:r>
        <w:rPr>
          <w:noProof/>
          <w:color w:val="222222"/>
          <w:szCs w:val="24"/>
          <w:lang w:val="fr-FR" w:eastAsia="en-GB"/>
        </w:rPr>
        <w:t xml:space="preserve">ré des conclusions. Le contractant a aussi fourni des recommandations pertinentes à la Commission pour préparer les négociations d'un nouveau protocole entre l’Union européenne et </w:t>
      </w:r>
      <w:r>
        <w:rPr>
          <w:noProof/>
          <w:szCs w:val="24"/>
          <w:lang w:val="fr-BE"/>
        </w:rPr>
        <w:t>le Maroc</w:t>
      </w:r>
      <w:r>
        <w:rPr>
          <w:noProof/>
          <w:color w:val="222222"/>
          <w:szCs w:val="24"/>
          <w:lang w:val="fr-FR" w:eastAsia="en-GB"/>
        </w:rPr>
        <w:t xml:space="preserve">. </w:t>
      </w:r>
    </w:p>
    <w:p w:rsidR="00C35F24" w:rsidRDefault="006F795C">
      <w:pPr>
        <w:pStyle w:val="ManualHeading1"/>
        <w:spacing w:before="0" w:after="240"/>
        <w:rPr>
          <w:noProof/>
          <w:lang w:val="fr-FR"/>
        </w:rPr>
      </w:pPr>
      <w:bookmarkStart w:id="3" w:name="_Toc494291879"/>
      <w:r>
        <w:rPr>
          <w:noProof/>
          <w:lang w:val="fr-FR"/>
        </w:rPr>
        <w:t>2.</w:t>
      </w:r>
      <w:r>
        <w:rPr>
          <w:noProof/>
          <w:lang w:val="fr-FR"/>
        </w:rPr>
        <w:tab/>
        <w:t>Contexte</w:t>
      </w:r>
      <w:bookmarkEnd w:id="3"/>
    </w:p>
    <w:p w:rsidR="00C35F24" w:rsidRDefault="006F795C">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Afin d'expliquer la logique de l'intervention par APP</w:t>
      </w:r>
      <w:r>
        <w:rPr>
          <w:rFonts w:ascii="Times New Roman" w:hAnsi="Times New Roman" w:cs="Times New Roman"/>
          <w:noProof/>
          <w:sz w:val="24"/>
          <w:szCs w:val="24"/>
          <w:lang w:val="fr-BE" w:eastAsia="en-GB"/>
        </w:rPr>
        <w:t>D, il est important d'expliquer la raison d'être de ces accords de pêche bilatéraux, auxquels sont associés les protocoles de mise en œuvre. Comme indiqué plus haut, ces derniers doivent être régulièrement renouvelés. L'étude d'évaluation est donc nécessai</w:t>
      </w:r>
      <w:r>
        <w:rPr>
          <w:rFonts w:ascii="Times New Roman" w:hAnsi="Times New Roman" w:cs="Times New Roman"/>
          <w:noProof/>
          <w:sz w:val="24"/>
          <w:szCs w:val="24"/>
          <w:lang w:val="fr-BE" w:eastAsia="en-GB"/>
        </w:rPr>
        <w:t xml:space="preserve">re avant l'expiration et la renégociation éventuelle du protocole, afin de décider s'il est bénéfique ou non de le renouveler et si oui, sous quelles conditions. </w:t>
      </w:r>
    </w:p>
    <w:p w:rsidR="00C35F24" w:rsidRDefault="006F795C">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L’UE conclut des accords de partenariat avec les pays tiers pour permettre à la flotte de l’U</w:t>
      </w:r>
      <w:r>
        <w:rPr>
          <w:rFonts w:ascii="Times New Roman" w:hAnsi="Times New Roman" w:cs="Times New Roman"/>
          <w:noProof/>
          <w:sz w:val="24"/>
          <w:szCs w:val="24"/>
          <w:lang w:val="fr-BE" w:eastAsia="en-GB"/>
        </w:rPr>
        <w:t xml:space="preserve">E de pêcher les surplus de ressources dans les zones de pêche des pays partenaires (dans ce cas – le </w:t>
      </w:r>
      <w:r>
        <w:rPr>
          <w:rFonts w:ascii="Times New Roman" w:hAnsi="Times New Roman" w:cs="Times New Roman"/>
          <w:noProof/>
          <w:sz w:val="24"/>
          <w:szCs w:val="24"/>
        </w:rPr>
        <w:t>Maroc</w:t>
      </w:r>
      <w:r>
        <w:rPr>
          <w:rFonts w:ascii="Times New Roman" w:hAnsi="Times New Roman" w:cs="Times New Roman"/>
          <w:noProof/>
          <w:sz w:val="24"/>
          <w:szCs w:val="24"/>
          <w:lang w:val="fr-BE" w:eastAsia="en-GB"/>
        </w:rPr>
        <w:t>), dans un environnement réglementé juridiquement et en échange d’une contrepartie financière. Cette contribution se compose de deux éléments distinct</w:t>
      </w:r>
      <w:r>
        <w:rPr>
          <w:rFonts w:ascii="Times New Roman" w:hAnsi="Times New Roman" w:cs="Times New Roman"/>
          <w:noProof/>
          <w:sz w:val="24"/>
          <w:szCs w:val="24"/>
          <w:lang w:val="fr-BE" w:eastAsia="en-GB"/>
        </w:rPr>
        <w:t>s: une contribution pour l’accès aux ressources de la pêche du pays partenaire et une autre visant à promouvoir le développement durable du secteur de la pêche du pays partenaire («appui sectoriel»). La contribution publique de l’UE est complétée par des c</w:t>
      </w:r>
      <w:r>
        <w:rPr>
          <w:rFonts w:ascii="Times New Roman" w:hAnsi="Times New Roman" w:cs="Times New Roman"/>
          <w:noProof/>
          <w:sz w:val="24"/>
          <w:szCs w:val="24"/>
          <w:lang w:val="fr-BE" w:eastAsia="en-GB"/>
        </w:rPr>
        <w:t xml:space="preserve">ontributions versées par les armateurs de l’UE.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Chaque APPD</w:t>
      </w:r>
      <w:r>
        <w:rPr>
          <w:rStyle w:val="FootnoteReference"/>
          <w:rFonts w:ascii="Times New Roman" w:hAnsi="Times New Roman" w:cs="Times New Roman"/>
          <w:noProof/>
          <w:szCs w:val="24"/>
          <w:lang w:val="fr-BE" w:eastAsia="en-GB"/>
        </w:rPr>
        <w:footnoteReference w:id="5"/>
      </w:r>
      <w:r>
        <w:rPr>
          <w:rFonts w:ascii="Times New Roman" w:hAnsi="Times New Roman" w:cs="Times New Roman"/>
          <w:noProof/>
          <w:sz w:val="24"/>
          <w:szCs w:val="24"/>
          <w:lang w:val="fr-BE" w:eastAsia="en-GB"/>
        </w:rPr>
        <w:t xml:space="preserve"> est un accord exclusif: une fois en place, les navires de l’Union ne peuvent pêcher que dans le cadre de cet APPD et ne peuvent conclure des accords privés avec le pays partenaire. L’APPD garant</w:t>
      </w:r>
      <w:r>
        <w:rPr>
          <w:rFonts w:ascii="Times New Roman" w:hAnsi="Times New Roman" w:cs="Times New Roman"/>
          <w:noProof/>
          <w:sz w:val="24"/>
          <w:szCs w:val="24"/>
          <w:lang w:val="fr-BE" w:eastAsia="en-GB"/>
        </w:rPr>
        <w:t>it des conditions de concurrence équitables, car il établit des normes minimales pour la gestion durable des ressources de pêche et comporte des dispositions interdisant d’accorder des conditions plus favorables à d’autres flottes étrangères. La mise en œu</w:t>
      </w:r>
      <w:r>
        <w:rPr>
          <w:rFonts w:ascii="Times New Roman" w:hAnsi="Times New Roman" w:cs="Times New Roman"/>
          <w:noProof/>
          <w:sz w:val="24"/>
          <w:szCs w:val="24"/>
          <w:lang w:val="fr-BE" w:eastAsia="en-GB"/>
        </w:rPr>
        <w:t xml:space="preserve">vre de l’accord et de ses protocoles est assurée par une commission mixte, composée de représentants des deux parties. </w:t>
      </w:r>
      <w:r>
        <w:rPr>
          <w:rFonts w:ascii="Times New Roman" w:hAnsi="Times New Roman" w:cs="Times New Roman"/>
          <w:noProof/>
          <w:sz w:val="24"/>
          <w:szCs w:val="24"/>
        </w:rPr>
        <w:t>La commission mixte instituée par l’article 10 de l’APP est l’organe en charge de l’application de toutes les dispositions de l’accord et</w:t>
      </w:r>
      <w:r>
        <w:rPr>
          <w:rFonts w:ascii="Times New Roman" w:hAnsi="Times New Roman" w:cs="Times New Roman"/>
          <w:noProof/>
          <w:sz w:val="24"/>
          <w:szCs w:val="24"/>
        </w:rPr>
        <w:t xml:space="preserve"> de son protocole d’application.</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rPr>
        <w:t>L</w:t>
      </w:r>
      <w:r>
        <w:rPr>
          <w:rFonts w:ascii="Times New Roman" w:hAnsi="Times New Roman" w:cs="Times New Roman"/>
          <w:noProof/>
          <w:sz w:val="24"/>
          <w:szCs w:val="24"/>
        </w:rPr>
        <w:t>e protocole entre l'UE et le Maroc (situation de référence) permet aux deux parties de poursuivre des relations bilatérales dans le domaine de la pêche, entamées en 1986 avec la signature d’un premier accord et poursuivies</w:t>
      </w:r>
      <w:r>
        <w:rPr>
          <w:rFonts w:ascii="Times New Roman" w:hAnsi="Times New Roman" w:cs="Times New Roman"/>
          <w:noProof/>
          <w:sz w:val="24"/>
          <w:szCs w:val="24"/>
        </w:rPr>
        <w:t>, après interruption, lors de la conclusion d'un deuxième accord en 2015. Le protocole en cours concerne l’accès d’un maximum de 126 navires de l’UE à la zone de pêche du Maroc opérant dans six catégories de pêche différentes et ciblant des espèces pélagiq</w:t>
      </w:r>
      <w:r>
        <w:rPr>
          <w:rFonts w:ascii="Times New Roman" w:hAnsi="Times New Roman" w:cs="Times New Roman"/>
          <w:noProof/>
          <w:sz w:val="24"/>
          <w:szCs w:val="24"/>
        </w:rPr>
        <w:t>ues et démersales, en échange d’une contrepartie annuelle de l’UE de 30 000 000 EUR dont 16 000 000 EUR en compensation de l’accès et 14 000 000 EUR pour le soutien à la mise en œuvre de la politique de pêches durable nationale. Les armements de l’UE bénéf</w:t>
      </w:r>
      <w:r>
        <w:rPr>
          <w:rFonts w:ascii="Times New Roman" w:hAnsi="Times New Roman" w:cs="Times New Roman"/>
          <w:noProof/>
          <w:sz w:val="24"/>
          <w:szCs w:val="24"/>
        </w:rPr>
        <w:t>iciaires des possibilités de pêche, venant de 11 Etats membres, versent en outre des redevances totalisant entre 8 000 000 EUR et 10 000 000 EUR par an au titre de l’accès. Les six catégories de pêche sont les suivantes:</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1. pêche pélagique nord;</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2. pêche </w:t>
      </w:r>
      <w:r>
        <w:rPr>
          <w:rFonts w:ascii="Times New Roman" w:hAnsi="Times New Roman" w:cs="Times New Roman"/>
          <w:noProof/>
          <w:sz w:val="24"/>
          <w:szCs w:val="24"/>
        </w:rPr>
        <w:t>artisanale</w:t>
      </w:r>
      <w:r>
        <w:rPr>
          <w:noProof/>
        </w:rPr>
        <w:t xml:space="preserve"> </w:t>
      </w:r>
      <w:r>
        <w:rPr>
          <w:rFonts w:ascii="Times New Roman" w:hAnsi="Times New Roman" w:cs="Times New Roman"/>
          <w:noProof/>
          <w:sz w:val="24"/>
          <w:szCs w:val="24"/>
        </w:rPr>
        <w:t>nord;</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3. pêche artisanale sud;</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4. pêche démersale (palangriers et chalutiers);</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5. pêche thonière artisanale;</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6. pêche pélagique industrielle.</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possibilités de pêche des catégories 1 à 5 sont exprimées en nombre de licences; celles de la catég</w:t>
      </w:r>
      <w:r>
        <w:rPr>
          <w:rFonts w:ascii="Times New Roman" w:hAnsi="Times New Roman" w:cs="Times New Roman"/>
          <w:noProof/>
          <w:sz w:val="24"/>
          <w:szCs w:val="24"/>
        </w:rPr>
        <w:t>orie 6 le sont sous forme d'un quota (80 000 tonnes par an). Les navires des catégories 1, 4, 5 et 6 sont soumis à l'obligation de débarquer une partie de leurs captures au Maroc,</w:t>
      </w:r>
      <w:r>
        <w:rPr>
          <w:noProof/>
        </w:rPr>
        <w:t xml:space="preserve"> </w:t>
      </w:r>
      <w:r>
        <w:rPr>
          <w:rFonts w:ascii="Times New Roman" w:hAnsi="Times New Roman" w:cs="Times New Roman"/>
          <w:noProof/>
          <w:sz w:val="24"/>
          <w:szCs w:val="24"/>
        </w:rPr>
        <w:t>une disposition extrêmement importante pour le pays partenaire. L'embarqueme</w:t>
      </w:r>
      <w:r>
        <w:rPr>
          <w:rFonts w:ascii="Times New Roman" w:hAnsi="Times New Roman" w:cs="Times New Roman"/>
          <w:noProof/>
          <w:sz w:val="24"/>
          <w:szCs w:val="24"/>
        </w:rPr>
        <w:t>nt de marins marocains à bord des navires de l'UE est également une condition pour que ceux-ci puissent opérer dans la zone de pêche marocaine. Enfin, le protocole prévoit que les navires de l’UE embarquent des observateurs désignés par le Ministère en cha</w:t>
      </w:r>
      <w:r>
        <w:rPr>
          <w:rFonts w:ascii="Times New Roman" w:hAnsi="Times New Roman" w:cs="Times New Roman"/>
          <w:noProof/>
          <w:sz w:val="24"/>
          <w:szCs w:val="24"/>
        </w:rPr>
        <w:t xml:space="preserve">rge; ils sont embarqués sur demande des autorités compétentes et ont pour mission d'effectuer le suivi des captures réalisées dans la zone de pêche du Maroc.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 xml:space="preserve">Pour répondre aux besoins des deux parties concernées, </w:t>
      </w:r>
      <w:r>
        <w:rPr>
          <w:rFonts w:ascii="Times New Roman" w:hAnsi="Times New Roman" w:cs="Times New Roman"/>
          <w:noProof/>
          <w:sz w:val="24"/>
          <w:szCs w:val="24"/>
        </w:rPr>
        <w:t xml:space="preserve">les objectifs suivants ont été fixés par cette intervention, et sont reflétés dans l'évaluation: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i/>
          <w:noProof/>
          <w:sz w:val="24"/>
          <w:szCs w:val="24"/>
        </w:rPr>
        <w:t>Objectifs généraux</w:t>
      </w:r>
      <w:r>
        <w:rPr>
          <w:rFonts w:ascii="Times New Roman" w:hAnsi="Times New Roman" w:cs="Times New Roman"/>
          <w:noProof/>
          <w:sz w:val="24"/>
          <w:szCs w:val="24"/>
        </w:rPr>
        <w:t>: 1)</w:t>
      </w:r>
      <w:r>
        <w:rPr>
          <w:rFonts w:ascii="Times New Roman" w:hAnsi="Times New Roman" w:cs="Times New Roman"/>
          <w:b/>
          <w:i/>
          <w:noProof/>
          <w:sz w:val="24"/>
          <w:szCs w:val="24"/>
        </w:rPr>
        <w:t xml:space="preserve"> </w:t>
      </w:r>
      <w:r>
        <w:rPr>
          <w:rFonts w:ascii="Times New Roman" w:hAnsi="Times New Roman" w:cs="Times New Roman"/>
          <w:noProof/>
          <w:sz w:val="24"/>
          <w:szCs w:val="24"/>
        </w:rPr>
        <w:t>Mise en œuvre d’un cadre d’exploitation durable des ressources halieutiques dans les eaux du Maroc alignés sur les standards interna</w:t>
      </w:r>
      <w:r>
        <w:rPr>
          <w:rFonts w:ascii="Times New Roman" w:hAnsi="Times New Roman" w:cs="Times New Roman"/>
          <w:noProof/>
          <w:sz w:val="24"/>
          <w:szCs w:val="24"/>
        </w:rPr>
        <w:t xml:space="preserve">tionaux ; 2) Protection des intérêts de la flotte de pêche de l’UE et des secteurs économiques qui en dépendent; 3) Développement du secteur de la pêche; 4) </w:t>
      </w:r>
      <w:r>
        <w:rPr>
          <w:rFonts w:ascii="Times New Roman" w:hAnsi="Times New Roman" w:cs="Times New Roman"/>
          <w:noProof/>
          <w:sz w:val="24"/>
          <w:szCs w:val="24"/>
          <w:lang w:val="fr-LU"/>
        </w:rPr>
        <w:t>Intégration économique des opérateurs de l'UE dans le secteur des pêches au Maroc.</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i/>
          <w:noProof/>
          <w:sz w:val="24"/>
          <w:szCs w:val="24"/>
        </w:rPr>
        <w:t>Objectifs spécif</w:t>
      </w:r>
      <w:r>
        <w:rPr>
          <w:rFonts w:ascii="Times New Roman" w:hAnsi="Times New Roman" w:cs="Times New Roman"/>
          <w:i/>
          <w:noProof/>
          <w:sz w:val="24"/>
          <w:szCs w:val="24"/>
        </w:rPr>
        <w:t>iques</w:t>
      </w:r>
      <w:r>
        <w:rPr>
          <w:rFonts w:ascii="Times New Roman" w:hAnsi="Times New Roman" w:cs="Times New Roman"/>
          <w:b/>
          <w:i/>
          <w:noProof/>
          <w:sz w:val="24"/>
          <w:szCs w:val="24"/>
        </w:rPr>
        <w:t xml:space="preserve">: </w:t>
      </w:r>
      <w:r>
        <w:rPr>
          <w:rFonts w:ascii="Times New Roman" w:hAnsi="Times New Roman" w:cs="Times New Roman"/>
          <w:noProof/>
          <w:sz w:val="24"/>
          <w:szCs w:val="24"/>
        </w:rPr>
        <w:t>1)</w:t>
      </w:r>
      <w:r>
        <w:rPr>
          <w:rFonts w:ascii="Times New Roman" w:hAnsi="Times New Roman" w:cs="Times New Roman"/>
          <w:b/>
          <w:i/>
          <w:noProof/>
          <w:sz w:val="24"/>
          <w:szCs w:val="24"/>
        </w:rPr>
        <w:t xml:space="preserve"> </w:t>
      </w:r>
      <w:r>
        <w:rPr>
          <w:rFonts w:ascii="Times New Roman" w:hAnsi="Times New Roman" w:cs="Times New Roman"/>
          <w:noProof/>
          <w:sz w:val="24"/>
          <w:szCs w:val="24"/>
        </w:rPr>
        <w:t>Établissement de modalités d’accès transparentes dans des conditions assurant un traitement équitable et non-discriminatoire des différentes flottes en activité dans la zone de pêche du Maroc, ainsi que cohérence avec les recommandations du COPAC</w:t>
      </w:r>
      <w:r>
        <w:rPr>
          <w:rFonts w:ascii="Times New Roman" w:hAnsi="Times New Roman" w:cs="Times New Roman"/>
          <w:noProof/>
          <w:sz w:val="24"/>
          <w:szCs w:val="24"/>
        </w:rPr>
        <w:t xml:space="preserve">E et de l'ICCAT; 2) Redevances pour l’accès à la zone de pêche établies de manière équitable et proportionnelle avec les bénéfices obtenus; 3) Augmentation des moyens du Maroc pour mettre en œuvre sa stratégie </w:t>
      </w:r>
      <w:r>
        <w:rPr>
          <w:rFonts w:ascii="Times New Roman" w:hAnsi="Times New Roman" w:cs="Times New Roman"/>
          <w:i/>
          <w:noProof/>
          <w:sz w:val="24"/>
          <w:szCs w:val="24"/>
        </w:rPr>
        <w:t>Halieutis</w:t>
      </w:r>
      <w:r>
        <w:rPr>
          <w:rFonts w:ascii="Times New Roman" w:hAnsi="Times New Roman" w:cs="Times New Roman"/>
          <w:noProof/>
          <w:sz w:val="24"/>
          <w:szCs w:val="24"/>
        </w:rPr>
        <w:t xml:space="preserve"> de développement du secteur des pêch</w:t>
      </w:r>
      <w:r>
        <w:rPr>
          <w:rFonts w:ascii="Times New Roman" w:hAnsi="Times New Roman" w:cs="Times New Roman"/>
          <w:noProof/>
          <w:sz w:val="24"/>
          <w:szCs w:val="24"/>
        </w:rPr>
        <w:t>es; 4) Contribution au développement économique et social du secteur des pêches au Maroc par l’emploi de marins à bord des navires et, quand cela est possible, l'approvisionnement des filières connexes.</w:t>
      </w:r>
    </w:p>
    <w:p w:rsidR="00C35F24" w:rsidRDefault="006F795C">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Suite à la demande de la Commission, l'évaluation eff</w:t>
      </w:r>
      <w:r>
        <w:rPr>
          <w:rFonts w:ascii="Times New Roman" w:hAnsi="Times New Roman" w:cs="Times New Roman"/>
          <w:noProof/>
          <w:sz w:val="24"/>
          <w:szCs w:val="24"/>
        </w:rPr>
        <w:t>ectuée a élargi le point 3 pour y inclure, essentiellement dans sa partie ex-ante, la dimension Economie bleue et amélioration de la gouvernance des Océans, y compris la lutte contre la pêche illicite, non déclarée et non réglementée, dont relève l'initiat</w:t>
      </w:r>
      <w:r>
        <w:rPr>
          <w:rFonts w:ascii="Times New Roman" w:hAnsi="Times New Roman" w:cs="Times New Roman"/>
          <w:noProof/>
          <w:sz w:val="24"/>
          <w:szCs w:val="24"/>
        </w:rPr>
        <w:t>ive marocaine de la "Ceinture bleue". L'étude effectuée donne des réponses et des recommandations sur ces points.</w:t>
      </w:r>
    </w:p>
    <w:p w:rsidR="00C35F24" w:rsidRDefault="006F795C">
      <w:pPr>
        <w:pStyle w:val="ManualHeading1"/>
        <w:spacing w:before="0" w:after="240"/>
        <w:rPr>
          <w:noProof/>
          <w:lang w:val="fr-FR"/>
        </w:rPr>
      </w:pPr>
      <w:bookmarkStart w:id="4" w:name="_Toc486518591"/>
      <w:bookmarkStart w:id="5" w:name="_Toc492976632"/>
      <w:bookmarkStart w:id="6" w:name="_Toc494291880"/>
      <w:bookmarkStart w:id="7" w:name="_Toc486524620"/>
      <w:r>
        <w:rPr>
          <w:noProof/>
          <w:lang w:val="fr-FR"/>
        </w:rPr>
        <w:t>3.</w:t>
      </w:r>
      <w:r>
        <w:rPr>
          <w:noProof/>
          <w:lang w:val="fr-FR"/>
        </w:rPr>
        <w:tab/>
        <w:t>Mise en œuvre/ Etat des lieux</w:t>
      </w:r>
      <w:bookmarkEnd w:id="4"/>
      <w:bookmarkEnd w:id="5"/>
      <w:bookmarkEnd w:id="6"/>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Pour ce qui est l'état des lieux de l'exécution du protocole (en comparaison avec la situation de référence p</w:t>
      </w:r>
      <w:r>
        <w:rPr>
          <w:rFonts w:ascii="Times New Roman" w:hAnsi="Times New Roman" w:cs="Times New Roman"/>
          <w:noProof/>
          <w:sz w:val="24"/>
          <w:szCs w:val="24"/>
        </w:rPr>
        <w:t xml:space="preserve">révue dans le protocole (voir section 2 de ce document), il faut surtout considérer (1) la composante d'accès (utilisation des possibilités de pêche; captures; débarquements locaux; embarquement des marins et observateurs); et (2) la composante de l'appui </w:t>
      </w:r>
      <w:r>
        <w:rPr>
          <w:rFonts w:ascii="Times New Roman" w:hAnsi="Times New Roman" w:cs="Times New Roman"/>
          <w:noProof/>
          <w:sz w:val="24"/>
          <w:szCs w:val="24"/>
        </w:rPr>
        <w:t xml:space="preserve">sectoriel.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(1) En moyenne, ce sont environ 70 navires de l’UE qui ont pris des autorisations de pêche sous le protocole en cours, contre un maximum possible de 126 navires. Dans le détail des catégories, l’utilisation des possibilités de pêche a été très </w:t>
      </w:r>
      <w:r>
        <w:rPr>
          <w:rFonts w:ascii="Times New Roman" w:hAnsi="Times New Roman" w:cs="Times New Roman"/>
          <w:noProof/>
          <w:sz w:val="24"/>
          <w:szCs w:val="24"/>
        </w:rPr>
        <w:t xml:space="preserve">bonne pour les chalutiers pélagiques de la catégorie 6 sur les stocks au sud (≈ 95% du quota effectivement capturé), bonne pour les chalutiers industriels de la catégorie 4 sur le stock de merlu noir au sud et pour les navires artisanaux de la catégorie 2 </w:t>
      </w:r>
      <w:r>
        <w:rPr>
          <w:rFonts w:ascii="Times New Roman" w:hAnsi="Times New Roman" w:cs="Times New Roman"/>
          <w:noProof/>
          <w:sz w:val="24"/>
          <w:szCs w:val="24"/>
        </w:rPr>
        <w:t>sur les stocks démersaux au nord. L’utilisation des possibilités de pêche a été moyenne s’agissant des navires senneurs artisanaux de la catégorie 1 sur les stocks pélagiques au nord et des thoniers canneurs de la catégorie 5, et faible concernant les navi</w:t>
      </w:r>
      <w:r>
        <w:rPr>
          <w:rFonts w:ascii="Times New Roman" w:hAnsi="Times New Roman" w:cs="Times New Roman"/>
          <w:noProof/>
          <w:sz w:val="24"/>
          <w:szCs w:val="24"/>
        </w:rPr>
        <w:t>res artisanaux de la catégorie 3 sur les stocks de démersaux au sud et pour les palangriers de la catégorie 4.</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captures des navires UE dans la zone de pêche du Maroc atteignent 83 000 tonnes par an en moyenne. En poids, 92% des captures sont obtenues p</w:t>
      </w:r>
      <w:r>
        <w:rPr>
          <w:rFonts w:ascii="Times New Roman" w:hAnsi="Times New Roman" w:cs="Times New Roman"/>
          <w:noProof/>
          <w:sz w:val="24"/>
          <w:szCs w:val="24"/>
        </w:rPr>
        <w:t>ar les chalutiers pélagiques de la catégorie 6, et 6% par les chalutiers démersaux de la catégorie 4. La contribution des autres catégories aux captures est plus faible par comparaison, de l’ordre de 1% chacune. Les catégories 4 et 6 forment clairement les</w:t>
      </w:r>
      <w:r>
        <w:rPr>
          <w:rFonts w:ascii="Times New Roman" w:hAnsi="Times New Roman" w:cs="Times New Roman"/>
          <w:noProof/>
          <w:sz w:val="24"/>
          <w:szCs w:val="24"/>
        </w:rPr>
        <w:t xml:space="preserve"> piliers de la composante accès du Protocole.</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 respect de la clause concernant les débarquements obligatoires au Maroc a posé problème, principalement du fait du</w:t>
      </w:r>
      <w:r>
        <w:rPr>
          <w:noProof/>
        </w:rPr>
        <w:t xml:space="preserve"> </w:t>
      </w:r>
      <w:r>
        <w:rPr>
          <w:rFonts w:ascii="Times New Roman" w:hAnsi="Times New Roman" w:cs="Times New Roman"/>
          <w:noProof/>
          <w:sz w:val="24"/>
          <w:szCs w:val="24"/>
        </w:rPr>
        <w:t>surcoût engendré et compte tenu de l’absence de marché local pour les produits de la pêche d</w:t>
      </w:r>
      <w:r>
        <w:rPr>
          <w:rFonts w:ascii="Times New Roman" w:hAnsi="Times New Roman" w:cs="Times New Roman"/>
          <w:noProof/>
          <w:sz w:val="24"/>
          <w:szCs w:val="24"/>
        </w:rPr>
        <w:t>es navires UE. Néanmoins, les catégories 6 (75% des captures débarquées au Maroc) et 4 (50% des captures débarquées au Maroc en 2014 et 2015) ont bien utilisé les ports locaux pour leurs opérations de débarquement / transbordement. Les catégories artisanal</w:t>
      </w:r>
      <w:r>
        <w:rPr>
          <w:rFonts w:ascii="Times New Roman" w:hAnsi="Times New Roman" w:cs="Times New Roman"/>
          <w:noProof/>
          <w:sz w:val="24"/>
          <w:szCs w:val="24"/>
        </w:rPr>
        <w:t>es restent en difficulté face au respect de cette clause malgré les pénalités financières infligées, et ce pour diverses raisons invoquées.</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Concernant les marins marocains, les navires UE ont respecté les obligations du protocole tant pour les effectifs à </w:t>
      </w:r>
      <w:r>
        <w:rPr>
          <w:rFonts w:ascii="Times New Roman" w:hAnsi="Times New Roman" w:cs="Times New Roman"/>
          <w:noProof/>
          <w:sz w:val="24"/>
          <w:szCs w:val="24"/>
        </w:rPr>
        <w:t>bord que pour les standards des conditions d’emploi qui correspondent aux normes de l’Organisation Internationale du Travail. D’après le Département de la Pêche Maritime marocain, près de 1 000 contrats de travail concernant l’embarquement de marins maroca</w:t>
      </w:r>
      <w:r>
        <w:rPr>
          <w:rFonts w:ascii="Times New Roman" w:hAnsi="Times New Roman" w:cs="Times New Roman"/>
          <w:noProof/>
          <w:sz w:val="24"/>
          <w:szCs w:val="24"/>
        </w:rPr>
        <w:t xml:space="preserve">ins sur des navires UE ont été conclus entre 2014 et 2016.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Quant à l'embarquement des observateurs, il est effectué de manière systématique par du personnel marocain sur tous les chalutiers pélagiques industriels mais est resté rare sur les navires hors c</w:t>
      </w:r>
      <w:r>
        <w:rPr>
          <w:rFonts w:ascii="Times New Roman" w:hAnsi="Times New Roman" w:cs="Times New Roman"/>
          <w:noProof/>
          <w:sz w:val="24"/>
          <w:szCs w:val="24"/>
        </w:rPr>
        <w:t>atégorie 6.</w:t>
      </w:r>
    </w:p>
    <w:p w:rsidR="00C35F24" w:rsidRDefault="006F795C">
      <w:pPr>
        <w:spacing w:after="120"/>
        <w:rPr>
          <w:noProof/>
          <w:szCs w:val="24"/>
          <w:lang w:val="fr-BE"/>
        </w:rPr>
      </w:pPr>
      <w:r>
        <w:rPr>
          <w:noProof/>
          <w:szCs w:val="24"/>
          <w:lang w:val="fr-BE"/>
        </w:rPr>
        <w:t xml:space="preserve">(2) La composante appui sectoriel du protocole est mise en œuvre dans le respect des  dispositions du protocole. Sous une approche générale de paiements fondés sur les résultats, son suivi a fait l’objet de procédures et de mesures détaillées. </w:t>
      </w:r>
      <w:r>
        <w:rPr>
          <w:noProof/>
          <w:szCs w:val="24"/>
          <w:lang w:val="fr-BE"/>
        </w:rPr>
        <w:t xml:space="preserve">L’appui sectoriel a représenté en moyenne 20% des budgets d’investissements des entités concernées et entre 40 à 45% des engagements annuels consentis dans le cadre de la mise en œuvre de la Stratégie </w:t>
      </w:r>
      <w:r>
        <w:rPr>
          <w:i/>
          <w:noProof/>
          <w:szCs w:val="24"/>
          <w:lang w:val="fr-BE"/>
        </w:rPr>
        <w:t>Halieutis</w:t>
      </w:r>
      <w:r>
        <w:rPr>
          <w:noProof/>
          <w:szCs w:val="24"/>
          <w:lang w:val="fr-BE"/>
        </w:rPr>
        <w:t>, qui a ainsi pu être accélérée. Les projets i</w:t>
      </w:r>
      <w:r>
        <w:rPr>
          <w:noProof/>
          <w:szCs w:val="24"/>
          <w:lang w:val="fr-BE"/>
        </w:rPr>
        <w:t xml:space="preserve">nclus dans la matrice de l’appui sectoriel concernent principalement des investissements dans des infrastructures et des équipements portuaires (66% de l’enveloppe) et du soutien à des programmes de recherche halieutique (21% de l’enveloppe). Globalement, </w:t>
      </w:r>
      <w:r>
        <w:rPr>
          <w:noProof/>
          <w:szCs w:val="24"/>
          <w:lang w:val="fr-BE"/>
        </w:rPr>
        <w:t>on observe un gradient décroissant sud-nord dans l’allocation régionale des montants programmés de l’appui sectoriel.</w:t>
      </w:r>
    </w:p>
    <w:p w:rsidR="00C35F24" w:rsidRDefault="006F795C">
      <w:pPr>
        <w:spacing w:after="120"/>
        <w:rPr>
          <w:noProof/>
          <w:szCs w:val="24"/>
          <w:lang w:val="fr-BE"/>
        </w:rPr>
      </w:pPr>
      <w:r>
        <w:rPr>
          <w:noProof/>
          <w:szCs w:val="24"/>
          <w:lang w:val="fr-BE"/>
        </w:rPr>
        <w:t>De façon générale, les activités de l'appui sectoriel ont été mises en œuvre conformément à la planification; les paiements ont été effect</w:t>
      </w:r>
      <w:r>
        <w:rPr>
          <w:noProof/>
          <w:szCs w:val="24"/>
          <w:lang w:val="fr-BE"/>
        </w:rPr>
        <w:t xml:space="preserve">ués par l'UE sans délais. Ceci a été confirmé par la Commission mixte annuelle qui s’est réunie suivant le rythme annuel minimum prescrit par l'accord. </w:t>
      </w:r>
    </w:p>
    <w:p w:rsidR="00C35F24" w:rsidRDefault="006F795C">
      <w:pPr>
        <w:spacing w:after="120"/>
        <w:rPr>
          <w:noProof/>
          <w:szCs w:val="24"/>
          <w:lang w:val="fr-BE"/>
        </w:rPr>
      </w:pPr>
      <w:r>
        <w:rPr>
          <w:noProof/>
          <w:szCs w:val="24"/>
          <w:lang w:val="fr-BE"/>
        </w:rPr>
        <w:t>A noter que de nombreux échanges techniques, d'une fréquence mensuelle au minimum, ont eu lieu entre le</w:t>
      </w:r>
      <w:r>
        <w:rPr>
          <w:noProof/>
          <w:szCs w:val="24"/>
          <w:lang w:val="fr-BE"/>
        </w:rPr>
        <w:t>s deux parties tout au long de la période d’application du protocole d’accord, grâce notamment à l’affectation à la Délégation de l’UE au Maroc d’un attaché pêche en charge du suivi de l'accord. En outre, les deux parties bénéficient de l'expertise spécifi</w:t>
      </w:r>
      <w:r>
        <w:rPr>
          <w:noProof/>
          <w:szCs w:val="24"/>
          <w:lang w:val="fr-BE"/>
        </w:rPr>
        <w:t>que mobilisée lors des Réunions Scientifiques Conjointes (RSC) annuelles instaurées par l'accord, qui réunissent des experts halieutiques de divers établissements de recherche de l'UE ainsi que de l'institut national de recherche halieutique marocain (INRH</w:t>
      </w:r>
      <w:r>
        <w:rPr>
          <w:noProof/>
          <w:szCs w:val="24"/>
          <w:lang w:val="fr-BE"/>
        </w:rPr>
        <w:t>). La RSC examine</w:t>
      </w:r>
      <w:r>
        <w:rPr>
          <w:noProof/>
          <w:lang w:val="fr-BE"/>
        </w:rPr>
        <w:t xml:space="preserve"> </w:t>
      </w:r>
      <w:r>
        <w:rPr>
          <w:noProof/>
          <w:szCs w:val="24"/>
          <w:lang w:val="fr-BE"/>
        </w:rPr>
        <w:t>les questions spécifiques relatives aux espèces ciblées par les différentes catégories du protocole, en tenant compte notamment des avis et recommandations scientifiques de la CICTA et du COPACE.</w:t>
      </w:r>
    </w:p>
    <w:p w:rsidR="00C35F24" w:rsidRDefault="00C35F24">
      <w:pPr>
        <w:pStyle w:val="NoSpacing"/>
        <w:jc w:val="both"/>
        <w:rPr>
          <w:rFonts w:ascii="Times New Roman" w:hAnsi="Times New Roman" w:cs="Times New Roman"/>
          <w:noProof/>
          <w:sz w:val="24"/>
          <w:szCs w:val="24"/>
        </w:rPr>
      </w:pPr>
    </w:p>
    <w:p w:rsidR="00C35F24" w:rsidRDefault="006F795C">
      <w:pPr>
        <w:pStyle w:val="ManualHeading1"/>
        <w:tabs>
          <w:tab w:val="clear" w:pos="850"/>
        </w:tabs>
        <w:spacing w:before="0" w:after="240"/>
        <w:ind w:left="567" w:hanging="567"/>
        <w:rPr>
          <w:noProof/>
          <w:lang w:val="fr-FR"/>
        </w:rPr>
      </w:pPr>
      <w:bookmarkStart w:id="8" w:name="_Toc492976635"/>
      <w:bookmarkStart w:id="9" w:name="_Toc494291881"/>
      <w:bookmarkStart w:id="10" w:name="_Toc486524621"/>
      <w:bookmarkEnd w:id="7"/>
      <w:r>
        <w:rPr>
          <w:noProof/>
          <w:lang w:val="fr-FR"/>
        </w:rPr>
        <w:t>4.</w:t>
      </w:r>
      <w:r>
        <w:rPr>
          <w:noProof/>
          <w:lang w:val="fr-FR"/>
        </w:rPr>
        <w:tab/>
        <w:t>Méthodologie</w:t>
      </w:r>
      <w:bookmarkEnd w:id="8"/>
      <w:bookmarkEnd w:id="9"/>
    </w:p>
    <w:bookmarkEnd w:id="10"/>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Cette évaluation est la première à être effectuée sous le contrat cadre actuel, en vigueur depuis février 2017. La Commission est satisfaite du travail réalisé, ainsi que des résultats et recommandations fournis par le contractant qui permettent aux servic</w:t>
      </w:r>
      <w:r>
        <w:rPr>
          <w:rFonts w:ascii="Times New Roman" w:hAnsi="Times New Roman" w:cs="Times New Roman"/>
          <w:noProof/>
          <w:sz w:val="24"/>
          <w:szCs w:val="24"/>
        </w:rPr>
        <w:t xml:space="preserve">es de la Commission de préparer une stratégie de négociation solide et argumentée.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 xml:space="preserve">Le contrat de service entre la Commission et le consortium F&amp;S SARL est entré en vigueur le 12 mai 2017. La réunion de démarrage a eu lieu à Bruxelles le 12 mai 2017, et </w:t>
      </w:r>
      <w:r>
        <w:rPr>
          <w:rFonts w:ascii="Times New Roman" w:hAnsi="Times New Roman" w:cs="Times New Roman"/>
          <w:noProof/>
          <w:color w:val="222222"/>
          <w:sz w:val="24"/>
          <w:szCs w:val="24"/>
        </w:rPr>
        <w:t>le</w:t>
      </w:r>
      <w:r>
        <w:rPr>
          <w:rFonts w:ascii="Times New Roman" w:hAnsi="Times New Roman" w:cs="Times New Roman"/>
          <w:noProof/>
          <w:color w:val="222222"/>
          <w:sz w:val="24"/>
          <w:szCs w:val="24"/>
        </w:rPr>
        <w:t xml:space="preserve"> tra</w:t>
      </w:r>
      <w:r>
        <w:rPr>
          <w:rFonts w:ascii="Times New Roman" w:hAnsi="Times New Roman" w:cs="Times New Roman"/>
          <w:noProof/>
          <w:sz w:val="24"/>
          <w:szCs w:val="24"/>
        </w:rPr>
        <w:t>vail d’évaluation a été mené entre mai et août 2017 avec l'appui d'un comité de pilotage interservices mis en place par la Commission européenne.</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La méthodologie d’évaluation à mettre en œuvre par le contractant, les sources de données et d’information</w:t>
      </w:r>
      <w:r>
        <w:rPr>
          <w:rFonts w:ascii="Times New Roman" w:hAnsi="Times New Roman" w:cs="Times New Roman"/>
          <w:noProof/>
          <w:sz w:val="24"/>
          <w:szCs w:val="24"/>
          <w:lang w:val="fr-BE" w:eastAsia="en-GB"/>
        </w:rPr>
        <w:t xml:space="preserve"> ainsi que les indicateurs et critères de l'étude ont été discutés et approuvés par le comité de pilotage lors de la </w:t>
      </w:r>
      <w:r>
        <w:rPr>
          <w:rFonts w:ascii="Times New Roman" w:hAnsi="Times New Roman" w:cs="Times New Roman"/>
          <w:noProof/>
          <w:sz w:val="24"/>
          <w:szCs w:val="24"/>
        </w:rPr>
        <w:t>réunion de démarrage. Cette réunion a permis de cerner les points principaux attendus de l’évaluation et d'apporter les clarifications néce</w:t>
      </w:r>
      <w:r>
        <w:rPr>
          <w:rFonts w:ascii="Times New Roman" w:hAnsi="Times New Roman" w:cs="Times New Roman"/>
          <w:noProof/>
          <w:sz w:val="24"/>
          <w:szCs w:val="24"/>
        </w:rPr>
        <w:t xml:space="preserve">ssaires en vue du travail à fournir. </w:t>
      </w:r>
    </w:p>
    <w:p w:rsidR="00C35F24" w:rsidRDefault="006F795C">
      <w:pPr>
        <w:autoSpaceDE w:val="0"/>
        <w:autoSpaceDN w:val="0"/>
        <w:adjustRightInd w:val="0"/>
        <w:spacing w:after="120"/>
        <w:rPr>
          <w:bCs/>
          <w:noProof/>
          <w:szCs w:val="24"/>
          <w:lang w:val="fr-BE" w:eastAsia="en-GB"/>
        </w:rPr>
      </w:pPr>
      <w:r>
        <w:rPr>
          <w:noProof/>
          <w:szCs w:val="24"/>
          <w:lang w:val="fr-FR" w:eastAsia="en-GB"/>
        </w:rPr>
        <w:t xml:space="preserve">La consultation a été réalisée suite à l'analyse de documents et des entretiens ciblés, en respectant différentes phases: 1) recueil et analyse d'informations </w:t>
      </w:r>
      <w:r>
        <w:rPr>
          <w:bCs/>
          <w:noProof/>
          <w:szCs w:val="24"/>
          <w:lang w:val="fr-BE" w:eastAsia="en-GB"/>
        </w:rPr>
        <w:t xml:space="preserve">disponibles : données fournies surtout par les services de </w:t>
      </w:r>
      <w:r>
        <w:rPr>
          <w:bCs/>
          <w:noProof/>
          <w:szCs w:val="24"/>
          <w:lang w:val="fr-BE" w:eastAsia="en-GB"/>
        </w:rPr>
        <w:t>la Commission (procès-verbaux et rapports de réunion, y compris de la RSC; rapports de missions, utilisation des possibilités de pêche et captures) et par les ORP concernés; 2) mission au Maroc (rencontre avec les représentants des autorités responsables d</w:t>
      </w:r>
      <w:r>
        <w:rPr>
          <w:bCs/>
          <w:noProof/>
          <w:szCs w:val="24"/>
          <w:lang w:val="fr-BE" w:eastAsia="en-GB"/>
        </w:rPr>
        <w:t>e la pêche; du secteur privé, ainsi que de la société civile)</w:t>
      </w:r>
      <w:r>
        <w:rPr>
          <w:noProof/>
          <w:szCs w:val="24"/>
          <w:lang w:val="fr-FR" w:eastAsia="en-GB"/>
        </w:rPr>
        <w:t xml:space="preserve"> et entretien avec l’attaché de pêche basé à la Délégation </w:t>
      </w:r>
      <w:r>
        <w:rPr>
          <w:noProof/>
          <w:color w:val="222222"/>
          <w:szCs w:val="24"/>
          <w:lang w:val="fr-FR" w:eastAsia="en-GB"/>
        </w:rPr>
        <w:t>de l’Union européenne au Maroc</w:t>
      </w:r>
      <w:r>
        <w:rPr>
          <w:bCs/>
          <w:noProof/>
          <w:szCs w:val="24"/>
          <w:lang w:val="fr-BE" w:eastAsia="en-GB"/>
        </w:rPr>
        <w:t xml:space="preserve">; 3) consultation de parties prenantes dans l'UE (i) </w:t>
      </w:r>
      <w:r>
        <w:rPr>
          <w:noProof/>
          <w:szCs w:val="24"/>
          <w:lang w:val="fr-BE" w:eastAsia="en-GB"/>
        </w:rPr>
        <w:t>Etats membres de pavillon des navires bénéficiaires</w:t>
      </w:r>
      <w:r>
        <w:rPr>
          <w:bCs/>
          <w:noProof/>
          <w:szCs w:val="24"/>
          <w:lang w:val="fr-BE" w:eastAsia="en-GB"/>
        </w:rPr>
        <w:t xml:space="preserve"> (</w:t>
      </w:r>
      <w:r>
        <w:rPr>
          <w:bCs/>
          <w:noProof/>
          <w:szCs w:val="24"/>
          <w:lang w:val="fr-BE" w:eastAsia="en-GB"/>
        </w:rPr>
        <w:t>Espagne, Portugal,</w:t>
      </w:r>
      <w:r>
        <w:rPr>
          <w:noProof/>
          <w:lang w:val="fr-BE"/>
        </w:rPr>
        <w:t xml:space="preserve"> </w:t>
      </w:r>
      <w:r>
        <w:rPr>
          <w:bCs/>
          <w:noProof/>
          <w:szCs w:val="24"/>
          <w:lang w:val="fr-BE" w:eastAsia="en-GB"/>
        </w:rPr>
        <w:t xml:space="preserve">Lituanie, Lettonie, Pologne, Pays-Bas, Allemagne); (ii) </w:t>
      </w:r>
      <w:r>
        <w:rPr>
          <w:noProof/>
          <w:szCs w:val="24"/>
          <w:lang w:val="fr-BE" w:eastAsia="en-GB"/>
        </w:rPr>
        <w:t>représentants ou associations d’armateurs bénéficiaires de ce protocole, Comité consultatif de pêche lointaine (LDAC), clusters maritimes,…; et (iii) des organisations non-gouvernem</w:t>
      </w:r>
      <w:r>
        <w:rPr>
          <w:noProof/>
          <w:szCs w:val="24"/>
          <w:lang w:val="fr-BE" w:eastAsia="en-GB"/>
        </w:rPr>
        <w:t>entales concernées (ONG)</w:t>
      </w:r>
      <w:r>
        <w:rPr>
          <w:i/>
          <w:iCs/>
          <w:noProof/>
          <w:szCs w:val="24"/>
          <w:lang w:val="fr-BE" w:eastAsia="en-GB"/>
        </w:rPr>
        <w:t>.</w:t>
      </w:r>
      <w:r>
        <w:rPr>
          <w:bCs/>
          <w:noProof/>
          <w:szCs w:val="24"/>
          <w:lang w:val="fr-BE" w:eastAsia="en-GB"/>
        </w:rPr>
        <w:t xml:space="preserve"> Au total 28 parties prenantes ont été consultées. Parmi les ONG, seule la CAPE a répondu à la consultation. </w:t>
      </w:r>
    </w:p>
    <w:p w:rsidR="00C35F24" w:rsidRDefault="006F795C">
      <w:pPr>
        <w:autoSpaceDE w:val="0"/>
        <w:autoSpaceDN w:val="0"/>
        <w:adjustRightInd w:val="0"/>
        <w:rPr>
          <w:noProof/>
          <w:szCs w:val="24"/>
          <w:lang w:val="fr-BE" w:eastAsia="en-GB"/>
        </w:rPr>
      </w:pPr>
      <w:r>
        <w:rPr>
          <w:noProof/>
          <w:szCs w:val="24"/>
          <w:lang w:val="fr-BE" w:eastAsia="en-GB"/>
        </w:rPr>
        <w:t>Le principal mode de consultation utilisé est un questionnaire (Annexe 4) rédigé en quatre langues (ES / FR / EN / PT) dé</w:t>
      </w:r>
      <w:r>
        <w:rPr>
          <w:noProof/>
          <w:szCs w:val="24"/>
          <w:lang w:val="fr-BE" w:eastAsia="en-GB"/>
        </w:rPr>
        <w:t>cliné en trois versions correspondantes aux catégories de parties prenantes ciblées (voir information détaillée en annexe 2). Le questionnaire a été soumis par courriel aux parties prenantes, en leur proposant le cas échéant des rendez-vous physiques ou té</w:t>
      </w:r>
      <w:r>
        <w:rPr>
          <w:noProof/>
          <w:szCs w:val="24"/>
          <w:lang w:val="fr-BE" w:eastAsia="en-GB"/>
        </w:rPr>
        <w:t xml:space="preserve">léphoniques pour les aider à le remplir. Conformément à la stratégie proposée dans la </w:t>
      </w:r>
      <w:r>
        <w:rPr>
          <w:i/>
          <w:iCs/>
          <w:noProof/>
          <w:szCs w:val="24"/>
          <w:lang w:val="fr-BE" w:eastAsia="en-GB"/>
        </w:rPr>
        <w:t xml:space="preserve">Toolbox Better Regulation </w:t>
      </w:r>
      <w:r>
        <w:rPr>
          <w:noProof/>
          <w:szCs w:val="24"/>
          <w:lang w:val="fr-BE" w:eastAsia="en-GB"/>
        </w:rPr>
        <w:t xml:space="preserve">de la Commission, pour les parties prenantes ayant un intérêt élevé dans l’accord, des entretiens téléphoniques ont été organisés pour discuter </w:t>
      </w:r>
      <w:r>
        <w:rPr>
          <w:noProof/>
          <w:szCs w:val="24"/>
          <w:lang w:val="fr-BE" w:eastAsia="en-GB"/>
        </w:rPr>
        <w:t>de façon plus approfondie du protocole avec les opérateurs des diverses flottes européennes.</w:t>
      </w:r>
    </w:p>
    <w:p w:rsidR="00C35F24" w:rsidRDefault="006F795C">
      <w:pPr>
        <w:pStyle w:val="ManualHeading1"/>
        <w:tabs>
          <w:tab w:val="clear" w:pos="850"/>
          <w:tab w:val="left" w:pos="567"/>
        </w:tabs>
        <w:spacing w:before="0" w:after="240"/>
        <w:ind w:left="567" w:hanging="567"/>
        <w:rPr>
          <w:noProof/>
          <w:lang w:val="fr-BE"/>
        </w:rPr>
      </w:pPr>
      <w:bookmarkStart w:id="11" w:name="_Toc494291882"/>
      <w:r>
        <w:rPr>
          <w:noProof/>
          <w:sz w:val="22"/>
          <w:lang w:val="fr-BE"/>
        </w:rPr>
        <w:t>5.</w:t>
      </w:r>
      <w:r>
        <w:rPr>
          <w:noProof/>
          <w:sz w:val="22"/>
          <w:lang w:val="fr-BE"/>
        </w:rPr>
        <w:tab/>
      </w:r>
      <w:bookmarkStart w:id="12" w:name="_Toc492976638"/>
      <w:bookmarkStart w:id="13" w:name="_Toc486524622"/>
      <w:r>
        <w:rPr>
          <w:noProof/>
          <w:lang w:val="fr-BE"/>
        </w:rPr>
        <w:t>Analyse et réponses aux questions d'évaluation</w:t>
      </w:r>
      <w:bookmarkEnd w:id="11"/>
      <w:bookmarkEnd w:id="12"/>
    </w:p>
    <w:bookmarkEnd w:id="13"/>
    <w:p w:rsidR="00C35F24" w:rsidRDefault="006F795C">
      <w:pPr>
        <w:pStyle w:val="NoSpacing"/>
        <w:spacing w:after="120"/>
        <w:jc w:val="both"/>
        <w:rPr>
          <w:rFonts w:ascii="Times New Roman" w:hAnsi="Times New Roman" w:cs="Times New Roman"/>
          <w:noProof/>
          <w:sz w:val="24"/>
          <w:szCs w:val="24"/>
          <w:highlight w:val="yellow"/>
        </w:rPr>
      </w:pPr>
      <w:r>
        <w:rPr>
          <w:rFonts w:ascii="Times New Roman" w:hAnsi="Times New Roman" w:cs="Times New Roman"/>
          <w:noProof/>
          <w:sz w:val="24"/>
          <w:szCs w:val="24"/>
          <w:lang w:val="fr-BE"/>
        </w:rPr>
        <w:t xml:space="preserve">La zone de pêche du Maroc, située à proximité de l'UE et riche en ressources halieutiques, constitue une zone </w:t>
      </w:r>
      <w:r>
        <w:rPr>
          <w:rFonts w:ascii="Times New Roman" w:hAnsi="Times New Roman" w:cs="Times New Roman"/>
          <w:noProof/>
          <w:sz w:val="24"/>
          <w:szCs w:val="24"/>
          <w:lang w:val="fr-BE"/>
        </w:rPr>
        <w:t xml:space="preserve">d'activité essentielle tant pour les pêcheries artisanales traditionnelles d'Espagne et du Portugal que pour les flottes industrielles d'États membres plus éloignés. Dans l'ensemble, l'APP avec le Maroc permet aux navires de 11 États membres d'opérer dans </w:t>
      </w:r>
      <w:r>
        <w:rPr>
          <w:rFonts w:ascii="Times New Roman" w:hAnsi="Times New Roman" w:cs="Times New Roman"/>
          <w:noProof/>
          <w:sz w:val="24"/>
          <w:szCs w:val="24"/>
          <w:lang w:val="fr-BE"/>
        </w:rPr>
        <w:t>six catégories de pêche différentes couvrant les petites espèces pélagiques, démersales et hautement migratoires. La zone de pêche marocaine représente la limite septentrionale de la zone de répartition du petit stock pélagique «C» qui s'étend sur les eaux</w:t>
      </w:r>
      <w:r>
        <w:rPr>
          <w:rFonts w:ascii="Times New Roman" w:hAnsi="Times New Roman" w:cs="Times New Roman"/>
          <w:noProof/>
          <w:sz w:val="24"/>
          <w:szCs w:val="24"/>
          <w:lang w:val="fr-BE"/>
        </w:rPr>
        <w:t xml:space="preserve"> mauritaniennes, sénégalaises et bissau-guinéennes, toutes incluses dans le réseau des APPD</w:t>
      </w:r>
      <w:r>
        <w:rPr>
          <w:noProof/>
        </w:rPr>
        <w:t xml:space="preserve"> </w:t>
      </w:r>
      <w:r>
        <w:rPr>
          <w:rFonts w:ascii="Times New Roman" w:hAnsi="Times New Roman" w:cs="Times New Roman"/>
          <w:noProof/>
          <w:sz w:val="24"/>
          <w:szCs w:val="24"/>
          <w:lang w:val="fr-BE"/>
        </w:rPr>
        <w:t xml:space="preserve">mixtes et thoniers de l'Afrique de l'Ouest. </w:t>
      </w:r>
      <w:r>
        <w:rPr>
          <w:rFonts w:ascii="Times New Roman" w:hAnsi="Times New Roman" w:cs="Times New Roman"/>
          <w:noProof/>
          <w:sz w:val="24"/>
          <w:szCs w:val="24"/>
        </w:rPr>
        <w:t xml:space="preserve">Les flottes nationales, bien que fort développées, n’ont pas les moyens d’exploiter la totalité de cette ressource. Dès </w:t>
      </w:r>
      <w:r>
        <w:rPr>
          <w:rFonts w:ascii="Times New Roman" w:hAnsi="Times New Roman" w:cs="Times New Roman"/>
          <w:noProof/>
          <w:sz w:val="24"/>
          <w:szCs w:val="24"/>
        </w:rPr>
        <w:t xml:space="preserve">lors, des accords d’accès à des intérêts étrangers permettent au pays de valoriser sa position stratégique par des recettes budgétaires et par des retombées socio-économiques, en termes d’emplois notamment.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autorités du Maroc considèrent le secteur de</w:t>
      </w:r>
      <w:r>
        <w:rPr>
          <w:rFonts w:ascii="Times New Roman" w:hAnsi="Times New Roman" w:cs="Times New Roman"/>
          <w:noProof/>
          <w:sz w:val="24"/>
          <w:szCs w:val="24"/>
        </w:rPr>
        <w:t xml:space="preserve"> la pêche comme un levier de croissance et ont adopté pour la période 2007-2020 une stratégie de développement du secteur,</w:t>
      </w:r>
      <w:r>
        <w:rPr>
          <w:noProof/>
        </w:rPr>
        <w:t xml:space="preserve"> </w:t>
      </w:r>
      <w:r>
        <w:rPr>
          <w:rFonts w:ascii="Times New Roman" w:hAnsi="Times New Roman" w:cs="Times New Roman"/>
          <w:noProof/>
          <w:sz w:val="24"/>
          <w:szCs w:val="24"/>
        </w:rPr>
        <w:t xml:space="preserve">la Stratégie </w:t>
      </w:r>
      <w:r>
        <w:rPr>
          <w:rFonts w:ascii="Times New Roman" w:hAnsi="Times New Roman" w:cs="Times New Roman"/>
          <w:i/>
          <w:noProof/>
          <w:sz w:val="24"/>
          <w:szCs w:val="24"/>
        </w:rPr>
        <w:t>Halieutis</w:t>
      </w:r>
      <w:r>
        <w:rPr>
          <w:rFonts w:ascii="Times New Roman" w:hAnsi="Times New Roman" w:cs="Times New Roman"/>
          <w:noProof/>
          <w:sz w:val="24"/>
          <w:szCs w:val="24"/>
        </w:rPr>
        <w:t>, qui vise notamment à tripler la contribution du secteur au PIB dans des conditions qui préservent la durabili</w:t>
      </w:r>
      <w:r>
        <w:rPr>
          <w:rFonts w:ascii="Times New Roman" w:hAnsi="Times New Roman" w:cs="Times New Roman"/>
          <w:noProof/>
          <w:sz w:val="24"/>
          <w:szCs w:val="24"/>
        </w:rPr>
        <w:t>té de l’exploitation. L’administration en charge de la pêche dispose pour ce faire de moyens financiers conséquents et de compétences étendues. Cependant, le partenariat avec l’UE dans le domaine de la pêche permet au Maroc, en particulier via le volet sec</w:t>
      </w:r>
      <w:r>
        <w:rPr>
          <w:rFonts w:ascii="Times New Roman" w:hAnsi="Times New Roman" w:cs="Times New Roman"/>
          <w:noProof/>
          <w:sz w:val="24"/>
          <w:szCs w:val="24"/>
        </w:rPr>
        <w:t>toriel de l'accord qui représente une contribution majeure au budget du secteur, d'intensifier et accélérer la mise en œuvre de sa politique halieutique. Ce partenariat est un élément essentiel de la coopération approfondie que le Maroc et l’UE entretienne</w:t>
      </w:r>
      <w:r>
        <w:rPr>
          <w:rFonts w:ascii="Times New Roman" w:hAnsi="Times New Roman" w:cs="Times New Roman"/>
          <w:noProof/>
          <w:sz w:val="24"/>
          <w:szCs w:val="24"/>
        </w:rPr>
        <w:t>nt dans le cadre de la politique de voisinage qui a conduit le pays à accéder au Statut Avancé, et dont le plan d’action 2013-2017 a prévu un ensemble de mesures techniques et commerciales qui intègrent le secteur de la pêche, et des actions de convergence</w:t>
      </w:r>
      <w:r>
        <w:rPr>
          <w:rFonts w:ascii="Times New Roman" w:hAnsi="Times New Roman" w:cs="Times New Roman"/>
          <w:noProof/>
          <w:sz w:val="24"/>
          <w:szCs w:val="24"/>
        </w:rPr>
        <w:t xml:space="preserve"> réglementaire dans le domaine de la pêche.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informations et données collectées au travers de l'examen de la documentation disponible, de la mission au Maroc et de la consultation des parties prenantes de l’UE ont permis de fournir les éléments nécessa</w:t>
      </w:r>
      <w:r>
        <w:rPr>
          <w:rFonts w:ascii="Times New Roman" w:hAnsi="Times New Roman" w:cs="Times New Roman"/>
          <w:noProof/>
          <w:sz w:val="24"/>
          <w:szCs w:val="24"/>
        </w:rPr>
        <w:t>ires pour répondre de manière transparente et non-biaisée aux différentes questions d’évaluation ex-post, ainsi qu’aux questions d’évaluation ex-ante du protocole, en respectant les 5 critères bien définis. Le contractant a respecté les termes des référenc</w:t>
      </w:r>
      <w:r>
        <w:rPr>
          <w:rFonts w:ascii="Times New Roman" w:hAnsi="Times New Roman" w:cs="Times New Roman"/>
          <w:noProof/>
          <w:sz w:val="24"/>
          <w:szCs w:val="24"/>
        </w:rPr>
        <w:t xml:space="preserve">es, ainsi que les indicateurs et les sources identifiées pour les obtenir. </w:t>
      </w: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Le protocole s’est révélé </w:t>
      </w:r>
      <w:r>
        <w:rPr>
          <w:rFonts w:ascii="Times New Roman" w:hAnsi="Times New Roman" w:cs="Times New Roman"/>
          <w:b/>
          <w:noProof/>
          <w:sz w:val="24"/>
          <w:szCs w:val="24"/>
        </w:rPr>
        <w:t>efficace</w:t>
      </w:r>
      <w:r>
        <w:rPr>
          <w:rFonts w:ascii="Times New Roman" w:hAnsi="Times New Roman" w:cs="Times New Roman"/>
          <w:noProof/>
          <w:sz w:val="24"/>
          <w:szCs w:val="24"/>
        </w:rPr>
        <w:t xml:space="preserve"> dans l’atteinte de son objectif de durabilité de l’exploitation. Les stocks principaux exploités par les navires de l’UE et suivis par l’INRH éta</w:t>
      </w:r>
      <w:r>
        <w:rPr>
          <w:rFonts w:ascii="Times New Roman" w:hAnsi="Times New Roman" w:cs="Times New Roman"/>
          <w:noProof/>
          <w:sz w:val="24"/>
          <w:szCs w:val="24"/>
        </w:rPr>
        <w:t>ient dans les limites de la durabilité au moment de l’évaluation, avec cependant moins de visibilité pour les stocks démersaux ciblés par les catégories artisanales au nord et au sud. La coopération scientifique entre les deux parties s’est matérialisée pa</w:t>
      </w:r>
      <w:r>
        <w:rPr>
          <w:rFonts w:ascii="Times New Roman" w:hAnsi="Times New Roman" w:cs="Times New Roman"/>
          <w:noProof/>
          <w:sz w:val="24"/>
          <w:szCs w:val="24"/>
        </w:rPr>
        <w:t>r des Réunions annuelles Scientifiques Conjointes qui ont permis de partager les informations disponibles pour aboutir à des diagnostics partagés. L’évaluation souligne cependant une absence d’approfondissement scientifique du traitement de la question des</w:t>
      </w:r>
      <w:r>
        <w:rPr>
          <w:rFonts w:ascii="Times New Roman" w:hAnsi="Times New Roman" w:cs="Times New Roman"/>
          <w:noProof/>
          <w:sz w:val="24"/>
          <w:szCs w:val="24"/>
        </w:rPr>
        <w:t xml:space="preserve"> captures non-désirées et une faiblesse relative de la mise en œuvre du dispositif d’observations scientifiques prévu à bord des navires autres que les chalutiers pélagiques de la catégorie 6 étant donné les informations utiles que ces observations pourrai</w:t>
      </w:r>
      <w:r>
        <w:rPr>
          <w:rFonts w:ascii="Times New Roman" w:hAnsi="Times New Roman" w:cs="Times New Roman"/>
          <w:noProof/>
          <w:sz w:val="24"/>
          <w:szCs w:val="24"/>
        </w:rPr>
        <w:t>ent apporter concernant des stocks mal connus.</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Le protocole s’est également révélé globalement efficace dans l’atteinte de son objectif de soutien aux flottes lointaines de l’UE. Les zones de pêche exploitables dans les eaux du Maroc correspondent à des b</w:t>
      </w:r>
      <w:r>
        <w:rPr>
          <w:rFonts w:ascii="Times New Roman" w:hAnsi="Times New Roman" w:cs="Times New Roman"/>
          <w:noProof/>
          <w:sz w:val="24"/>
          <w:szCs w:val="24"/>
        </w:rPr>
        <w:t>esoins des flottes UE concernées, soit pour prolonger les activités menées dans les zones de pêche mitoyennes dans les eaux de l’UE (catégories 1, 2 et 5), soit pour donner aux armements UE des possibilités de pêche dont ils ont besoin pour asseoir leur re</w:t>
      </w:r>
      <w:r>
        <w:rPr>
          <w:rFonts w:ascii="Times New Roman" w:hAnsi="Times New Roman" w:cs="Times New Roman"/>
          <w:noProof/>
          <w:sz w:val="24"/>
          <w:szCs w:val="24"/>
        </w:rPr>
        <w:t>ntabilité (catégories 4 et 6). Le protocole est estimé soutenir environ 500 postes occupés par des marins ressortissants de l’UE, dont une partie est originaire de la région ultrapériphérique voisine des îles Canaries.</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Par contre, le protocole a été peu a</w:t>
      </w:r>
      <w:r>
        <w:rPr>
          <w:rFonts w:ascii="Times New Roman" w:hAnsi="Times New Roman" w:cs="Times New Roman"/>
          <w:noProof/>
          <w:sz w:val="24"/>
          <w:szCs w:val="24"/>
        </w:rPr>
        <w:t>ctif concernant la mise en œuvre de son objectif d’encourager l’intégration des opérateurs de l’UE et de ceux du Maroc. Les interactions économiques que le protocole entendait soutenir entre les deux secteurs n’ont guère eu lieu, à de rares exceptions près</w:t>
      </w:r>
      <w:r>
        <w:rPr>
          <w:rFonts w:ascii="Times New Roman" w:hAnsi="Times New Roman" w:cs="Times New Roman"/>
          <w:noProof/>
          <w:sz w:val="24"/>
          <w:szCs w:val="24"/>
        </w:rPr>
        <w:t>. Les captures des navires de l’UE ont été pratiquement intégralement commercialisées sur d’autres marchés malgré les clauses du protocole à cet égard. Le principal résultat est dès lors une part relativement faible de la valeur ajoutée générée par l’activ</w:t>
      </w:r>
      <w:r>
        <w:rPr>
          <w:rFonts w:ascii="Times New Roman" w:hAnsi="Times New Roman" w:cs="Times New Roman"/>
          <w:noProof/>
          <w:sz w:val="24"/>
          <w:szCs w:val="24"/>
        </w:rPr>
        <w:t>ité des flottes UE et captée par le Maroc. Cependant, les interactions économiques existent entre les deux parties si l’on en juge par l’importance des investissements espagnols et français dans l’industrie de la pêche au Maroc.</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Le protocole a été efficac</w:t>
      </w:r>
      <w:r>
        <w:rPr>
          <w:rFonts w:ascii="Times New Roman" w:hAnsi="Times New Roman" w:cs="Times New Roman"/>
          <w:noProof/>
          <w:sz w:val="24"/>
          <w:szCs w:val="24"/>
        </w:rPr>
        <w:t xml:space="preserve">e sous son objectif de soutenir le développement durable du secteur. En effet, l’appui sectoriel prévu sous le protocole a permis de soutenir et d’accélérer la mise en œuvre de mesures prévue sous la stratégie </w:t>
      </w:r>
      <w:r>
        <w:rPr>
          <w:rFonts w:ascii="Times New Roman" w:hAnsi="Times New Roman" w:cs="Times New Roman"/>
          <w:i/>
          <w:noProof/>
          <w:sz w:val="24"/>
          <w:szCs w:val="24"/>
        </w:rPr>
        <w:t>Halieutis</w:t>
      </w:r>
      <w:r>
        <w:rPr>
          <w:rFonts w:ascii="Times New Roman" w:hAnsi="Times New Roman" w:cs="Times New Roman"/>
          <w:noProof/>
          <w:sz w:val="24"/>
          <w:szCs w:val="24"/>
        </w:rPr>
        <w:t xml:space="preserve"> sous des modalités favorisant la tra</w:t>
      </w:r>
      <w:r>
        <w:rPr>
          <w:rFonts w:ascii="Times New Roman" w:hAnsi="Times New Roman" w:cs="Times New Roman"/>
          <w:noProof/>
          <w:sz w:val="24"/>
          <w:szCs w:val="24"/>
        </w:rPr>
        <w:t>nsparence et la responsabilité dans l’utilisation des fonds. Par ailleurs, la bonne application de la clause portant sur les embarquements de marins marocains a permis de créer environ 200 postes occupés par des marins ressortissants marocains tout en cont</w:t>
      </w:r>
      <w:r>
        <w:rPr>
          <w:rFonts w:ascii="Times New Roman" w:hAnsi="Times New Roman" w:cs="Times New Roman"/>
          <w:noProof/>
          <w:sz w:val="24"/>
          <w:szCs w:val="24"/>
        </w:rPr>
        <w:t>ribuant à élever leurs niveaux de compétences.</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Le protocole a été globalement </w:t>
      </w:r>
      <w:r>
        <w:rPr>
          <w:rFonts w:ascii="Times New Roman" w:hAnsi="Times New Roman" w:cs="Times New Roman"/>
          <w:b/>
          <w:noProof/>
          <w:sz w:val="24"/>
          <w:szCs w:val="24"/>
        </w:rPr>
        <w:t>efficient</w:t>
      </w:r>
      <w:r>
        <w:rPr>
          <w:rFonts w:ascii="Times New Roman" w:hAnsi="Times New Roman" w:cs="Times New Roman"/>
          <w:noProof/>
          <w:sz w:val="24"/>
          <w:szCs w:val="24"/>
        </w:rPr>
        <w:t xml:space="preserve"> avec notamment un bon retour sur investissement pour l’UE. Ainsi, chaque euro investi par l’UE est estimé supporter la création de 2,78 EUR de valeur ajoutée pour le s</w:t>
      </w:r>
      <w:r>
        <w:rPr>
          <w:rFonts w:ascii="Times New Roman" w:hAnsi="Times New Roman" w:cs="Times New Roman"/>
          <w:noProof/>
          <w:sz w:val="24"/>
          <w:szCs w:val="24"/>
        </w:rPr>
        <w:t>ecteur de la pêche de l’UE. Les indicateurs d’efficience obtenus au Maroc se comparent favorablement avec ceux obtenus sous les accords multi-espèces conclus avec la Mauritanie ou la Guinée Bissau. Concernant les armements de l’UE, l’évaluation relève tout</w:t>
      </w:r>
      <w:r>
        <w:rPr>
          <w:rFonts w:ascii="Times New Roman" w:hAnsi="Times New Roman" w:cs="Times New Roman"/>
          <w:noProof/>
          <w:sz w:val="24"/>
          <w:szCs w:val="24"/>
        </w:rPr>
        <w:t>efois des écarts dans le poids relatif de la taxation de l’accès dans les comptabilités, avec certaines catégories, comme la catégorie 6 qui apparaissent en proportion plus taxées que d’autres catégories, comme les chalutiers de la catégorie 4.</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Le protoco</w:t>
      </w:r>
      <w:r>
        <w:rPr>
          <w:rFonts w:ascii="Times New Roman" w:hAnsi="Times New Roman" w:cs="Times New Roman"/>
          <w:noProof/>
          <w:sz w:val="24"/>
          <w:szCs w:val="24"/>
        </w:rPr>
        <w:t xml:space="preserve">le est </w:t>
      </w:r>
      <w:r>
        <w:rPr>
          <w:rFonts w:ascii="Times New Roman" w:hAnsi="Times New Roman" w:cs="Times New Roman"/>
          <w:b/>
          <w:noProof/>
          <w:sz w:val="24"/>
          <w:szCs w:val="24"/>
        </w:rPr>
        <w:t>pertinent</w:t>
      </w:r>
      <w:r>
        <w:rPr>
          <w:rFonts w:ascii="Times New Roman" w:hAnsi="Times New Roman" w:cs="Times New Roman"/>
          <w:noProof/>
          <w:sz w:val="24"/>
          <w:szCs w:val="24"/>
        </w:rPr>
        <w:t>, avec des objectifs qui correspondent aux besoins et aux problèmes identifiés. Pour l’UE, le protocole avec le Maroc permet de compléter un réseau d’accord qui couvre l’aire de distribution des stocks de petits pélagiques d’Afrique de l’Ou</w:t>
      </w:r>
      <w:r>
        <w:rPr>
          <w:rFonts w:ascii="Times New Roman" w:hAnsi="Times New Roman" w:cs="Times New Roman"/>
          <w:noProof/>
          <w:sz w:val="24"/>
          <w:szCs w:val="24"/>
        </w:rPr>
        <w:t>est favorisant ainsi la mise en place de mesures cohérentes à l’échelle sous régionale alignées avec les recommandations des organisations régionales de pêche. Le protocole avec le Maroc complète également le réseau des accords thoniers maintenu par l’UE d</w:t>
      </w:r>
      <w:r>
        <w:rPr>
          <w:rFonts w:ascii="Times New Roman" w:hAnsi="Times New Roman" w:cs="Times New Roman"/>
          <w:noProof/>
          <w:sz w:val="24"/>
          <w:szCs w:val="24"/>
        </w:rPr>
        <w:t>ans l’Atlantique. Pour les armements de l’UE, le protocole est également pertinent dans la mesure où il donne des possibilités de pêche adaptées aux besoins des opérateurs. Pour le Maroc, le protocole est pertinent en donnant accès à des ressources non ple</w:t>
      </w:r>
      <w:r>
        <w:rPr>
          <w:rFonts w:ascii="Times New Roman" w:hAnsi="Times New Roman" w:cs="Times New Roman"/>
          <w:noProof/>
          <w:sz w:val="24"/>
          <w:szCs w:val="24"/>
        </w:rPr>
        <w:t>inement exploitées par les flottes nationales sous des conditions qui minimisent les risques d’interactions entre navires tout en incluant des clauses de nature à favoriser les interactions économiques (marins nationaux, débarquement au Maroc). La composan</w:t>
      </w:r>
      <w:r>
        <w:rPr>
          <w:rFonts w:ascii="Times New Roman" w:hAnsi="Times New Roman" w:cs="Times New Roman"/>
          <w:noProof/>
          <w:sz w:val="24"/>
          <w:szCs w:val="24"/>
        </w:rPr>
        <w:t xml:space="preserve">te appui sectoriel du protocole est pertinente pour soutenir la mise en œuvre de la stratégie </w:t>
      </w:r>
      <w:r>
        <w:rPr>
          <w:rFonts w:ascii="Times New Roman" w:hAnsi="Times New Roman" w:cs="Times New Roman"/>
          <w:i/>
          <w:noProof/>
          <w:sz w:val="24"/>
          <w:szCs w:val="24"/>
        </w:rPr>
        <w:t>Halieutis</w:t>
      </w:r>
      <w:r>
        <w:rPr>
          <w:rFonts w:ascii="Times New Roman" w:hAnsi="Times New Roman" w:cs="Times New Roman"/>
          <w:noProof/>
          <w:sz w:val="24"/>
          <w:szCs w:val="24"/>
        </w:rPr>
        <w:t>.</w:t>
      </w:r>
    </w:p>
    <w:p w:rsidR="00C35F24" w:rsidRDefault="00C35F24">
      <w:pPr>
        <w:pStyle w:val="NoSpacing"/>
        <w:jc w:val="both"/>
        <w:rPr>
          <w:rFonts w:ascii="Times New Roman" w:hAnsi="Times New Roman" w:cs="Times New Roman"/>
          <w:noProof/>
          <w:sz w:val="24"/>
          <w:szCs w:val="24"/>
        </w:rPr>
      </w:pPr>
    </w:p>
    <w:p w:rsidR="00C35F24" w:rsidRDefault="006F795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Le protocole est </w:t>
      </w:r>
      <w:r>
        <w:rPr>
          <w:rFonts w:ascii="Times New Roman" w:hAnsi="Times New Roman" w:cs="Times New Roman"/>
          <w:b/>
          <w:noProof/>
          <w:sz w:val="24"/>
          <w:szCs w:val="24"/>
        </w:rPr>
        <w:t>cohérent</w:t>
      </w:r>
      <w:r>
        <w:rPr>
          <w:rFonts w:ascii="Times New Roman" w:hAnsi="Times New Roman" w:cs="Times New Roman"/>
          <w:noProof/>
          <w:sz w:val="24"/>
          <w:szCs w:val="24"/>
        </w:rPr>
        <w:t xml:space="preserve"> avec d’autres initiatives de l’UE, notamment celles mises en œuvre sous le programme de coopération UE-Maroc. Il n’y a pas d</w:t>
      </w:r>
      <w:r>
        <w:rPr>
          <w:rFonts w:ascii="Times New Roman" w:hAnsi="Times New Roman" w:cs="Times New Roman"/>
          <w:noProof/>
          <w:sz w:val="24"/>
          <w:szCs w:val="24"/>
        </w:rPr>
        <w:t xml:space="preserve">e duplication entre les projets de l’appui sectoriel et ceux du programme Réussir le Statut Avancé de l’UE, mais des complémentarités. </w:t>
      </w:r>
    </w:p>
    <w:p w:rsidR="00C35F24" w:rsidRDefault="00C35F24">
      <w:pPr>
        <w:pStyle w:val="NoSpacing"/>
        <w:jc w:val="both"/>
        <w:rPr>
          <w:rFonts w:ascii="Times New Roman" w:hAnsi="Times New Roman" w:cs="Times New Roman"/>
          <w:noProof/>
          <w:sz w:val="24"/>
          <w:szCs w:val="24"/>
        </w:rPr>
      </w:pPr>
    </w:p>
    <w:p w:rsidR="00C35F24" w:rsidRDefault="006F795C">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Enfin, le niveau d’</w:t>
      </w:r>
      <w:r>
        <w:rPr>
          <w:rFonts w:ascii="Times New Roman" w:hAnsi="Times New Roman" w:cs="Times New Roman"/>
          <w:b/>
          <w:noProof/>
          <w:sz w:val="24"/>
          <w:szCs w:val="24"/>
        </w:rPr>
        <w:t>acceptabilité</w:t>
      </w:r>
      <w:r>
        <w:rPr>
          <w:rFonts w:ascii="Times New Roman" w:hAnsi="Times New Roman" w:cs="Times New Roman"/>
          <w:noProof/>
          <w:sz w:val="24"/>
          <w:szCs w:val="24"/>
        </w:rPr>
        <w:t xml:space="preserve"> du protocole peut être évalué comme globalement satisfaisant. Les autorités du Maroc s</w:t>
      </w:r>
      <w:r>
        <w:rPr>
          <w:rFonts w:ascii="Times New Roman" w:hAnsi="Times New Roman" w:cs="Times New Roman"/>
          <w:noProof/>
          <w:sz w:val="24"/>
          <w:szCs w:val="24"/>
        </w:rPr>
        <w:t xml:space="preserve">ont satisfaites par le protocole et soutiennent son renouvellement. Les armements de l’UE bénéficiaires des possibilités de pêche soutiennent également son renouvellement, en demandant cependant la révision de certaines dispositions techniques, dont celle </w:t>
      </w:r>
      <w:r>
        <w:rPr>
          <w:rFonts w:ascii="Times New Roman" w:hAnsi="Times New Roman" w:cs="Times New Roman"/>
          <w:noProof/>
          <w:sz w:val="24"/>
          <w:szCs w:val="24"/>
        </w:rPr>
        <w:t>portant sur les débarquements obligatoires jugée trop contraignante. Côté secteur privé marocain, les représentants de la flotte reconnaissent de bonnes conditions de cohabitation sur zone en appelant à davantage d’investissements européens dans les filièr</w:t>
      </w:r>
      <w:r>
        <w:rPr>
          <w:rFonts w:ascii="Times New Roman" w:hAnsi="Times New Roman" w:cs="Times New Roman"/>
          <w:noProof/>
          <w:sz w:val="24"/>
          <w:szCs w:val="24"/>
        </w:rPr>
        <w:t>es construction / réparation navale. Les représentants du secteur de l’industrie de transformation regrettent quant à eux le faible niveau de vente des produits de la pêche UE aux industries nationales. Enfin, le protocole reste peu commenté par la société</w:t>
      </w:r>
      <w:r>
        <w:rPr>
          <w:rFonts w:ascii="Times New Roman" w:hAnsi="Times New Roman" w:cs="Times New Roman"/>
          <w:noProof/>
          <w:sz w:val="24"/>
          <w:szCs w:val="24"/>
        </w:rPr>
        <w:t xml:space="preserve"> civile. </w:t>
      </w:r>
    </w:p>
    <w:p w:rsidR="00C35F24" w:rsidRDefault="006F795C">
      <w:pPr>
        <w:pStyle w:val="NoSpacing"/>
        <w:spacing w:after="240"/>
        <w:jc w:val="both"/>
        <w:rPr>
          <w:rFonts w:ascii="Verdana" w:hAnsi="Verdana"/>
          <w:noProof/>
          <w:sz w:val="18"/>
          <w:szCs w:val="18"/>
        </w:rPr>
      </w:pPr>
      <w:r>
        <w:rPr>
          <w:rFonts w:ascii="Times New Roman" w:hAnsi="Times New Roman" w:cs="Times New Roman"/>
          <w:noProof/>
          <w:sz w:val="24"/>
          <w:szCs w:val="24"/>
        </w:rPr>
        <w:t xml:space="preserve">Entre les deux options (le renouvellement ou le non-renouvellement du protocole), le contractant a conclu que le renouvellement du protocole à son terme apparaît clairement comme l’option permettant de répondre aux besoins identifiés. </w:t>
      </w:r>
    </w:p>
    <w:p w:rsidR="00C35F24" w:rsidRDefault="006F795C">
      <w:pPr>
        <w:pStyle w:val="Heading1"/>
        <w:tabs>
          <w:tab w:val="left" w:pos="567"/>
        </w:tabs>
        <w:spacing w:before="0"/>
        <w:rPr>
          <w:noProof/>
          <w:lang w:val="fr-BE"/>
        </w:rPr>
      </w:pPr>
      <w:bookmarkStart w:id="14" w:name="_Toc494291883"/>
      <w:r>
        <w:rPr>
          <w:noProof/>
          <w:lang w:val="fr-BE"/>
        </w:rPr>
        <w:t>6.</w:t>
      </w:r>
      <w:r>
        <w:rPr>
          <w:noProof/>
          <w:lang w:val="fr-BE"/>
        </w:rPr>
        <w:tab/>
      </w:r>
      <w:r>
        <w:rPr>
          <w:noProof/>
          <w:lang w:val="fr-BE"/>
        </w:rPr>
        <w:t>Conclusion</w:t>
      </w:r>
      <w:bookmarkEnd w:id="14"/>
    </w:p>
    <w:p w:rsidR="00C35F24" w:rsidRDefault="006F795C">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 contractant a parfaitement répondu aux questions d'évaluation et a fourni à la Commission des résultats concrets, fiables et crédibles. Sur la base de ces observations, le contractant a tiré des conclusions fondées sur des éléments objectifs </w:t>
      </w:r>
      <w:r>
        <w:rPr>
          <w:rFonts w:ascii="Times New Roman" w:hAnsi="Times New Roman" w:cs="Times New Roman"/>
          <w:noProof/>
          <w:color w:val="222222"/>
          <w:sz w:val="24"/>
          <w:szCs w:val="24"/>
          <w:lang w:val="fr-FR"/>
        </w:rPr>
        <w:t xml:space="preserve">et a formulé des recommandations précises et pertinentes en vue de négociations futures sur un nouveau protocole entre l'UE et </w:t>
      </w:r>
      <w:r>
        <w:rPr>
          <w:rFonts w:ascii="Times New Roman" w:hAnsi="Times New Roman" w:cs="Times New Roman"/>
          <w:noProof/>
          <w:sz w:val="24"/>
          <w:szCs w:val="24"/>
          <w:lang w:val="fr-BE"/>
        </w:rPr>
        <w:t>le Maroc</w:t>
      </w:r>
      <w:r>
        <w:rPr>
          <w:rFonts w:ascii="Times New Roman" w:hAnsi="Times New Roman" w:cs="Times New Roman"/>
          <w:noProof/>
          <w:color w:val="222222"/>
          <w:sz w:val="24"/>
          <w:szCs w:val="24"/>
          <w:lang w:val="fr-FR"/>
        </w:rPr>
        <w:t xml:space="preserve">. </w:t>
      </w:r>
    </w:p>
    <w:p w:rsidR="00C35F24" w:rsidRDefault="006F795C">
      <w:pPr>
        <w:pStyle w:val="NoSpacing"/>
        <w:spacing w:after="120"/>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En vue des 5 critères d'évaluation analysés dans la section 5 ci-avant, on peut conclure que cet accord est un accord </w:t>
      </w:r>
      <w:r>
        <w:rPr>
          <w:rFonts w:ascii="Times New Roman" w:hAnsi="Times New Roman" w:cs="Times New Roman"/>
          <w:noProof/>
          <w:sz w:val="24"/>
          <w:szCs w:val="24"/>
          <w:lang w:val="fr-BE"/>
        </w:rPr>
        <w:t xml:space="preserve">gagnant-gagnant pour les parties concernées: </w:t>
      </w:r>
    </w:p>
    <w:p w:rsidR="00C35F24" w:rsidRDefault="006F795C">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protocole s’est révélé efficace dans l’atteinte de son objectif de durabilité de l’exploitation, les stocks principaux exploités se situant dans les limites acceptables. Il est globalement efficace dans son </w:t>
      </w:r>
      <w:r>
        <w:rPr>
          <w:rFonts w:ascii="Times New Roman" w:hAnsi="Times New Roman" w:cs="Times New Roman"/>
          <w:noProof/>
          <w:sz w:val="24"/>
          <w:szCs w:val="24"/>
          <w:lang w:val="fr-BE"/>
        </w:rPr>
        <w:t>soutien aux flottes lointaines de l’UE qui peuvent prolonger au Maroc les activités menées dans les eaux de l’UE et assurer leur rentabilité. Par contre, le protocole a peu encouragé l’intégration des opérateurs de l’UE et du Maroc, les captures étant comm</w:t>
      </w:r>
      <w:r>
        <w:rPr>
          <w:rFonts w:ascii="Times New Roman" w:hAnsi="Times New Roman" w:cs="Times New Roman"/>
          <w:noProof/>
          <w:sz w:val="24"/>
          <w:szCs w:val="24"/>
          <w:lang w:val="fr-BE"/>
        </w:rPr>
        <w:t xml:space="preserve">ercialisées sur d’autres marchés et seule une faible part de la valeur ajoutée étant captée par le Maroc. Le protocole a efficacement contribué au développement durable du secteur, l’appui sectoriel soutenant et accélérant la mise en œuvre de la stratégie </w:t>
      </w:r>
      <w:r>
        <w:rPr>
          <w:rFonts w:ascii="Times New Roman" w:hAnsi="Times New Roman" w:cs="Times New Roman"/>
          <w:i/>
          <w:noProof/>
          <w:sz w:val="24"/>
          <w:szCs w:val="24"/>
          <w:lang w:val="fr-BE"/>
        </w:rPr>
        <w:t>Halieutis</w:t>
      </w:r>
      <w:r>
        <w:rPr>
          <w:rFonts w:ascii="Times New Roman" w:hAnsi="Times New Roman" w:cs="Times New Roman"/>
          <w:noProof/>
          <w:sz w:val="24"/>
          <w:szCs w:val="24"/>
          <w:lang w:val="fr-BE"/>
        </w:rPr>
        <w:t xml:space="preserve"> sous des modalités transparentes et avec responsabilité dans l’utilisation des fonds. La clause sur les embarquements de marins a permis de créer des postes occupés par des ressortissants marocains et d'élever leur niveau de compétences.</w:t>
      </w:r>
    </w:p>
    <w:p w:rsidR="00C35F24" w:rsidRDefault="006F795C">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proto</w:t>
      </w:r>
      <w:r>
        <w:rPr>
          <w:rFonts w:ascii="Times New Roman" w:hAnsi="Times New Roman" w:cs="Times New Roman"/>
          <w:noProof/>
          <w:sz w:val="24"/>
          <w:szCs w:val="24"/>
          <w:lang w:val="fr-BE"/>
        </w:rPr>
        <w:t>cole a été globalement efficient avec un bon retour sur investissement, et une forte valeur ajoutée pour le secteur de la pêche de l'Union. Les indicateurs d’efficience obtenus au Maroc se comparent favorablement avec ceux des accords multi-espèces avec la</w:t>
      </w:r>
      <w:r>
        <w:rPr>
          <w:rFonts w:ascii="Times New Roman" w:hAnsi="Times New Roman" w:cs="Times New Roman"/>
          <w:noProof/>
          <w:sz w:val="24"/>
          <w:szCs w:val="24"/>
          <w:lang w:val="fr-BE"/>
        </w:rPr>
        <w:t xml:space="preserve"> Mauritanie ou la Guinée Bissau. Il existe toutefois des écarts entre armements dans le poids relatif de la taxation de l’accès, selon la catégorie.</w:t>
      </w:r>
    </w:p>
    <w:p w:rsidR="00C35F24" w:rsidRDefault="006F795C">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protocole est pertinent, ses objectifs correspondant aux besoins et problèmes identifiés. Pour l’UE il p</w:t>
      </w:r>
      <w:r>
        <w:rPr>
          <w:rFonts w:ascii="Times New Roman" w:hAnsi="Times New Roman" w:cs="Times New Roman"/>
          <w:noProof/>
          <w:sz w:val="24"/>
          <w:szCs w:val="24"/>
          <w:lang w:val="fr-BE"/>
        </w:rPr>
        <w:t>ermet de compléter le réseau d’accords qui couvre l’aire de distribution des stocks de petits pélagiques d’Afrique de l’Ouest et le réseau d'accords thoniers en Atlantique. Pour les armements de l’UE il est pertinent dans la mesure où il donne des possibil</w:t>
      </w:r>
      <w:r>
        <w:rPr>
          <w:rFonts w:ascii="Times New Roman" w:hAnsi="Times New Roman" w:cs="Times New Roman"/>
          <w:noProof/>
          <w:sz w:val="24"/>
          <w:szCs w:val="24"/>
          <w:lang w:val="fr-BE"/>
        </w:rPr>
        <w:t>ités de pêche adaptées à leurs besoins. Pour le Maroc, le protocole est pertinent en donnant accès aux ressources non pleinement exploitées par les flottes nationales, sans risques d’interactions entre navires et en favorisant les interactions économiques.</w:t>
      </w:r>
      <w:r>
        <w:rPr>
          <w:rFonts w:ascii="Times New Roman" w:hAnsi="Times New Roman" w:cs="Times New Roman"/>
          <w:noProof/>
          <w:sz w:val="24"/>
          <w:szCs w:val="24"/>
          <w:lang w:val="fr-BE"/>
        </w:rPr>
        <w:t xml:space="preserve"> L'appui sectoriel est pertinent dans son soutien à la stratégie </w:t>
      </w:r>
      <w:r>
        <w:rPr>
          <w:rFonts w:ascii="Times New Roman" w:hAnsi="Times New Roman" w:cs="Times New Roman"/>
          <w:i/>
          <w:noProof/>
          <w:sz w:val="24"/>
          <w:szCs w:val="24"/>
          <w:lang w:val="fr-BE"/>
        </w:rPr>
        <w:t>Halieutis</w:t>
      </w:r>
      <w:r>
        <w:rPr>
          <w:rFonts w:ascii="Times New Roman" w:hAnsi="Times New Roman" w:cs="Times New Roman"/>
          <w:noProof/>
          <w:sz w:val="24"/>
          <w:szCs w:val="24"/>
          <w:lang w:val="fr-BE"/>
        </w:rPr>
        <w:t>.</w:t>
      </w:r>
    </w:p>
    <w:p w:rsidR="00C35F24" w:rsidRDefault="006F795C">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protocole est cohérent et complémentaire avec d’autres initiatives de l’UE. Enfin, l’acceptabilité du protocole par les principales parties prenantes est globalement satisfaisan</w:t>
      </w:r>
      <w:r>
        <w:rPr>
          <w:rFonts w:ascii="Times New Roman" w:hAnsi="Times New Roman" w:cs="Times New Roman"/>
          <w:noProof/>
          <w:sz w:val="24"/>
          <w:szCs w:val="24"/>
          <w:lang w:val="fr-BE"/>
        </w:rPr>
        <w:t xml:space="preserve">te. </w:t>
      </w:r>
    </w:p>
    <w:p w:rsidR="00C35F24" w:rsidRDefault="006F795C">
      <w:pPr>
        <w:pStyle w:val="NoSpacing"/>
        <w:spacing w:after="120"/>
        <w:jc w:val="both"/>
        <w:rPr>
          <w:rFonts w:ascii="Times New Roman" w:hAnsi="Times New Roman" w:cs="Times New Roman"/>
          <w:noProof/>
          <w:sz w:val="24"/>
          <w:szCs w:val="24"/>
        </w:rPr>
      </w:pPr>
      <w:r>
        <w:rPr>
          <w:rFonts w:ascii="Times New Roman" w:hAnsi="Times New Roman" w:cs="Times New Roman"/>
          <w:noProof/>
          <w:sz w:val="24"/>
          <w:lang w:val="fr-BE"/>
        </w:rPr>
        <w:t xml:space="preserve">L’évaluation formule également un </w:t>
      </w:r>
      <w:r>
        <w:rPr>
          <w:rFonts w:ascii="Times New Roman" w:hAnsi="Times New Roman" w:cs="Times New Roman"/>
          <w:noProof/>
          <w:sz w:val="24"/>
          <w:szCs w:val="24"/>
          <w:lang w:val="fr-BE"/>
        </w:rPr>
        <w:t xml:space="preserve">certain nombre de </w:t>
      </w:r>
      <w:r>
        <w:rPr>
          <w:rFonts w:ascii="Times New Roman" w:hAnsi="Times New Roman" w:cs="Times New Roman"/>
          <w:b/>
          <w:noProof/>
          <w:sz w:val="24"/>
          <w:szCs w:val="24"/>
          <w:lang w:val="fr-BE"/>
        </w:rPr>
        <w:t>recommandations</w:t>
      </w:r>
      <w:r>
        <w:rPr>
          <w:rFonts w:ascii="Times New Roman" w:hAnsi="Times New Roman" w:cs="Times New Roman"/>
          <w:noProof/>
          <w:sz w:val="24"/>
          <w:szCs w:val="24"/>
          <w:lang w:val="fr-BE"/>
        </w:rPr>
        <w:t xml:space="preserve"> devant être </w:t>
      </w:r>
      <w:r>
        <w:rPr>
          <w:rFonts w:ascii="Times New Roman" w:hAnsi="Times New Roman" w:cs="Times New Roman"/>
          <w:noProof/>
          <w:sz w:val="24"/>
          <w:szCs w:val="24"/>
        </w:rPr>
        <w:t>prises en compte par la Commission dans la négociation d’un futur protocole</w:t>
      </w:r>
      <w:r>
        <w:rPr>
          <w:rFonts w:ascii="Times New Roman" w:hAnsi="Times New Roman" w:cs="Times New Roman"/>
          <w:noProof/>
          <w:sz w:val="24"/>
          <w:szCs w:val="24"/>
          <w:lang w:val="fr-BE"/>
        </w:rPr>
        <w:t>: 1)</w:t>
      </w:r>
      <w:r>
        <w:rPr>
          <w:noProof/>
        </w:rPr>
        <w:t xml:space="preserve"> la </w:t>
      </w:r>
      <w:r>
        <w:rPr>
          <w:rFonts w:ascii="Times New Roman" w:hAnsi="Times New Roman" w:cs="Times New Roman"/>
          <w:noProof/>
          <w:sz w:val="24"/>
          <w:szCs w:val="24"/>
        </w:rPr>
        <w:t>plupart des modalités convenues sous le protocole en cours pourront être conservées, ave</w:t>
      </w:r>
      <w:r>
        <w:rPr>
          <w:rFonts w:ascii="Times New Roman" w:hAnsi="Times New Roman" w:cs="Times New Roman"/>
          <w:noProof/>
          <w:sz w:val="24"/>
          <w:szCs w:val="24"/>
        </w:rPr>
        <w:t>c quelques ajustements le cas échéant; 2) un</w:t>
      </w:r>
      <w:r>
        <w:rPr>
          <w:rFonts w:ascii="Times New Roman" w:hAnsi="Times New Roman" w:cs="Times New Roman"/>
          <w:noProof/>
          <w:sz w:val="24"/>
          <w:szCs w:val="24"/>
          <w:lang w:val="fr-BE"/>
        </w:rPr>
        <w:t xml:space="preserve"> nouveau protocole devra viser la réduction des captures d’espèces non-désirées; 3) étant donné l’évaluation du surplus qui est relativement ardue pour les stocks démersaux ciblés par les navires de l’UE autres q</w:t>
      </w:r>
      <w:r>
        <w:rPr>
          <w:rFonts w:ascii="Times New Roman" w:hAnsi="Times New Roman" w:cs="Times New Roman"/>
          <w:noProof/>
          <w:sz w:val="24"/>
          <w:szCs w:val="24"/>
          <w:lang w:val="fr-BE"/>
        </w:rPr>
        <w:t>ue le merlu noir du fait de la faible disponibilité en données scientifiques adéquates et le caractère multi-espèces des pêcheries exploitées, le futur protocole ne devra autoriser que des capacités de pêche artisanales sur ces stocks en prévoyant des syst</w:t>
      </w:r>
      <w:r>
        <w:rPr>
          <w:rFonts w:ascii="Times New Roman" w:hAnsi="Times New Roman" w:cs="Times New Roman"/>
          <w:noProof/>
          <w:sz w:val="24"/>
          <w:szCs w:val="24"/>
          <w:lang w:val="fr-BE"/>
        </w:rPr>
        <w:t>èmes de suivi scientifique permettant de suivre l’état de la ressource; 4) l’efficacité du système de gestion de la consommation des quotas doit être améliorée; 5) la tarification de l’accès pourrait être revue pour rééquilibrer l’importance relative des f</w:t>
      </w:r>
      <w:r>
        <w:rPr>
          <w:rFonts w:ascii="Times New Roman" w:hAnsi="Times New Roman" w:cs="Times New Roman"/>
          <w:noProof/>
          <w:sz w:val="24"/>
          <w:szCs w:val="24"/>
          <w:lang w:val="fr-BE"/>
        </w:rPr>
        <w:t xml:space="preserve">rais supportés par les différentes catégories. </w:t>
      </w:r>
    </w:p>
    <w:p w:rsidR="00C35F24" w:rsidRDefault="006F795C">
      <w:pPr>
        <w:pStyle w:val="HTMLPreformatted"/>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FR"/>
        </w:rPr>
        <w:t xml:space="preserve">De son côté, </w:t>
      </w:r>
      <w:r>
        <w:rPr>
          <w:rFonts w:ascii="Times New Roman" w:hAnsi="Times New Roman" w:cs="Times New Roman"/>
          <w:noProof/>
          <w:sz w:val="24"/>
          <w:szCs w:val="24"/>
          <w:lang w:val="fr-BE"/>
        </w:rPr>
        <w:t>la Commission partage les conclusions de l'évaluation formulées par le contractant. De ce fait, elle estime que le renouvellement du protocole à l'accord de partenariat de pêche devrait être l’option à privilégier. Elle estime également que les recommandat</w:t>
      </w:r>
      <w:r>
        <w:rPr>
          <w:rFonts w:ascii="Times New Roman" w:hAnsi="Times New Roman" w:cs="Times New Roman"/>
          <w:noProof/>
          <w:sz w:val="24"/>
          <w:szCs w:val="24"/>
          <w:lang w:val="fr-BE"/>
        </w:rPr>
        <w:t>ions présentées dans le rapport d’évaluation sont pertinentes et devraient servir de base à la stratégie qui sera mise en œuvre aux fins du renouvellement du protocole. A cet égard, elle souligne la nécessité de revoir certaines conditions techniques qui e</w:t>
      </w:r>
      <w:r>
        <w:rPr>
          <w:rFonts w:ascii="Times New Roman" w:hAnsi="Times New Roman" w:cs="Times New Roman"/>
          <w:noProof/>
          <w:sz w:val="24"/>
          <w:szCs w:val="24"/>
          <w:lang w:val="fr-BE"/>
        </w:rPr>
        <w:t>mpêchent une utilisation optimale des possibilités de pêche offertes par le protocole, en particulier les questions relatives aux plafonds mensuels et à la composition des captures de la pêche pélagique industrielle. Enfin, elle estime opportun d'élargir l</w:t>
      </w:r>
      <w:r>
        <w:rPr>
          <w:rFonts w:ascii="Times New Roman" w:hAnsi="Times New Roman" w:cs="Times New Roman"/>
          <w:noProof/>
          <w:sz w:val="24"/>
          <w:szCs w:val="24"/>
          <w:lang w:val="fr-BE"/>
        </w:rPr>
        <w:t>e champ de l'appui sectoriel à des thématiques telles que la croissance bleue, ce qui serait en effet tout à fait pertinent dans le contexte d'une politique régionale et de proximité dont le Maroc est un acteur important, et qui a lancé une initiative ambi</w:t>
      </w:r>
      <w:r>
        <w:rPr>
          <w:rFonts w:ascii="Times New Roman" w:hAnsi="Times New Roman" w:cs="Times New Roman"/>
          <w:noProof/>
          <w:sz w:val="24"/>
          <w:szCs w:val="24"/>
          <w:lang w:val="fr-BE"/>
        </w:rPr>
        <w:t xml:space="preserve">tieuse en la matière. </w:t>
      </w:r>
    </w:p>
    <w:p w:rsidR="00C35F24" w:rsidRDefault="006F795C">
      <w:pPr>
        <w:spacing w:after="0"/>
        <w:jc w:val="left"/>
        <w:rPr>
          <w:noProof/>
          <w:szCs w:val="24"/>
          <w:lang w:val="fr-BE"/>
        </w:rPr>
      </w:pPr>
      <w:r>
        <w:rPr>
          <w:noProof/>
          <w:szCs w:val="24"/>
          <w:lang w:val="fr-BE"/>
        </w:rPr>
        <w:br w:type="page"/>
      </w:r>
    </w:p>
    <w:p w:rsidR="00C35F24" w:rsidRDefault="00C35F24">
      <w:pPr>
        <w:spacing w:after="120"/>
        <w:rPr>
          <w:noProof/>
          <w:szCs w:val="24"/>
          <w:lang w:val="fr-BE"/>
        </w:rPr>
      </w:pPr>
    </w:p>
    <w:p w:rsidR="00C35F24" w:rsidRDefault="006F795C">
      <w:pPr>
        <w:pStyle w:val="Heading1"/>
        <w:jc w:val="center"/>
        <w:rPr>
          <w:b w:val="0"/>
          <w:noProof/>
          <w:szCs w:val="24"/>
          <w:lang w:val="fr-BE"/>
        </w:rPr>
      </w:pPr>
      <w:bookmarkStart w:id="15" w:name="_Toc494291884"/>
      <w:r>
        <w:rPr>
          <w:noProof/>
          <w:szCs w:val="24"/>
          <w:lang w:val="fr-BE"/>
        </w:rPr>
        <w:t>Annexe 1: Informations sur les procédures</w:t>
      </w:r>
      <w:bookmarkEnd w:id="15"/>
    </w:p>
    <w:p w:rsidR="00C35F24" w:rsidRDefault="006F795C">
      <w:pPr>
        <w:rPr>
          <w:b/>
          <w:smallCaps/>
          <w:noProof/>
          <w:lang w:val="fr-BE"/>
        </w:rPr>
      </w:pPr>
      <w:r>
        <w:rPr>
          <w:b/>
          <w:smallCaps/>
          <w:noProof/>
          <w:lang w:val="fr-BE"/>
        </w:rPr>
        <w:t>1.</w:t>
      </w:r>
      <w:r>
        <w:rPr>
          <w:b/>
          <w:smallCaps/>
          <w:noProof/>
          <w:lang w:val="fr-BE"/>
        </w:rPr>
        <w:tab/>
        <w:t>DG chef de file, DECIDE de planification/CWP références</w:t>
      </w:r>
    </w:p>
    <w:p w:rsidR="00C35F24" w:rsidRDefault="006F795C">
      <w:pPr>
        <w:rPr>
          <w:rFonts w:ascii="Book Antiqua" w:hAnsi="Book Antiqua"/>
          <w:noProof/>
          <w:color w:val="0000FF"/>
          <w:lang w:val="fr-BE"/>
        </w:rPr>
      </w:pPr>
      <w:r>
        <w:rPr>
          <w:noProof/>
          <w:lang w:val="fr-BE"/>
        </w:rPr>
        <w:t>DG Responsable: DG MARE - Affaires Maritimes et Pêche/</w:t>
      </w:r>
      <w:r>
        <w:rPr>
          <w:noProof/>
          <w:color w:val="000000"/>
          <w:lang w:val="fr-BE" w:eastAsia="en-GB"/>
        </w:rPr>
        <w:t>PLAN/2017/002</w:t>
      </w:r>
    </w:p>
    <w:p w:rsidR="00C35F24" w:rsidRDefault="006F795C">
      <w:pPr>
        <w:rPr>
          <w:b/>
          <w:smallCaps/>
          <w:noProof/>
          <w:lang w:val="fr-BE"/>
        </w:rPr>
      </w:pPr>
      <w:r>
        <w:rPr>
          <w:b/>
          <w:smallCaps/>
          <w:noProof/>
          <w:lang w:val="fr-BE"/>
        </w:rPr>
        <w:t>2.</w:t>
      </w:r>
      <w:r>
        <w:rPr>
          <w:b/>
          <w:smallCaps/>
          <w:noProof/>
          <w:lang w:val="fr-BE"/>
        </w:rPr>
        <w:tab/>
        <w:t>Organisation et planification</w:t>
      </w: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b/>
                <w:noProof/>
                <w:lang w:val="fr-BE"/>
              </w:rPr>
            </w:pPr>
            <w:r>
              <w:rPr>
                <w:b/>
                <w:noProof/>
                <w:lang w:val="fr-BE"/>
              </w:rPr>
              <w:t>Travaux à exécuter</w:t>
            </w:r>
          </w:p>
        </w:tc>
        <w:tc>
          <w:tcPr>
            <w:tcW w:w="3685" w:type="dxa"/>
            <w:tcBorders>
              <w:top w:val="single" w:sz="4" w:space="0" w:color="00000A"/>
              <w:left w:val="single" w:sz="4" w:space="0" w:color="00000A"/>
              <w:bottom w:val="single" w:sz="4" w:space="0" w:color="00000A"/>
              <w:right w:val="single" w:sz="4" w:space="0" w:color="00000A"/>
            </w:tcBorders>
            <w:hideMark/>
          </w:tcPr>
          <w:p w:rsidR="00C35F24" w:rsidRDefault="006F795C">
            <w:pPr>
              <w:spacing w:before="60" w:after="60"/>
              <w:ind w:left="482"/>
              <w:rPr>
                <w:b/>
                <w:noProof/>
                <w:lang w:val="fr-BE"/>
              </w:rPr>
            </w:pPr>
            <w:r>
              <w:rPr>
                <w:b/>
                <w:noProof/>
                <w:lang w:val="fr-BE"/>
              </w:rPr>
              <w:t>Cumulé</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35F24" w:rsidRDefault="006F795C">
            <w:pPr>
              <w:spacing w:before="60" w:after="60"/>
              <w:ind w:left="482"/>
              <w:rPr>
                <w:noProof/>
                <w:lang w:val="fr-BE"/>
              </w:rPr>
            </w:pPr>
            <w:r>
              <w:rPr>
                <w:noProof/>
                <w:lang w:val="fr-BE"/>
              </w:rPr>
              <w:t xml:space="preserve">Signature de contrat </w:t>
            </w:r>
          </w:p>
        </w:tc>
        <w:tc>
          <w:tcPr>
            <w:tcW w:w="3685" w:type="dxa"/>
            <w:tcBorders>
              <w:top w:val="single" w:sz="4" w:space="0" w:color="00000A"/>
              <w:left w:val="single" w:sz="4" w:space="0" w:color="00000A"/>
              <w:bottom w:val="single" w:sz="4" w:space="0" w:color="00000A"/>
              <w:right w:val="single" w:sz="4" w:space="0" w:color="00000A"/>
            </w:tcBorders>
          </w:tcPr>
          <w:p w:rsidR="00C35F24" w:rsidRDefault="006F795C">
            <w:pPr>
              <w:spacing w:before="60" w:after="60"/>
              <w:ind w:left="76"/>
              <w:rPr>
                <w:noProof/>
                <w:lang w:val="fr-BE"/>
              </w:rPr>
            </w:pPr>
            <w:r>
              <w:rPr>
                <w:noProof/>
                <w:lang w:val="fr-BE"/>
              </w:rPr>
              <w:t>12 mai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Réunion de démarrage</w:t>
            </w:r>
          </w:p>
        </w:tc>
        <w:tc>
          <w:tcPr>
            <w:tcW w:w="3685" w:type="dxa"/>
            <w:tcBorders>
              <w:top w:val="single" w:sz="4" w:space="0" w:color="00000A"/>
              <w:left w:val="single" w:sz="4" w:space="0" w:color="00000A"/>
              <w:bottom w:val="single" w:sz="4" w:space="0" w:color="00000A"/>
              <w:right w:val="single" w:sz="4" w:space="0" w:color="00000A"/>
            </w:tcBorders>
            <w:hideMark/>
          </w:tcPr>
          <w:p w:rsidR="00C35F24" w:rsidRDefault="006F795C">
            <w:pPr>
              <w:spacing w:before="60" w:after="60"/>
              <w:ind w:left="76"/>
              <w:rPr>
                <w:noProof/>
                <w:lang w:val="fr-BE"/>
              </w:rPr>
            </w:pPr>
            <w:r>
              <w:rPr>
                <w:noProof/>
                <w:lang w:val="fr-BE"/>
              </w:rPr>
              <w:t>19 mai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Compte rendu de la réunion de démarrage</w:t>
            </w:r>
          </w:p>
        </w:tc>
        <w:tc>
          <w:tcPr>
            <w:tcW w:w="3685" w:type="dxa"/>
            <w:tcBorders>
              <w:top w:val="single" w:sz="4" w:space="0" w:color="00000A"/>
              <w:left w:val="single" w:sz="4" w:space="0" w:color="00000A"/>
              <w:bottom w:val="single" w:sz="4" w:space="0" w:color="00000A"/>
              <w:right w:val="single" w:sz="4" w:space="0" w:color="00000A"/>
            </w:tcBorders>
          </w:tcPr>
          <w:p w:rsidR="00C35F24" w:rsidRDefault="006F795C">
            <w:pPr>
              <w:spacing w:before="60" w:after="60"/>
              <w:ind w:left="76"/>
              <w:rPr>
                <w:noProof/>
                <w:lang w:val="fr-BE"/>
              </w:rPr>
            </w:pPr>
            <w:r>
              <w:rPr>
                <w:noProof/>
                <w:lang w:val="fr-BE"/>
              </w:rPr>
              <w:t>22 mai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rPr>
            </w:pPr>
            <w:r>
              <w:rPr>
                <w:noProof/>
              </w:rPr>
              <w:t>Soumission du rapport initial</w:t>
            </w:r>
          </w:p>
        </w:tc>
        <w:tc>
          <w:tcPr>
            <w:tcW w:w="3685" w:type="dxa"/>
            <w:tcBorders>
              <w:top w:val="single" w:sz="4" w:space="0" w:color="00000A"/>
              <w:left w:val="single" w:sz="4" w:space="0" w:color="00000A"/>
              <w:bottom w:val="single" w:sz="4" w:space="0" w:color="00000A"/>
              <w:right w:val="single" w:sz="4" w:space="0" w:color="00000A"/>
            </w:tcBorders>
            <w:hideMark/>
          </w:tcPr>
          <w:p w:rsidR="00C35F24" w:rsidRDefault="006F795C">
            <w:pPr>
              <w:spacing w:before="60" w:after="60"/>
              <w:ind w:left="76"/>
              <w:rPr>
                <w:noProof/>
              </w:rPr>
            </w:pPr>
            <w:r>
              <w:rPr>
                <w:noProof/>
              </w:rPr>
              <w:t>9 juin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Observations sur le rapport initial</w:t>
            </w:r>
          </w:p>
        </w:tc>
        <w:tc>
          <w:tcPr>
            <w:tcW w:w="3685" w:type="dxa"/>
            <w:tcBorders>
              <w:top w:val="single" w:sz="4" w:space="0" w:color="00000A"/>
              <w:left w:val="single" w:sz="4" w:space="0" w:color="00000A"/>
              <w:bottom w:val="single" w:sz="4" w:space="0" w:color="00000A"/>
              <w:right w:val="single" w:sz="4" w:space="0" w:color="00000A"/>
            </w:tcBorders>
          </w:tcPr>
          <w:p w:rsidR="00C35F24" w:rsidRDefault="006F795C">
            <w:pPr>
              <w:spacing w:before="60" w:after="60"/>
              <w:ind w:left="76"/>
              <w:rPr>
                <w:noProof/>
                <w:highlight w:val="yellow"/>
                <w:lang w:val="fr-BE"/>
              </w:rPr>
            </w:pPr>
            <w:r>
              <w:rPr>
                <w:noProof/>
                <w:lang w:val="fr-BE"/>
              </w:rPr>
              <w:t>20 juin 2017</w:t>
            </w:r>
          </w:p>
        </w:tc>
      </w:tr>
      <w:tr w:rsidR="00C35F24" w:rsidRPr="006F795C">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Réunion concernant le rapport initial</w:t>
            </w:r>
          </w:p>
        </w:tc>
        <w:tc>
          <w:tcPr>
            <w:tcW w:w="3685" w:type="dxa"/>
            <w:tcBorders>
              <w:top w:val="single" w:sz="4" w:space="0" w:color="00000A"/>
              <w:left w:val="single" w:sz="4" w:space="0" w:color="00000A"/>
              <w:bottom w:val="single" w:sz="4" w:space="0" w:color="00000A"/>
              <w:right w:val="single" w:sz="4" w:space="0" w:color="00000A"/>
            </w:tcBorders>
            <w:hideMark/>
          </w:tcPr>
          <w:p w:rsidR="00C35F24" w:rsidRDefault="006F795C">
            <w:pPr>
              <w:spacing w:before="60" w:after="60"/>
              <w:ind w:left="76"/>
              <w:rPr>
                <w:noProof/>
                <w:highlight w:val="yellow"/>
                <w:lang w:val="fr-BE"/>
              </w:rPr>
            </w:pPr>
            <w:r>
              <w:rPr>
                <w:noProof/>
                <w:lang w:val="fr-BE"/>
              </w:rPr>
              <w:t xml:space="preserve">Echange par écrit avec le Comité de pilotage </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Soumission du projet de rapport final</w:t>
            </w:r>
          </w:p>
        </w:tc>
        <w:tc>
          <w:tcPr>
            <w:tcW w:w="3685" w:type="dxa"/>
            <w:tcBorders>
              <w:top w:val="single" w:sz="4" w:space="0" w:color="00000A"/>
              <w:left w:val="single" w:sz="4" w:space="0" w:color="00000A"/>
              <w:bottom w:val="single" w:sz="4" w:space="0" w:color="00000A"/>
              <w:right w:val="single" w:sz="4" w:space="0" w:color="00000A"/>
            </w:tcBorders>
            <w:hideMark/>
          </w:tcPr>
          <w:p w:rsidR="00C35F24" w:rsidRDefault="006F795C">
            <w:pPr>
              <w:spacing w:before="60" w:after="60"/>
              <w:ind w:left="76"/>
              <w:rPr>
                <w:noProof/>
                <w:highlight w:val="yellow"/>
              </w:rPr>
            </w:pPr>
            <w:r>
              <w:rPr>
                <w:noProof/>
              </w:rPr>
              <w:t>3</w:t>
            </w:r>
            <w:r>
              <w:rPr>
                <w:noProof/>
                <w:lang w:val="fr-BE"/>
              </w:rPr>
              <w:t xml:space="preserve"> août</w:t>
            </w:r>
            <w:r>
              <w:rPr>
                <w:noProof/>
              </w:rPr>
              <w:t xml:space="preserve">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Réunion concernant le projet de rapport final (présentation)</w:t>
            </w:r>
          </w:p>
        </w:tc>
        <w:tc>
          <w:tcPr>
            <w:tcW w:w="3685" w:type="dxa"/>
            <w:tcBorders>
              <w:top w:val="single" w:sz="4" w:space="0" w:color="00000A"/>
              <w:left w:val="single" w:sz="4" w:space="0" w:color="00000A"/>
              <w:bottom w:val="single" w:sz="4" w:space="0" w:color="00000A"/>
              <w:right w:val="single" w:sz="4" w:space="0" w:color="00000A"/>
            </w:tcBorders>
          </w:tcPr>
          <w:p w:rsidR="00C35F24" w:rsidRDefault="006F795C">
            <w:pPr>
              <w:spacing w:before="60" w:after="60"/>
              <w:ind w:left="76"/>
              <w:rPr>
                <w:noProof/>
                <w:highlight w:val="yellow"/>
                <w:lang w:val="fr-BE"/>
              </w:rPr>
            </w:pPr>
            <w:r>
              <w:rPr>
                <w:noProof/>
                <w:lang w:val="fr-BE"/>
              </w:rPr>
              <w:t>31 août 2017</w:t>
            </w:r>
          </w:p>
        </w:tc>
      </w:tr>
      <w:tr w:rsidR="00C35F24">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5F24" w:rsidRDefault="006F795C">
            <w:pPr>
              <w:spacing w:before="60" w:after="60"/>
              <w:ind w:left="482"/>
              <w:rPr>
                <w:noProof/>
                <w:lang w:val="fr-BE"/>
              </w:rPr>
            </w:pPr>
            <w:r>
              <w:rPr>
                <w:noProof/>
                <w:lang w:val="fr-BE"/>
              </w:rPr>
              <w:t>Soumission du rapport final</w:t>
            </w:r>
          </w:p>
        </w:tc>
        <w:tc>
          <w:tcPr>
            <w:tcW w:w="3685" w:type="dxa"/>
            <w:tcBorders>
              <w:top w:val="single" w:sz="4" w:space="0" w:color="00000A"/>
              <w:left w:val="single" w:sz="4" w:space="0" w:color="00000A"/>
              <w:bottom w:val="single" w:sz="4" w:space="0" w:color="00000A"/>
              <w:right w:val="single" w:sz="4" w:space="0" w:color="00000A"/>
            </w:tcBorders>
          </w:tcPr>
          <w:p w:rsidR="00C35F24" w:rsidRDefault="006F795C">
            <w:pPr>
              <w:spacing w:before="60" w:after="60"/>
              <w:ind w:left="76"/>
              <w:rPr>
                <w:noProof/>
                <w:highlight w:val="yellow"/>
                <w:lang w:val="fr-BE"/>
              </w:rPr>
            </w:pPr>
            <w:r>
              <w:rPr>
                <w:noProof/>
                <w:lang w:val="fr-BE"/>
              </w:rPr>
              <w:t>10 octobre 2017</w:t>
            </w:r>
          </w:p>
        </w:tc>
      </w:tr>
    </w:tbl>
    <w:p w:rsidR="00C35F24" w:rsidRDefault="00C35F24">
      <w:pPr>
        <w:keepNext/>
        <w:spacing w:after="120"/>
        <w:outlineLvl w:val="0"/>
        <w:rPr>
          <w:b/>
          <w:smallCaps/>
          <w:noProof/>
          <w:lang w:val="fr-BE"/>
        </w:rPr>
      </w:pPr>
    </w:p>
    <w:p w:rsidR="00C35F24" w:rsidRDefault="006F795C">
      <w:pPr>
        <w:rPr>
          <w:b/>
          <w:smallCaps/>
          <w:noProof/>
          <w:lang w:val="fr-BE"/>
        </w:rPr>
      </w:pPr>
      <w:r>
        <w:rPr>
          <w:b/>
          <w:smallCaps/>
          <w:noProof/>
          <w:lang w:val="fr-BE"/>
        </w:rPr>
        <w:t>3.</w:t>
      </w:r>
      <w:r>
        <w:rPr>
          <w:b/>
          <w:smallCaps/>
          <w:noProof/>
          <w:lang w:val="fr-BE"/>
        </w:rPr>
        <w:tab/>
        <w:t xml:space="preserve">Exceptions aux lignes directrices </w:t>
      </w:r>
      <w:r>
        <w:rPr>
          <w:b/>
          <w:smallCaps/>
          <w:noProof/>
          <w:lang w:val="fr-BE"/>
        </w:rPr>
        <w:t>pour une meilleure réglementation</w:t>
      </w:r>
    </w:p>
    <w:p w:rsidR="00C35F24" w:rsidRDefault="006F795C">
      <w:pPr>
        <w:spacing w:after="120"/>
        <w:rPr>
          <w:noProof/>
          <w:color w:val="000000"/>
          <w:sz w:val="23"/>
          <w:szCs w:val="23"/>
          <w:lang w:val="fr-BE" w:eastAsia="en-GB"/>
        </w:rPr>
      </w:pPr>
      <w:r>
        <w:rPr>
          <w:noProof/>
          <w:color w:val="000000"/>
          <w:sz w:val="23"/>
          <w:szCs w:val="23"/>
          <w:lang w:val="fr-BE" w:eastAsia="en-GB"/>
        </w:rPr>
        <w:t>Les exigences juridiques et procédurales pour la préparation de la reconduction des protocoles de pêche entraînent un calendrier serré qui empêche la tenue d’une consultation publique ouverte</w:t>
      </w:r>
      <w:r>
        <w:rPr>
          <w:b/>
          <w:smallCaps/>
          <w:noProof/>
          <w:lang w:val="fr-BE"/>
        </w:rPr>
        <w:t>.</w:t>
      </w:r>
      <w:r>
        <w:rPr>
          <w:noProof/>
          <w:color w:val="000000"/>
          <w:sz w:val="23"/>
          <w:szCs w:val="23"/>
          <w:lang w:val="fr-BE" w:eastAsia="en-GB"/>
        </w:rPr>
        <w:t xml:space="preserve"> En outre, l’incidence des APP</w:t>
      </w:r>
      <w:r>
        <w:rPr>
          <w:noProof/>
          <w:color w:val="000000"/>
          <w:sz w:val="23"/>
          <w:szCs w:val="23"/>
          <w:lang w:val="fr-BE" w:eastAsia="en-GB"/>
        </w:rPr>
        <w:t>D est relativement limitée, car ils portent essentiellement sur un petit nombre d’acteurs directement concernés. La stratégie de consultation exclut donc des consultations publiques ouvertes.</w:t>
      </w:r>
    </w:p>
    <w:p w:rsidR="00C35F24" w:rsidRDefault="006F795C">
      <w:pPr>
        <w:rPr>
          <w:b/>
          <w:smallCaps/>
          <w:noProof/>
          <w:lang w:val="fr-BE"/>
        </w:rPr>
      </w:pPr>
      <w:r>
        <w:rPr>
          <w:b/>
          <w:smallCaps/>
          <w:noProof/>
          <w:lang w:val="fr-BE"/>
        </w:rPr>
        <w:t>4.</w:t>
      </w:r>
      <w:r>
        <w:rPr>
          <w:b/>
          <w:smallCaps/>
          <w:noProof/>
          <w:lang w:val="fr-BE"/>
        </w:rPr>
        <w:tab/>
        <w:t xml:space="preserve">Consultation du comité d’examen de la réglementation (le cas </w:t>
      </w:r>
      <w:r>
        <w:rPr>
          <w:b/>
          <w:smallCaps/>
          <w:noProof/>
          <w:lang w:val="fr-BE"/>
        </w:rPr>
        <w:t>échéant)</w:t>
      </w:r>
    </w:p>
    <w:p w:rsidR="00C35F24" w:rsidRDefault="006F795C">
      <w:pPr>
        <w:spacing w:after="120"/>
        <w:rPr>
          <w:noProof/>
          <w:lang w:val="fr-BE"/>
        </w:rPr>
      </w:pPr>
      <w:r>
        <w:rPr>
          <w:noProof/>
          <w:lang w:val="fr-BE"/>
        </w:rPr>
        <w:t>L’évaluation n'a pas été soumise à l'examen par le RSB.</w:t>
      </w:r>
    </w:p>
    <w:p w:rsidR="00C35F24" w:rsidRDefault="006F795C">
      <w:pPr>
        <w:rPr>
          <w:b/>
          <w:smallCaps/>
          <w:noProof/>
          <w:lang w:val="fr-BE"/>
        </w:rPr>
      </w:pPr>
      <w:r>
        <w:rPr>
          <w:b/>
          <w:smallCaps/>
          <w:noProof/>
          <w:lang w:val="fr-BE"/>
        </w:rPr>
        <w:t>5.</w:t>
      </w:r>
      <w:r>
        <w:rPr>
          <w:b/>
          <w:smallCaps/>
          <w:noProof/>
          <w:lang w:val="fr-BE"/>
        </w:rPr>
        <w:tab/>
        <w:t>des éléments de preuve, sources et qualité</w:t>
      </w:r>
    </w:p>
    <w:p w:rsidR="00C35F24" w:rsidRDefault="006F795C">
      <w:pPr>
        <w:spacing w:after="120"/>
        <w:rPr>
          <w:noProof/>
          <w:lang w:val="fr-BE"/>
        </w:rPr>
      </w:pPr>
      <w:r>
        <w:rPr>
          <w:noProof/>
          <w:lang w:val="fr-BE"/>
        </w:rPr>
        <w:t>Le contractant a utilisé des données fournies par la DG MARE, la DG DEVCO et le SEAE, ainsi que les résultats d'entretiens menées avec les autori</w:t>
      </w:r>
      <w:r>
        <w:rPr>
          <w:noProof/>
          <w:lang w:val="fr-BE"/>
        </w:rPr>
        <w:t>tés du Maroc, les Etats membres concernés, des r</w:t>
      </w:r>
      <w:r>
        <w:rPr>
          <w:noProof/>
          <w:szCs w:val="24"/>
          <w:lang w:val="fr-BE" w:eastAsia="en-GB"/>
        </w:rPr>
        <w:t xml:space="preserve">eprésentants ou associations d’armateurs, bénéficiaires du protocole, </w:t>
      </w:r>
      <w:r>
        <w:rPr>
          <w:noProof/>
          <w:lang w:val="fr-BE"/>
        </w:rPr>
        <w:t xml:space="preserve">ONG et société civile. </w:t>
      </w:r>
    </w:p>
    <w:p w:rsidR="00C35F24" w:rsidRDefault="006F795C">
      <w:pPr>
        <w:rPr>
          <w:b/>
          <w:smallCaps/>
          <w:noProof/>
          <w:lang w:val="fr-BE"/>
        </w:rPr>
      </w:pPr>
      <w:r>
        <w:rPr>
          <w:b/>
          <w:smallCaps/>
          <w:noProof/>
          <w:lang w:val="fr-BE"/>
        </w:rPr>
        <w:t>6.</w:t>
      </w:r>
      <w:r>
        <w:rPr>
          <w:b/>
          <w:smallCaps/>
          <w:noProof/>
          <w:lang w:val="fr-BE"/>
        </w:rPr>
        <w:tab/>
        <w:t>qualité d'évaluation</w:t>
      </w:r>
    </w:p>
    <w:p w:rsidR="00C35F24" w:rsidRDefault="006F795C">
      <w:pPr>
        <w:spacing w:after="120"/>
        <w:rPr>
          <w:noProof/>
          <w:lang w:val="fr-BE"/>
        </w:rPr>
      </w:pPr>
      <w:r>
        <w:rPr>
          <w:noProof/>
          <w:lang w:val="fr-BE"/>
        </w:rPr>
        <w:t>Le processus d’évaluation et le rapport d’évaluation final ont été soumis à une évaluation</w:t>
      </w:r>
      <w:r>
        <w:rPr>
          <w:noProof/>
          <w:lang w:val="fr-BE"/>
        </w:rPr>
        <w:t xml:space="preserve"> de qualité par le Comité de Pilotage. </w:t>
      </w:r>
    </w:p>
    <w:p w:rsidR="00C35F24" w:rsidRDefault="00C35F24">
      <w:pPr>
        <w:rPr>
          <w:noProof/>
          <w:lang w:val="fr-BE"/>
        </w:rPr>
      </w:pPr>
    </w:p>
    <w:p w:rsidR="00C35F24" w:rsidRDefault="00C35F24">
      <w:pPr>
        <w:rPr>
          <w:noProof/>
          <w:lang w:val="fr-BE"/>
        </w:rPr>
        <w:sectPr w:rsidR="00C35F24">
          <w:headerReference w:type="even" r:id="rId25"/>
          <w:headerReference w:type="default" r:id="rId26"/>
          <w:footerReference w:type="even" r:id="rId27"/>
          <w:footerReference w:type="default" r:id="rId28"/>
          <w:headerReference w:type="first" r:id="rId29"/>
          <w:footerReference w:type="first" r:id="rId30"/>
          <w:pgSz w:w="11906" w:h="16838"/>
          <w:pgMar w:top="1020" w:right="1416" w:bottom="709" w:left="1587" w:header="601" w:footer="1077" w:gutter="0"/>
          <w:cols w:space="720"/>
          <w:titlePg/>
        </w:sectPr>
      </w:pPr>
    </w:p>
    <w:p w:rsidR="00C35F24" w:rsidRDefault="006F795C">
      <w:pPr>
        <w:pStyle w:val="Heading1"/>
        <w:jc w:val="center"/>
        <w:rPr>
          <w:noProof/>
          <w:szCs w:val="24"/>
          <w:lang w:val="fr-BE"/>
        </w:rPr>
      </w:pPr>
      <w:bookmarkStart w:id="16" w:name="_Toc494291885"/>
      <w:r>
        <w:rPr>
          <w:noProof/>
          <w:szCs w:val="24"/>
          <w:lang w:val="fr-BE"/>
        </w:rPr>
        <w:t>Annexe 2: consultation des parties prenantes</w:t>
      </w:r>
      <w:bookmarkEnd w:id="16"/>
    </w:p>
    <w:p w:rsidR="00C35F24" w:rsidRDefault="006F795C">
      <w:pPr>
        <w:pStyle w:val="Text1"/>
        <w:ind w:left="0"/>
        <w:rPr>
          <w:b/>
          <w:noProof/>
          <w:szCs w:val="24"/>
          <w:u w:val="single"/>
          <w:lang w:val="fr-BE"/>
        </w:rPr>
      </w:pPr>
      <w:r>
        <w:rPr>
          <w:b/>
          <w:noProof/>
          <w:szCs w:val="24"/>
          <w:u w:val="single"/>
          <w:lang w:val="fr-BE"/>
        </w:rPr>
        <w:t>Questionnaires envoyé aux parties prenantes</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POUR LES ARMEMENTS / ASSOCIATIONS D’ARMATEURS</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 xml:space="preserve">BENEFICIANT </w:t>
      </w:r>
      <w:r>
        <w:rPr>
          <w:rFonts w:eastAsiaTheme="minorHAnsi"/>
          <w:b/>
          <w:bCs/>
          <w:noProof/>
          <w:color w:val="000000"/>
          <w:sz w:val="22"/>
          <w:szCs w:val="22"/>
          <w:lang w:val="fr-BE"/>
        </w:rPr>
        <w:t>D’UN ACCES AUX EAUX DU MAROC</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 est le principal intérêt d’un accès à la zone de pêche du Maroc pour les navires de cette</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catégorie du Protocole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Sans un accès aux eaux du Maroc, quelles seraient les stratégies d’exploitation des navires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Quels sont le</w:t>
      </w:r>
      <w:r>
        <w:rPr>
          <w:rFonts w:eastAsiaTheme="minorHAnsi"/>
          <w:b/>
          <w:bCs/>
          <w:noProof/>
          <w:color w:val="000000"/>
          <w:sz w:val="22"/>
          <w:szCs w:val="22"/>
          <w:lang w:val="fr-BE"/>
        </w:rPr>
        <w:t>s principaux marchés pour les espèces capturées par vos navires dans les eaux du</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Maroc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Quelle est votre opinion sur la mise en œuvre de certaines clauses du Protocole (si applicable à</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votre catégorie de pêche) ? Quelles sont les problèmes rencontrés le c</w:t>
      </w:r>
      <w:r>
        <w:rPr>
          <w:rFonts w:eastAsiaTheme="minorHAnsi"/>
          <w:b/>
          <w:bCs/>
          <w:noProof/>
          <w:color w:val="000000"/>
          <w:sz w:val="22"/>
          <w:szCs w:val="22"/>
          <w:lang w:val="fr-BE"/>
        </w:rPr>
        <w:t>as échéant ?</w:t>
      </w:r>
    </w:p>
    <w:p w:rsidR="00C35F24" w:rsidRDefault="006F795C">
      <w:pPr>
        <w:autoSpaceDE w:val="0"/>
        <w:autoSpaceDN w:val="0"/>
        <w:adjustRightInd w:val="0"/>
        <w:spacing w:after="0"/>
        <w:jc w:val="left"/>
        <w:rPr>
          <w:rFonts w:eastAsiaTheme="minorHAnsi"/>
          <w:b/>
          <w:bCs/>
          <w:i/>
          <w:iCs/>
          <w:noProof/>
          <w:color w:val="000000"/>
          <w:sz w:val="22"/>
          <w:szCs w:val="22"/>
          <w:lang w:val="fr-BE"/>
        </w:rPr>
      </w:pPr>
      <w:r>
        <w:rPr>
          <w:rFonts w:eastAsiaTheme="minorHAnsi"/>
          <w:b/>
          <w:bCs/>
          <w:i/>
          <w:iCs/>
          <w:noProof/>
          <w:color w:val="000000"/>
          <w:sz w:val="22"/>
          <w:szCs w:val="22"/>
          <w:lang w:val="fr-BE"/>
        </w:rPr>
        <w:t>Plusieurs clauses considérées - voir ci-après</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A- Demande et délivrance des autorisations de pêche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B- Débarquements obligatoires au Maroc</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C- Concernant ces débarquements obligatoires, les mesures incitatives (réduction prix de la licence)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 xml:space="preserve">ou </w:t>
      </w:r>
      <w:r>
        <w:rPr>
          <w:rFonts w:eastAsiaTheme="minorHAnsi"/>
          <w:i/>
          <w:iCs/>
          <w:noProof/>
          <w:color w:val="000000"/>
          <w:sz w:val="22"/>
          <w:szCs w:val="22"/>
          <w:lang w:val="fr-BE"/>
        </w:rPr>
        <w:t>punitive (augmentation du prix de la licence) sont-elles de nature à changer vos stratégies de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débarquement?</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D- Embarquements obligatoires de marins marocains</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E- Inspections techniques obligatoires des navires dans les ports marocains</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 xml:space="preserve">F- Mesures de suivi </w:t>
      </w:r>
      <w:r>
        <w:rPr>
          <w:rFonts w:eastAsiaTheme="minorHAnsi"/>
          <w:i/>
          <w:iCs/>
          <w:noProof/>
          <w:color w:val="000000"/>
          <w:sz w:val="22"/>
          <w:szCs w:val="22"/>
          <w:lang w:val="fr-BE"/>
        </w:rPr>
        <w:t>et de contrôle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G- Embarquements d’observateurs scientifiques du Maroc</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Si le Protocole devait être renouvelé en 2018, que faudrait-il éventuellement changer par</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rapport au Protocole en cours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Avez-vous d’autres commentaires à faire sur l’Accord de pêche av</w:t>
      </w:r>
      <w:r>
        <w:rPr>
          <w:rFonts w:eastAsiaTheme="minorHAnsi"/>
          <w:b/>
          <w:bCs/>
          <w:noProof/>
          <w:color w:val="000000"/>
          <w:sz w:val="22"/>
          <w:szCs w:val="22"/>
          <w:lang w:val="fr-BE"/>
        </w:rPr>
        <w:t>ec le Maroc ?</w:t>
      </w:r>
    </w:p>
    <w:p w:rsidR="00C35F24" w:rsidRDefault="00C35F24">
      <w:pPr>
        <w:autoSpaceDE w:val="0"/>
        <w:autoSpaceDN w:val="0"/>
        <w:adjustRightInd w:val="0"/>
        <w:spacing w:after="0"/>
        <w:jc w:val="left"/>
        <w:rPr>
          <w:rFonts w:eastAsiaTheme="minorHAnsi"/>
          <w:b/>
          <w:bCs/>
          <w:noProof/>
          <w:color w:val="000000"/>
          <w:sz w:val="22"/>
          <w:szCs w:val="22"/>
          <w:lang w:val="fr-BE"/>
        </w:rPr>
      </w:pP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POUR LES ÉTATS MEMBRES DONT LES NAVIRES BENEFICIENT</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D’UN ACCES AUX EAUX DU MAROC SOUS L’ACCORD DE PÊCHE EN COURS</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Quelles est votre opinion sur le Protocole à l’accord de pêche 2014-2018 approuvé par le</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Conseil de l’UE et par le Parlement eur</w:t>
      </w:r>
      <w:r>
        <w:rPr>
          <w:rFonts w:eastAsiaTheme="minorHAnsi"/>
          <w:b/>
          <w:bCs/>
          <w:noProof/>
          <w:color w:val="000000"/>
          <w:sz w:val="22"/>
          <w:szCs w:val="22"/>
          <w:lang w:val="fr-BE"/>
        </w:rPr>
        <w:t>opéen ?</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A- Quels sont d’après vous ses points forts ?</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B- Quels sont d’après vous ses points faibles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Êtes-vous globalement satisfaits de la façon dont la Commission européenne gère l’accord de</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pêche avec le Maroc ?</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A- Concernant son volet accès aux ressou</w:t>
      </w:r>
      <w:r>
        <w:rPr>
          <w:rFonts w:eastAsiaTheme="minorHAnsi"/>
          <w:noProof/>
          <w:color w:val="000000"/>
          <w:sz w:val="22"/>
          <w:szCs w:val="22"/>
          <w:lang w:val="fr-BE"/>
        </w:rPr>
        <w:t>rces ?</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B- Concernant son volet appui à la politique sectorielle de la pêche du Maroc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Participez-vous aux réunions de la Commission mixte ? et pourquoi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Si besoin, quelles seraient les améliorations à apporter au fonctionnement de la Commission</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mixte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Rencontrez-vous des difficultés dans la mise en œuvre des mesures de suivi attribuées aux États</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membres dans le contexte de cet accord ?</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A- Demandes et délivrance des autorisations de pêche</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B- Déclarations de captures de vos navires</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C- Contrat de travail d</w:t>
      </w:r>
      <w:r>
        <w:rPr>
          <w:rFonts w:eastAsiaTheme="minorHAnsi"/>
          <w:noProof/>
          <w:color w:val="000000"/>
          <w:sz w:val="22"/>
          <w:szCs w:val="22"/>
          <w:lang w:val="fr-BE"/>
        </w:rPr>
        <w:t>es marins marocains</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D- Mesures de suivi et de contrôle incluses dans le Protocole</w:t>
      </w:r>
    </w:p>
    <w:p w:rsidR="00C35F24" w:rsidRDefault="006F795C">
      <w:pPr>
        <w:autoSpaceDE w:val="0"/>
        <w:autoSpaceDN w:val="0"/>
        <w:adjustRightInd w:val="0"/>
        <w:spacing w:after="0"/>
        <w:jc w:val="left"/>
        <w:rPr>
          <w:rFonts w:eastAsiaTheme="minorHAnsi"/>
          <w:noProof/>
          <w:color w:val="000000"/>
          <w:sz w:val="22"/>
          <w:szCs w:val="22"/>
          <w:lang w:val="fr-BE"/>
        </w:rPr>
      </w:pPr>
      <w:r>
        <w:rPr>
          <w:rFonts w:eastAsiaTheme="minorHAnsi"/>
          <w:noProof/>
          <w:color w:val="000000"/>
          <w:sz w:val="22"/>
          <w:szCs w:val="22"/>
          <w:lang w:val="fr-BE"/>
        </w:rPr>
        <w:t>E- Coopération administrative avec le Maroc pour le suivi conjoint des activités de pêche</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 xml:space="preserve">Si le protocole devait être renouvelé en 2018, que faudrait-il éventuellement </w:t>
      </w:r>
      <w:r>
        <w:rPr>
          <w:rFonts w:eastAsiaTheme="minorHAnsi"/>
          <w:b/>
          <w:bCs/>
          <w:noProof/>
          <w:color w:val="000000"/>
          <w:sz w:val="22"/>
          <w:szCs w:val="22"/>
          <w:lang w:val="fr-BE"/>
        </w:rPr>
        <w:t>changer par</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rapport au Protocole en cours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Avez-vous d’autres commentaires à faire sur l’Accord de pêche avec le Maroc ?</w:t>
      </w:r>
    </w:p>
    <w:p w:rsidR="00C35F24" w:rsidRDefault="00C35F24">
      <w:pPr>
        <w:autoSpaceDE w:val="0"/>
        <w:autoSpaceDN w:val="0"/>
        <w:adjustRightInd w:val="0"/>
        <w:spacing w:after="0"/>
        <w:jc w:val="left"/>
        <w:rPr>
          <w:rFonts w:eastAsiaTheme="minorHAnsi"/>
          <w:noProof/>
          <w:color w:val="000000"/>
          <w:sz w:val="22"/>
          <w:szCs w:val="22"/>
          <w:lang w:val="fr-BE"/>
        </w:rPr>
      </w:pP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POUR LES ORGANISATIONS NON-GOUVERNEMENTALES AYANT</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UN INTÉRÊT DANS L’ACCORD DE PÊCHE AVEC LE MAROC</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Quelle est votre opinion sur le Pro</w:t>
      </w:r>
      <w:r>
        <w:rPr>
          <w:rFonts w:eastAsiaTheme="minorHAnsi"/>
          <w:b/>
          <w:bCs/>
          <w:noProof/>
          <w:color w:val="000000"/>
          <w:sz w:val="22"/>
          <w:szCs w:val="22"/>
          <w:lang w:val="fr-BE"/>
        </w:rPr>
        <w:t>tocole à l’accord de pêche 2014-2018 conclu avec le</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Maroc compte-tenu des objectifs de la Politique Commune de la Pêche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Quels sont ses points forts ?</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environnemental</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économique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social</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Quels sont ses points faibles ?</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environnementa</w:t>
      </w:r>
      <w:r>
        <w:rPr>
          <w:rFonts w:eastAsiaTheme="minorHAnsi"/>
          <w:i/>
          <w:iCs/>
          <w:noProof/>
          <w:color w:val="000000"/>
          <w:sz w:val="22"/>
          <w:szCs w:val="22"/>
          <w:lang w:val="fr-BE"/>
        </w:rPr>
        <w:t>l</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économique</w:t>
      </w:r>
    </w:p>
    <w:p w:rsidR="00C35F24" w:rsidRDefault="006F795C">
      <w:pPr>
        <w:autoSpaceDE w:val="0"/>
        <w:autoSpaceDN w:val="0"/>
        <w:adjustRightInd w:val="0"/>
        <w:spacing w:after="0"/>
        <w:jc w:val="left"/>
        <w:rPr>
          <w:rFonts w:eastAsiaTheme="minorHAnsi"/>
          <w:i/>
          <w:iCs/>
          <w:noProof/>
          <w:color w:val="000000"/>
          <w:sz w:val="22"/>
          <w:szCs w:val="22"/>
          <w:lang w:val="fr-BE"/>
        </w:rPr>
      </w:pPr>
      <w:r>
        <w:rPr>
          <w:rFonts w:eastAsiaTheme="minorHAnsi"/>
          <w:i/>
          <w:iCs/>
          <w:noProof/>
          <w:color w:val="000000"/>
          <w:sz w:val="22"/>
          <w:szCs w:val="22"/>
          <w:lang w:val="fr-BE"/>
        </w:rPr>
        <w:t>Volet social</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Si le protocole devait être renouvelé en 2018, que faudrait-il éventuellement changer par</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rapport au protocole en cours ?</w:t>
      </w:r>
    </w:p>
    <w:p w:rsidR="00C35F24" w:rsidRDefault="006F795C">
      <w:pPr>
        <w:autoSpaceDE w:val="0"/>
        <w:autoSpaceDN w:val="0"/>
        <w:adjustRightInd w:val="0"/>
        <w:spacing w:after="0"/>
        <w:jc w:val="left"/>
        <w:rPr>
          <w:rFonts w:eastAsiaTheme="minorHAnsi"/>
          <w:b/>
          <w:bCs/>
          <w:noProof/>
          <w:color w:val="000000"/>
          <w:sz w:val="22"/>
          <w:szCs w:val="22"/>
          <w:lang w:val="fr-BE"/>
        </w:rPr>
      </w:pPr>
      <w:r>
        <w:rPr>
          <w:rFonts w:eastAsiaTheme="minorHAnsi"/>
          <w:b/>
          <w:bCs/>
          <w:noProof/>
          <w:color w:val="000000"/>
          <w:sz w:val="22"/>
          <w:szCs w:val="22"/>
          <w:lang w:val="fr-BE"/>
        </w:rPr>
        <w:t>Avez-vous d’autres commentaires à faire sur l’Accord de pêche avec le Maroc ?</w:t>
      </w:r>
    </w:p>
    <w:p w:rsidR="00C35F24" w:rsidRDefault="00C35F24">
      <w:pPr>
        <w:spacing w:after="0"/>
        <w:rPr>
          <w:b/>
          <w:noProof/>
          <w:color w:val="000000"/>
          <w:szCs w:val="24"/>
          <w:u w:val="single"/>
          <w:lang w:val="fr-BE" w:eastAsia="en-GB"/>
        </w:rPr>
      </w:pPr>
    </w:p>
    <w:p w:rsidR="00C35F24" w:rsidRDefault="006F795C">
      <w:pPr>
        <w:spacing w:after="120"/>
        <w:rPr>
          <w:b/>
          <w:noProof/>
          <w:color w:val="000000"/>
          <w:szCs w:val="24"/>
          <w:u w:val="single"/>
          <w:lang w:val="fr-BE" w:eastAsia="en-GB"/>
        </w:rPr>
      </w:pPr>
      <w:r>
        <w:rPr>
          <w:b/>
          <w:noProof/>
          <w:color w:val="000000"/>
          <w:szCs w:val="24"/>
          <w:u w:val="single"/>
          <w:lang w:val="fr-BE" w:eastAsia="en-GB"/>
        </w:rPr>
        <w:t>Contexte</w:t>
      </w:r>
    </w:p>
    <w:p w:rsidR="00C35F24" w:rsidRDefault="006F795C">
      <w:pPr>
        <w:spacing w:after="120"/>
        <w:rPr>
          <w:noProof/>
          <w:szCs w:val="24"/>
          <w:lang w:val="fr-BE" w:eastAsia="en-GB"/>
        </w:rPr>
      </w:pPr>
      <w:r>
        <w:rPr>
          <w:noProof/>
          <w:color w:val="000000"/>
          <w:szCs w:val="24"/>
          <w:lang w:val="fr-BE" w:eastAsia="en-GB"/>
        </w:rPr>
        <w:t>Conformément à</w:t>
      </w:r>
      <w:r>
        <w:rPr>
          <w:noProof/>
          <w:color w:val="000000"/>
          <w:szCs w:val="24"/>
          <w:lang w:val="fr-BE" w:eastAsia="en-GB"/>
        </w:rPr>
        <w:t xml:space="preserve"> la mise en œuvre des lignes directrices de la Commission pour une meilleure réglementation et la "boîte à outils", une stratégie de consultation a été présentée lors de la préparation des négociations pour le renouvellement des protocoles aux accords de p</w:t>
      </w:r>
      <w:r>
        <w:rPr>
          <w:noProof/>
          <w:color w:val="000000"/>
          <w:szCs w:val="24"/>
          <w:lang w:val="fr-BE" w:eastAsia="en-GB"/>
        </w:rPr>
        <w:t>artenariat dans le domaine de la pêche durable (APPD).</w:t>
      </w:r>
      <w:hyperlink r:id="rId31">
        <w:r>
          <w:rPr>
            <w:noProof/>
            <w:color w:val="0000FF"/>
            <w:szCs w:val="24"/>
            <w:u w:val="single"/>
            <w:vertAlign w:val="superscript"/>
            <w:lang w:eastAsia="en-GB"/>
          </w:rPr>
          <w:footnoteReference w:id="6"/>
        </w:r>
      </w:hyperlink>
      <w:hyperlink r:id="rId32">
        <w:r>
          <w:rPr>
            <w:noProof/>
            <w:color w:val="000000"/>
            <w:szCs w:val="24"/>
            <w:lang w:val="fr-BE" w:eastAsia="en-GB"/>
          </w:rPr>
          <w:t xml:space="preserve"> La stratégie a défini le</w:t>
        </w:r>
        <w:r>
          <w:rPr>
            <w:noProof/>
            <w:color w:val="000000"/>
            <w:szCs w:val="24"/>
            <w:lang w:val="fr-BE" w:eastAsia="en-GB"/>
          </w:rPr>
          <w:t>s meilleurs moyens d’atteindre les parties prenantes concernées à la fois dans l’Union européenne et dans le pays partenaire donné.</w:t>
        </w:r>
      </w:hyperlink>
    </w:p>
    <w:p w:rsidR="00C35F24" w:rsidRDefault="00C35F24">
      <w:pPr>
        <w:spacing w:after="0"/>
        <w:rPr>
          <w:noProof/>
          <w:szCs w:val="24"/>
          <w:lang w:val="fr-BE" w:eastAsia="en-GB"/>
        </w:rPr>
      </w:pPr>
    </w:p>
    <w:p w:rsidR="00C35F24" w:rsidRDefault="006F795C">
      <w:pPr>
        <w:spacing w:after="120"/>
        <w:rPr>
          <w:b/>
          <w:noProof/>
          <w:color w:val="000000"/>
          <w:szCs w:val="24"/>
          <w:u w:val="single"/>
          <w:lang w:val="fr-BE" w:eastAsia="en-GB"/>
        </w:rPr>
      </w:pPr>
      <w:r>
        <w:rPr>
          <w:b/>
          <w:noProof/>
          <w:color w:val="000000"/>
          <w:szCs w:val="24"/>
          <w:u w:val="single"/>
          <w:lang w:val="fr-BE" w:eastAsia="en-GB"/>
        </w:rPr>
        <w:t>Objectifs</w:t>
      </w:r>
    </w:p>
    <w:p w:rsidR="00C35F24" w:rsidRDefault="006F795C">
      <w:pPr>
        <w:spacing w:after="120"/>
        <w:rPr>
          <w:noProof/>
          <w:color w:val="000000"/>
          <w:szCs w:val="24"/>
          <w:lang w:val="fr-BE" w:eastAsia="en-GB"/>
        </w:rPr>
      </w:pPr>
      <w:r>
        <w:rPr>
          <w:noProof/>
          <w:color w:val="000000"/>
          <w:szCs w:val="24"/>
          <w:lang w:val="fr-BE" w:eastAsia="en-GB"/>
        </w:rPr>
        <w:t>Les objectifs de la consultation étaient de:</w:t>
      </w:r>
    </w:p>
    <w:p w:rsidR="00C35F24" w:rsidRDefault="006F795C">
      <w:pPr>
        <w:spacing w:after="0"/>
        <w:rPr>
          <w:noProof/>
          <w:color w:val="000000"/>
          <w:szCs w:val="24"/>
          <w:lang w:val="fr-BE" w:eastAsia="en-GB"/>
        </w:rPr>
      </w:pPr>
      <w:r>
        <w:rPr>
          <w:noProof/>
          <w:color w:val="000000"/>
          <w:szCs w:val="24"/>
          <w:lang w:val="fr-BE" w:eastAsia="en-GB"/>
        </w:rPr>
        <w:t>1. recueillir l’opinion des parties prenantes sur la mise en œuvre d</w:t>
      </w:r>
      <w:r>
        <w:rPr>
          <w:noProof/>
          <w:color w:val="000000"/>
          <w:szCs w:val="24"/>
          <w:lang w:val="fr-BE" w:eastAsia="en-GB"/>
        </w:rPr>
        <w:t>u protocole en cours, ainsi que sur l’éventuel renouvellement du protocole, y compris les différentes options;</w:t>
      </w:r>
    </w:p>
    <w:p w:rsidR="00C35F24" w:rsidRDefault="006F795C">
      <w:pPr>
        <w:spacing w:after="0"/>
        <w:rPr>
          <w:noProof/>
          <w:color w:val="000000"/>
          <w:szCs w:val="24"/>
          <w:lang w:val="fr-BE" w:eastAsia="en-GB"/>
        </w:rPr>
      </w:pPr>
      <w:r>
        <w:rPr>
          <w:noProof/>
          <w:color w:val="000000"/>
          <w:szCs w:val="24"/>
          <w:lang w:val="fr-BE" w:eastAsia="en-GB"/>
        </w:rPr>
        <w:t>2. intégrer les résultats de cette consultation dans le présent rapport d’évaluation (document de travail des services de la Commission).</w:t>
      </w:r>
    </w:p>
    <w:p w:rsidR="00C35F24" w:rsidRDefault="00C35F24">
      <w:pPr>
        <w:spacing w:after="0"/>
        <w:rPr>
          <w:b/>
          <w:noProof/>
          <w:szCs w:val="24"/>
          <w:u w:val="single"/>
          <w:lang w:val="fr-BE"/>
        </w:rPr>
      </w:pPr>
    </w:p>
    <w:p w:rsidR="00C35F24" w:rsidRDefault="006F795C">
      <w:pPr>
        <w:spacing w:after="120"/>
        <w:rPr>
          <w:b/>
          <w:noProof/>
          <w:szCs w:val="24"/>
          <w:u w:val="single"/>
          <w:lang w:val="fr-BE"/>
        </w:rPr>
      </w:pPr>
      <w:r>
        <w:rPr>
          <w:b/>
          <w:noProof/>
          <w:szCs w:val="24"/>
          <w:u w:val="single"/>
          <w:lang w:val="fr-BE"/>
        </w:rPr>
        <w:t>Approche de la consultation des parties prenantes</w:t>
      </w:r>
    </w:p>
    <w:p w:rsidR="00C35F24" w:rsidRDefault="006F795C">
      <w:pPr>
        <w:spacing w:after="120"/>
        <w:rPr>
          <w:noProof/>
          <w:color w:val="000000"/>
          <w:szCs w:val="24"/>
          <w:lang w:val="fr-BE" w:eastAsia="en-GB"/>
        </w:rPr>
      </w:pPr>
      <w:r>
        <w:rPr>
          <w:noProof/>
          <w:color w:val="000000"/>
          <w:szCs w:val="24"/>
          <w:lang w:val="fr-BE" w:eastAsia="en-GB"/>
        </w:rPr>
        <w:t xml:space="preserve">Les principales parties intéressées par le protocole, qui ont été consultées sous forme d'entretien ou à travers du formulaire envoyé, sont les suivantes: 1) </w:t>
      </w:r>
      <w:r>
        <w:rPr>
          <w:noProof/>
          <w:szCs w:val="24"/>
          <w:lang w:val="fr-BE" w:eastAsia="en-GB"/>
        </w:rPr>
        <w:t>Etats membres de pavillon des navires bénéficiai</w:t>
      </w:r>
      <w:r>
        <w:rPr>
          <w:noProof/>
          <w:szCs w:val="24"/>
          <w:lang w:val="fr-BE" w:eastAsia="en-GB"/>
        </w:rPr>
        <w:t>res</w:t>
      </w:r>
      <w:r>
        <w:rPr>
          <w:bCs/>
          <w:noProof/>
          <w:szCs w:val="24"/>
          <w:lang w:val="fr-BE" w:eastAsia="en-GB"/>
        </w:rPr>
        <w:t xml:space="preserve"> (Espagne, Portugal, Lituanie, Lettonie, Pologne, Pays-Bas, Allemagne); 2) </w:t>
      </w:r>
      <w:r>
        <w:rPr>
          <w:noProof/>
          <w:szCs w:val="24"/>
          <w:lang w:val="fr-BE" w:eastAsia="en-GB"/>
        </w:rPr>
        <w:t xml:space="preserve">représentants ou associations d’armateurs bénéficiaires de ce protocole (PFA, ANACEF, diverses Cofradías, LDAC, clusters maritimes, …); 3) organisations non-gouvernementales </w:t>
      </w:r>
      <w:r>
        <w:rPr>
          <w:noProof/>
          <w:szCs w:val="24"/>
          <w:lang w:val="fr-BE" w:eastAsia="en-GB"/>
        </w:rPr>
        <w:t>concernées (CAPE, WWF, Greenpeace, …)</w:t>
      </w:r>
      <w:r>
        <w:rPr>
          <w:i/>
          <w:iCs/>
          <w:noProof/>
          <w:szCs w:val="24"/>
          <w:lang w:val="fr-BE" w:eastAsia="en-GB"/>
        </w:rPr>
        <w:t xml:space="preserve">; </w:t>
      </w:r>
      <w:r>
        <w:rPr>
          <w:iCs/>
          <w:noProof/>
          <w:szCs w:val="24"/>
          <w:lang w:val="fr-BE" w:eastAsia="en-GB"/>
        </w:rPr>
        <w:t>4)</w:t>
      </w:r>
      <w:r>
        <w:rPr>
          <w:i/>
          <w:iCs/>
          <w:noProof/>
          <w:szCs w:val="24"/>
          <w:lang w:val="fr-BE" w:eastAsia="en-GB"/>
        </w:rPr>
        <w:t xml:space="preserve"> </w:t>
      </w:r>
      <w:r>
        <w:rPr>
          <w:noProof/>
          <w:color w:val="000000"/>
          <w:szCs w:val="24"/>
          <w:lang w:val="fr-BE" w:eastAsia="en-GB"/>
        </w:rPr>
        <w:t>administrations du pays partenaire (DPM, ONP, INRH, ANDA, …).</w:t>
      </w:r>
    </w:p>
    <w:p w:rsidR="00C35F24" w:rsidRDefault="006F795C">
      <w:pPr>
        <w:pStyle w:val="Caption"/>
        <w:rPr>
          <w:noProof/>
          <w:szCs w:val="24"/>
          <w:u w:val="single"/>
          <w:lang w:val="fr-BE"/>
        </w:rPr>
      </w:pPr>
      <w:r>
        <w:rPr>
          <w:noProof/>
          <w:szCs w:val="24"/>
          <w:u w:val="single"/>
          <w:lang w:val="fr-BE"/>
        </w:rPr>
        <w:t>Résultats détaillés de la consultation des parties prenantes</w:t>
      </w:r>
    </w:p>
    <w:p w:rsidR="00C35F24" w:rsidRDefault="006F795C">
      <w:pPr>
        <w:pStyle w:val="Caption"/>
        <w:rPr>
          <w:b w:val="0"/>
          <w:smallCaps/>
          <w:noProof/>
          <w:szCs w:val="24"/>
          <w:lang w:val="fr-BE"/>
        </w:rPr>
      </w:pPr>
      <w:r>
        <w:rPr>
          <w:b w:val="0"/>
          <w:noProof/>
          <w:szCs w:val="24"/>
          <w:u w:val="single"/>
          <w:lang w:val="fr-BE"/>
        </w:rPr>
        <w:t>Ces résultats sont présentés à l'annexe 4 de l'étude d'évaluation</w:t>
      </w:r>
      <w:r>
        <w:rPr>
          <w:rStyle w:val="FootnoteReference"/>
          <w:b w:val="0"/>
          <w:noProof/>
          <w:sz w:val="24"/>
          <w:szCs w:val="24"/>
          <w:u w:val="single"/>
          <w:lang w:val="fr-BE"/>
        </w:rPr>
        <w:footnoteReference w:id="7"/>
      </w:r>
      <w:r>
        <w:rPr>
          <w:b w:val="0"/>
          <w:noProof/>
          <w:szCs w:val="24"/>
          <w:u w:val="single"/>
          <w:lang w:val="fr-BE"/>
        </w:rPr>
        <w:t xml:space="preserve">. </w:t>
      </w:r>
      <w:bookmarkStart w:id="17" w:name="_Toc494291886"/>
      <w:r>
        <w:rPr>
          <w:noProof/>
          <w:szCs w:val="24"/>
          <w:lang w:val="fr-BE"/>
        </w:rPr>
        <w:br w:type="page"/>
      </w:r>
    </w:p>
    <w:p w:rsidR="00C35F24" w:rsidRDefault="006F795C">
      <w:pPr>
        <w:pStyle w:val="Heading1"/>
        <w:jc w:val="center"/>
        <w:rPr>
          <w:noProof/>
          <w:szCs w:val="24"/>
          <w:lang w:val="fr-BE"/>
        </w:rPr>
      </w:pPr>
      <w:r>
        <w:rPr>
          <w:noProof/>
          <w:szCs w:val="24"/>
          <w:lang w:val="fr-BE"/>
        </w:rPr>
        <w:t>Annexe 3: méthodes et</w:t>
      </w:r>
      <w:r>
        <w:rPr>
          <w:noProof/>
          <w:szCs w:val="24"/>
          <w:lang w:val="fr-BE"/>
        </w:rPr>
        <w:t xml:space="preserve"> modèles analytiques utilisés pour élaborer l'évaluation</w:t>
      </w:r>
      <w:bookmarkEnd w:id="17"/>
    </w:p>
    <w:p w:rsidR="00C35F24" w:rsidRDefault="00C35F24">
      <w:pPr>
        <w:spacing w:after="120"/>
        <w:rPr>
          <w:b/>
          <w:noProof/>
          <w:u w:val="single"/>
          <w:lang w:val="fr-BE"/>
        </w:rPr>
      </w:pPr>
    </w:p>
    <w:p w:rsidR="00C35F24" w:rsidRDefault="006F795C">
      <w:pPr>
        <w:spacing w:after="120"/>
        <w:rPr>
          <w:b/>
          <w:noProof/>
          <w:u w:val="single"/>
          <w:lang w:val="fr-BE"/>
        </w:rPr>
      </w:pPr>
      <w:r>
        <w:rPr>
          <w:b/>
          <w:noProof/>
          <w:u w:val="single"/>
          <w:lang w:val="fr-BE"/>
        </w:rPr>
        <w:t>Analyse économique</w:t>
      </w:r>
    </w:p>
    <w:p w:rsidR="00C35F24" w:rsidRDefault="006F795C">
      <w:pPr>
        <w:spacing w:after="0"/>
        <w:rPr>
          <w:noProof/>
          <w:lang w:val="fr-BE"/>
        </w:rPr>
      </w:pPr>
      <w:r>
        <w:rPr>
          <w:b/>
          <w:noProof/>
          <w:lang w:val="fr-BE"/>
        </w:rPr>
        <w:t>Une méthodologie harmonisée a été développée pour l’analyse économique des flottes</w:t>
      </w:r>
      <w:r>
        <w:rPr>
          <w:noProof/>
          <w:lang w:val="fr-BE"/>
        </w:rPr>
        <w:t xml:space="preserve"> thonières, qui pêchent dans le cadre des APPD et sous le régime des ORGP.</w:t>
      </w:r>
      <w:hyperlink r:id="rId33">
        <w:r>
          <w:rPr>
            <w:noProof/>
            <w:lang w:val="fr-BE"/>
          </w:rPr>
          <w:t xml:space="preserve"> Cette méthodologie a été adaptée par ses auteurs pour permettre également l'analyse économique des flottes pélagiques et démersales. Les données utilisées correspondent aux données fournies par les États membres de l’U</w:t>
        </w:r>
        <w:r>
          <w:rPr>
            <w:noProof/>
            <w:lang w:val="fr-BE"/>
          </w:rPr>
          <w:t xml:space="preserve">E au contractant. </w:t>
        </w:r>
      </w:hyperlink>
    </w:p>
    <w:p w:rsidR="00C35F24" w:rsidRDefault="00C35F24">
      <w:pPr>
        <w:spacing w:after="0"/>
        <w:rPr>
          <w:noProof/>
          <w:lang w:val="fr-BE"/>
        </w:rPr>
      </w:pPr>
    </w:p>
    <w:p w:rsidR="00C35F24" w:rsidRDefault="006F795C">
      <w:pPr>
        <w:spacing w:after="120"/>
        <w:rPr>
          <w:b/>
          <w:noProof/>
          <w:u w:val="single"/>
          <w:lang w:val="fr-BE"/>
        </w:rPr>
      </w:pPr>
      <w:r>
        <w:rPr>
          <w:b/>
          <w:noProof/>
          <w:u w:val="single"/>
          <w:lang w:val="fr-BE"/>
        </w:rPr>
        <w:t>Science</w:t>
      </w:r>
    </w:p>
    <w:p w:rsidR="00C35F24" w:rsidRDefault="006F795C">
      <w:pPr>
        <w:spacing w:after="120"/>
        <w:rPr>
          <w:noProof/>
          <w:lang w:val="fr-BE"/>
        </w:rPr>
      </w:pPr>
      <w:r>
        <w:rPr>
          <w:noProof/>
          <w:lang w:val="fr-BE"/>
        </w:rPr>
        <w:t xml:space="preserve">L’analyse des avis scientifiques concernant l’état des stocks et des recommandations met l’accent sur le potentiel et l’état des stocks de chacune des espèces ciblées dans le cadre du  protocole. Les évaluateurs n’ont pas </w:t>
      </w:r>
      <w:r>
        <w:rPr>
          <w:noProof/>
          <w:lang w:val="fr-BE"/>
        </w:rPr>
        <w:t>effectué les évaluations des stocks en tant que tel, mais se sont servis des derniers avis scientifiques disponibles du COPACE et de la CICTA, et des mesures de gestion les plus récentes adoptées par cette dernière pour la pêche thonière</w:t>
      </w:r>
      <w:hyperlink r:id="rId34">
        <w:r>
          <w:rPr>
            <w:noProof/>
            <w:lang w:val="fr-BE"/>
          </w:rPr>
          <w:t>.</w:t>
        </w:r>
      </w:hyperlink>
    </w:p>
    <w:p w:rsidR="00C35F24" w:rsidRDefault="00C35F24">
      <w:pPr>
        <w:spacing w:after="0"/>
        <w:rPr>
          <w:noProof/>
          <w:lang w:val="fr-BE"/>
        </w:rPr>
      </w:pPr>
    </w:p>
    <w:p w:rsidR="00C35F24" w:rsidRDefault="006F795C">
      <w:pPr>
        <w:spacing w:after="120"/>
        <w:rPr>
          <w:b/>
          <w:noProof/>
          <w:u w:val="single"/>
          <w:lang w:val="fr-BE"/>
        </w:rPr>
      </w:pPr>
      <w:r>
        <w:rPr>
          <w:b/>
          <w:noProof/>
          <w:u w:val="single"/>
          <w:lang w:val="fr-BE"/>
        </w:rPr>
        <w:t>Les données relatives aux captures et aux autorisations de pêche</w:t>
      </w:r>
    </w:p>
    <w:p w:rsidR="00C35F24" w:rsidRDefault="006F795C">
      <w:pPr>
        <w:spacing w:after="120"/>
        <w:rPr>
          <w:noProof/>
          <w:lang w:val="fr-BE"/>
        </w:rPr>
      </w:pPr>
      <w:r>
        <w:rPr>
          <w:noProof/>
          <w:lang w:val="fr-BE"/>
        </w:rPr>
        <w:t>Les données de captures pour les navires de l’UE utilisées dans l’évaluation ont été extraites de la base de données de la Commission européenne sur</w:t>
      </w:r>
      <w:r>
        <w:rPr>
          <w:noProof/>
          <w:lang w:val="fr-BE"/>
        </w:rPr>
        <w:t xml:space="preserve"> les captures consolidées, qui est mise à jour par les États membres. Les informations concernant les autorisations de pêche accordées par </w:t>
      </w:r>
      <w:r>
        <w:rPr>
          <w:noProof/>
          <w:szCs w:val="24"/>
          <w:lang w:val="fr-BE"/>
        </w:rPr>
        <w:t xml:space="preserve">le Maroc </w:t>
      </w:r>
      <w:r>
        <w:rPr>
          <w:noProof/>
          <w:lang w:val="fr-BE"/>
        </w:rPr>
        <w:t>aux navires de l’UE ont été extraites de la base de données de la Commission sur les autorisations de pêche.</w:t>
      </w:r>
      <w:r>
        <w:rPr>
          <w:noProof/>
          <w:lang w:val="fr-BE"/>
        </w:rPr>
        <w:t xml:space="preserve"> Toutes les données ont été validées par la partie marocaine. Tant pour les captures que pour les autorisations de pêche, les données de 2014, 2015 et 2016 sont définitives, tandis que les données de 2017 sont provisoires. </w:t>
      </w:r>
    </w:p>
    <w:p w:rsidR="00C35F24" w:rsidRDefault="00C35F24">
      <w:pPr>
        <w:rPr>
          <w:noProof/>
          <w:lang w:val="fr-BE"/>
        </w:rPr>
      </w:pPr>
    </w:p>
    <w:p w:rsidR="00C35F24" w:rsidRDefault="00C35F24">
      <w:pPr>
        <w:spacing w:after="0"/>
        <w:jc w:val="left"/>
        <w:rPr>
          <w:rFonts w:ascii="Verdana" w:hAnsi="Verdana"/>
          <w:noProof/>
          <w:sz w:val="18"/>
          <w:szCs w:val="18"/>
          <w:lang w:val="fr-BE"/>
        </w:rPr>
      </w:pPr>
    </w:p>
    <w:sectPr w:rsidR="00C35F24">
      <w:headerReference w:type="even" r:id="rId35"/>
      <w:headerReference w:type="default" r:id="rId36"/>
      <w:footerReference w:type="even" r:id="rId37"/>
      <w:footerReference w:type="default" r:id="rId38"/>
      <w:headerReference w:type="first" r:id="rId39"/>
      <w:footerReference w:type="first" r:id="rId40"/>
      <w:pgSz w:w="11907" w:h="16839"/>
      <w:pgMar w:top="1021" w:right="1275"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24" w:rsidRDefault="006F795C">
      <w:pPr>
        <w:spacing w:after="0"/>
      </w:pPr>
      <w:r>
        <w:separator/>
      </w:r>
    </w:p>
  </w:endnote>
  <w:endnote w:type="continuationSeparator" w:id="0">
    <w:p w:rsidR="00C35F24" w:rsidRDefault="006F7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6F795C">
    <w:pPr>
      <w:pStyle w:val="Footer"/>
      <w:jc w:val="center"/>
    </w:pPr>
    <w:r>
      <w:fldChar w:fldCharType="begin"/>
    </w:r>
    <w:r>
      <w:instrText>PAGE</w:instrText>
    </w:r>
    <w:r>
      <w:fldChar w:fldCharType="separate"/>
    </w:r>
    <w:r>
      <w:rPr>
        <w:noProof/>
      </w:rPr>
      <w:t>14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FooterCoverPage"/>
      <w:rPr>
        <w:rFonts w:ascii="Arial" w:hAnsi="Arial" w:cs="Arial"/>
        <w:b/>
        <w:sz w:val="48"/>
      </w:rPr>
    </w:pPr>
    <w:r w:rsidRPr="006F795C">
      <w:rPr>
        <w:rFonts w:ascii="Arial" w:hAnsi="Arial" w:cs="Arial"/>
        <w:b/>
        <w:sz w:val="48"/>
      </w:rPr>
      <w:t>FR</w:t>
    </w:r>
    <w:r w:rsidRPr="006F795C">
      <w:rPr>
        <w:rFonts w:ascii="Arial" w:hAnsi="Arial" w:cs="Arial"/>
        <w:b/>
        <w:sz w:val="48"/>
      </w:rPr>
      <w:tab/>
    </w:r>
    <w:r w:rsidRPr="006F795C">
      <w:rPr>
        <w:rFonts w:ascii="Arial" w:hAnsi="Arial" w:cs="Arial"/>
        <w:b/>
        <w:sz w:val="48"/>
      </w:rPr>
      <w:tab/>
    </w:r>
    <w:r w:rsidRPr="006F795C">
      <w:tab/>
    </w:r>
    <w:proofErr w:type="spellStart"/>
    <w:r w:rsidRPr="006F795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6F795C">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70622"/>
      <w:docPartObj>
        <w:docPartGallery w:val="Page Numbers (Bottom of Page)"/>
        <w:docPartUnique/>
      </w:docPartObj>
    </w:sdtPr>
    <w:sdtEndPr>
      <w:rPr>
        <w:noProof/>
      </w:rPr>
    </w:sdtEndPr>
    <w:sdtContent>
      <w:p w:rsidR="00C35F24" w:rsidRDefault="006F79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35F24" w:rsidRDefault="00C35F2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6F795C">
    <w:pPr>
      <w:pStyle w:val="Footer"/>
      <w:jc w:val="center"/>
    </w:pPr>
    <w:r>
      <w:fldChar w:fldCharType="begin"/>
    </w:r>
    <w:r>
      <w:instrText>PAGE</w:instrText>
    </w:r>
    <w:r>
      <w:fldChar w:fldCharType="separate"/>
    </w:r>
    <w:r>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54703"/>
      <w:docPartObj>
        <w:docPartGallery w:val="Page Numbers (Bottom of Page)"/>
        <w:docPartUnique/>
      </w:docPartObj>
    </w:sdtPr>
    <w:sdtEndPr>
      <w:rPr>
        <w:noProof/>
      </w:rPr>
    </w:sdtEndPr>
    <w:sdtContent>
      <w:p w:rsidR="00C35F24" w:rsidRDefault="006F7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35F24" w:rsidRDefault="00C35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24" w:rsidRDefault="006F795C">
      <w:pPr>
        <w:spacing w:after="0"/>
      </w:pPr>
      <w:r>
        <w:separator/>
      </w:r>
    </w:p>
  </w:footnote>
  <w:footnote w:type="continuationSeparator" w:id="0">
    <w:p w:rsidR="00C35F24" w:rsidRDefault="006F795C">
      <w:pPr>
        <w:spacing w:after="0"/>
      </w:pPr>
      <w:r>
        <w:continuationSeparator/>
      </w:r>
    </w:p>
  </w:footnote>
  <w:footnote w:id="1">
    <w:p w:rsidR="00C35F24" w:rsidRDefault="006F795C">
      <w:pPr>
        <w:pStyle w:val="FootnoteText"/>
        <w:spacing w:after="0"/>
        <w:rPr>
          <w:sz w:val="16"/>
          <w:szCs w:val="16"/>
        </w:rPr>
      </w:pPr>
      <w:r>
        <w:rPr>
          <w:rStyle w:val="FootnoteReference"/>
          <w:sz w:val="16"/>
          <w:szCs w:val="16"/>
        </w:rPr>
        <w:footnoteRef/>
      </w:r>
      <w:r>
        <w:rPr>
          <w:sz w:val="16"/>
          <w:szCs w:val="16"/>
        </w:rPr>
        <w:t xml:space="preserve"> </w:t>
      </w:r>
      <w:hyperlink r:id="rId1" w:history="1">
        <w:r>
          <w:rPr>
            <w:rStyle w:val="Hyperlink"/>
            <w:sz w:val="16"/>
            <w:szCs w:val="16"/>
          </w:rPr>
          <w:t>Regulation (EU) 1380/2013 of 11 December 2013 on the Common Fisheries Policy</w:t>
        </w:r>
      </w:hyperlink>
      <w:r>
        <w:rPr>
          <w:sz w:val="16"/>
          <w:szCs w:val="16"/>
        </w:rPr>
        <w:t xml:space="preserve"> (OJ L354, 28.12.2013, p. 22);</w:t>
      </w:r>
    </w:p>
  </w:footnote>
  <w:footnote w:id="2">
    <w:p w:rsidR="00C35F24" w:rsidRDefault="006F795C">
      <w:pPr>
        <w:pStyle w:val="FootnoteText"/>
        <w:spacing w:after="0"/>
        <w:rPr>
          <w:sz w:val="16"/>
          <w:szCs w:val="16"/>
          <w:lang w:val="fr-BE"/>
        </w:rPr>
      </w:pPr>
      <w:r>
        <w:rPr>
          <w:rStyle w:val="FootnoteReference"/>
          <w:sz w:val="16"/>
          <w:szCs w:val="16"/>
        </w:rPr>
        <w:footnoteRef/>
      </w:r>
      <w:r>
        <w:rPr>
          <w:sz w:val="16"/>
          <w:szCs w:val="16"/>
          <w:lang w:val="fr-BE"/>
        </w:rPr>
        <w:t xml:space="preserve"> Vue d'ensemble des APPD: </w:t>
      </w:r>
      <w:r>
        <w:fldChar w:fldCharType="begin"/>
      </w:r>
      <w:r w:rsidRPr="006F795C">
        <w:rPr>
          <w:lang w:val="fr-BE"/>
        </w:rPr>
        <w:instrText xml:space="preserve"> HYPERLINK "http://ec</w:instrText>
      </w:r>
      <w:r w:rsidRPr="006F795C">
        <w:rPr>
          <w:lang w:val="fr-BE"/>
        </w:rPr>
        <w:instrText xml:space="preserve">.europa.eu/fisheries/cfp/international/agreements_fr" </w:instrText>
      </w:r>
      <w:r>
        <w:fldChar w:fldCharType="separate"/>
      </w:r>
      <w:r>
        <w:rPr>
          <w:rStyle w:val="Hyperlink"/>
          <w:sz w:val="16"/>
          <w:szCs w:val="16"/>
          <w:lang w:val="fr-BE"/>
        </w:rPr>
        <w:t>http://ec.europa.eu/fisheries/cfp/international/agreements_fr</w:t>
      </w:r>
      <w:r>
        <w:rPr>
          <w:rStyle w:val="Hyperlink"/>
          <w:sz w:val="16"/>
          <w:szCs w:val="16"/>
          <w:lang w:val="fr-BE"/>
        </w:rPr>
        <w:fldChar w:fldCharType="end"/>
      </w:r>
      <w:r>
        <w:rPr>
          <w:sz w:val="16"/>
          <w:szCs w:val="16"/>
          <w:lang w:val="fr-BE"/>
        </w:rPr>
        <w:t>;</w:t>
      </w:r>
    </w:p>
  </w:footnote>
  <w:footnote w:id="3">
    <w:p w:rsidR="00C35F24" w:rsidRDefault="006F795C">
      <w:pPr>
        <w:pStyle w:val="FootnoteText"/>
        <w:spacing w:after="0"/>
        <w:rPr>
          <w:lang w:val="fr-BE"/>
        </w:rPr>
      </w:pPr>
      <w:r>
        <w:rPr>
          <w:rStyle w:val="FootnoteReference"/>
          <w:sz w:val="16"/>
          <w:szCs w:val="16"/>
        </w:rPr>
        <w:footnoteRef/>
      </w:r>
      <w:r>
        <w:rPr>
          <w:sz w:val="16"/>
          <w:szCs w:val="16"/>
          <w:lang w:val="fr-BE"/>
        </w:rPr>
        <w:t xml:space="preserve"> Evaluation rétrospective et prospective du Protocole à l'accord de partenariat dans le domaine de la pêche durable entre l'Union europée</w:t>
      </w:r>
      <w:r>
        <w:rPr>
          <w:sz w:val="16"/>
          <w:szCs w:val="16"/>
          <w:lang w:val="fr-BE"/>
        </w:rPr>
        <w:t xml:space="preserve">nne et le Royaume du Maroc. Rapport final, septembre 2017 (F&amp;S, </w:t>
      </w:r>
      <w:proofErr w:type="spellStart"/>
      <w:r>
        <w:rPr>
          <w:sz w:val="16"/>
          <w:szCs w:val="16"/>
          <w:lang w:val="fr-BE"/>
        </w:rPr>
        <w:t>Poseidon</w:t>
      </w:r>
      <w:proofErr w:type="spellEnd"/>
      <w:r>
        <w:rPr>
          <w:sz w:val="16"/>
          <w:szCs w:val="16"/>
          <w:lang w:val="fr-BE"/>
        </w:rPr>
        <w:t xml:space="preserve"> et </w:t>
      </w:r>
      <w:proofErr w:type="spellStart"/>
      <w:r>
        <w:rPr>
          <w:sz w:val="16"/>
          <w:szCs w:val="16"/>
          <w:lang w:val="fr-BE"/>
        </w:rPr>
        <w:t>Megapesca</w:t>
      </w:r>
      <w:proofErr w:type="spellEnd"/>
      <w:r>
        <w:rPr>
          <w:sz w:val="16"/>
          <w:szCs w:val="16"/>
          <w:lang w:val="fr-BE"/>
        </w:rPr>
        <w:t>).</w:t>
      </w:r>
    </w:p>
  </w:footnote>
  <w:footnote w:id="4">
    <w:p w:rsidR="00C35F24" w:rsidRDefault="006F795C">
      <w:pPr>
        <w:pStyle w:val="FootnoteText"/>
        <w:spacing w:after="0"/>
        <w:ind w:left="0" w:firstLine="0"/>
        <w:rPr>
          <w:sz w:val="16"/>
          <w:szCs w:val="16"/>
          <w:lang w:val="fr-BE"/>
        </w:rPr>
      </w:pPr>
      <w:r>
        <w:rPr>
          <w:rStyle w:val="FootnoteReference"/>
        </w:rPr>
        <w:footnoteRef/>
      </w:r>
      <w:r>
        <w:rPr>
          <w:lang w:val="fr-BE"/>
        </w:rPr>
        <w:t xml:space="preserve"> </w:t>
      </w:r>
      <w:r>
        <w:rPr>
          <w:sz w:val="16"/>
          <w:szCs w:val="16"/>
          <w:lang w:val="fr-BE"/>
        </w:rPr>
        <w:t>Décision du Conseil (UE) 2013/720</w:t>
      </w:r>
      <w:r>
        <w:rPr>
          <w:color w:val="333333"/>
          <w:sz w:val="16"/>
          <w:szCs w:val="16"/>
          <w:lang w:val="fr-BE"/>
        </w:rPr>
        <w:t xml:space="preserve"> du 15 novembre 2013 </w:t>
      </w:r>
      <w:r>
        <w:rPr>
          <w:color w:val="000000"/>
          <w:sz w:val="16"/>
          <w:szCs w:val="16"/>
          <w:lang w:val="fr-BE"/>
        </w:rPr>
        <w:t>relative à la signature et à l'application provisoire du protocole</w:t>
      </w:r>
      <w:r>
        <w:rPr>
          <w:color w:val="333333"/>
          <w:sz w:val="16"/>
          <w:szCs w:val="16"/>
          <w:lang w:val="fr-BE"/>
        </w:rPr>
        <w:t xml:space="preserve"> (OJ L 328 du 7.12.2013, p.1) et texte du protocole (OJ L 328 du 7.12.2013, p.2-39); </w:t>
      </w:r>
      <w:r>
        <w:rPr>
          <w:sz w:val="16"/>
          <w:szCs w:val="16"/>
          <w:lang w:val="fr-BE"/>
        </w:rPr>
        <w:t>Décision du Conseil (UE) 2013/785</w:t>
      </w:r>
      <w:r>
        <w:rPr>
          <w:color w:val="333333"/>
          <w:sz w:val="16"/>
          <w:szCs w:val="16"/>
          <w:lang w:val="fr-BE"/>
        </w:rPr>
        <w:t xml:space="preserve"> du 16 décembre 2013 relative à la conclusion (OJ L 349, 21.12.2013, p. 1-3).</w:t>
      </w:r>
    </w:p>
    <w:p w:rsidR="00C35F24" w:rsidRDefault="00C35F24">
      <w:pPr>
        <w:pStyle w:val="FootnoteText"/>
        <w:rPr>
          <w:lang w:val="fr-BE"/>
        </w:rPr>
      </w:pPr>
    </w:p>
  </w:footnote>
  <w:footnote w:id="5">
    <w:p w:rsidR="00C35F24" w:rsidRDefault="006F795C">
      <w:pPr>
        <w:pStyle w:val="FootnoteText"/>
        <w:rPr>
          <w:lang w:val="fr-BE"/>
        </w:rPr>
      </w:pPr>
      <w:r>
        <w:rPr>
          <w:rStyle w:val="FootnoteReference"/>
        </w:rPr>
        <w:footnoteRef/>
      </w:r>
      <w:r>
        <w:rPr>
          <w:lang w:val="fr-BE"/>
        </w:rPr>
        <w:t xml:space="preserve"> Ou, anciennement, APP (Accord de partenariat dans le doma</w:t>
      </w:r>
      <w:r>
        <w:rPr>
          <w:lang w:val="fr-BE"/>
        </w:rPr>
        <w:t>ine de la pêche). Le présent accord, conclu avant la dernière réforme de la PCP, en est un.</w:t>
      </w:r>
    </w:p>
  </w:footnote>
  <w:footnote w:id="6">
    <w:p w:rsidR="00C35F24" w:rsidRDefault="006F795C">
      <w:pPr>
        <w:pStyle w:val="FootnoteText"/>
        <w:spacing w:after="0"/>
        <w:rPr>
          <w:sz w:val="16"/>
          <w:szCs w:val="16"/>
        </w:rPr>
      </w:pPr>
      <w:r>
        <w:rPr>
          <w:sz w:val="16"/>
          <w:szCs w:val="16"/>
        </w:rPr>
        <w:footnoteRef/>
      </w:r>
      <w:r>
        <w:rPr>
          <w:sz w:val="16"/>
          <w:szCs w:val="16"/>
        </w:rPr>
        <w:t xml:space="preserve"> SWD (2015) 111 final du 19.5.2015 Commission staff working document, Better Regulation Guidelines</w:t>
      </w:r>
    </w:p>
  </w:footnote>
  <w:footnote w:id="7">
    <w:p w:rsidR="00C35F24" w:rsidRDefault="006F795C">
      <w:pPr>
        <w:pStyle w:val="FootnoteText"/>
        <w:spacing w:after="0"/>
        <w:rPr>
          <w:lang w:val="fr-BE"/>
        </w:rPr>
      </w:pPr>
      <w:r>
        <w:rPr>
          <w:rStyle w:val="FootnoteReference"/>
        </w:rPr>
        <w:footnoteRef/>
      </w:r>
      <w:r>
        <w:rPr>
          <w:lang w:val="fr-BE"/>
        </w:rPr>
        <w:t xml:space="preserve"> </w:t>
      </w:r>
      <w:r>
        <w:rPr>
          <w:sz w:val="16"/>
          <w:szCs w:val="16"/>
          <w:lang w:val="fr-BE"/>
        </w:rPr>
        <w:t>Evaluation rétrospective et prospective du Protocole à l'accor</w:t>
      </w:r>
      <w:r>
        <w:rPr>
          <w:sz w:val="16"/>
          <w:szCs w:val="16"/>
          <w:lang w:val="fr-BE"/>
        </w:rPr>
        <w:t xml:space="preserve">d de partenariat dans le domaine de la pêche durable entre l'Union européenne et le Royaume du Maroc. Rapport final, septembre 2017 (F&amp;S, </w:t>
      </w:r>
      <w:proofErr w:type="spellStart"/>
      <w:r>
        <w:rPr>
          <w:sz w:val="16"/>
          <w:szCs w:val="16"/>
          <w:lang w:val="fr-BE"/>
        </w:rPr>
        <w:t>Poseidon</w:t>
      </w:r>
      <w:proofErr w:type="spellEnd"/>
      <w:r>
        <w:rPr>
          <w:sz w:val="16"/>
          <w:szCs w:val="16"/>
          <w:lang w:val="fr-BE"/>
        </w:rPr>
        <w:t xml:space="preserve"> et </w:t>
      </w:r>
      <w:proofErr w:type="spellStart"/>
      <w:r>
        <w:rPr>
          <w:sz w:val="16"/>
          <w:szCs w:val="16"/>
          <w:lang w:val="fr-BE"/>
        </w:rPr>
        <w:t>Megapesca</w:t>
      </w:r>
      <w:proofErr w:type="spellEnd"/>
      <w:r>
        <w:rPr>
          <w:sz w:val="16"/>
          <w:szCs w:val="16"/>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5C" w:rsidRPr="006F795C" w:rsidRDefault="006F795C" w:rsidP="006F795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4" w:rsidRDefault="00C35F2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CC556F"/>
    <w:multiLevelType w:val="hybridMultilevel"/>
    <w:tmpl w:val="6646F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7C3C77"/>
    <w:multiLevelType w:val="hybridMultilevel"/>
    <w:tmpl w:val="DB8286CC"/>
    <w:lvl w:ilvl="0" w:tplc="FFFFFFFF">
      <w:numFmt w:val="bullet"/>
      <w:lvlText w:val="-"/>
      <w:lvlJc w:val="left"/>
      <w:pPr>
        <w:ind w:left="360" w:hanging="360"/>
      </w:pPr>
      <w:rPr>
        <w:rFonts w:ascii="TimesNewRoman" w:eastAsia="Times New Roman" w:hAnsi="TimesNewRoman" w:cs="TimesNew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4A66FC"/>
    <w:multiLevelType w:val="hybridMultilevel"/>
    <w:tmpl w:val="22708598"/>
    <w:lvl w:ilvl="0" w:tplc="FFFFFFFF">
      <w:numFmt w:val="bullet"/>
      <w:lvlText w:val="-"/>
      <w:lvlJc w:val="left"/>
      <w:pPr>
        <w:ind w:left="360" w:hanging="360"/>
      </w:pPr>
      <w:rPr>
        <w:rFonts w:ascii="TimesNewRoman" w:eastAsia="Times New Roman" w:hAnsi="TimesNewRoman" w:cs="TimesNew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1AF6EC0"/>
    <w:multiLevelType w:val="hybridMultilevel"/>
    <w:tmpl w:val="D034E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480EFD"/>
    <w:multiLevelType w:val="hybridMultilevel"/>
    <w:tmpl w:val="7070D636"/>
    <w:lvl w:ilvl="0" w:tplc="FFFFFFFF">
      <w:numFmt w:val="bullet"/>
      <w:lvlText w:val="-"/>
      <w:lvlJc w:val="left"/>
      <w:pPr>
        <w:ind w:left="720" w:hanging="360"/>
      </w:pPr>
      <w:rPr>
        <w:rFonts w:ascii="TimesNewRoman" w:eastAsia="Times New Roman" w:hAnsi="TimesNewRoman" w:cs="TimesNew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B2673A3"/>
    <w:multiLevelType w:val="hybridMultilevel"/>
    <w:tmpl w:val="EED28B76"/>
    <w:lvl w:ilvl="0" w:tplc="FFFFFFFF">
      <w:numFmt w:val="bullet"/>
      <w:lvlText w:val="-"/>
      <w:lvlJc w:val="left"/>
      <w:pPr>
        <w:ind w:left="360" w:hanging="360"/>
      </w:pPr>
      <w:rPr>
        <w:rFonts w:ascii="TimesNewRoman" w:eastAsia="Times New Roman" w:hAnsi="TimesNewRoman" w:cs="TimesNew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E8E7E80"/>
    <w:multiLevelType w:val="hybridMultilevel"/>
    <w:tmpl w:val="CC4C3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DC3284"/>
    <w:multiLevelType w:val="hybridMultilevel"/>
    <w:tmpl w:val="6D7A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506050"/>
    <w:multiLevelType w:val="hybridMultilevel"/>
    <w:tmpl w:val="528AF9E6"/>
    <w:lvl w:ilvl="0" w:tplc="FFFFFFFF">
      <w:numFmt w:val="bullet"/>
      <w:lvlText w:val="-"/>
      <w:lvlJc w:val="left"/>
      <w:pPr>
        <w:ind w:left="360" w:hanging="360"/>
      </w:pPr>
      <w:rPr>
        <w:rFonts w:ascii="TimesNewRoman" w:eastAsia="Times New Roman" w:hAnsi="TimesNewRoman" w:cs="TimesNew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7296B90"/>
    <w:multiLevelType w:val="hybridMultilevel"/>
    <w:tmpl w:val="7C2E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A372048"/>
    <w:multiLevelType w:val="hybridMultilevel"/>
    <w:tmpl w:val="C1FEDE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A46222"/>
    <w:multiLevelType w:val="hybridMultilevel"/>
    <w:tmpl w:val="DE620478"/>
    <w:lvl w:ilvl="0" w:tplc="FFFFFFFF">
      <w:numFmt w:val="bullet"/>
      <w:lvlText w:val="-"/>
      <w:lvlJc w:val="left"/>
      <w:pPr>
        <w:ind w:left="360" w:hanging="360"/>
      </w:pPr>
      <w:rPr>
        <w:rFonts w:ascii="TimesNewRoman" w:eastAsia="Times New Roman" w:hAnsi="TimesNewRoman" w:cs="TimesNew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3">
    <w:nsid w:val="7CDD7AC8"/>
    <w:multiLevelType w:val="hybridMultilevel"/>
    <w:tmpl w:val="E4D0BD30"/>
    <w:lvl w:ilvl="0" w:tplc="96F00248">
      <w:start w:val="1"/>
      <w:numFmt w:val="bullet"/>
      <w:lvlText w:val="-"/>
      <w:lvlJc w:val="left"/>
      <w:pPr>
        <w:ind w:left="720" w:hanging="360"/>
      </w:pPr>
      <w:rPr>
        <w:rFonts w:ascii="Arial Narrow" w:hAnsi="Arial Narrow" w:cs="Times New Roman" w:hint="default"/>
        <w:b/>
        <w:i w:val="0"/>
        <w:caps w:val="0"/>
        <w:strike w:val="0"/>
        <w:dstrike w:val="0"/>
        <w:vanish w:val="0"/>
        <w:webHidden w:val="0"/>
        <w:color w:val="auto"/>
        <w:spacing w:val="0"/>
        <w:w w:val="100"/>
        <w:kern w:val="0"/>
        <w:position w:val="0"/>
        <w:sz w:val="20"/>
        <w:u w:val="none"/>
        <w:effect w:val="none"/>
        <w:vertAlign w:val="baseline"/>
        <w:specVanish w:val="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0"/>
  </w:num>
  <w:num w:numId="5">
    <w:abstractNumId w:val="15"/>
  </w:num>
  <w:num w:numId="6">
    <w:abstractNumId w:val="26"/>
  </w:num>
  <w:num w:numId="7">
    <w:abstractNumId w:val="29"/>
  </w:num>
  <w:num w:numId="8">
    <w:abstractNumId w:val="13"/>
  </w:num>
  <w:num w:numId="9">
    <w:abstractNumId w:val="25"/>
  </w:num>
  <w:num w:numId="10">
    <w:abstractNumId w:val="24"/>
  </w:num>
  <w:num w:numId="11">
    <w:abstractNumId w:val="21"/>
  </w:num>
  <w:num w:numId="12">
    <w:abstractNumId w:val="23"/>
  </w:num>
  <w:num w:numId="13">
    <w:abstractNumId w:val="8"/>
  </w:num>
  <w:num w:numId="14">
    <w:abstractNumId w:val="14"/>
  </w:num>
  <w:num w:numId="15">
    <w:abstractNumId w:val="5"/>
  </w:num>
  <w:num w:numId="16">
    <w:abstractNumId w:val="11"/>
  </w:num>
  <w:num w:numId="17">
    <w:abstractNumId w:val="30"/>
  </w:num>
  <w:num w:numId="18">
    <w:abstractNumId w:val="12"/>
  </w:num>
  <w:num w:numId="19">
    <w:abstractNumId w:val="22"/>
  </w:num>
  <w:num w:numId="20">
    <w:abstractNumId w:val="18"/>
  </w:num>
  <w:num w:numId="21">
    <w:abstractNumId w:val="7"/>
  </w:num>
  <w:num w:numId="22">
    <w:abstractNumId w:val="31"/>
  </w:num>
  <w:num w:numId="23">
    <w:abstractNumId w:val="27"/>
  </w:num>
  <w:num w:numId="24">
    <w:abstractNumId w:val="6"/>
  </w:num>
  <w:num w:numId="25">
    <w:abstractNumId w:val="9"/>
  </w:num>
  <w:num w:numId="26">
    <w:abstractNumId w:val="20"/>
  </w:num>
  <w:num w:numId="27">
    <w:abstractNumId w:val="4"/>
  </w:num>
  <w:num w:numId="28">
    <w:abstractNumId w:val="16"/>
  </w:num>
  <w:num w:numId="29">
    <w:abstractNumId w:val="33"/>
  </w:num>
  <w:num w:numId="30">
    <w:abstractNumId w:val="3"/>
  </w:num>
  <w:num w:numId="31">
    <w:abstractNumId w:val="2"/>
  </w:num>
  <w:num w:numId="32">
    <w:abstractNumId w:val="28"/>
  </w:num>
  <w:num w:numId="3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3C781FF-8BC4-49B9-8AD7-32A2EE1A2234"/>
    <w:docVar w:name="LW_COVERPAGE_TYPE" w:val="1"/>
    <w:docVar w:name="LW_CROSSREFERENCE" w:val="{COM(2018) 1 final}_x000d__x000a_{SWD(2018) 2 final}"/>
    <w:docVar w:name="LW_DocType" w:val="REP"/>
    <w:docVar w:name="LW_EMISSION" w:val="8.1.2018"/>
    <w:docVar w:name="LW_EMISSION_ISODATE" w:val="2018-01-08"/>
    <w:docVar w:name="LW_EMISSION_LOCATION" w:val="BRX"/>
    <w:docVar w:name="LW_EMISSION_PREFIX" w:val="Bruxelles, le"/>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ecommandation de décision du Conseil autorisant la Commission à ouvrir des négociations, au nom de l'Union européenne, en vue de la conclusion d'un Protocole à l'accord de partenariat dans le domaine de la pêche entre l'Union européenne et le Royaume du Maroc"/>
    <w:docVar w:name="LW_PART_NBR" w:val="1"/>
    <w:docVar w:name="LW_PART_NBR_TOTAL" w:val="1"/>
    <w:docVar w:name="LW_REF.INST.NEW" w:val="SWD"/>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
    <w:docVar w:name="LW_TYPE.DOC.CP" w:val="DOCUMENT DE TRAVAIL DES SERVICES DE LA COMMISSION"/>
    <w:docVar w:name="LW_TYPEACTEPRINCIPAL.CP" w:val="&lt;UNUSED&gt;"/>
  </w:docVars>
  <w:rsids>
    <w:rsidRoot w:val="00C35F24"/>
    <w:rsid w:val="006F795C"/>
    <w:rsid w:val="00C3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DNV-Body,Eko2-Bod"/>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table" w:styleId="TableGrid">
    <w:name w:val="Table Grid"/>
    <w:aliases w:val="Document Table,CV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ChapterTitle"/>
    <w:next w:val="Normal"/>
    <w:link w:val="AnnexTitleChar"/>
    <w:qFormat/>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b/>
      <w:sz w:val="32"/>
      <w:lang w:eastAsia="en-US"/>
    </w:rPr>
  </w:style>
  <w:style w:type="character" w:customStyle="1" w:styleId="AnnexTitleChar">
    <w:name w:val="Annex Title Char"/>
    <w:basedOn w:val="ChapterTitleChar"/>
    <w:link w:val="AnnexTitle"/>
    <w:rPr>
      <w:b/>
      <w:sz w:val="32"/>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paragraph" w:styleId="ListParagraph">
    <w:name w:val="List Paragraph"/>
    <w:basedOn w:val="Normal"/>
    <w:link w:val="ListParagraphChar"/>
    <w:uiPriority w:val="34"/>
    <w:qFormat/>
    <w:pPr>
      <w:ind w:left="720"/>
      <w:contextualSpacing/>
    </w:pPr>
  </w:style>
  <w:style w:type="table" w:customStyle="1" w:styleId="CV11">
    <w:name w:val="CV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customStyle="1" w:styleId="Text1Char">
    <w:name w:val="Text 1 Char"/>
    <w:link w:val="Text1"/>
    <w:rPr>
      <w:sz w:val="24"/>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en-US"/>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Pr>
      <w:sz w:val="24"/>
      <w:lang w:eastAsia="en-US"/>
    </w:r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link w:val="ListParagraph"/>
    <w:uiPriority w:val="34"/>
    <w:qFormat/>
    <w:locked/>
    <w:rPr>
      <w:sz w:val="24"/>
      <w:lang w:eastAsia="en-US"/>
    </w:rPr>
  </w:style>
  <w:style w:type="paragraph" w:customStyle="1" w:styleId="ManualHeading1">
    <w:name w:val="Manual Heading 1"/>
    <w:basedOn w:val="Normal"/>
    <w:next w:val="Normal"/>
    <w:pPr>
      <w:keepNext/>
      <w:tabs>
        <w:tab w:val="left" w:pos="850"/>
      </w:tabs>
      <w:spacing w:before="360" w:after="120"/>
      <w:ind w:left="850" w:hanging="850"/>
      <w:outlineLvl w:val="0"/>
    </w:pPr>
    <w:rPr>
      <w:rFonts w:eastAsiaTheme="minorHAnsi"/>
      <w:b/>
      <w:smallCaps/>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character" w:customStyle="1" w:styleId="FootnoteAnchor">
    <w:name w:val="Footnote Anchor"/>
    <w:rPr>
      <w:vertAlign w:val="superscript"/>
    </w:rPr>
  </w:style>
  <w:style w:type="character" w:customStyle="1" w:styleId="InternetLink">
    <w:name w:val="Internet Link"/>
    <w:basedOn w:val="DefaultParagraphFont"/>
    <w:rPr>
      <w:color w:val="0000FF"/>
      <w:u w:val="single"/>
    </w:rPr>
  </w:style>
  <w:style w:type="paragraph" w:customStyle="1" w:styleId="Body">
    <w:name w:val="Body"/>
    <w:basedOn w:val="Normal"/>
    <w:link w:val="BodyChar"/>
    <w:qFormat/>
    <w:pPr>
      <w:jc w:val="left"/>
    </w:pPr>
    <w:rPr>
      <w:rFonts w:ascii="Verdana" w:hAnsi="Verdana"/>
      <w:sz w:val="20"/>
      <w:lang w:val="fr-FR"/>
    </w:rPr>
  </w:style>
  <w:style w:type="character" w:customStyle="1" w:styleId="BodyChar">
    <w:name w:val="Body Char"/>
    <w:link w:val="Body"/>
    <w:rPr>
      <w:rFonts w:ascii="Verdana" w:hAnsi="Verdana"/>
      <w:lang w:val="fr-FR" w:eastAsia="en-US"/>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link w:val="Caption"/>
    <w:uiPriority w:val="35"/>
    <w:locked/>
    <w:rPr>
      <w:b/>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table" w:customStyle="1" w:styleId="Listeclaire-Accent11">
    <w:name w:val="Liste claire - Accent 11"/>
    <w:basedOn w:val="TableNormal"/>
    <w:uiPriority w:val="61"/>
    <w:rPr>
      <w:rFonts w:asciiTheme="minorHAnsi" w:eastAsiaTheme="minorHAnsi" w:hAnsiTheme="minorHAnsi" w:cstheme="minorBidi"/>
      <w:sz w:val="22"/>
      <w:szCs w:val="22"/>
      <w:lang w:val="fr-FR"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EBE9EA"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erorfooter">
    <w:name w:val="Header or footer_"/>
    <w:basedOn w:val="DefaultParagraphFont"/>
    <w:rPr>
      <w:b/>
      <w:bCs/>
      <w:i w:val="0"/>
      <w:iCs w:val="0"/>
      <w:smallCaps w:val="0"/>
      <w:strike w:val="0"/>
      <w:sz w:val="22"/>
      <w:szCs w:val="22"/>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DNV-Body,Eko2-Bod"/>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table" w:styleId="TableGrid">
    <w:name w:val="Table Grid"/>
    <w:aliases w:val="Document Table,CV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ChapterTitle"/>
    <w:next w:val="Normal"/>
    <w:link w:val="AnnexTitleChar"/>
    <w:qFormat/>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b/>
      <w:sz w:val="32"/>
      <w:lang w:eastAsia="en-US"/>
    </w:rPr>
  </w:style>
  <w:style w:type="character" w:customStyle="1" w:styleId="AnnexTitleChar">
    <w:name w:val="Annex Title Char"/>
    <w:basedOn w:val="ChapterTitleChar"/>
    <w:link w:val="AnnexTitle"/>
    <w:rPr>
      <w:b/>
      <w:sz w:val="32"/>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paragraph" w:styleId="ListParagraph">
    <w:name w:val="List Paragraph"/>
    <w:basedOn w:val="Normal"/>
    <w:link w:val="ListParagraphChar"/>
    <w:uiPriority w:val="34"/>
    <w:qFormat/>
    <w:pPr>
      <w:ind w:left="720"/>
      <w:contextualSpacing/>
    </w:pPr>
  </w:style>
  <w:style w:type="table" w:customStyle="1" w:styleId="CV11">
    <w:name w:val="CV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customStyle="1" w:styleId="Text1Char">
    <w:name w:val="Text 1 Char"/>
    <w:link w:val="Text1"/>
    <w:rPr>
      <w:sz w:val="24"/>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en-US"/>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Pr>
      <w:sz w:val="24"/>
      <w:lang w:eastAsia="en-US"/>
    </w:r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link w:val="ListParagraph"/>
    <w:uiPriority w:val="34"/>
    <w:qFormat/>
    <w:locked/>
    <w:rPr>
      <w:sz w:val="24"/>
      <w:lang w:eastAsia="en-US"/>
    </w:rPr>
  </w:style>
  <w:style w:type="paragraph" w:customStyle="1" w:styleId="ManualHeading1">
    <w:name w:val="Manual Heading 1"/>
    <w:basedOn w:val="Normal"/>
    <w:next w:val="Normal"/>
    <w:pPr>
      <w:keepNext/>
      <w:tabs>
        <w:tab w:val="left" w:pos="850"/>
      </w:tabs>
      <w:spacing w:before="360" w:after="120"/>
      <w:ind w:left="850" w:hanging="850"/>
      <w:outlineLvl w:val="0"/>
    </w:pPr>
    <w:rPr>
      <w:rFonts w:eastAsiaTheme="minorHAnsi"/>
      <w:b/>
      <w:smallCaps/>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character" w:customStyle="1" w:styleId="FootnoteAnchor">
    <w:name w:val="Footnote Anchor"/>
    <w:rPr>
      <w:vertAlign w:val="superscript"/>
    </w:rPr>
  </w:style>
  <w:style w:type="character" w:customStyle="1" w:styleId="InternetLink">
    <w:name w:val="Internet Link"/>
    <w:basedOn w:val="DefaultParagraphFont"/>
    <w:rPr>
      <w:color w:val="0000FF"/>
      <w:u w:val="single"/>
    </w:rPr>
  </w:style>
  <w:style w:type="paragraph" w:customStyle="1" w:styleId="Body">
    <w:name w:val="Body"/>
    <w:basedOn w:val="Normal"/>
    <w:link w:val="BodyChar"/>
    <w:qFormat/>
    <w:pPr>
      <w:jc w:val="left"/>
    </w:pPr>
    <w:rPr>
      <w:rFonts w:ascii="Verdana" w:hAnsi="Verdana"/>
      <w:sz w:val="20"/>
      <w:lang w:val="fr-FR"/>
    </w:rPr>
  </w:style>
  <w:style w:type="character" w:customStyle="1" w:styleId="BodyChar">
    <w:name w:val="Body Char"/>
    <w:link w:val="Body"/>
    <w:rPr>
      <w:rFonts w:ascii="Verdana" w:hAnsi="Verdana"/>
      <w:lang w:val="fr-FR" w:eastAsia="en-US"/>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link w:val="Caption"/>
    <w:uiPriority w:val="35"/>
    <w:locked/>
    <w:rPr>
      <w:b/>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table" w:customStyle="1" w:styleId="Listeclaire-Accent11">
    <w:name w:val="Liste claire - Accent 11"/>
    <w:basedOn w:val="TableNormal"/>
    <w:uiPriority w:val="61"/>
    <w:rPr>
      <w:rFonts w:asciiTheme="minorHAnsi" w:eastAsiaTheme="minorHAnsi" w:hAnsiTheme="minorHAnsi" w:cstheme="minorBidi"/>
      <w:sz w:val="22"/>
      <w:szCs w:val="22"/>
      <w:lang w:val="fr-FR"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EBE9EA"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erorfooter">
    <w:name w:val="Header or footer_"/>
    <w:basedOn w:val="DefaultParagraphFont"/>
    <w:rPr>
      <w:b/>
      <w:bCs/>
      <w:i w:val="0"/>
      <w:iCs w:val="0"/>
      <w:smallCaps w:val="0"/>
      <w:strike w:val="0"/>
      <w:sz w:val="22"/>
      <w:szCs w:val="22"/>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782">
      <w:bodyDiv w:val="1"/>
      <w:marLeft w:val="0"/>
      <w:marRight w:val="0"/>
      <w:marTop w:val="0"/>
      <w:marBottom w:val="0"/>
      <w:divBdr>
        <w:top w:val="none" w:sz="0" w:space="0" w:color="auto"/>
        <w:left w:val="none" w:sz="0" w:space="0" w:color="auto"/>
        <w:bottom w:val="none" w:sz="0" w:space="0" w:color="auto"/>
        <w:right w:val="none" w:sz="0" w:space="0" w:color="auto"/>
      </w:divBdr>
    </w:div>
    <w:div w:id="318466256">
      <w:bodyDiv w:val="1"/>
      <w:marLeft w:val="0"/>
      <w:marRight w:val="0"/>
      <w:marTop w:val="0"/>
      <w:marBottom w:val="0"/>
      <w:divBdr>
        <w:top w:val="none" w:sz="0" w:space="0" w:color="auto"/>
        <w:left w:val="none" w:sz="0" w:space="0" w:color="auto"/>
        <w:bottom w:val="none" w:sz="0" w:space="0" w:color="auto"/>
        <w:right w:val="none" w:sz="0" w:space="0" w:color="auto"/>
      </w:divBdr>
      <w:divsChild>
        <w:div w:id="98646724">
          <w:marLeft w:val="0"/>
          <w:marRight w:val="0"/>
          <w:marTop w:val="0"/>
          <w:marBottom w:val="0"/>
          <w:divBdr>
            <w:top w:val="none" w:sz="0" w:space="0" w:color="auto"/>
            <w:left w:val="none" w:sz="0" w:space="0" w:color="auto"/>
            <w:bottom w:val="none" w:sz="0" w:space="0" w:color="auto"/>
            <w:right w:val="none" w:sz="0" w:space="0" w:color="auto"/>
          </w:divBdr>
          <w:divsChild>
            <w:div w:id="1057438244">
              <w:marLeft w:val="0"/>
              <w:marRight w:val="0"/>
              <w:marTop w:val="0"/>
              <w:marBottom w:val="0"/>
              <w:divBdr>
                <w:top w:val="none" w:sz="0" w:space="0" w:color="auto"/>
                <w:left w:val="none" w:sz="0" w:space="0" w:color="auto"/>
                <w:bottom w:val="none" w:sz="0" w:space="0" w:color="auto"/>
                <w:right w:val="none" w:sz="0" w:space="0" w:color="auto"/>
              </w:divBdr>
              <w:divsChild>
                <w:div w:id="1467164016">
                  <w:marLeft w:val="0"/>
                  <w:marRight w:val="0"/>
                  <w:marTop w:val="0"/>
                  <w:marBottom w:val="0"/>
                  <w:divBdr>
                    <w:top w:val="none" w:sz="0" w:space="0" w:color="auto"/>
                    <w:left w:val="none" w:sz="0" w:space="0" w:color="auto"/>
                    <w:bottom w:val="none" w:sz="0" w:space="0" w:color="auto"/>
                    <w:right w:val="none" w:sz="0" w:space="0" w:color="auto"/>
                  </w:divBdr>
                  <w:divsChild>
                    <w:div w:id="1387947351">
                      <w:marLeft w:val="0"/>
                      <w:marRight w:val="0"/>
                      <w:marTop w:val="45"/>
                      <w:marBottom w:val="0"/>
                      <w:divBdr>
                        <w:top w:val="none" w:sz="0" w:space="0" w:color="auto"/>
                        <w:left w:val="none" w:sz="0" w:space="0" w:color="auto"/>
                        <w:bottom w:val="none" w:sz="0" w:space="0" w:color="auto"/>
                        <w:right w:val="none" w:sz="0" w:space="0" w:color="auto"/>
                      </w:divBdr>
                      <w:divsChild>
                        <w:div w:id="1648195458">
                          <w:marLeft w:val="0"/>
                          <w:marRight w:val="0"/>
                          <w:marTop w:val="0"/>
                          <w:marBottom w:val="0"/>
                          <w:divBdr>
                            <w:top w:val="none" w:sz="0" w:space="0" w:color="auto"/>
                            <w:left w:val="none" w:sz="0" w:space="0" w:color="auto"/>
                            <w:bottom w:val="none" w:sz="0" w:space="0" w:color="auto"/>
                            <w:right w:val="none" w:sz="0" w:space="0" w:color="auto"/>
                          </w:divBdr>
                          <w:divsChild>
                            <w:div w:id="1943561899">
                              <w:marLeft w:val="2070"/>
                              <w:marRight w:val="3960"/>
                              <w:marTop w:val="0"/>
                              <w:marBottom w:val="0"/>
                              <w:divBdr>
                                <w:top w:val="none" w:sz="0" w:space="0" w:color="auto"/>
                                <w:left w:val="none" w:sz="0" w:space="0" w:color="auto"/>
                                <w:bottom w:val="none" w:sz="0" w:space="0" w:color="auto"/>
                                <w:right w:val="none" w:sz="0" w:space="0" w:color="auto"/>
                              </w:divBdr>
                              <w:divsChild>
                                <w:div w:id="1808477227">
                                  <w:marLeft w:val="0"/>
                                  <w:marRight w:val="0"/>
                                  <w:marTop w:val="0"/>
                                  <w:marBottom w:val="0"/>
                                  <w:divBdr>
                                    <w:top w:val="none" w:sz="0" w:space="0" w:color="auto"/>
                                    <w:left w:val="none" w:sz="0" w:space="0" w:color="auto"/>
                                    <w:bottom w:val="none" w:sz="0" w:space="0" w:color="auto"/>
                                    <w:right w:val="none" w:sz="0" w:space="0" w:color="auto"/>
                                  </w:divBdr>
                                  <w:divsChild>
                                    <w:div w:id="679236153">
                                      <w:marLeft w:val="0"/>
                                      <w:marRight w:val="0"/>
                                      <w:marTop w:val="0"/>
                                      <w:marBottom w:val="0"/>
                                      <w:divBdr>
                                        <w:top w:val="none" w:sz="0" w:space="0" w:color="auto"/>
                                        <w:left w:val="none" w:sz="0" w:space="0" w:color="auto"/>
                                        <w:bottom w:val="none" w:sz="0" w:space="0" w:color="auto"/>
                                        <w:right w:val="none" w:sz="0" w:space="0" w:color="auto"/>
                                      </w:divBdr>
                                      <w:divsChild>
                                        <w:div w:id="909079371">
                                          <w:marLeft w:val="0"/>
                                          <w:marRight w:val="0"/>
                                          <w:marTop w:val="0"/>
                                          <w:marBottom w:val="0"/>
                                          <w:divBdr>
                                            <w:top w:val="none" w:sz="0" w:space="0" w:color="auto"/>
                                            <w:left w:val="none" w:sz="0" w:space="0" w:color="auto"/>
                                            <w:bottom w:val="none" w:sz="0" w:space="0" w:color="auto"/>
                                            <w:right w:val="none" w:sz="0" w:space="0" w:color="auto"/>
                                          </w:divBdr>
                                          <w:divsChild>
                                            <w:div w:id="1239900341">
                                              <w:marLeft w:val="0"/>
                                              <w:marRight w:val="0"/>
                                              <w:marTop w:val="90"/>
                                              <w:marBottom w:val="0"/>
                                              <w:divBdr>
                                                <w:top w:val="none" w:sz="0" w:space="0" w:color="auto"/>
                                                <w:left w:val="none" w:sz="0" w:space="0" w:color="auto"/>
                                                <w:bottom w:val="none" w:sz="0" w:space="0" w:color="auto"/>
                                                <w:right w:val="none" w:sz="0" w:space="0" w:color="auto"/>
                                              </w:divBdr>
                                              <w:divsChild>
                                                <w:div w:id="1929118996">
                                                  <w:marLeft w:val="0"/>
                                                  <w:marRight w:val="0"/>
                                                  <w:marTop w:val="0"/>
                                                  <w:marBottom w:val="0"/>
                                                  <w:divBdr>
                                                    <w:top w:val="none" w:sz="0" w:space="0" w:color="auto"/>
                                                    <w:left w:val="none" w:sz="0" w:space="0" w:color="auto"/>
                                                    <w:bottom w:val="none" w:sz="0" w:space="0" w:color="auto"/>
                                                    <w:right w:val="none" w:sz="0" w:space="0" w:color="auto"/>
                                                  </w:divBdr>
                                                  <w:divsChild>
                                                    <w:div w:id="1587760673">
                                                      <w:marLeft w:val="0"/>
                                                      <w:marRight w:val="0"/>
                                                      <w:marTop w:val="0"/>
                                                      <w:marBottom w:val="0"/>
                                                      <w:divBdr>
                                                        <w:top w:val="none" w:sz="0" w:space="0" w:color="auto"/>
                                                        <w:left w:val="none" w:sz="0" w:space="0" w:color="auto"/>
                                                        <w:bottom w:val="none" w:sz="0" w:space="0" w:color="auto"/>
                                                        <w:right w:val="none" w:sz="0" w:space="0" w:color="auto"/>
                                                      </w:divBdr>
                                                      <w:divsChild>
                                                        <w:div w:id="1311055309">
                                                          <w:marLeft w:val="0"/>
                                                          <w:marRight w:val="0"/>
                                                          <w:marTop w:val="0"/>
                                                          <w:marBottom w:val="390"/>
                                                          <w:divBdr>
                                                            <w:top w:val="none" w:sz="0" w:space="0" w:color="auto"/>
                                                            <w:left w:val="none" w:sz="0" w:space="0" w:color="auto"/>
                                                            <w:bottom w:val="none" w:sz="0" w:space="0" w:color="auto"/>
                                                            <w:right w:val="none" w:sz="0" w:space="0" w:color="auto"/>
                                                          </w:divBdr>
                                                          <w:divsChild>
                                                            <w:div w:id="1953514252">
                                                              <w:marLeft w:val="0"/>
                                                              <w:marRight w:val="0"/>
                                                              <w:marTop w:val="0"/>
                                                              <w:marBottom w:val="0"/>
                                                              <w:divBdr>
                                                                <w:top w:val="none" w:sz="0" w:space="0" w:color="auto"/>
                                                                <w:left w:val="none" w:sz="0" w:space="0" w:color="auto"/>
                                                                <w:bottom w:val="none" w:sz="0" w:space="0" w:color="auto"/>
                                                                <w:right w:val="none" w:sz="0" w:space="0" w:color="auto"/>
                                                              </w:divBdr>
                                                              <w:divsChild>
                                                                <w:div w:id="79722991">
                                                                  <w:marLeft w:val="0"/>
                                                                  <w:marRight w:val="0"/>
                                                                  <w:marTop w:val="0"/>
                                                                  <w:marBottom w:val="0"/>
                                                                  <w:divBdr>
                                                                    <w:top w:val="none" w:sz="0" w:space="0" w:color="auto"/>
                                                                    <w:left w:val="none" w:sz="0" w:space="0" w:color="auto"/>
                                                                    <w:bottom w:val="none" w:sz="0" w:space="0" w:color="auto"/>
                                                                    <w:right w:val="none" w:sz="0" w:space="0" w:color="auto"/>
                                                                  </w:divBdr>
                                                                  <w:divsChild>
                                                                    <w:div w:id="942104780">
                                                                      <w:marLeft w:val="0"/>
                                                                      <w:marRight w:val="0"/>
                                                                      <w:marTop w:val="0"/>
                                                                      <w:marBottom w:val="0"/>
                                                                      <w:divBdr>
                                                                        <w:top w:val="none" w:sz="0" w:space="0" w:color="auto"/>
                                                                        <w:left w:val="none" w:sz="0" w:space="0" w:color="auto"/>
                                                                        <w:bottom w:val="none" w:sz="0" w:space="0" w:color="auto"/>
                                                                        <w:right w:val="none" w:sz="0" w:space="0" w:color="auto"/>
                                                                      </w:divBdr>
                                                                      <w:divsChild>
                                                                        <w:div w:id="1902133397">
                                                                          <w:marLeft w:val="0"/>
                                                                          <w:marRight w:val="0"/>
                                                                          <w:marTop w:val="0"/>
                                                                          <w:marBottom w:val="0"/>
                                                                          <w:divBdr>
                                                                            <w:top w:val="none" w:sz="0" w:space="0" w:color="auto"/>
                                                                            <w:left w:val="none" w:sz="0" w:space="0" w:color="auto"/>
                                                                            <w:bottom w:val="none" w:sz="0" w:space="0" w:color="auto"/>
                                                                            <w:right w:val="none" w:sz="0" w:space="0" w:color="auto"/>
                                                                          </w:divBdr>
                                                                          <w:divsChild>
                                                                            <w:div w:id="1824931864">
                                                                              <w:marLeft w:val="0"/>
                                                                              <w:marRight w:val="0"/>
                                                                              <w:marTop w:val="0"/>
                                                                              <w:marBottom w:val="0"/>
                                                                              <w:divBdr>
                                                                                <w:top w:val="none" w:sz="0" w:space="0" w:color="auto"/>
                                                                                <w:left w:val="none" w:sz="0" w:space="0" w:color="auto"/>
                                                                                <w:bottom w:val="none" w:sz="0" w:space="0" w:color="auto"/>
                                                                                <w:right w:val="none" w:sz="0" w:space="0" w:color="auto"/>
                                                                              </w:divBdr>
                                                                              <w:divsChild>
                                                                                <w:div w:id="1088573098">
                                                                                  <w:marLeft w:val="0"/>
                                                                                  <w:marRight w:val="0"/>
                                                                                  <w:marTop w:val="0"/>
                                                                                  <w:marBottom w:val="0"/>
                                                                                  <w:divBdr>
                                                                                    <w:top w:val="none" w:sz="0" w:space="0" w:color="auto"/>
                                                                                    <w:left w:val="none" w:sz="0" w:space="0" w:color="auto"/>
                                                                                    <w:bottom w:val="none" w:sz="0" w:space="0" w:color="auto"/>
                                                                                    <w:right w:val="none" w:sz="0" w:space="0" w:color="auto"/>
                                                                                  </w:divBdr>
                                                                                  <w:divsChild>
                                                                                    <w:div w:id="1864786996">
                                                                                      <w:marLeft w:val="0"/>
                                                                                      <w:marRight w:val="0"/>
                                                                                      <w:marTop w:val="0"/>
                                                                                      <w:marBottom w:val="0"/>
                                                                                      <w:divBdr>
                                                                                        <w:top w:val="none" w:sz="0" w:space="0" w:color="auto"/>
                                                                                        <w:left w:val="none" w:sz="0" w:space="0" w:color="auto"/>
                                                                                        <w:bottom w:val="none" w:sz="0" w:space="0" w:color="auto"/>
                                                                                        <w:right w:val="none" w:sz="0" w:space="0" w:color="auto"/>
                                                                                      </w:divBdr>
                                                                                      <w:divsChild>
                                                                                        <w:div w:id="6972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9425">
      <w:bodyDiv w:val="1"/>
      <w:marLeft w:val="0"/>
      <w:marRight w:val="0"/>
      <w:marTop w:val="0"/>
      <w:marBottom w:val="0"/>
      <w:divBdr>
        <w:top w:val="none" w:sz="0" w:space="0" w:color="auto"/>
        <w:left w:val="none" w:sz="0" w:space="0" w:color="auto"/>
        <w:bottom w:val="none" w:sz="0" w:space="0" w:color="auto"/>
        <w:right w:val="none" w:sz="0" w:space="0" w:color="auto"/>
      </w:divBdr>
    </w:div>
    <w:div w:id="513737408">
      <w:bodyDiv w:val="1"/>
      <w:marLeft w:val="0"/>
      <w:marRight w:val="0"/>
      <w:marTop w:val="0"/>
      <w:marBottom w:val="0"/>
      <w:divBdr>
        <w:top w:val="none" w:sz="0" w:space="0" w:color="auto"/>
        <w:left w:val="none" w:sz="0" w:space="0" w:color="auto"/>
        <w:bottom w:val="none" w:sz="0" w:space="0" w:color="auto"/>
        <w:right w:val="none" w:sz="0" w:space="0" w:color="auto"/>
      </w:divBdr>
    </w:div>
    <w:div w:id="576675897">
      <w:bodyDiv w:val="1"/>
      <w:marLeft w:val="0"/>
      <w:marRight w:val="0"/>
      <w:marTop w:val="0"/>
      <w:marBottom w:val="0"/>
      <w:divBdr>
        <w:top w:val="none" w:sz="0" w:space="0" w:color="auto"/>
        <w:left w:val="none" w:sz="0" w:space="0" w:color="auto"/>
        <w:bottom w:val="none" w:sz="0" w:space="0" w:color="auto"/>
        <w:right w:val="none" w:sz="0" w:space="0" w:color="auto"/>
      </w:divBdr>
    </w:div>
    <w:div w:id="810176763">
      <w:bodyDiv w:val="1"/>
      <w:marLeft w:val="0"/>
      <w:marRight w:val="0"/>
      <w:marTop w:val="0"/>
      <w:marBottom w:val="0"/>
      <w:divBdr>
        <w:top w:val="none" w:sz="0" w:space="0" w:color="auto"/>
        <w:left w:val="none" w:sz="0" w:space="0" w:color="auto"/>
        <w:bottom w:val="none" w:sz="0" w:space="0" w:color="auto"/>
        <w:right w:val="none" w:sz="0" w:space="0" w:color="auto"/>
      </w:divBdr>
    </w:div>
    <w:div w:id="833955419">
      <w:bodyDiv w:val="1"/>
      <w:marLeft w:val="0"/>
      <w:marRight w:val="0"/>
      <w:marTop w:val="0"/>
      <w:marBottom w:val="0"/>
      <w:divBdr>
        <w:top w:val="none" w:sz="0" w:space="0" w:color="auto"/>
        <w:left w:val="none" w:sz="0" w:space="0" w:color="auto"/>
        <w:bottom w:val="none" w:sz="0" w:space="0" w:color="auto"/>
        <w:right w:val="none" w:sz="0" w:space="0" w:color="auto"/>
      </w:divBdr>
      <w:divsChild>
        <w:div w:id="770778683">
          <w:marLeft w:val="0"/>
          <w:marRight w:val="0"/>
          <w:marTop w:val="0"/>
          <w:marBottom w:val="0"/>
          <w:divBdr>
            <w:top w:val="none" w:sz="0" w:space="0" w:color="auto"/>
            <w:left w:val="none" w:sz="0" w:space="0" w:color="auto"/>
            <w:bottom w:val="none" w:sz="0" w:space="0" w:color="auto"/>
            <w:right w:val="none" w:sz="0" w:space="0" w:color="auto"/>
          </w:divBdr>
          <w:divsChild>
            <w:div w:id="2057926258">
              <w:marLeft w:val="0"/>
              <w:marRight w:val="0"/>
              <w:marTop w:val="0"/>
              <w:marBottom w:val="0"/>
              <w:divBdr>
                <w:top w:val="none" w:sz="0" w:space="0" w:color="auto"/>
                <w:left w:val="none" w:sz="0" w:space="0" w:color="auto"/>
                <w:bottom w:val="none" w:sz="0" w:space="0" w:color="auto"/>
                <w:right w:val="none" w:sz="0" w:space="0" w:color="auto"/>
              </w:divBdr>
              <w:divsChild>
                <w:div w:id="936596826">
                  <w:marLeft w:val="0"/>
                  <w:marRight w:val="0"/>
                  <w:marTop w:val="0"/>
                  <w:marBottom w:val="0"/>
                  <w:divBdr>
                    <w:top w:val="none" w:sz="0" w:space="0" w:color="auto"/>
                    <w:left w:val="none" w:sz="0" w:space="0" w:color="auto"/>
                    <w:bottom w:val="none" w:sz="0" w:space="0" w:color="auto"/>
                    <w:right w:val="none" w:sz="0" w:space="0" w:color="auto"/>
                  </w:divBdr>
                  <w:divsChild>
                    <w:div w:id="1747453660">
                      <w:marLeft w:val="0"/>
                      <w:marRight w:val="0"/>
                      <w:marTop w:val="45"/>
                      <w:marBottom w:val="0"/>
                      <w:divBdr>
                        <w:top w:val="none" w:sz="0" w:space="0" w:color="auto"/>
                        <w:left w:val="none" w:sz="0" w:space="0" w:color="auto"/>
                        <w:bottom w:val="none" w:sz="0" w:space="0" w:color="auto"/>
                        <w:right w:val="none" w:sz="0" w:space="0" w:color="auto"/>
                      </w:divBdr>
                      <w:divsChild>
                        <w:div w:id="1367024165">
                          <w:marLeft w:val="0"/>
                          <w:marRight w:val="0"/>
                          <w:marTop w:val="0"/>
                          <w:marBottom w:val="0"/>
                          <w:divBdr>
                            <w:top w:val="none" w:sz="0" w:space="0" w:color="auto"/>
                            <w:left w:val="none" w:sz="0" w:space="0" w:color="auto"/>
                            <w:bottom w:val="none" w:sz="0" w:space="0" w:color="auto"/>
                            <w:right w:val="none" w:sz="0" w:space="0" w:color="auto"/>
                          </w:divBdr>
                          <w:divsChild>
                            <w:div w:id="1775440466">
                              <w:marLeft w:val="2070"/>
                              <w:marRight w:val="3960"/>
                              <w:marTop w:val="0"/>
                              <w:marBottom w:val="0"/>
                              <w:divBdr>
                                <w:top w:val="none" w:sz="0" w:space="0" w:color="auto"/>
                                <w:left w:val="none" w:sz="0" w:space="0" w:color="auto"/>
                                <w:bottom w:val="none" w:sz="0" w:space="0" w:color="auto"/>
                                <w:right w:val="none" w:sz="0" w:space="0" w:color="auto"/>
                              </w:divBdr>
                              <w:divsChild>
                                <w:div w:id="444228381">
                                  <w:marLeft w:val="0"/>
                                  <w:marRight w:val="0"/>
                                  <w:marTop w:val="0"/>
                                  <w:marBottom w:val="0"/>
                                  <w:divBdr>
                                    <w:top w:val="none" w:sz="0" w:space="0" w:color="auto"/>
                                    <w:left w:val="none" w:sz="0" w:space="0" w:color="auto"/>
                                    <w:bottom w:val="none" w:sz="0" w:space="0" w:color="auto"/>
                                    <w:right w:val="none" w:sz="0" w:space="0" w:color="auto"/>
                                  </w:divBdr>
                                  <w:divsChild>
                                    <w:div w:id="1328288787">
                                      <w:marLeft w:val="0"/>
                                      <w:marRight w:val="0"/>
                                      <w:marTop w:val="0"/>
                                      <w:marBottom w:val="0"/>
                                      <w:divBdr>
                                        <w:top w:val="none" w:sz="0" w:space="0" w:color="auto"/>
                                        <w:left w:val="none" w:sz="0" w:space="0" w:color="auto"/>
                                        <w:bottom w:val="none" w:sz="0" w:space="0" w:color="auto"/>
                                        <w:right w:val="none" w:sz="0" w:space="0" w:color="auto"/>
                                      </w:divBdr>
                                      <w:divsChild>
                                        <w:div w:id="1508641992">
                                          <w:marLeft w:val="0"/>
                                          <w:marRight w:val="0"/>
                                          <w:marTop w:val="0"/>
                                          <w:marBottom w:val="0"/>
                                          <w:divBdr>
                                            <w:top w:val="none" w:sz="0" w:space="0" w:color="auto"/>
                                            <w:left w:val="none" w:sz="0" w:space="0" w:color="auto"/>
                                            <w:bottom w:val="none" w:sz="0" w:space="0" w:color="auto"/>
                                            <w:right w:val="none" w:sz="0" w:space="0" w:color="auto"/>
                                          </w:divBdr>
                                          <w:divsChild>
                                            <w:div w:id="1469669632">
                                              <w:marLeft w:val="0"/>
                                              <w:marRight w:val="0"/>
                                              <w:marTop w:val="90"/>
                                              <w:marBottom w:val="0"/>
                                              <w:divBdr>
                                                <w:top w:val="none" w:sz="0" w:space="0" w:color="auto"/>
                                                <w:left w:val="none" w:sz="0" w:space="0" w:color="auto"/>
                                                <w:bottom w:val="none" w:sz="0" w:space="0" w:color="auto"/>
                                                <w:right w:val="none" w:sz="0" w:space="0" w:color="auto"/>
                                              </w:divBdr>
                                              <w:divsChild>
                                                <w:div w:id="937255074">
                                                  <w:marLeft w:val="0"/>
                                                  <w:marRight w:val="0"/>
                                                  <w:marTop w:val="0"/>
                                                  <w:marBottom w:val="0"/>
                                                  <w:divBdr>
                                                    <w:top w:val="none" w:sz="0" w:space="0" w:color="auto"/>
                                                    <w:left w:val="none" w:sz="0" w:space="0" w:color="auto"/>
                                                    <w:bottom w:val="none" w:sz="0" w:space="0" w:color="auto"/>
                                                    <w:right w:val="none" w:sz="0" w:space="0" w:color="auto"/>
                                                  </w:divBdr>
                                                  <w:divsChild>
                                                    <w:div w:id="1632787237">
                                                      <w:marLeft w:val="0"/>
                                                      <w:marRight w:val="0"/>
                                                      <w:marTop w:val="0"/>
                                                      <w:marBottom w:val="0"/>
                                                      <w:divBdr>
                                                        <w:top w:val="none" w:sz="0" w:space="0" w:color="auto"/>
                                                        <w:left w:val="none" w:sz="0" w:space="0" w:color="auto"/>
                                                        <w:bottom w:val="none" w:sz="0" w:space="0" w:color="auto"/>
                                                        <w:right w:val="none" w:sz="0" w:space="0" w:color="auto"/>
                                                      </w:divBdr>
                                                      <w:divsChild>
                                                        <w:div w:id="1566408508">
                                                          <w:marLeft w:val="0"/>
                                                          <w:marRight w:val="0"/>
                                                          <w:marTop w:val="0"/>
                                                          <w:marBottom w:val="390"/>
                                                          <w:divBdr>
                                                            <w:top w:val="none" w:sz="0" w:space="0" w:color="auto"/>
                                                            <w:left w:val="none" w:sz="0" w:space="0" w:color="auto"/>
                                                            <w:bottom w:val="none" w:sz="0" w:space="0" w:color="auto"/>
                                                            <w:right w:val="none" w:sz="0" w:space="0" w:color="auto"/>
                                                          </w:divBdr>
                                                          <w:divsChild>
                                                            <w:div w:id="1382827832">
                                                              <w:marLeft w:val="0"/>
                                                              <w:marRight w:val="0"/>
                                                              <w:marTop w:val="0"/>
                                                              <w:marBottom w:val="0"/>
                                                              <w:divBdr>
                                                                <w:top w:val="none" w:sz="0" w:space="0" w:color="auto"/>
                                                                <w:left w:val="none" w:sz="0" w:space="0" w:color="auto"/>
                                                                <w:bottom w:val="none" w:sz="0" w:space="0" w:color="auto"/>
                                                                <w:right w:val="none" w:sz="0" w:space="0" w:color="auto"/>
                                                              </w:divBdr>
                                                              <w:divsChild>
                                                                <w:div w:id="1222134871">
                                                                  <w:marLeft w:val="0"/>
                                                                  <w:marRight w:val="0"/>
                                                                  <w:marTop w:val="0"/>
                                                                  <w:marBottom w:val="0"/>
                                                                  <w:divBdr>
                                                                    <w:top w:val="none" w:sz="0" w:space="0" w:color="auto"/>
                                                                    <w:left w:val="none" w:sz="0" w:space="0" w:color="auto"/>
                                                                    <w:bottom w:val="none" w:sz="0" w:space="0" w:color="auto"/>
                                                                    <w:right w:val="none" w:sz="0" w:space="0" w:color="auto"/>
                                                                  </w:divBdr>
                                                                  <w:divsChild>
                                                                    <w:div w:id="1519344718">
                                                                      <w:marLeft w:val="0"/>
                                                                      <w:marRight w:val="0"/>
                                                                      <w:marTop w:val="0"/>
                                                                      <w:marBottom w:val="0"/>
                                                                      <w:divBdr>
                                                                        <w:top w:val="none" w:sz="0" w:space="0" w:color="auto"/>
                                                                        <w:left w:val="none" w:sz="0" w:space="0" w:color="auto"/>
                                                                        <w:bottom w:val="none" w:sz="0" w:space="0" w:color="auto"/>
                                                                        <w:right w:val="none" w:sz="0" w:space="0" w:color="auto"/>
                                                                      </w:divBdr>
                                                                      <w:divsChild>
                                                                        <w:div w:id="1619071139">
                                                                          <w:marLeft w:val="0"/>
                                                                          <w:marRight w:val="0"/>
                                                                          <w:marTop w:val="0"/>
                                                                          <w:marBottom w:val="0"/>
                                                                          <w:divBdr>
                                                                            <w:top w:val="none" w:sz="0" w:space="0" w:color="auto"/>
                                                                            <w:left w:val="none" w:sz="0" w:space="0" w:color="auto"/>
                                                                            <w:bottom w:val="none" w:sz="0" w:space="0" w:color="auto"/>
                                                                            <w:right w:val="none" w:sz="0" w:space="0" w:color="auto"/>
                                                                          </w:divBdr>
                                                                          <w:divsChild>
                                                                            <w:div w:id="676225403">
                                                                              <w:marLeft w:val="0"/>
                                                                              <w:marRight w:val="0"/>
                                                                              <w:marTop w:val="0"/>
                                                                              <w:marBottom w:val="0"/>
                                                                              <w:divBdr>
                                                                                <w:top w:val="none" w:sz="0" w:space="0" w:color="auto"/>
                                                                                <w:left w:val="none" w:sz="0" w:space="0" w:color="auto"/>
                                                                                <w:bottom w:val="none" w:sz="0" w:space="0" w:color="auto"/>
                                                                                <w:right w:val="none" w:sz="0" w:space="0" w:color="auto"/>
                                                                              </w:divBdr>
                                                                              <w:divsChild>
                                                                                <w:div w:id="280650660">
                                                                                  <w:marLeft w:val="0"/>
                                                                                  <w:marRight w:val="0"/>
                                                                                  <w:marTop w:val="0"/>
                                                                                  <w:marBottom w:val="0"/>
                                                                                  <w:divBdr>
                                                                                    <w:top w:val="none" w:sz="0" w:space="0" w:color="auto"/>
                                                                                    <w:left w:val="none" w:sz="0" w:space="0" w:color="auto"/>
                                                                                    <w:bottom w:val="none" w:sz="0" w:space="0" w:color="auto"/>
                                                                                    <w:right w:val="none" w:sz="0" w:space="0" w:color="auto"/>
                                                                                  </w:divBdr>
                                                                                  <w:divsChild>
                                                                                    <w:div w:id="352923188">
                                                                                      <w:marLeft w:val="0"/>
                                                                                      <w:marRight w:val="0"/>
                                                                                      <w:marTop w:val="0"/>
                                                                                      <w:marBottom w:val="0"/>
                                                                                      <w:divBdr>
                                                                                        <w:top w:val="none" w:sz="0" w:space="0" w:color="auto"/>
                                                                                        <w:left w:val="none" w:sz="0" w:space="0" w:color="auto"/>
                                                                                        <w:bottom w:val="none" w:sz="0" w:space="0" w:color="auto"/>
                                                                                        <w:right w:val="none" w:sz="0" w:space="0" w:color="auto"/>
                                                                                      </w:divBdr>
                                                                                      <w:divsChild>
                                                                                        <w:div w:id="9897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146341">
      <w:bodyDiv w:val="1"/>
      <w:marLeft w:val="0"/>
      <w:marRight w:val="0"/>
      <w:marTop w:val="0"/>
      <w:marBottom w:val="0"/>
      <w:divBdr>
        <w:top w:val="none" w:sz="0" w:space="0" w:color="auto"/>
        <w:left w:val="none" w:sz="0" w:space="0" w:color="auto"/>
        <w:bottom w:val="none" w:sz="0" w:space="0" w:color="auto"/>
        <w:right w:val="none" w:sz="0" w:space="0" w:color="auto"/>
      </w:divBdr>
      <w:divsChild>
        <w:div w:id="2025277333">
          <w:marLeft w:val="0"/>
          <w:marRight w:val="0"/>
          <w:marTop w:val="0"/>
          <w:marBottom w:val="0"/>
          <w:divBdr>
            <w:top w:val="none" w:sz="0" w:space="0" w:color="auto"/>
            <w:left w:val="none" w:sz="0" w:space="0" w:color="auto"/>
            <w:bottom w:val="none" w:sz="0" w:space="0" w:color="auto"/>
            <w:right w:val="none" w:sz="0" w:space="0" w:color="auto"/>
          </w:divBdr>
          <w:divsChild>
            <w:div w:id="2096588203">
              <w:marLeft w:val="0"/>
              <w:marRight w:val="0"/>
              <w:marTop w:val="0"/>
              <w:marBottom w:val="0"/>
              <w:divBdr>
                <w:top w:val="none" w:sz="0" w:space="0" w:color="auto"/>
                <w:left w:val="none" w:sz="0" w:space="0" w:color="auto"/>
                <w:bottom w:val="none" w:sz="0" w:space="0" w:color="auto"/>
                <w:right w:val="none" w:sz="0" w:space="0" w:color="auto"/>
              </w:divBdr>
              <w:divsChild>
                <w:div w:id="1837262511">
                  <w:marLeft w:val="0"/>
                  <w:marRight w:val="0"/>
                  <w:marTop w:val="0"/>
                  <w:marBottom w:val="0"/>
                  <w:divBdr>
                    <w:top w:val="none" w:sz="0" w:space="0" w:color="auto"/>
                    <w:left w:val="none" w:sz="0" w:space="0" w:color="auto"/>
                    <w:bottom w:val="none" w:sz="0" w:space="0" w:color="auto"/>
                    <w:right w:val="none" w:sz="0" w:space="0" w:color="auto"/>
                  </w:divBdr>
                  <w:divsChild>
                    <w:div w:id="677854292">
                      <w:marLeft w:val="0"/>
                      <w:marRight w:val="0"/>
                      <w:marTop w:val="45"/>
                      <w:marBottom w:val="0"/>
                      <w:divBdr>
                        <w:top w:val="none" w:sz="0" w:space="0" w:color="auto"/>
                        <w:left w:val="none" w:sz="0" w:space="0" w:color="auto"/>
                        <w:bottom w:val="none" w:sz="0" w:space="0" w:color="auto"/>
                        <w:right w:val="none" w:sz="0" w:space="0" w:color="auto"/>
                      </w:divBdr>
                      <w:divsChild>
                        <w:div w:id="1219902212">
                          <w:marLeft w:val="0"/>
                          <w:marRight w:val="0"/>
                          <w:marTop w:val="0"/>
                          <w:marBottom w:val="0"/>
                          <w:divBdr>
                            <w:top w:val="none" w:sz="0" w:space="0" w:color="auto"/>
                            <w:left w:val="none" w:sz="0" w:space="0" w:color="auto"/>
                            <w:bottom w:val="none" w:sz="0" w:space="0" w:color="auto"/>
                            <w:right w:val="none" w:sz="0" w:space="0" w:color="auto"/>
                          </w:divBdr>
                          <w:divsChild>
                            <w:div w:id="286549815">
                              <w:marLeft w:val="2070"/>
                              <w:marRight w:val="3960"/>
                              <w:marTop w:val="0"/>
                              <w:marBottom w:val="0"/>
                              <w:divBdr>
                                <w:top w:val="none" w:sz="0" w:space="0" w:color="auto"/>
                                <w:left w:val="none" w:sz="0" w:space="0" w:color="auto"/>
                                <w:bottom w:val="none" w:sz="0" w:space="0" w:color="auto"/>
                                <w:right w:val="none" w:sz="0" w:space="0" w:color="auto"/>
                              </w:divBdr>
                              <w:divsChild>
                                <w:div w:id="823742543">
                                  <w:marLeft w:val="0"/>
                                  <w:marRight w:val="0"/>
                                  <w:marTop w:val="0"/>
                                  <w:marBottom w:val="0"/>
                                  <w:divBdr>
                                    <w:top w:val="none" w:sz="0" w:space="0" w:color="auto"/>
                                    <w:left w:val="none" w:sz="0" w:space="0" w:color="auto"/>
                                    <w:bottom w:val="none" w:sz="0" w:space="0" w:color="auto"/>
                                    <w:right w:val="none" w:sz="0" w:space="0" w:color="auto"/>
                                  </w:divBdr>
                                  <w:divsChild>
                                    <w:div w:id="1813326579">
                                      <w:marLeft w:val="0"/>
                                      <w:marRight w:val="0"/>
                                      <w:marTop w:val="0"/>
                                      <w:marBottom w:val="0"/>
                                      <w:divBdr>
                                        <w:top w:val="none" w:sz="0" w:space="0" w:color="auto"/>
                                        <w:left w:val="none" w:sz="0" w:space="0" w:color="auto"/>
                                        <w:bottom w:val="none" w:sz="0" w:space="0" w:color="auto"/>
                                        <w:right w:val="none" w:sz="0" w:space="0" w:color="auto"/>
                                      </w:divBdr>
                                      <w:divsChild>
                                        <w:div w:id="415513297">
                                          <w:marLeft w:val="0"/>
                                          <w:marRight w:val="0"/>
                                          <w:marTop w:val="0"/>
                                          <w:marBottom w:val="0"/>
                                          <w:divBdr>
                                            <w:top w:val="none" w:sz="0" w:space="0" w:color="auto"/>
                                            <w:left w:val="none" w:sz="0" w:space="0" w:color="auto"/>
                                            <w:bottom w:val="none" w:sz="0" w:space="0" w:color="auto"/>
                                            <w:right w:val="none" w:sz="0" w:space="0" w:color="auto"/>
                                          </w:divBdr>
                                          <w:divsChild>
                                            <w:div w:id="1305043995">
                                              <w:marLeft w:val="0"/>
                                              <w:marRight w:val="0"/>
                                              <w:marTop w:val="90"/>
                                              <w:marBottom w:val="0"/>
                                              <w:divBdr>
                                                <w:top w:val="none" w:sz="0" w:space="0" w:color="auto"/>
                                                <w:left w:val="none" w:sz="0" w:space="0" w:color="auto"/>
                                                <w:bottom w:val="none" w:sz="0" w:space="0" w:color="auto"/>
                                                <w:right w:val="none" w:sz="0" w:space="0" w:color="auto"/>
                                              </w:divBdr>
                                              <w:divsChild>
                                                <w:div w:id="1749494816">
                                                  <w:marLeft w:val="0"/>
                                                  <w:marRight w:val="0"/>
                                                  <w:marTop w:val="0"/>
                                                  <w:marBottom w:val="0"/>
                                                  <w:divBdr>
                                                    <w:top w:val="none" w:sz="0" w:space="0" w:color="auto"/>
                                                    <w:left w:val="none" w:sz="0" w:space="0" w:color="auto"/>
                                                    <w:bottom w:val="none" w:sz="0" w:space="0" w:color="auto"/>
                                                    <w:right w:val="none" w:sz="0" w:space="0" w:color="auto"/>
                                                  </w:divBdr>
                                                  <w:divsChild>
                                                    <w:div w:id="1445539906">
                                                      <w:marLeft w:val="0"/>
                                                      <w:marRight w:val="0"/>
                                                      <w:marTop w:val="0"/>
                                                      <w:marBottom w:val="0"/>
                                                      <w:divBdr>
                                                        <w:top w:val="none" w:sz="0" w:space="0" w:color="auto"/>
                                                        <w:left w:val="none" w:sz="0" w:space="0" w:color="auto"/>
                                                        <w:bottom w:val="none" w:sz="0" w:space="0" w:color="auto"/>
                                                        <w:right w:val="none" w:sz="0" w:space="0" w:color="auto"/>
                                                      </w:divBdr>
                                                      <w:divsChild>
                                                        <w:div w:id="687029151">
                                                          <w:marLeft w:val="0"/>
                                                          <w:marRight w:val="0"/>
                                                          <w:marTop w:val="0"/>
                                                          <w:marBottom w:val="390"/>
                                                          <w:divBdr>
                                                            <w:top w:val="none" w:sz="0" w:space="0" w:color="auto"/>
                                                            <w:left w:val="none" w:sz="0" w:space="0" w:color="auto"/>
                                                            <w:bottom w:val="none" w:sz="0" w:space="0" w:color="auto"/>
                                                            <w:right w:val="none" w:sz="0" w:space="0" w:color="auto"/>
                                                          </w:divBdr>
                                                          <w:divsChild>
                                                            <w:div w:id="846284416">
                                                              <w:marLeft w:val="0"/>
                                                              <w:marRight w:val="0"/>
                                                              <w:marTop w:val="0"/>
                                                              <w:marBottom w:val="0"/>
                                                              <w:divBdr>
                                                                <w:top w:val="none" w:sz="0" w:space="0" w:color="auto"/>
                                                                <w:left w:val="none" w:sz="0" w:space="0" w:color="auto"/>
                                                                <w:bottom w:val="none" w:sz="0" w:space="0" w:color="auto"/>
                                                                <w:right w:val="none" w:sz="0" w:space="0" w:color="auto"/>
                                                              </w:divBdr>
                                                              <w:divsChild>
                                                                <w:div w:id="2020039718">
                                                                  <w:marLeft w:val="0"/>
                                                                  <w:marRight w:val="0"/>
                                                                  <w:marTop w:val="0"/>
                                                                  <w:marBottom w:val="0"/>
                                                                  <w:divBdr>
                                                                    <w:top w:val="none" w:sz="0" w:space="0" w:color="auto"/>
                                                                    <w:left w:val="none" w:sz="0" w:space="0" w:color="auto"/>
                                                                    <w:bottom w:val="none" w:sz="0" w:space="0" w:color="auto"/>
                                                                    <w:right w:val="none" w:sz="0" w:space="0" w:color="auto"/>
                                                                  </w:divBdr>
                                                                  <w:divsChild>
                                                                    <w:div w:id="1335567189">
                                                                      <w:marLeft w:val="0"/>
                                                                      <w:marRight w:val="0"/>
                                                                      <w:marTop w:val="0"/>
                                                                      <w:marBottom w:val="0"/>
                                                                      <w:divBdr>
                                                                        <w:top w:val="none" w:sz="0" w:space="0" w:color="auto"/>
                                                                        <w:left w:val="none" w:sz="0" w:space="0" w:color="auto"/>
                                                                        <w:bottom w:val="none" w:sz="0" w:space="0" w:color="auto"/>
                                                                        <w:right w:val="none" w:sz="0" w:space="0" w:color="auto"/>
                                                                      </w:divBdr>
                                                                      <w:divsChild>
                                                                        <w:div w:id="1822770209">
                                                                          <w:marLeft w:val="0"/>
                                                                          <w:marRight w:val="0"/>
                                                                          <w:marTop w:val="0"/>
                                                                          <w:marBottom w:val="0"/>
                                                                          <w:divBdr>
                                                                            <w:top w:val="none" w:sz="0" w:space="0" w:color="auto"/>
                                                                            <w:left w:val="none" w:sz="0" w:space="0" w:color="auto"/>
                                                                            <w:bottom w:val="none" w:sz="0" w:space="0" w:color="auto"/>
                                                                            <w:right w:val="none" w:sz="0" w:space="0" w:color="auto"/>
                                                                          </w:divBdr>
                                                                          <w:divsChild>
                                                                            <w:div w:id="712266153">
                                                                              <w:marLeft w:val="0"/>
                                                                              <w:marRight w:val="0"/>
                                                                              <w:marTop w:val="0"/>
                                                                              <w:marBottom w:val="0"/>
                                                                              <w:divBdr>
                                                                                <w:top w:val="none" w:sz="0" w:space="0" w:color="auto"/>
                                                                                <w:left w:val="none" w:sz="0" w:space="0" w:color="auto"/>
                                                                                <w:bottom w:val="none" w:sz="0" w:space="0" w:color="auto"/>
                                                                                <w:right w:val="none" w:sz="0" w:space="0" w:color="auto"/>
                                                                              </w:divBdr>
                                                                              <w:divsChild>
                                                                                <w:div w:id="917518985">
                                                                                  <w:marLeft w:val="0"/>
                                                                                  <w:marRight w:val="0"/>
                                                                                  <w:marTop w:val="0"/>
                                                                                  <w:marBottom w:val="0"/>
                                                                                  <w:divBdr>
                                                                                    <w:top w:val="none" w:sz="0" w:space="0" w:color="auto"/>
                                                                                    <w:left w:val="none" w:sz="0" w:space="0" w:color="auto"/>
                                                                                    <w:bottom w:val="none" w:sz="0" w:space="0" w:color="auto"/>
                                                                                    <w:right w:val="none" w:sz="0" w:space="0" w:color="auto"/>
                                                                                  </w:divBdr>
                                                                                  <w:divsChild>
                                                                                    <w:div w:id="66349245">
                                                                                      <w:marLeft w:val="0"/>
                                                                                      <w:marRight w:val="0"/>
                                                                                      <w:marTop w:val="0"/>
                                                                                      <w:marBottom w:val="0"/>
                                                                                      <w:divBdr>
                                                                                        <w:top w:val="none" w:sz="0" w:space="0" w:color="auto"/>
                                                                                        <w:left w:val="none" w:sz="0" w:space="0" w:color="auto"/>
                                                                                        <w:bottom w:val="none" w:sz="0" w:space="0" w:color="auto"/>
                                                                                        <w:right w:val="none" w:sz="0" w:space="0" w:color="auto"/>
                                                                                      </w:divBdr>
                                                                                      <w:divsChild>
                                                                                        <w:div w:id="8272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26531">
      <w:bodyDiv w:val="1"/>
      <w:marLeft w:val="0"/>
      <w:marRight w:val="0"/>
      <w:marTop w:val="0"/>
      <w:marBottom w:val="0"/>
      <w:divBdr>
        <w:top w:val="none" w:sz="0" w:space="0" w:color="auto"/>
        <w:left w:val="none" w:sz="0" w:space="0" w:color="auto"/>
        <w:bottom w:val="none" w:sz="0" w:space="0" w:color="auto"/>
        <w:right w:val="none" w:sz="0" w:space="0" w:color="auto"/>
      </w:divBdr>
    </w:div>
    <w:div w:id="1310938740">
      <w:bodyDiv w:val="1"/>
      <w:marLeft w:val="0"/>
      <w:marRight w:val="0"/>
      <w:marTop w:val="0"/>
      <w:marBottom w:val="0"/>
      <w:divBdr>
        <w:top w:val="none" w:sz="0" w:space="0" w:color="auto"/>
        <w:left w:val="none" w:sz="0" w:space="0" w:color="auto"/>
        <w:bottom w:val="none" w:sz="0" w:space="0" w:color="auto"/>
        <w:right w:val="none" w:sz="0" w:space="0" w:color="auto"/>
      </w:divBdr>
    </w:div>
    <w:div w:id="1653563297">
      <w:bodyDiv w:val="1"/>
      <w:marLeft w:val="0"/>
      <w:marRight w:val="0"/>
      <w:marTop w:val="0"/>
      <w:marBottom w:val="0"/>
      <w:divBdr>
        <w:top w:val="none" w:sz="0" w:space="0" w:color="auto"/>
        <w:left w:val="none" w:sz="0" w:space="0" w:color="auto"/>
        <w:bottom w:val="none" w:sz="0" w:space="0" w:color="auto"/>
        <w:right w:val="none" w:sz="0" w:space="0" w:color="auto"/>
      </w:divBdr>
      <w:divsChild>
        <w:div w:id="830294771">
          <w:marLeft w:val="0"/>
          <w:marRight w:val="0"/>
          <w:marTop w:val="0"/>
          <w:marBottom w:val="0"/>
          <w:divBdr>
            <w:top w:val="none" w:sz="0" w:space="0" w:color="auto"/>
            <w:left w:val="none" w:sz="0" w:space="0" w:color="auto"/>
            <w:bottom w:val="none" w:sz="0" w:space="0" w:color="auto"/>
            <w:right w:val="none" w:sz="0" w:space="0" w:color="auto"/>
          </w:divBdr>
          <w:divsChild>
            <w:div w:id="1739129400">
              <w:marLeft w:val="0"/>
              <w:marRight w:val="0"/>
              <w:marTop w:val="0"/>
              <w:marBottom w:val="0"/>
              <w:divBdr>
                <w:top w:val="none" w:sz="0" w:space="0" w:color="auto"/>
                <w:left w:val="none" w:sz="0" w:space="0" w:color="auto"/>
                <w:bottom w:val="none" w:sz="0" w:space="0" w:color="auto"/>
                <w:right w:val="none" w:sz="0" w:space="0" w:color="auto"/>
              </w:divBdr>
              <w:divsChild>
                <w:div w:id="526218571">
                  <w:marLeft w:val="0"/>
                  <w:marRight w:val="0"/>
                  <w:marTop w:val="0"/>
                  <w:marBottom w:val="0"/>
                  <w:divBdr>
                    <w:top w:val="none" w:sz="0" w:space="0" w:color="auto"/>
                    <w:left w:val="none" w:sz="0" w:space="0" w:color="auto"/>
                    <w:bottom w:val="none" w:sz="0" w:space="0" w:color="auto"/>
                    <w:right w:val="none" w:sz="0" w:space="0" w:color="auto"/>
                  </w:divBdr>
                  <w:divsChild>
                    <w:div w:id="805317562">
                      <w:marLeft w:val="0"/>
                      <w:marRight w:val="0"/>
                      <w:marTop w:val="45"/>
                      <w:marBottom w:val="0"/>
                      <w:divBdr>
                        <w:top w:val="none" w:sz="0" w:space="0" w:color="auto"/>
                        <w:left w:val="none" w:sz="0" w:space="0" w:color="auto"/>
                        <w:bottom w:val="none" w:sz="0" w:space="0" w:color="auto"/>
                        <w:right w:val="none" w:sz="0" w:space="0" w:color="auto"/>
                      </w:divBdr>
                      <w:divsChild>
                        <w:div w:id="577522691">
                          <w:marLeft w:val="0"/>
                          <w:marRight w:val="0"/>
                          <w:marTop w:val="0"/>
                          <w:marBottom w:val="0"/>
                          <w:divBdr>
                            <w:top w:val="none" w:sz="0" w:space="0" w:color="auto"/>
                            <w:left w:val="none" w:sz="0" w:space="0" w:color="auto"/>
                            <w:bottom w:val="none" w:sz="0" w:space="0" w:color="auto"/>
                            <w:right w:val="none" w:sz="0" w:space="0" w:color="auto"/>
                          </w:divBdr>
                          <w:divsChild>
                            <w:div w:id="194392775">
                              <w:marLeft w:val="2070"/>
                              <w:marRight w:val="3960"/>
                              <w:marTop w:val="0"/>
                              <w:marBottom w:val="0"/>
                              <w:divBdr>
                                <w:top w:val="none" w:sz="0" w:space="0" w:color="auto"/>
                                <w:left w:val="none" w:sz="0" w:space="0" w:color="auto"/>
                                <w:bottom w:val="none" w:sz="0" w:space="0" w:color="auto"/>
                                <w:right w:val="none" w:sz="0" w:space="0" w:color="auto"/>
                              </w:divBdr>
                              <w:divsChild>
                                <w:div w:id="1017073239">
                                  <w:marLeft w:val="0"/>
                                  <w:marRight w:val="0"/>
                                  <w:marTop w:val="0"/>
                                  <w:marBottom w:val="0"/>
                                  <w:divBdr>
                                    <w:top w:val="none" w:sz="0" w:space="0" w:color="auto"/>
                                    <w:left w:val="none" w:sz="0" w:space="0" w:color="auto"/>
                                    <w:bottom w:val="none" w:sz="0" w:space="0" w:color="auto"/>
                                    <w:right w:val="none" w:sz="0" w:space="0" w:color="auto"/>
                                  </w:divBdr>
                                  <w:divsChild>
                                    <w:div w:id="14817016">
                                      <w:marLeft w:val="0"/>
                                      <w:marRight w:val="0"/>
                                      <w:marTop w:val="0"/>
                                      <w:marBottom w:val="0"/>
                                      <w:divBdr>
                                        <w:top w:val="none" w:sz="0" w:space="0" w:color="auto"/>
                                        <w:left w:val="none" w:sz="0" w:space="0" w:color="auto"/>
                                        <w:bottom w:val="none" w:sz="0" w:space="0" w:color="auto"/>
                                        <w:right w:val="none" w:sz="0" w:space="0" w:color="auto"/>
                                      </w:divBdr>
                                      <w:divsChild>
                                        <w:div w:id="1495875051">
                                          <w:marLeft w:val="0"/>
                                          <w:marRight w:val="0"/>
                                          <w:marTop w:val="0"/>
                                          <w:marBottom w:val="0"/>
                                          <w:divBdr>
                                            <w:top w:val="none" w:sz="0" w:space="0" w:color="auto"/>
                                            <w:left w:val="none" w:sz="0" w:space="0" w:color="auto"/>
                                            <w:bottom w:val="none" w:sz="0" w:space="0" w:color="auto"/>
                                            <w:right w:val="none" w:sz="0" w:space="0" w:color="auto"/>
                                          </w:divBdr>
                                          <w:divsChild>
                                            <w:div w:id="1905067331">
                                              <w:marLeft w:val="0"/>
                                              <w:marRight w:val="0"/>
                                              <w:marTop w:val="90"/>
                                              <w:marBottom w:val="0"/>
                                              <w:divBdr>
                                                <w:top w:val="none" w:sz="0" w:space="0" w:color="auto"/>
                                                <w:left w:val="none" w:sz="0" w:space="0" w:color="auto"/>
                                                <w:bottom w:val="none" w:sz="0" w:space="0" w:color="auto"/>
                                                <w:right w:val="none" w:sz="0" w:space="0" w:color="auto"/>
                                              </w:divBdr>
                                              <w:divsChild>
                                                <w:div w:id="1437139811">
                                                  <w:marLeft w:val="0"/>
                                                  <w:marRight w:val="0"/>
                                                  <w:marTop w:val="0"/>
                                                  <w:marBottom w:val="0"/>
                                                  <w:divBdr>
                                                    <w:top w:val="none" w:sz="0" w:space="0" w:color="auto"/>
                                                    <w:left w:val="none" w:sz="0" w:space="0" w:color="auto"/>
                                                    <w:bottom w:val="none" w:sz="0" w:space="0" w:color="auto"/>
                                                    <w:right w:val="none" w:sz="0" w:space="0" w:color="auto"/>
                                                  </w:divBdr>
                                                  <w:divsChild>
                                                    <w:div w:id="1980527019">
                                                      <w:marLeft w:val="0"/>
                                                      <w:marRight w:val="0"/>
                                                      <w:marTop w:val="0"/>
                                                      <w:marBottom w:val="0"/>
                                                      <w:divBdr>
                                                        <w:top w:val="none" w:sz="0" w:space="0" w:color="auto"/>
                                                        <w:left w:val="none" w:sz="0" w:space="0" w:color="auto"/>
                                                        <w:bottom w:val="none" w:sz="0" w:space="0" w:color="auto"/>
                                                        <w:right w:val="none" w:sz="0" w:space="0" w:color="auto"/>
                                                      </w:divBdr>
                                                      <w:divsChild>
                                                        <w:div w:id="2128742620">
                                                          <w:marLeft w:val="0"/>
                                                          <w:marRight w:val="0"/>
                                                          <w:marTop w:val="0"/>
                                                          <w:marBottom w:val="390"/>
                                                          <w:divBdr>
                                                            <w:top w:val="none" w:sz="0" w:space="0" w:color="auto"/>
                                                            <w:left w:val="none" w:sz="0" w:space="0" w:color="auto"/>
                                                            <w:bottom w:val="none" w:sz="0" w:space="0" w:color="auto"/>
                                                            <w:right w:val="none" w:sz="0" w:space="0" w:color="auto"/>
                                                          </w:divBdr>
                                                          <w:divsChild>
                                                            <w:div w:id="2131431482">
                                                              <w:marLeft w:val="0"/>
                                                              <w:marRight w:val="0"/>
                                                              <w:marTop w:val="0"/>
                                                              <w:marBottom w:val="0"/>
                                                              <w:divBdr>
                                                                <w:top w:val="none" w:sz="0" w:space="0" w:color="auto"/>
                                                                <w:left w:val="none" w:sz="0" w:space="0" w:color="auto"/>
                                                                <w:bottom w:val="none" w:sz="0" w:space="0" w:color="auto"/>
                                                                <w:right w:val="none" w:sz="0" w:space="0" w:color="auto"/>
                                                              </w:divBdr>
                                                              <w:divsChild>
                                                                <w:div w:id="1318420312">
                                                                  <w:marLeft w:val="0"/>
                                                                  <w:marRight w:val="0"/>
                                                                  <w:marTop w:val="0"/>
                                                                  <w:marBottom w:val="0"/>
                                                                  <w:divBdr>
                                                                    <w:top w:val="none" w:sz="0" w:space="0" w:color="auto"/>
                                                                    <w:left w:val="none" w:sz="0" w:space="0" w:color="auto"/>
                                                                    <w:bottom w:val="none" w:sz="0" w:space="0" w:color="auto"/>
                                                                    <w:right w:val="none" w:sz="0" w:space="0" w:color="auto"/>
                                                                  </w:divBdr>
                                                                  <w:divsChild>
                                                                    <w:div w:id="855654510">
                                                                      <w:marLeft w:val="0"/>
                                                                      <w:marRight w:val="0"/>
                                                                      <w:marTop w:val="0"/>
                                                                      <w:marBottom w:val="0"/>
                                                                      <w:divBdr>
                                                                        <w:top w:val="none" w:sz="0" w:space="0" w:color="auto"/>
                                                                        <w:left w:val="none" w:sz="0" w:space="0" w:color="auto"/>
                                                                        <w:bottom w:val="none" w:sz="0" w:space="0" w:color="auto"/>
                                                                        <w:right w:val="none" w:sz="0" w:space="0" w:color="auto"/>
                                                                      </w:divBdr>
                                                                      <w:divsChild>
                                                                        <w:div w:id="56361458">
                                                                          <w:marLeft w:val="0"/>
                                                                          <w:marRight w:val="0"/>
                                                                          <w:marTop w:val="0"/>
                                                                          <w:marBottom w:val="0"/>
                                                                          <w:divBdr>
                                                                            <w:top w:val="none" w:sz="0" w:space="0" w:color="auto"/>
                                                                            <w:left w:val="none" w:sz="0" w:space="0" w:color="auto"/>
                                                                            <w:bottom w:val="none" w:sz="0" w:space="0" w:color="auto"/>
                                                                            <w:right w:val="none" w:sz="0" w:space="0" w:color="auto"/>
                                                                          </w:divBdr>
                                                                          <w:divsChild>
                                                                            <w:div w:id="167716583">
                                                                              <w:marLeft w:val="0"/>
                                                                              <w:marRight w:val="0"/>
                                                                              <w:marTop w:val="0"/>
                                                                              <w:marBottom w:val="0"/>
                                                                              <w:divBdr>
                                                                                <w:top w:val="none" w:sz="0" w:space="0" w:color="auto"/>
                                                                                <w:left w:val="none" w:sz="0" w:space="0" w:color="auto"/>
                                                                                <w:bottom w:val="none" w:sz="0" w:space="0" w:color="auto"/>
                                                                                <w:right w:val="none" w:sz="0" w:space="0" w:color="auto"/>
                                                                              </w:divBdr>
                                                                              <w:divsChild>
                                                                                <w:div w:id="306710996">
                                                                                  <w:marLeft w:val="0"/>
                                                                                  <w:marRight w:val="0"/>
                                                                                  <w:marTop w:val="0"/>
                                                                                  <w:marBottom w:val="0"/>
                                                                                  <w:divBdr>
                                                                                    <w:top w:val="none" w:sz="0" w:space="0" w:color="auto"/>
                                                                                    <w:left w:val="none" w:sz="0" w:space="0" w:color="auto"/>
                                                                                    <w:bottom w:val="none" w:sz="0" w:space="0" w:color="auto"/>
                                                                                    <w:right w:val="none" w:sz="0" w:space="0" w:color="auto"/>
                                                                                  </w:divBdr>
                                                                                  <w:divsChild>
                                                                                    <w:div w:id="1353142221">
                                                                                      <w:marLeft w:val="0"/>
                                                                                      <w:marRight w:val="0"/>
                                                                                      <w:marTop w:val="0"/>
                                                                                      <w:marBottom w:val="0"/>
                                                                                      <w:divBdr>
                                                                                        <w:top w:val="none" w:sz="0" w:space="0" w:color="auto"/>
                                                                                        <w:left w:val="none" w:sz="0" w:space="0" w:color="auto"/>
                                                                                        <w:bottom w:val="none" w:sz="0" w:space="0" w:color="auto"/>
                                                                                        <w:right w:val="none" w:sz="0" w:space="0" w:color="auto"/>
                                                                                      </w:divBdr>
                                                                                      <w:divsChild>
                                                                                        <w:div w:id="979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742285">
      <w:bodyDiv w:val="1"/>
      <w:marLeft w:val="0"/>
      <w:marRight w:val="0"/>
      <w:marTop w:val="0"/>
      <w:marBottom w:val="0"/>
      <w:divBdr>
        <w:top w:val="none" w:sz="0" w:space="0" w:color="auto"/>
        <w:left w:val="none" w:sz="0" w:space="0" w:color="auto"/>
        <w:bottom w:val="none" w:sz="0" w:space="0" w:color="auto"/>
        <w:right w:val="none" w:sz="0" w:space="0" w:color="auto"/>
      </w:divBdr>
    </w:div>
    <w:div w:id="1817723296">
      <w:bodyDiv w:val="1"/>
      <w:marLeft w:val="0"/>
      <w:marRight w:val="0"/>
      <w:marTop w:val="0"/>
      <w:marBottom w:val="0"/>
      <w:divBdr>
        <w:top w:val="none" w:sz="0" w:space="0" w:color="auto"/>
        <w:left w:val="none" w:sz="0" w:space="0" w:color="auto"/>
        <w:bottom w:val="none" w:sz="0" w:space="0" w:color="auto"/>
        <w:right w:val="none" w:sz="0" w:space="0" w:color="auto"/>
      </w:divBdr>
    </w:div>
    <w:div w:id="1858231476">
      <w:bodyDiv w:val="1"/>
      <w:marLeft w:val="0"/>
      <w:marRight w:val="0"/>
      <w:marTop w:val="0"/>
      <w:marBottom w:val="0"/>
      <w:divBdr>
        <w:top w:val="none" w:sz="0" w:space="0" w:color="auto"/>
        <w:left w:val="none" w:sz="0" w:space="0" w:color="auto"/>
        <w:bottom w:val="none" w:sz="0" w:space="0" w:color="auto"/>
        <w:right w:val="none" w:sz="0" w:space="0" w:color="auto"/>
      </w:divBdr>
    </w:div>
    <w:div w:id="1892573996">
      <w:bodyDiv w:val="1"/>
      <w:marLeft w:val="0"/>
      <w:marRight w:val="0"/>
      <w:marTop w:val="0"/>
      <w:marBottom w:val="0"/>
      <w:divBdr>
        <w:top w:val="none" w:sz="0" w:space="0" w:color="auto"/>
        <w:left w:val="none" w:sz="0" w:space="0" w:color="auto"/>
        <w:bottom w:val="none" w:sz="0" w:space="0" w:color="auto"/>
        <w:right w:val="none" w:sz="0" w:space="0" w:color="auto"/>
      </w:divBdr>
    </w:div>
    <w:div w:id="1935476870">
      <w:bodyDiv w:val="1"/>
      <w:marLeft w:val="0"/>
      <w:marRight w:val="0"/>
      <w:marTop w:val="0"/>
      <w:marBottom w:val="0"/>
      <w:divBdr>
        <w:top w:val="none" w:sz="0" w:space="0" w:color="auto"/>
        <w:left w:val="none" w:sz="0" w:space="0" w:color="auto"/>
        <w:bottom w:val="none" w:sz="0" w:space="0" w:color="auto"/>
        <w:right w:val="none" w:sz="0" w:space="0" w:color="auto"/>
      </w:divBdr>
    </w:div>
    <w:div w:id="1983146467">
      <w:bodyDiv w:val="1"/>
      <w:marLeft w:val="0"/>
      <w:marRight w:val="0"/>
      <w:marTop w:val="0"/>
      <w:marBottom w:val="0"/>
      <w:divBdr>
        <w:top w:val="none" w:sz="0" w:space="0" w:color="auto"/>
        <w:left w:val="none" w:sz="0" w:space="0" w:color="auto"/>
        <w:bottom w:val="none" w:sz="0" w:space="0" w:color="auto"/>
        <w:right w:val="none" w:sz="0" w:space="0" w:color="auto"/>
      </w:divBdr>
    </w:div>
    <w:div w:id="2121290538">
      <w:bodyDiv w:val="1"/>
      <w:marLeft w:val="0"/>
      <w:marRight w:val="0"/>
      <w:marTop w:val="0"/>
      <w:marBottom w:val="0"/>
      <w:divBdr>
        <w:top w:val="none" w:sz="0" w:space="0" w:color="auto"/>
        <w:left w:val="none" w:sz="0" w:space="0" w:color="auto"/>
        <w:bottom w:val="none" w:sz="0" w:space="0" w:color="auto"/>
        <w:right w:val="none" w:sz="0" w:space="0" w:color="auto"/>
      </w:divBdr>
    </w:div>
    <w:div w:id="212515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fao.org/fishery/rfb/cecaf/en"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datacollection.jrc.ec.europa.eu/" TargetMode="Externa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ec.europa.eu/info/better-regulation-guidelines-and-toolbox_en" TargetMode="Externa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ec.europa.eu/info/better-regulation-guidelines-and-toolbox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13:354:0022:006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6C84AFBF5EE1C4E8A7FF0805BEE5494" ma:contentTypeVersion="17" ma:contentTypeDescription="Create a new document in this library." ma:contentTypeScope="" ma:versionID="9dc0a580203d3306b1d47db9a3b2c566">
  <xsd:schema xmlns:xsd="http://www.w3.org/2001/XMLSchema" xmlns:xs="http://www.w3.org/2001/XMLSchema" xmlns:p="http://schemas.microsoft.com/office/2006/metadata/properties" xmlns:ns2="http://schemas.microsoft.com/sharepoint/v3/fields" xmlns:ns3="3a00f188-7430-40c8-bdb1-437a5e796362" targetNamespace="http://schemas.microsoft.com/office/2006/metadata/properties" ma:root="true" ma:fieldsID="249dc49d854cc88ded3893f89a59f875" ns2:_="" ns3:_="">
    <xsd:import namespace="http://schemas.microsoft.com/sharepoint/v3/fields"/>
    <xsd:import namespace="3a00f188-7430-40c8-bdb1-437a5e79636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Page"/>
                <xsd:element ref="ns3:Doc_x0020_type" minOccurs="0"/>
                <xsd:element ref="ns3:Meeting" minOccurs="0"/>
                <xsd:element ref="ns3:Political_x0020_field" minOccurs="0"/>
                <xsd:element ref="ns3:Page_x0020_section" minOccurs="0"/>
                <xsd:element ref="ns3:Political_x0020_sub_x0020_field" minOccurs="0"/>
                <xsd:element ref="ns3:DG" minOccurs="0"/>
                <xsd:element ref="ns3:Remarks" minOccurs="0"/>
                <xsd:element ref="ns3:Deadline" minOccurs="0"/>
                <xsd:element ref="ns3:DG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a00f188-7430-40c8-bdb1-437a5e7963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Page" ma:index="16" ma:displayName="Page" ma:format="Dropdown" ma:internalName="Page">
      <xsd:simpleType>
        <xsd:restriction base="dms:Choice">
          <xsd:enumeration value="IAWG Meetings"/>
          <xsd:enumeration value="IA Guidelines review"/>
          <xsd:enumeration value="DG Practices"/>
          <xsd:enumeration value="Presentations/Background documents"/>
          <xsd:enumeration value="Consultation guidelines"/>
        </xsd:restriction>
      </xsd:simpleType>
    </xsd:element>
    <xsd:element name="Doc_x0020_type" ma:index="17" nillable="true" ma:displayName="Doc type" ma:default="Document/Presentation" ma:format="Dropdown" ma:internalName="Doc_x0020_type">
      <xsd:simpleType>
        <xsd:restriction base="dms:Choice">
          <xsd:enumeration value="Agenda"/>
          <xsd:enumeration value="Document/Presentation"/>
          <xsd:enumeration value="Minutes"/>
          <xsd:enumeration value="Other"/>
        </xsd:restriction>
      </xsd:simpleType>
    </xsd:element>
    <xsd:element name="Meeting" ma:index="18" nillable="true" ma:displayName="Meeting" ma:format="DateOnly" ma:internalName="Meeting">
      <xsd:simpleType>
        <xsd:restriction base="dms:DateTime"/>
      </xsd:simpleType>
    </xsd:element>
    <xsd:element name="Political_x0020_field" ma:index="19" nillable="true" ma:displayName="Political field" ma:format="Dropdown" ma:internalName="Political_x0020_field">
      <xsd:simpleType>
        <xsd:restriction base="dms:Choice">
          <xsd:enumeration value="Horizontal"/>
          <xsd:enumeration value="Economic"/>
          <xsd:enumeration value="Environment"/>
          <xsd:enumeration value="Social"/>
        </xsd:restriction>
      </xsd:simpleType>
    </xsd:element>
    <xsd:element name="Page_x0020_section" ma:index="20" nillable="true" ma:displayName="Page section" ma:format="Dropdown" ma:internalName="Page_x0020_section">
      <xsd:simpleType>
        <xsd:restriction base="dms:Choice">
          <xsd:enumeration value="Draft guidelines"/>
          <xsd:enumeration value="Draft IA toolbox"/>
          <xsd:enumeration value="IAG dedicated website"/>
        </xsd:restriction>
      </xsd:simpleType>
    </xsd:element>
    <xsd:element name="Political_x0020_sub_x0020_field" ma:index="21" nillable="true" ma:displayName="Political sub field" ma:format="Dropdown" ma:internalName="Political_x0020_sub_x0020_field">
      <xsd:simpleType>
        <xsd:restriction base="dms:Choice">
          <xsd:enumeration value="Competition"/>
          <xsd:enumeration value="Competitiveness"/>
          <xsd:enumeration value="SMEs"/>
          <xsd:enumeration value="Trade impacts"/>
          <xsd:enumeration value="Resource efficiency"/>
          <xsd:enumeration value="Innovation and R&amp;D"/>
          <xsd:enumeration value="ICT"/>
          <xsd:enumeration value="Competition"/>
          <xsd:enumeration value="Social impacts"/>
          <xsd:enumeration value="Development coherence"/>
          <xsd:enumeration value="Fundamental rights"/>
          <xsd:enumeration value="Territorial impacts"/>
          <xsd:enumeration value="Health impacts"/>
          <xsd:enumeration value="Consumer impacts"/>
        </xsd:restriction>
      </xsd:simpleType>
    </xsd:element>
    <xsd:element name="DG" ma:index="22" nillable="true" ma:displayName="DG" ma:list="{e4d7dc6d-add6-4a28-813d-7669d6171ce3}" ma:internalName="DG" ma:showField="Title">
      <xsd:simpleType>
        <xsd:restriction base="dms:Lookup"/>
      </xsd:simpleType>
    </xsd:element>
    <xsd:element name="Remarks" ma:index="23" nillable="true" ma:displayName="Remarks" ma:internalName="Remarks">
      <xsd:simpleType>
        <xsd:restriction base="dms:Text">
          <xsd:maxLength value="255"/>
        </xsd:restriction>
      </xsd:simpleType>
    </xsd:element>
    <xsd:element name="Deadline" ma:index="24" nillable="true" ma:displayName="Deadline" ma:format="DateOnly" ma:internalName="Deadline">
      <xsd:simpleType>
        <xsd:restriction base="dms:DateTime"/>
      </xsd:simpleType>
    </xsd:element>
    <xsd:element name="DG_x0020_Comments" ma:index="27" nillable="true" ma:displayName="DG Comments" ma:default="0" ma:internalName="DG_x0020_Comme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3a00f188-7430-40c8-bdb1-437a5e796362" xsi:nil="true"/>
    <Meeting xmlns="3a00f188-7430-40c8-bdb1-437a5e796362" xsi:nil="true"/>
    <Remarks xmlns="3a00f188-7430-40c8-bdb1-437a5e796362" xsi:nil="true"/>
    <EC_Collab_Status xmlns="3a00f188-7430-40c8-bdb1-437a5e796362">Not Started</EC_Collab_Status>
    <Political_x0020_field xmlns="3a00f188-7430-40c8-bdb1-437a5e796362" xsi:nil="true"/>
    <_Status xmlns="http://schemas.microsoft.com/sharepoint/v3/fields">Not Started</_Status>
    <Political_x0020_sub_x0020_field xmlns="3a00f188-7430-40c8-bdb1-437a5e796362" xsi:nil="true"/>
    <Page xmlns="3a00f188-7430-40c8-bdb1-437a5e796362">Presentations/Background documents</Page>
    <Deadline xmlns="3a00f188-7430-40c8-bdb1-437a5e796362" xsi:nil="true"/>
    <Doc_x0020_type xmlns="3a00f188-7430-40c8-bdb1-437a5e796362">Document/Presentation</Doc_x0020_type>
    <Page_x0020_section xmlns="3a00f188-7430-40c8-bdb1-437a5e796362" xsi:nil="true"/>
    <DG xmlns="3a00f188-7430-40c8-bdb1-437a5e796362" xsi:nil="true"/>
    <EC_Collab_DocumentLanguage xmlns="3a00f188-7430-40c8-bdb1-437a5e796362">EN</EC_Collab_DocumentLanguage>
    <DG_x0020_Comments xmlns="3a00f188-7430-40c8-bdb1-437a5e796362">false</DG_x0020_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E3D4-D705-4443-A4A9-E9EF7DC7EA82}">
  <ds:schemaRefs>
    <ds:schemaRef ds:uri="http://schemas.microsoft.com/sharepoint/v3/contenttype/forms"/>
  </ds:schemaRefs>
</ds:datastoreItem>
</file>

<file path=customXml/itemProps2.xml><?xml version="1.0" encoding="utf-8"?>
<ds:datastoreItem xmlns:ds="http://schemas.openxmlformats.org/officeDocument/2006/customXml" ds:itemID="{BC78DC7A-2CB3-439A-9CC9-7D5EA1E0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a00f188-7430-40c8-bdb1-437a5e796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0FEA2-F82B-45C2-86C7-B3585645968E}">
  <ds:schemaRefs>
    <ds:schemaRef ds:uri="http://schemas.microsoft.com/office/2006/documentManagement/types"/>
    <ds:schemaRef ds:uri="http://schemas.microsoft.com/sharepoint/v3/field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a00f188-7430-40c8-bdb1-437a5e796362"/>
  </ds:schemaRefs>
</ds:datastoreItem>
</file>

<file path=customXml/itemProps4.xml><?xml version="1.0" encoding="utf-8"?>
<ds:datastoreItem xmlns:ds="http://schemas.openxmlformats.org/officeDocument/2006/customXml" ds:itemID="{BC4C3812-7035-4829-852E-BCC00308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721</TotalTime>
  <Pages>15</Pages>
  <Words>6082</Words>
  <Characters>33428</Characters>
  <Application>Microsoft Office Word</Application>
  <DocSecurity>0</DocSecurity>
  <PresentationFormat>Microsoft Word 14.0</PresentationFormat>
  <Lines>557</Lines>
  <Paragraphs>180</Paragraphs>
  <ScaleCrop>false</ScaleCrop>
  <HeadingPairs>
    <vt:vector size="2" baseType="variant">
      <vt:variant>
        <vt:lpstr>Title</vt:lpstr>
      </vt:variant>
      <vt:variant>
        <vt:i4>1</vt:i4>
      </vt:variant>
    </vt:vector>
  </HeadingPairs>
  <TitlesOfParts>
    <vt:vector size="1" baseType="lpstr">
      <vt:lpstr>Template evaluation SWD</vt:lpstr>
    </vt:vector>
  </TitlesOfParts>
  <Manager/>
  <Company/>
  <LinksUpToDate>false</LinksUpToDate>
  <CharactersWithSpaces>39362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evaluation SWD</dc:title>
  <dc:creator/>
  <cp:lastModifiedBy>LAGES CARVALHO Patrick (SG)</cp:lastModifiedBy>
  <cp:revision>199</cp:revision>
  <cp:lastPrinted>2017-10-24T09:59:00Z</cp:lastPrinted>
  <dcterms:created xsi:type="dcterms:W3CDTF">2017-10-20T09:27:00Z</dcterms:created>
  <dcterms:modified xsi:type="dcterms:W3CDTF">2018-01-08T07:50:00Z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0x010100258AA79CEB83498886A3A086811232500026C84AFBF5EE1C4E8A7FF0805BEE5494</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Level of sensitivity">
    <vt:lpwstr>Standard treatment</vt:lpwstr>
  </property>
</Properties>
</file>