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C7" w:rsidRDefault="00B17D66" w:rsidP="00B17D66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D5524336-76BD-4B63-9AD8-9E8C0E12EF61" style="width:450.8pt;height:380.05pt">
            <v:imagedata r:id="rId8" o:title=""/>
          </v:shape>
        </w:pict>
      </w:r>
    </w:p>
    <w:p w:rsidR="00D00FC7" w:rsidRDefault="00D00FC7">
      <w:pPr>
        <w:rPr>
          <w:noProof/>
        </w:rPr>
        <w:sectPr w:rsidR="00D00FC7" w:rsidSect="00B17D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00FC7" w:rsidRDefault="00B17D66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D00FC7" w:rsidRDefault="00B17D66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 w:rsidR="00D00FC7" w:rsidRDefault="00B17D66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 w:rsidR="00D00FC7" w:rsidRDefault="00B17D66">
      <w:pPr>
        <w:rPr>
          <w:noProof/>
        </w:rPr>
      </w:pPr>
      <w:r>
        <w:rPr>
          <w:noProof/>
        </w:rPr>
        <w:t xml:space="preserve">Комисията предлага да се проведат преговори за нов протокол за </w:t>
      </w:r>
      <w:r>
        <w:rPr>
          <w:noProof/>
        </w:rPr>
        <w:t>изпълнение на Споразумението за партньорство в областта на рибарството с Кралство Мароко, който да отговаря на нуждите на флота на Съюза и да е в съответствие с Регламент (ЕС) № 1380/2013 относно общата политика в областта на рибарството и със заключенията</w:t>
      </w:r>
      <w:r>
        <w:rPr>
          <w:noProof/>
        </w:rPr>
        <w:t xml:space="preserve"> на Съвета от 19 март 2012 г. по съобщението на Комисията относно външното измерение на общата политика в областта на рибарството (ОПОР).</w:t>
      </w:r>
    </w:p>
    <w:p w:rsidR="00D00FC7" w:rsidRDefault="00B17D66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 w:rsidR="00D00FC7" w:rsidRDefault="00B17D66">
      <w:pPr>
        <w:rPr>
          <w:noProof/>
        </w:rPr>
      </w:pPr>
      <w:r>
        <w:rPr>
          <w:noProof/>
        </w:rPr>
        <w:t>Настоящото споразумение за партньорство в областт</w:t>
      </w:r>
      <w:r>
        <w:rPr>
          <w:noProof/>
        </w:rPr>
        <w:t>а на рибарството между Европейския съюз и Кралство Мароко влезе в сила на 28 февруари 2007 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Споразумението беше приложено чрез два последователни протокола, които позволяваха на кораби на Съюза, извършващи риболов на пелагични и дънни видове, достъп до </w:t>
      </w:r>
      <w:r>
        <w:rPr>
          <w:noProof/>
        </w:rPr>
        <w:t>риболовната зона на Мароко до 14 декември 2011 г., когато изтече вторият протокол за изпълнение в резултат на несъгласието на Парламента за сключването му. ЕП постави под въпрос устойчивостта, икономическата ефективност и международната законосъобразност н</w:t>
      </w:r>
      <w:r>
        <w:rPr>
          <w:noProof/>
        </w:rPr>
        <w:t>а предлагания инструмент. През 2014 г. беше сключен трети протокол</w:t>
      </w:r>
      <w:r>
        <w:rPr>
          <w:rStyle w:val="FootnoteReference"/>
          <w:noProof/>
        </w:rPr>
        <w:footnoteReference w:id="2"/>
      </w:r>
      <w:r>
        <w:rPr>
          <w:noProof/>
        </w:rPr>
        <w:t>, който взе предвид изразената от ЕП загриженост, и който изтича на 14 юли 2018 г.</w:t>
      </w:r>
    </w:p>
    <w:p w:rsidR="00D00FC7" w:rsidRDefault="00B17D66">
      <w:pPr>
        <w:rPr>
          <w:noProof/>
        </w:rPr>
      </w:pPr>
      <w:r>
        <w:rPr>
          <w:noProof/>
        </w:rPr>
        <w:t>Мароканските риболовни зони, разположени в близост до ЕС и богати на рибни запаси, представляват съществен</w:t>
      </w:r>
      <w:r>
        <w:rPr>
          <w:noProof/>
        </w:rPr>
        <w:t xml:space="preserve">а риболовна зона както за традиционния непромишлен риболов от Испания и Португалия, така и за промишлените флотове от по-отдалечени държави членки. Тези риболовни зони включват води както под суверенитета, така и под юрисдикцията на Мароко, т.е. също така </w:t>
      </w:r>
      <w:r>
        <w:rPr>
          <w:noProof/>
        </w:rPr>
        <w:t xml:space="preserve">водите край Западна Сахара, които </w:t>
      </w:r>
      <w:r>
        <w:rPr>
          <w:i/>
          <w:noProof/>
        </w:rPr>
        <w:t>de facto</w:t>
      </w:r>
      <w:r>
        <w:rPr>
          <w:noProof/>
        </w:rPr>
        <w:t xml:space="preserve"> се управляват от Мароко (в настоящия протокол са включени конкретни механизми за докладване с цел да се докажат социално-икономическите ползи за местното население). </w:t>
      </w:r>
    </w:p>
    <w:p w:rsidR="00D00FC7" w:rsidRDefault="00B17D66">
      <w:pPr>
        <w:rPr>
          <w:noProof/>
        </w:rPr>
      </w:pPr>
      <w:r>
        <w:rPr>
          <w:noProof/>
        </w:rPr>
        <w:t>Като цяло споразумението за партньорство в обл</w:t>
      </w:r>
      <w:r>
        <w:rPr>
          <w:noProof/>
        </w:rPr>
        <w:t>астта на рибарството с Мароко позволява на кораби от 11 държави членки да извършват риболовни операции в шест различни категории, които обхващат дребни пелагични видове, дънни видове и далекомигриращи видове. Мароканската риболовна зона представлява северн</w:t>
      </w:r>
      <w:r>
        <w:rPr>
          <w:noProof/>
        </w:rPr>
        <w:t>ата граница на зоната на разпространение на малки пелагични запаси „C“, която се простира върху водите на Мавритания, Сенегал и Гвинея Бисау, включени в мрежата от двустранни споразумения за партньорство в областта на устойчивото рибарство (СПОУР).</w:t>
      </w:r>
    </w:p>
    <w:p w:rsidR="00D00FC7" w:rsidRDefault="00B17D66">
      <w:pPr>
        <w:rPr>
          <w:noProof/>
        </w:rPr>
      </w:pPr>
      <w:r>
        <w:rPr>
          <w:noProof/>
        </w:rPr>
        <w:t>СПОУР д</w:t>
      </w:r>
      <w:r>
        <w:rPr>
          <w:noProof/>
        </w:rPr>
        <w:t>опринасят за утвърждаването в международен аспект на целите на ОПОР, като гарантират, че риболовните дейности на Съюза извън неговите води се основават на същите принципи и стандарти като принципите и стандартите, прилагани съгласно правото на Съюза. Освен</w:t>
      </w:r>
      <w:r>
        <w:rPr>
          <w:noProof/>
        </w:rPr>
        <w:t xml:space="preserve"> това чрез СПОУР се укрепва позицията на Европейския съюз в международните и регионалните риболовни организации, по-специално в Международната комисия за опазване на рибата тон в Атлантическия океан (ICCAT). Същевременно СПОУР се основават на най-добрите н</w:t>
      </w:r>
      <w:r>
        <w:rPr>
          <w:noProof/>
        </w:rPr>
        <w:t xml:space="preserve">алични научни становища и </w:t>
      </w:r>
      <w:r>
        <w:rPr>
          <w:noProof/>
        </w:rPr>
        <w:lastRenderedPageBreak/>
        <w:t>спомагат да се подобри изпълнението на международните мерки, включително за борба срещу незаконния, недеклариран и нерегулиран риболов.</w:t>
      </w:r>
    </w:p>
    <w:p w:rsidR="00D00FC7" w:rsidRDefault="00B17D66">
      <w:pPr>
        <w:rPr>
          <w:noProof/>
        </w:rPr>
      </w:pPr>
      <w:r>
        <w:rPr>
          <w:noProof/>
        </w:rPr>
        <w:t>Ще бъде отделено особено внимание на изпълнението и прилагането на финансовата компенсация, пр</w:t>
      </w:r>
      <w:r>
        <w:rPr>
          <w:noProof/>
        </w:rPr>
        <w:t>едоставена на Мароко в подкрепа на устойчивото управление на рибарството, по-специално предвид препоръките от Специалния доклад на Сметната палата № 11 от 2015 г. относно СПОУР.</w:t>
      </w:r>
    </w:p>
    <w:p w:rsidR="00D00FC7" w:rsidRDefault="00D00FC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D00FC7" w:rsidRDefault="00B17D66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 w:rsidR="00D00FC7" w:rsidRDefault="00B17D66">
      <w:pPr>
        <w:rPr>
          <w:noProof/>
        </w:rPr>
      </w:pPr>
      <w:r>
        <w:rPr>
          <w:noProof/>
        </w:rPr>
        <w:t xml:space="preserve">Договарянето на протокол в областта на рибарството с Кралство Мароко е в съответствие с външната дейност на ЕС спрямо съседните страни, както и с целите на Съюза по отношение на зачитането на демократичните принципи и правата на човека. </w:t>
      </w:r>
    </w:p>
    <w:p w:rsidR="00D00FC7" w:rsidRDefault="00B17D66">
      <w:pPr>
        <w:rPr>
          <w:noProof/>
        </w:rPr>
      </w:pPr>
      <w:r>
        <w:rPr>
          <w:noProof/>
        </w:rPr>
        <w:t xml:space="preserve">Преговорите ще се </w:t>
      </w:r>
      <w:r>
        <w:rPr>
          <w:noProof/>
        </w:rPr>
        <w:t>водят в постоянна консултация с всички заинтересовани служби на Комисията, Европейската служба за външна дейност (ЕСВД) и с подкрепата на съответната делегация на ЕС.</w:t>
      </w:r>
    </w:p>
    <w:p w:rsidR="00D00FC7" w:rsidRDefault="00B17D66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 w:rsidR="00D00FC7" w:rsidRDefault="00B17D66">
      <w:pPr>
        <w:rPr>
          <w:noProof/>
        </w:rPr>
      </w:pPr>
      <w:r>
        <w:rPr>
          <w:noProof/>
        </w:rPr>
        <w:t xml:space="preserve">Правното </w:t>
      </w:r>
      <w:r>
        <w:rPr>
          <w:noProof/>
        </w:rPr>
        <w:t>основание за решението се съдържа в част пета — „Външна дейност на Съюза“, дял V — „Международни споразумения“, член 218 от Договора за функционирането на Европейския съюз, в който се описва процедурата за водене на преговори и сключване на споразумения ме</w:t>
      </w:r>
      <w:r>
        <w:rPr>
          <w:noProof/>
        </w:rPr>
        <w:t>жду ЕС и трети страни.</w:t>
      </w:r>
    </w:p>
    <w:p w:rsidR="00D00FC7" w:rsidRDefault="00D00FC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 w:rsidR="00D00FC7" w:rsidRDefault="00B17D66">
      <w:pPr>
        <w:rPr>
          <w:noProof/>
        </w:rPr>
      </w:pPr>
      <w:r>
        <w:rPr>
          <w:noProof/>
        </w:rPr>
        <w:t>Не е приложимо — изключителна компетентност.</w:t>
      </w:r>
    </w:p>
    <w:p w:rsidR="00D00FC7" w:rsidRDefault="00D00FC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 w:rsidR="00D00FC7" w:rsidRDefault="00B17D66">
      <w:pPr>
        <w:rPr>
          <w:noProof/>
        </w:rPr>
      </w:pPr>
      <w:r>
        <w:rPr>
          <w:noProof/>
        </w:rPr>
        <w:t>Решението е пропорционално на заложената цел.</w:t>
      </w: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 w:rsidR="00D00FC7" w:rsidRDefault="00B17D66">
      <w:pPr>
        <w:rPr>
          <w:noProof/>
        </w:rPr>
      </w:pPr>
      <w:r>
        <w:rPr>
          <w:noProof/>
        </w:rPr>
        <w:t>Инструментът е предвиден по силата на член 218,</w:t>
      </w:r>
      <w:r>
        <w:rPr>
          <w:noProof/>
        </w:rPr>
        <w:t xml:space="preserve"> параграфи 3 и 4 от ДФЕС.</w:t>
      </w:r>
    </w:p>
    <w:p w:rsidR="00D00FC7" w:rsidRDefault="00D00FC7">
      <w:pPr>
        <w:rPr>
          <w:noProof/>
        </w:rPr>
      </w:pPr>
    </w:p>
    <w:p w:rsidR="00D00FC7" w:rsidRDefault="00B17D66">
      <w:pPr>
        <w:pStyle w:val="ManualHeading1"/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 w:rsidR="00D00FC7" w:rsidRDefault="00B17D66">
      <w:pPr>
        <w:rPr>
          <w:noProof/>
        </w:rPr>
      </w:pPr>
      <w:r>
        <w:rPr>
          <w:noProof/>
        </w:rPr>
        <w:t>През 2017 г. Комисията извърши последваща/предва</w:t>
      </w:r>
      <w:r>
        <w:rPr>
          <w:noProof/>
        </w:rPr>
        <w:t>рителна оценка на възможността за подновяване на протокола в областта на рибарството с Кралство Мароко. Заключенията от оценката са изложени в отделен работен документ на службите на Комисията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</w:t>
      </w:r>
    </w:p>
    <w:p w:rsidR="00D00FC7" w:rsidRDefault="00B17D66">
      <w:pPr>
        <w:rPr>
          <w:noProof/>
        </w:rPr>
      </w:pPr>
      <w:r>
        <w:rPr>
          <w:noProof/>
        </w:rPr>
        <w:t xml:space="preserve">В доклада за оценка бе направен изводът, че флотовете на ЕС </w:t>
      </w:r>
      <w:r>
        <w:rPr>
          <w:noProof/>
        </w:rPr>
        <w:t xml:space="preserve">имат траен интерес да продължат риболова в Мароко. Подновяването на протокола ще подпомогне и засиленото наблюдение, контрол и надзор и ще допринесе за по-доброто управление на рибарството в региона. Оценката показва, че подновяването на протокола ще бъде </w:t>
      </w:r>
      <w:r>
        <w:rPr>
          <w:noProof/>
        </w:rPr>
        <w:t>от полза и за Мароко с оглед на значението на финансовото участие съгласно протокола като принос към стратегията „Halieutis“ на Мароко  за развитие на сектора на рибарството. Мароко изрази интерес към започването на преговори с ЕС за подновяването на прото</w:t>
      </w:r>
      <w:r>
        <w:rPr>
          <w:noProof/>
        </w:rPr>
        <w:t xml:space="preserve">кола. </w:t>
      </w:r>
    </w:p>
    <w:p w:rsidR="00D00FC7" w:rsidRDefault="00D00FC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 w:rsidR="00D00FC7" w:rsidRDefault="00B17D66">
      <w:pPr>
        <w:rPr>
          <w:noProof/>
        </w:rPr>
      </w:pPr>
      <w:r>
        <w:rPr>
          <w:noProof/>
        </w:rPr>
        <w:t xml:space="preserve">Като част от оценката бяха проведени консултации със заинтересованите страни, включително представители на сектора и организации на гражданското общество, по-специално в рамките на Консултативния съвет по </w:t>
      </w:r>
      <w:r>
        <w:rPr>
          <w:noProof/>
        </w:rPr>
        <w:t>далечно плаване.</w:t>
      </w:r>
    </w:p>
    <w:p w:rsidR="00D00FC7" w:rsidRDefault="00D00FC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 w:rsidR="00D00FC7" w:rsidRDefault="00B17D66">
      <w:pPr>
        <w:rPr>
          <w:noProof/>
        </w:rPr>
      </w:pPr>
      <w:r>
        <w:rPr>
          <w:noProof/>
        </w:rPr>
        <w:t>Не е приложимо.</w:t>
      </w:r>
    </w:p>
    <w:p w:rsidR="00D00FC7" w:rsidRDefault="00D00FC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 w:rsidR="00D00FC7" w:rsidRDefault="00B17D66">
      <w:pPr>
        <w:rPr>
          <w:noProof/>
        </w:rPr>
      </w:pPr>
      <w:r>
        <w:rPr>
          <w:noProof/>
        </w:rPr>
        <w:t>Не е приложимо.</w:t>
      </w:r>
    </w:p>
    <w:p w:rsidR="00D00FC7" w:rsidRDefault="00D00FC7">
      <w:pPr>
        <w:rPr>
          <w:noProof/>
        </w:rPr>
      </w:pP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 w:rsidR="00D00FC7" w:rsidRDefault="00B17D66">
      <w:pPr>
        <w:rPr>
          <w:noProof/>
        </w:rPr>
      </w:pPr>
      <w:r>
        <w:rPr>
          <w:noProof/>
        </w:rPr>
        <w:t>Не е приложимо.</w:t>
      </w:r>
    </w:p>
    <w:p w:rsidR="00D00FC7" w:rsidRDefault="00D00FC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 w:rsidR="00D00FC7" w:rsidRDefault="00B17D66">
      <w:pPr>
        <w:rPr>
          <w:noProof/>
        </w:rPr>
      </w:pPr>
      <w:r>
        <w:rPr>
          <w:noProof/>
        </w:rPr>
        <w:t>В указанията за водене на преговори, предложени ка</w:t>
      </w:r>
      <w:r>
        <w:rPr>
          <w:noProof/>
        </w:rPr>
        <w:t>то приложение към решението, се препоръчва да се разреши започването на преговори, като се включи клауза, която позволява временно да се преустанови действието на протокола в случай на нарушаване на правата на човека и на демократичните принципи.</w:t>
      </w:r>
    </w:p>
    <w:p w:rsidR="00D00FC7" w:rsidRDefault="00B17D66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</w:t>
      </w:r>
      <w:r>
        <w:rPr>
          <w:noProof/>
        </w:rPr>
        <w:t>НИЕ ВЪРХУ БЮДЖЕТА</w:t>
      </w:r>
    </w:p>
    <w:p w:rsidR="00D00FC7" w:rsidRDefault="00B17D66">
      <w:pPr>
        <w:rPr>
          <w:noProof/>
        </w:rPr>
      </w:pPr>
      <w:r>
        <w:rPr>
          <w:noProof/>
        </w:rPr>
        <w:t>Отражението върху бюджета във връзка с новия протокол включва изплащането на финансово участие към Кралство Мароко. Съответните бюджетни средства под формата на бюджетни кредити за поети задължения и бюджетни кредити за плащания трябва да</w:t>
      </w:r>
      <w:r>
        <w:rPr>
          <w:noProof/>
        </w:rPr>
        <w:t xml:space="preserve"> бъдат включвани ежегодно в бюджетния ред за споразуменията за партньорство в областта на устойчивото рибарство  (11 03 01) и трябва също така да съответстват с финансовото програмиране на многогодишната финансова рамка за периода 2014 — 2020 г. Годишните </w:t>
      </w:r>
      <w:r>
        <w:rPr>
          <w:noProof/>
        </w:rPr>
        <w:t>суми за поетите задължения и плащанията са установени в годишната бюджетна процедура, включително в бюджетен ред „Резерви“ по отношение на протоколите, които не са влезли в сила към началото на годината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 w:rsidR="00D00FC7" w:rsidRDefault="00B17D66">
      <w:pPr>
        <w:rPr>
          <w:noProof/>
        </w:rPr>
      </w:pPr>
      <w:r>
        <w:rPr>
          <w:noProof/>
        </w:rPr>
        <w:t>Очаква се преговорите да бъдат приключени преди изт</w:t>
      </w:r>
      <w:r>
        <w:rPr>
          <w:noProof/>
        </w:rPr>
        <w:t>ичане на настоящия протокол, т.е. преди 14 юли 2018 г.</w:t>
      </w:r>
    </w:p>
    <w:p w:rsidR="00D00FC7" w:rsidRDefault="00D00FC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D00FC7" w:rsidRDefault="00B17D66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мониторинг, оценка и докладване</w:t>
      </w:r>
    </w:p>
    <w:p w:rsidR="00D00FC7" w:rsidRDefault="00B17D66">
      <w:pPr>
        <w:rPr>
          <w:noProof/>
        </w:rPr>
      </w:pPr>
      <w:r>
        <w:rPr>
          <w:noProof/>
        </w:rPr>
        <w:t xml:space="preserve">Очаква се преговорите да започнат в началото на 2018 г. </w:t>
      </w:r>
    </w:p>
    <w:p w:rsidR="00D00FC7" w:rsidRDefault="00D00FC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D00FC7" w:rsidRDefault="00B17D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отделните разпоредби на пред</w:t>
      </w:r>
      <w:r>
        <w:rPr>
          <w:noProof/>
        </w:rPr>
        <w:t>ложението</w:t>
      </w:r>
    </w:p>
    <w:p w:rsidR="00D00FC7" w:rsidRDefault="00B17D66">
      <w:pPr>
        <w:rPr>
          <w:noProof/>
        </w:rPr>
      </w:pPr>
      <w:r>
        <w:rPr>
          <w:noProof/>
        </w:rPr>
        <w:t>Комисията препоръчва следното:</w:t>
      </w:r>
    </w:p>
    <w:p w:rsidR="00D00FC7" w:rsidRDefault="00B17D66">
      <w:pPr>
        <w:rPr>
          <w:noProof/>
        </w:rPr>
      </w:pPr>
      <w:r>
        <w:rPr>
          <w:noProof/>
        </w:rPr>
        <w:t>Съветът да упълномощи Комисията да започне и проведе преговори за сключването на нов протокол към Споразумението за партньорство в областта на рибарството с Кралство Мароко;</w:t>
      </w:r>
    </w:p>
    <w:p w:rsidR="00D00FC7" w:rsidRDefault="00B17D66">
      <w:pPr>
        <w:rPr>
          <w:noProof/>
        </w:rPr>
      </w:pPr>
      <w:r>
        <w:rPr>
          <w:noProof/>
        </w:rPr>
        <w:t xml:space="preserve">Комисията да бъде определена за преговарящ на ЕС по този въпрос; </w:t>
      </w:r>
    </w:p>
    <w:p w:rsidR="00D00FC7" w:rsidRDefault="00B17D66">
      <w:pPr>
        <w:rPr>
          <w:noProof/>
        </w:rPr>
      </w:pPr>
      <w:r>
        <w:rPr>
          <w:noProof/>
        </w:rPr>
        <w:t>Комисията да води преговорите, като се консултира със специалния комитет, създаден в съответствие с разпоредбите на Договора за функционирането на Европейския съюз;</w:t>
      </w:r>
    </w:p>
    <w:p w:rsidR="00D00FC7" w:rsidRDefault="00B17D66">
      <w:pPr>
        <w:rPr>
          <w:noProof/>
        </w:rPr>
      </w:pPr>
      <w:r>
        <w:rPr>
          <w:noProof/>
        </w:rPr>
        <w:t>Съветът да одобри указани</w:t>
      </w:r>
      <w:r>
        <w:rPr>
          <w:noProof/>
        </w:rPr>
        <w:t xml:space="preserve">ята за водене на преговори, приложени към настоящата препоръка. </w:t>
      </w:r>
    </w:p>
    <w:p w:rsidR="00D00FC7" w:rsidRDefault="00D00FC7">
      <w:pPr>
        <w:rPr>
          <w:noProof/>
        </w:rPr>
        <w:sectPr w:rsidR="00D00FC7" w:rsidSect="00B17D66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D00FC7" w:rsidRDefault="00B17D66" w:rsidP="00B17D66">
      <w:pPr>
        <w:pStyle w:val="Statut"/>
        <w:rPr>
          <w:noProof/>
        </w:rPr>
      </w:pPr>
      <w:r w:rsidRPr="00B17D66">
        <w:t>Препоръка за</w:t>
      </w:r>
    </w:p>
    <w:p w:rsidR="00D00FC7" w:rsidRDefault="00B17D66" w:rsidP="00B17D66">
      <w:pPr>
        <w:pStyle w:val="Typedudocument"/>
        <w:rPr>
          <w:noProof/>
        </w:rPr>
      </w:pPr>
      <w:r w:rsidRPr="00B17D66">
        <w:t>РЕШЕНИЕ НА СЪВЕТА</w:t>
      </w:r>
    </w:p>
    <w:p w:rsidR="00D00FC7" w:rsidRDefault="00B17D66" w:rsidP="00B17D66">
      <w:pPr>
        <w:pStyle w:val="Titreobjet"/>
        <w:rPr>
          <w:noProof/>
        </w:rPr>
      </w:pPr>
      <w:r w:rsidRPr="00B17D66">
        <w:t>за упълномощаване на Комисията да започне преговори от името на Европейския съюз за сключване на протокол за прилагане на Споразумението за партньорство в областта на рибарството с Кралство Мароко</w:t>
      </w:r>
      <w:r w:rsidRPr="00B17D66">
        <w:br/>
      </w:r>
    </w:p>
    <w:p w:rsidR="00D00FC7" w:rsidRDefault="00B17D66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D00FC7" w:rsidRDefault="00B17D66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параграфи 3 и 4 от него,</w:t>
      </w:r>
    </w:p>
    <w:p w:rsidR="00D00FC7" w:rsidRDefault="00B17D66">
      <w:pPr>
        <w:rPr>
          <w:noProof/>
        </w:rPr>
      </w:pPr>
      <w:r>
        <w:rPr>
          <w:noProof/>
        </w:rPr>
        <w:t>като взе предвид пр</w:t>
      </w:r>
      <w:r>
        <w:rPr>
          <w:noProof/>
        </w:rPr>
        <w:t>епоръката на Комисията,</w:t>
      </w:r>
    </w:p>
    <w:p w:rsidR="00D00FC7" w:rsidRDefault="00B17D66">
      <w:pPr>
        <w:rPr>
          <w:noProof/>
        </w:rPr>
      </w:pPr>
      <w:r>
        <w:rPr>
          <w:noProof/>
        </w:rPr>
        <w:t>като има предвид, че следва да се започнат преговори с цел сключване на нов протокол за прилагането на Споразумението за партньорство в областта на рибарството с Кралство Мароко,</w:t>
      </w:r>
      <w:r>
        <w:t xml:space="preserve"> </w:t>
      </w:r>
    </w:p>
    <w:p w:rsidR="00D00FC7" w:rsidRDefault="00B17D66"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 w:rsidR="00D00FC7" w:rsidRDefault="00B17D66">
      <w:pPr>
        <w:pStyle w:val="Titrearticle"/>
        <w:rPr>
          <w:noProof/>
        </w:rPr>
      </w:pPr>
      <w:r>
        <w:rPr>
          <w:noProof/>
        </w:rPr>
        <w:t>Член 1</w:t>
      </w:r>
    </w:p>
    <w:p w:rsidR="00D00FC7" w:rsidRDefault="00B17D66">
      <w:pPr>
        <w:rPr>
          <w:noProof/>
        </w:rPr>
      </w:pPr>
      <w:r>
        <w:rPr>
          <w:noProof/>
        </w:rPr>
        <w:t>Комисията се упълно</w:t>
      </w:r>
      <w:r>
        <w:rPr>
          <w:noProof/>
        </w:rPr>
        <w:t>мощава да преговаря от името на Европейския съюз с цел подновяване на протокола за прилагане на Споразумението за партньорство в областта на рибарството с Кралство Мароко.</w:t>
      </w:r>
    </w:p>
    <w:p w:rsidR="00D00FC7" w:rsidRDefault="00B17D66">
      <w:pPr>
        <w:pStyle w:val="Titrearticle"/>
        <w:rPr>
          <w:noProof/>
        </w:rPr>
      </w:pPr>
      <w:r>
        <w:t xml:space="preserve"> </w:t>
      </w:r>
      <w:r>
        <w:rPr>
          <w:noProof/>
        </w:rPr>
        <w:t>Член 2</w:t>
      </w:r>
    </w:p>
    <w:p w:rsidR="00D00FC7" w:rsidRDefault="00B17D66">
      <w:pPr>
        <w:rPr>
          <w:noProof/>
        </w:rPr>
      </w:pPr>
      <w:r>
        <w:rPr>
          <w:noProof/>
        </w:rPr>
        <w:t xml:space="preserve">Преговорите се провеждат в консултация със специалния комитет, определен от </w:t>
      </w:r>
      <w:r>
        <w:rPr>
          <w:noProof/>
        </w:rPr>
        <w:t>Съвета, и в съответствие с указанията за водене на преговори, съдържащи се в приложението.</w:t>
      </w:r>
    </w:p>
    <w:p w:rsidR="00D00FC7" w:rsidRDefault="00B17D66">
      <w:pPr>
        <w:pStyle w:val="Titrearticle"/>
        <w:rPr>
          <w:noProof/>
        </w:rPr>
      </w:pPr>
      <w:r>
        <w:rPr>
          <w:noProof/>
        </w:rPr>
        <w:t>Член 3</w:t>
      </w:r>
    </w:p>
    <w:p w:rsidR="00D00FC7" w:rsidRDefault="00B17D66">
      <w:pPr>
        <w:rPr>
          <w:noProof/>
        </w:rPr>
      </w:pPr>
      <w:r>
        <w:rPr>
          <w:noProof/>
        </w:rPr>
        <w:t>Адресат на настоящото решение е Европейската комисия.</w:t>
      </w:r>
    </w:p>
    <w:p w:rsidR="00D00FC7" w:rsidRDefault="00B17D66" w:rsidP="00B17D66">
      <w:pPr>
        <w:pStyle w:val="Fait"/>
        <w:rPr>
          <w:noProof/>
        </w:rPr>
      </w:pPr>
      <w:bookmarkStart w:id="1" w:name="_CopyToNewDocument_"/>
      <w:bookmarkEnd w:id="1"/>
      <w:r w:rsidRPr="00B17D66">
        <w:t xml:space="preserve">Съставено в Брюксел на </w:t>
      </w:r>
      <w:r w:rsidRPr="00B17D66">
        <w:rPr>
          <w:rStyle w:val="Marker"/>
        </w:rPr>
        <w:t>[…]</w:t>
      </w:r>
      <w:r w:rsidRPr="00B17D66">
        <w:t xml:space="preserve"> година.</w:t>
      </w:r>
    </w:p>
    <w:p w:rsidR="00D00FC7" w:rsidRDefault="00B17D66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D00FC7" w:rsidRDefault="00B17D66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D00FC7" w:rsidSect="00B17D66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C7" w:rsidRDefault="00B17D66">
      <w:pPr>
        <w:spacing w:before="0" w:after="0"/>
      </w:pPr>
      <w:r>
        <w:separator/>
      </w:r>
    </w:p>
  </w:endnote>
  <w:endnote w:type="continuationSeparator" w:id="0">
    <w:p w:rsidR="00D00FC7" w:rsidRDefault="00B17D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6" w:rsidRPr="00B17D66" w:rsidRDefault="00B17D66" w:rsidP="00B17D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C7" w:rsidRPr="00B17D66" w:rsidRDefault="00B17D66" w:rsidP="00B17D66">
    <w:pPr>
      <w:pStyle w:val="Footer"/>
      <w:rPr>
        <w:rFonts w:ascii="Arial" w:hAnsi="Arial" w:cs="Arial"/>
        <w:b/>
        <w:sz w:val="48"/>
      </w:rPr>
    </w:pPr>
    <w:r w:rsidRPr="00B17D66">
      <w:rPr>
        <w:rFonts w:ascii="Arial" w:hAnsi="Arial" w:cs="Arial"/>
        <w:b/>
        <w:sz w:val="48"/>
      </w:rPr>
      <w:t>BG</w:t>
    </w:r>
    <w:r w:rsidRPr="00B17D66">
      <w:rPr>
        <w:rFonts w:ascii="Arial" w:hAnsi="Arial" w:cs="Arial"/>
        <w:b/>
        <w:sz w:val="48"/>
      </w:rPr>
      <w:tab/>
    </w:r>
    <w:r w:rsidRPr="00B17D66">
      <w:rPr>
        <w:rFonts w:ascii="Arial" w:hAnsi="Arial" w:cs="Arial"/>
        <w:b/>
        <w:sz w:val="48"/>
      </w:rPr>
      <w:tab/>
    </w:r>
    <w:r w:rsidRPr="00B17D66">
      <w:tab/>
    </w:r>
    <w:proofErr w:type="spellStart"/>
    <w:r w:rsidRPr="00B17D66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6" w:rsidRPr="00B17D66" w:rsidRDefault="00B17D66" w:rsidP="00B17D6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6" w:rsidRPr="00B17D66" w:rsidRDefault="00B17D66" w:rsidP="00B17D66">
    <w:pPr>
      <w:pStyle w:val="Footer"/>
      <w:rPr>
        <w:rFonts w:ascii="Arial" w:hAnsi="Arial" w:cs="Arial"/>
        <w:b/>
        <w:sz w:val="48"/>
      </w:rPr>
    </w:pPr>
    <w:r w:rsidRPr="00B17D66">
      <w:rPr>
        <w:rFonts w:ascii="Arial" w:hAnsi="Arial" w:cs="Arial"/>
        <w:b/>
        <w:sz w:val="48"/>
      </w:rPr>
      <w:t>BG</w:t>
    </w:r>
    <w:r w:rsidRPr="00B17D6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 w:rsidRPr="00B17D66">
      <w:tab/>
    </w:r>
    <w:r w:rsidRPr="00B17D66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6" w:rsidRPr="00B17D66" w:rsidRDefault="00B17D66" w:rsidP="00B17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C7" w:rsidRDefault="00B17D66">
      <w:pPr>
        <w:spacing w:before="0" w:after="0"/>
      </w:pPr>
      <w:r>
        <w:separator/>
      </w:r>
    </w:p>
  </w:footnote>
  <w:footnote w:type="continuationSeparator" w:id="0">
    <w:p w:rsidR="00D00FC7" w:rsidRDefault="00B17D66">
      <w:pPr>
        <w:spacing w:before="0" w:after="0"/>
      </w:pPr>
      <w:r>
        <w:continuationSeparator/>
      </w:r>
    </w:p>
  </w:footnote>
  <w:footnote w:id="1">
    <w:p w:rsidR="00D00FC7" w:rsidRDefault="00B17D66">
      <w:pPr>
        <w:pStyle w:val="FootnoteText"/>
      </w:pPr>
      <w:r>
        <w:rPr>
          <w:rStyle w:val="FootnoteReference"/>
        </w:rPr>
        <w:footnoteRef/>
      </w:r>
      <w:r>
        <w:tab/>
        <w:t>ОВ L 78, 17.3.2007 г., стр. 31.</w:t>
      </w:r>
    </w:p>
  </w:footnote>
  <w:footnote w:id="2">
    <w:p w:rsidR="00D00FC7" w:rsidRDefault="00B17D66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OВ L </w:t>
      </w:r>
      <w:r>
        <w:t>349, 21.12.2013 г., стр. 1.</w:t>
      </w:r>
    </w:p>
  </w:footnote>
  <w:footnote w:id="3">
    <w:p w:rsidR="00D00FC7" w:rsidRDefault="00B17D66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rétrospective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Protocole</w:t>
      </w:r>
      <w:proofErr w:type="spellEnd"/>
      <w:r>
        <w:t xml:space="preserve"> à </w:t>
      </w:r>
      <w:proofErr w:type="spellStart"/>
      <w:r>
        <w:t>l'accord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partenariat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domaine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pêche</w:t>
      </w:r>
      <w:proofErr w:type="spellEnd"/>
      <w:r>
        <w:t xml:space="preserve"> </w:t>
      </w:r>
      <w:proofErr w:type="spellStart"/>
      <w:r>
        <w:t>durable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l'Union</w:t>
      </w:r>
      <w:proofErr w:type="spellEnd"/>
      <w:r>
        <w:t xml:space="preserve"> </w:t>
      </w:r>
      <w:proofErr w:type="spellStart"/>
      <w:r>
        <w:t>européenne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Royaume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Maroc</w:t>
      </w:r>
      <w:proofErr w:type="spellEnd"/>
      <w:r>
        <w:t xml:space="preserve">. Окончателен доклад, септември 2017 г. (F&amp;S, </w:t>
      </w:r>
      <w:proofErr w:type="spellStart"/>
      <w:r>
        <w:t>Poseidon</w:t>
      </w:r>
      <w:proofErr w:type="spellEnd"/>
      <w:r>
        <w:t xml:space="preserve"> и </w:t>
      </w:r>
      <w:proofErr w:type="spellStart"/>
      <w:r>
        <w:t>Megapes</w:t>
      </w:r>
      <w:r>
        <w:t>ca</w:t>
      </w:r>
      <w:proofErr w:type="spellEnd"/>
      <w:r>
        <w:t>).</w:t>
      </w:r>
    </w:p>
  </w:footnote>
  <w:footnote w:id="4">
    <w:p w:rsidR="00D00FC7" w:rsidRDefault="00B17D66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Глава 40 (бюджетен ред 40 02 41 — „Резерви“) в съответствие с </w:t>
      </w:r>
      <w:proofErr w:type="spellStart"/>
      <w:r>
        <w:t>междуинституционалното</w:t>
      </w:r>
      <w:proofErr w:type="spellEnd"/>
      <w:r>
        <w:t xml:space="preserve"> споразумение относно многогодишната финансова рамка (2013/C 373/01).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6" w:rsidRPr="00B17D66" w:rsidRDefault="00B17D66" w:rsidP="00B17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6" w:rsidRPr="00B17D66" w:rsidRDefault="00B17D66" w:rsidP="00B17D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6" w:rsidRPr="00B17D66" w:rsidRDefault="00B17D66" w:rsidP="00B17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914D6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BA62F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9034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5CC4B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C1A12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FF6EC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750C4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C38F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08 08:07:2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D5524336-76BD-4B63-9AD8-9E8C0E12EF61"/>
    <w:docVar w:name="LW_COVERPAGE_TYPE" w:val="1"/>
    <w:docVar w:name="LW_CROSSREFERENCE" w:val="{SWD(2018) 1 final}_x000d__x000a_{SWD(2018) 2 final}"/>
    <w:docVar w:name="LW_DocType" w:val="COM"/>
    <w:docVar w:name="LW_EMISSION" w:val="8.1.2018"/>
    <w:docVar w:name="LW_EMISSION_ISODATE" w:val="2018-01-08"/>
    <w:docVar w:name="LW_EMISSION_LOCATION" w:val="BRX"/>
    <w:docVar w:name="LW_EMISSION_PREFIX" w:val="\u1041?\u1088?\u1102?\u1082?\u1089?\u1077?\u1083?,"/>
    <w:docVar w:name="LW_EMISSION_SUFFIX" w:val="&lt;EMPTY&gt;"/>
    <w:docVar w:name="LW_ID_DOCMODEL" w:val="SG-001"/>
    <w:docVar w:name="LW_ID_DOCSIGNATURE" w:val="SG-001"/>
    <w:docVar w:name="LW_ID_DOCSTRUCTURE" w:val="COM/PL/ORG"/>
    <w:docVar w:name="LW_ID_DOCTYPE" w:val="SG-001"/>
    <w:docVar w:name="LW_ID_EXP.MOTIFS.NEW" w:val="EM_PL_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8) 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7?\u1088?\u1086?\u1090?\u1086?\u1082?\u1086?\u1083? \u1079?\u1072? \u1087?\u1088?\u1080?\u1083?\u1072?\u1075?\u1072?\u1085?\u1077? \u1085?\u1072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9? \u1050?\u1088?\u1072?\u1083?\u1089?\u1090?\u1074?\u1086? \u1052?\u1072?\u1088?\u1086?\u1082?\u1086?_x000b_"/>
    <w:docVar w:name="LW_TYPE.DOC.CP" w:val="\u1056?\u1045?\u1064?\u1045?\u1053?\u1048?\u1045? \u1053?\u1040? \u1057?\u1066?\u1042?\u1045?\u1058?\u1040?"/>
  </w:docVars>
  <w:rsids>
    <w:rsidRoot w:val="00D00FC7"/>
    <w:rsid w:val="00B17D66"/>
    <w:rsid w:val="00D0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D66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17D66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17D6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17D66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B17D66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B17D6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17D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B17D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D66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17D66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17D6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17D66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B17D66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B17D6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17D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B17D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9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1280</Words>
  <Characters>7605</Characters>
  <Application>Microsoft Office Word</Application>
  <DocSecurity>0</DocSecurity>
  <Lines>164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19</cp:revision>
  <dcterms:created xsi:type="dcterms:W3CDTF">2017-12-22T08:27:00Z</dcterms:created>
  <dcterms:modified xsi:type="dcterms:W3CDTF">2018-01-08T07:51:00Z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Yellow (DQC version 03)</vt:lpwstr>
  </property>
</Properties>
</file>