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01573B-7DE6-4B1A-AFA9-2672B4E63F3D"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Commission proposes to negotiate a new Protocol implementing the Fisheries Partnership Agreement (hereafter: FPA) with the Kingdom of Morocco that meets the needs of the Union fleet and is in line with Regulation (EU) No1380/2013 on the Common Fisheries Policy and the 19 March 2012 Council Conclusions on a Communication from the Commission on the External dimension of the Common Fisheries Policy.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current FPA between the European Union and the Kingdom of Morocco entered into force on 28 February 2007</w:t>
      </w:r>
      <w:r>
        <w:rPr>
          <w:rStyle w:val="FootnoteReference"/>
          <w:noProof/>
        </w:rPr>
        <w:footnoteReference w:id="1"/>
      </w:r>
      <w:r>
        <w:rPr>
          <w:noProof/>
        </w:rPr>
        <w:t xml:space="preserve">. This agreement was implemented by two </w:t>
      </w:r>
      <w:r>
        <w:rPr>
          <w:noProof/>
          <w:lang w:val="en"/>
        </w:rPr>
        <w:t xml:space="preserve">successive </w:t>
      </w:r>
      <w:r>
        <w:rPr>
          <w:noProof/>
        </w:rPr>
        <w:t>Protocols enabling Union vessels targetting pelagic and demersal species to access the fishing zone of Morocco until 14 December 2011, which marks the termination date of the second implementing Protocol, as a result of the non consent by the Parliament to its conclusion. EP questioned the sustainability, value-for-money and international legality of the proposed instrument. A third Protocol, which took into account EP's concerns, was concluded in 2014</w:t>
      </w:r>
      <w:r>
        <w:rPr>
          <w:rStyle w:val="FootnoteReference"/>
          <w:noProof/>
        </w:rPr>
        <w:footnoteReference w:id="2"/>
      </w:r>
      <w:r>
        <w:rPr>
          <w:noProof/>
        </w:rPr>
        <w:t xml:space="preserve"> and will expire on 14 July 2018.</w:t>
      </w:r>
    </w:p>
    <w:p>
      <w:pPr>
        <w:rPr>
          <w:noProof/>
        </w:rPr>
      </w:pPr>
      <w:r>
        <w:rPr>
          <w:noProof/>
        </w:rPr>
        <w:t xml:space="preserve">Morocco's fishing zones, located close to the EU and rich in fish resources, form an essential fishing ground for both traditional, small-scale fisheries from Spain and Portugal and industrial fleets from more distant Member States. These fishing zones include waters both under Morocco's sovereignty and jurisdiction, i.e. also waters off Western Sahara, where Morocco exercises de facto administration (specific reporting mechanisms have been introduced in the current Protocol to demonstrate its socio-economic benefits for the local populations). </w:t>
      </w:r>
    </w:p>
    <w:p>
      <w:pPr>
        <w:rPr>
          <w:noProof/>
        </w:rPr>
      </w:pPr>
      <w:r>
        <w:rPr>
          <w:noProof/>
        </w:rPr>
        <w:t>Overall, the FPA with Morocco allows vessels from 11 Member States to operate in six different fishing categories covering small pelagic, demersal and highly migratory species. The Moroccan fishing zone represents the northern limit of the distribution area of the  small pelagic stock "C" which stretches over Mauritanian, Senegalese and Bissau-guinean waters, all of them included in the network of bilateral Sustainable Fisheries Partnership Agreements (SFPAs).</w:t>
      </w:r>
    </w:p>
    <w:p>
      <w:pPr>
        <w:rPr>
          <w:noProof/>
        </w:rPr>
      </w:pPr>
      <w:r>
        <w:rPr>
          <w:noProof/>
        </w:rPr>
        <w:t>SFPAs contribute to promote the objectives of the CFP internationally, ensuring that Union fishing activities outside Union waters are based on the same principles and standards as those applicable under Union law. In addition, SFPAs strengthen the European Union’s position in international and regional fishing organisations, in particular in the International Commission for the Conservation of Atlantic Tunas (ICCAT). Finally, SFPAs are based on the best available scientific advice and contribute to the improvement of compliance with international measures, including combatting illegal, unreported and unregulated (IUU) fishing.</w:t>
      </w:r>
    </w:p>
    <w:p>
      <w:pPr>
        <w:rPr>
          <w:noProof/>
        </w:rPr>
      </w:pPr>
      <w:r>
        <w:rPr>
          <w:noProof/>
        </w:rPr>
        <w:t>Particular attention will be given to the execution and implementation of the financial compensation given to Morocco to support sustainable management of fisheries, in particular in the light of the recommendations of the Special European Court of Auditors Report n.11 of 2015 on SFPAs.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Negotiation of a fisheries protocol with the Kingdom of Morocco is in line with the EU’s external action towards neighbouring countries and in conformity with Union objectives regarding the respect of democratic principles and human rights. </w:t>
      </w:r>
    </w:p>
    <w:p>
      <w:pPr>
        <w:rPr>
          <w:noProof/>
        </w:rPr>
      </w:pPr>
      <w:r>
        <w:rPr>
          <w:noProof/>
        </w:rPr>
        <w:t>Negotiations will be conducted throughout the whole process in consultation with all interested Commission Services, the EEAS and with the support of the competent EU Delegation.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Not applicable, exclusive competence.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is proportional to the objective seeked.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instrument is provided for under Article 218(3) and Article 218(4) of the TFEU.</w:t>
      </w:r>
    </w:p>
    <w:p>
      <w:pPr>
        <w:rPr>
          <w:noProof/>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 xml:space="preserve">The Commission carried out in 2017 an </w:t>
      </w:r>
      <w:r>
        <w:rPr>
          <w:i/>
          <w:noProof/>
        </w:rPr>
        <w:t>ex-post</w:t>
      </w:r>
      <w:r>
        <w:rPr>
          <w:noProof/>
        </w:rPr>
        <w:t xml:space="preserve"> / </w:t>
      </w:r>
      <w:r>
        <w:rPr>
          <w:i/>
          <w:noProof/>
        </w:rPr>
        <w:t>ex-ante</w:t>
      </w:r>
      <w:r>
        <w:rPr>
          <w:noProof/>
        </w:rPr>
        <w:t xml:space="preserve"> evaluation of the opportunity to renew the fisheries Protocol with the Kingdom of Morocco. The conclusions of the evaluation are set out in a separate Staff Working Document</w:t>
      </w:r>
      <w:r>
        <w:rPr>
          <w:rStyle w:val="FootnoteReference"/>
          <w:noProof/>
        </w:rPr>
        <w:footnoteReference w:id="3"/>
      </w:r>
      <w:r>
        <w:rPr>
          <w:noProof/>
        </w:rPr>
        <w:t xml:space="preserve">. </w:t>
      </w:r>
    </w:p>
    <w:p>
      <w:pPr>
        <w:rPr>
          <w:noProof/>
        </w:rPr>
      </w:pPr>
      <w:r>
        <w:rPr>
          <w:noProof/>
        </w:rPr>
        <w:t xml:space="preserve">The evaluation report concluded that the EU fleets are firmly interested in continuing fishing in Morocco. Renewal of the Protocol will also help strengthen monitoring, control and surveillance and contribute to improved governance of the fisheries in the region. The evaluation demonstrates that a renewal of the Protocol would also be beneficial for Morocco in view of the importance of the financial contribution paid under the Protocol as a contribution to the Moroccan "Halieutis" strategy of development of the fisheries sector. Morocco has expressed its interest in opening negotiations with the EU on a renewed Protocol.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Interested stakeholders, including industry representatives and civil society organisationshave been consulted as part of the evaluation, in particularin the framework of the Long Distance Advisory Council.</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Not applicable</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The negotiating directives proposed as an annex to the decision recommend to authorise the opening of negotiations including a clause allowing to suspend the Protocol in case of violations of human rights and democratic principles.</w:t>
      </w:r>
    </w:p>
    <w:p>
      <w:pPr>
        <w:pStyle w:val="ManualHeading1"/>
        <w:rPr>
          <w:noProof/>
        </w:rPr>
      </w:pPr>
      <w:r>
        <w:rPr>
          <w:noProof/>
        </w:rPr>
        <w:t>4.</w:t>
      </w:r>
      <w:r>
        <w:rPr>
          <w:noProof/>
        </w:rPr>
        <w:tab/>
        <w:t>BUDGETARY IMPLICATIONS</w:t>
      </w:r>
    </w:p>
    <w:p>
      <w:pPr>
        <w:rPr>
          <w:noProof/>
        </w:rPr>
      </w:pPr>
      <w:r>
        <w:rPr>
          <w:noProof/>
        </w:rPr>
        <w:t>The budgetary implications connected with the new Protocol include the payment of a financial contribution to the Kingdom of Morocco. The related budgetary allocations in terms of commitment and payment appropriations need to be included each year in the budget line for Sustainable Fisheries Partnership Agreements (11 03 01) as well as being compatible  with the financial programming of the Multiannual Financial Framework for 2014-2020. The annual amounts for commitments and payments are established in the yearly budgetary procedure including the reserve line for protocols not entered into force in the beginning of the year.</w:t>
      </w:r>
      <w:r>
        <w:rPr>
          <w:rStyle w:val="FootnoteReference"/>
          <w:noProof/>
        </w:rPr>
        <w:footnoteReference w:id="4"/>
      </w:r>
    </w:p>
    <w:p>
      <w:pPr>
        <w:rPr>
          <w:noProof/>
        </w:rPr>
      </w:pPr>
      <w:r>
        <w:rPr>
          <w:noProof/>
        </w:rPr>
        <w:t>Negotiations are expected to be finalised before expiry of the current Protocol, i.e. by 14 July 2018.</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Negotiations are expected to open in early 2018.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Detailed explanation of the specific provisions of the proposal</w:t>
      </w:r>
    </w:p>
    <w:p>
      <w:pPr>
        <w:rPr>
          <w:noProof/>
        </w:rPr>
      </w:pPr>
      <w:r>
        <w:rPr>
          <w:noProof/>
        </w:rPr>
        <w:t>The Commission recommends that:</w:t>
      </w:r>
    </w:p>
    <w:p>
      <w:pPr>
        <w:rPr>
          <w:noProof/>
        </w:rPr>
      </w:pPr>
      <w:r>
        <w:rPr>
          <w:noProof/>
        </w:rPr>
        <w:t>- The Council should authorise the Commission to open and conduct negotiations for the conclusion of a new Protocol to the Fisheries Partnership Agreement with the Kingdom of Morocco;</w:t>
      </w:r>
    </w:p>
    <w:p>
      <w:pPr>
        <w:rPr>
          <w:noProof/>
        </w:rPr>
      </w:pPr>
      <w:r>
        <w:rPr>
          <w:noProof/>
        </w:rPr>
        <w:t xml:space="preserve">- The Commission should be nominated as the EU negotiator on this subject; </w:t>
      </w:r>
    </w:p>
    <w:p>
      <w:pPr>
        <w:rPr>
          <w:noProof/>
        </w:rPr>
      </w:pPr>
      <w:r>
        <w:rPr>
          <w:noProof/>
        </w:rPr>
        <w:t>- The Commission should conduct the negotiations in consultation with the special committee, as set out in the Treaty on the Functioning of the European Union;</w:t>
      </w:r>
    </w:p>
    <w:p>
      <w:pPr>
        <w:rPr>
          <w:noProof/>
        </w:rPr>
      </w:pPr>
      <w:r>
        <w:rPr>
          <w:noProof/>
        </w:rPr>
        <w:t xml:space="preserve">- The Council should approve the negotiating directives annexed to this recommendation.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to authorise the Commission to open negotiations on behalf of the European Union for the conclusion of a Protocol implementing the Fisheries Partnership Agreement with the Kingdom of Morocco</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Commission,</w:t>
      </w:r>
    </w:p>
    <w:p>
      <w:pPr>
        <w:rPr>
          <w:noProof/>
        </w:rPr>
      </w:pPr>
      <w:r>
        <w:rPr>
          <w:noProof/>
        </w:rPr>
        <w:t>Whereas negotiations should be opened with a view to concluding a new Protocol implementing the Fisheries Partnership Agreement with the Kingdom of Morocco,</w:t>
      </w:r>
      <w:r>
        <w:t xml:space="preserve">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authorised to negotiate, on behalf of the European Union, with a view to renewing a Protocol implementing the Fisheries Partnership Agreement with the Kingdom of Morocco.</w:t>
      </w:r>
    </w:p>
    <w:p>
      <w:pPr>
        <w:pStyle w:val="Titrearticle"/>
        <w:rPr>
          <w:noProof/>
        </w:rPr>
      </w:pPr>
      <w:r>
        <w:t xml:space="preserve"> </w:t>
      </w:r>
      <w:r>
        <w:rPr>
          <w:noProof/>
        </w:rPr>
        <w:t>Article 2</w:t>
      </w:r>
    </w:p>
    <w:p>
      <w:pPr>
        <w:rPr>
          <w:noProof/>
        </w:rPr>
      </w:pPr>
      <w:r>
        <w:rPr>
          <w:noProof/>
        </w:rPr>
        <w:t>These negotiations shall be conducted in consultation with the special committee designated by the Council and in accordance with the negotiating directives set out in the Annex.</w:t>
      </w:r>
    </w:p>
    <w:p>
      <w:pPr>
        <w:pStyle w:val="Titrearticle"/>
        <w:rPr>
          <w:noProof/>
        </w:rPr>
      </w:pPr>
      <w:r>
        <w:rPr>
          <w:noProof/>
        </w:rPr>
        <w:t>Article 3</w:t>
      </w:r>
    </w:p>
    <w:p>
      <w:pPr>
        <w:rPr>
          <w:noProof/>
        </w:rPr>
      </w:pPr>
      <w:r>
        <w:rPr>
          <w:noProof/>
        </w:rPr>
        <w:t>This Decision is addressed to the Commission.</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78 of 17.3.2007, p. 31</w:t>
      </w:r>
    </w:p>
  </w:footnote>
  <w:footnote w:id="2">
    <w:p>
      <w:pPr>
        <w:pStyle w:val="FootnoteText"/>
      </w:pPr>
      <w:r>
        <w:rPr>
          <w:rStyle w:val="FootnoteReference"/>
        </w:rPr>
        <w:footnoteRef/>
      </w:r>
      <w:r>
        <w:tab/>
        <w:t>OJ L 349 of 21.12.2013, p. 1</w:t>
      </w:r>
    </w:p>
  </w:footnote>
  <w:footnote w:id="3">
    <w:p>
      <w:pPr>
        <w:pStyle w:val="FootnoteText"/>
      </w:pPr>
      <w:r>
        <w:rPr>
          <w:rStyle w:val="FootnoteReference"/>
        </w:rPr>
        <w:footnoteRef/>
      </w:r>
      <w:r>
        <w:rPr>
          <w:lang w:val="fr-BE"/>
        </w:rPr>
        <w:tab/>
        <w:t xml:space="preserve">Evaluation rétrospective et prospective du Protocole à l'accord de partenariat dans le domaine de la pêche durable entre l'Union européenne et le Royaume du Maroc. </w:t>
      </w:r>
      <w:r>
        <w:t>Final report, september 2017 (F&amp;S, Poseidon and Megapesca).</w:t>
      </w:r>
    </w:p>
  </w:footnote>
  <w:footnote w:id="4">
    <w:p>
      <w:pPr>
        <w:pStyle w:val="FootnoteText"/>
      </w:pPr>
      <w:r>
        <w:rPr>
          <w:rStyle w:val="FootnoteReference"/>
        </w:rPr>
        <w:footnoteRef/>
      </w:r>
      <w:r>
        <w:tab/>
      </w:r>
      <w:r>
        <w:rPr>
          <w:rFonts w:eastAsia="Arial Unicode MS"/>
        </w:rPr>
        <w:t>Chapter 40 (reserve line 40 02 41) in line with the MFF interinstitutional agreement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14D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A62F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03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CC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1A1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6E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50C49A"/>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8F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7"/>
  </w:num>
  <w:num w:numId="30">
    <w:abstractNumId w:val="5"/>
  </w:num>
  <w:num w:numId="31">
    <w:abstractNumId w:val="4"/>
  </w:num>
  <w:num w:numId="32">
    <w:abstractNumId w:val="3"/>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2 15:14: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901573B-7DE6-4B1A-AFA9-2672B4E63F3D"/>
    <w:docVar w:name="LW_COVERPAGE_TYPE" w:val="1"/>
    <w:docVar w:name="LW_CROSSREFERENCE" w:val="{SWD(2018) 1 final}_x000b_{SWD(2018) 2 final}"/>
    <w:docVar w:name="LW_DocType" w:val="COM"/>
    <w:docVar w:name="LW_EMISSION" w:val="8.1.2018"/>
    <w:docVar w:name="LW_EMISSION_ISODATE" w:val="2018-01-08"/>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to authorise the Commission to open negotiations on behalf of the European Union for the conclusion of a Protocol implementing the Fisheries Partnership Agreement with the Kingdom of Morocco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9"/>
      </w:numPr>
      <w:contextualSpacing/>
    </w:pPr>
  </w:style>
  <w:style w:type="paragraph" w:styleId="ListBullet2">
    <w:name w:val="List Bullet 2"/>
    <w:basedOn w:val="Normal"/>
    <w:uiPriority w:val="99"/>
    <w:semiHidden/>
    <w:unhideWhenUsed/>
    <w:pPr>
      <w:numPr>
        <w:numId w:val="30"/>
      </w:numPr>
      <w:contextualSpacing/>
    </w:pPr>
  </w:style>
  <w:style w:type="paragraph" w:styleId="ListBullet3">
    <w:name w:val="List Bullet 3"/>
    <w:basedOn w:val="Normal"/>
    <w:uiPriority w:val="99"/>
    <w:semiHidden/>
    <w:unhideWhenUsed/>
    <w:pPr>
      <w:numPr>
        <w:numId w:val="31"/>
      </w:numPr>
      <w:contextualSpacing/>
    </w:pPr>
  </w:style>
  <w:style w:type="paragraph" w:styleId="ListBullet4">
    <w:name w:val="List Bullet 4"/>
    <w:basedOn w:val="Normal"/>
    <w:uiPriority w:val="99"/>
    <w:semiHidden/>
    <w:unhideWhenUsed/>
    <w:pPr>
      <w:numPr>
        <w:numId w:val="32"/>
      </w:numPr>
      <w:contextualSpacing/>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1262</Words>
  <Characters>7286</Characters>
  <Application>Microsoft Office Word</Application>
  <DocSecurity>0</DocSecurity>
  <Lines>151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2017-12-21T15:51:00Z</dcterms:created>
  <dcterms:modified xsi:type="dcterms:W3CDTF">2018-01-08T07:05:00Z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