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FC69875-C384-4677-8623-E4A738773E06" style="width:450.8pt;height:365.9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spacing w:before="100" w:beforeAutospacing="1"/>
        <w:rPr>
          <w:rFonts w:eastAsia="Times New Roman"/>
          <w:noProof/>
          <w:szCs w:val="24"/>
        </w:rPr>
      </w:pPr>
      <w:r>
        <w:rPr>
          <w:noProof/>
        </w:rPr>
        <w:t xml:space="preserve">От името на Европейската общност и на държавите членки Комисията договори Споразумение с Канада относно въздушния транспорт (наричано по-нататък „Споразумението“), в изпълнение на съответното Решение на Съвета, упълномощаващо Комисията да започне тези преговори.  На 17 и 18 декември 2009 г. Европейската общност и държавите членки, от една страна, и Канада, от друга страна, подписаха Споразумението, предназначено, </w:t>
      </w:r>
      <w:r>
        <w:rPr>
          <w:i/>
          <w:noProof/>
        </w:rPr>
        <w:t>inter alia</w:t>
      </w:r>
      <w:r>
        <w:rPr>
          <w:noProof/>
        </w:rPr>
        <w:t>, да улесни разширението на възможностите за международен въздушен транспорт чрез откриване на достъп до съответните пазари и да увеличи до максимална степен ползите за потребителите, въздушните линии, служителите и общностите от двете страни на Атлантическия океан.</w:t>
      </w:r>
    </w:p>
    <w:p>
      <w:pPr>
        <w:rPr>
          <w:rFonts w:eastAsia="Times New Roman"/>
          <w:noProof/>
        </w:rPr>
      </w:pPr>
      <w:r>
        <w:rPr>
          <w:noProof/>
        </w:rPr>
        <w:t>Що се отнася до ЕС, страни по споразумението са както Съюзът, така и неговите държави членки. Процесът на ратификация бе завършен на 25 октомври 2016 г. от всички държави членки с изключение на Република Хърватия. Предвидено е Република Хърватия да се присъедини към Споразумението в съответствие с процедурата, предвидена в Акта за присъединяване, приложен към Договора за присъединяване от 5 декември 2011 г.</w:t>
      </w:r>
    </w:p>
    <w:p>
      <w:pPr>
        <w:rPr>
          <w:noProof/>
        </w:rPr>
      </w:pPr>
      <w:r>
        <w:rPr>
          <w:noProof/>
        </w:rPr>
        <w:t>С оглед по-специално да бъде взето предвид влизането в сила на Лисабонския договор, както и след решението на Съда на Европейския съюз от 28 април 2015 г. по Дело С-28/12, с настоящото предложение се изменя първоначалното предложение на Комисията (с номер COM(2009)62 final), което бе прието на 17 февруари 2009 г. и впоследствие подадено в Съвета. За да се улесни разглеждането на измененото предложение от страна на Съвета, то е представено в пълен текст.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rPr>
          <w:noProof/>
          <w:u w:color="000000"/>
          <w:bdr w:val="nil"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 ОЦЕНКИ, КОНСУЛТАЦИИ СЪС ЗАИНТЕРЕСОВАНИ СТРАНИ И ОЦЕНКИ НА ВЪЗДЕЙСТВИЕТО</w:t>
      </w:r>
    </w:p>
    <w:p>
      <w:pPr>
        <w:rPr>
          <w:noProof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2009/0018 (NLE)</w:t>
      </w:r>
    </w:p>
    <w:p>
      <w:pPr>
        <w:pStyle w:val="Statut"/>
        <w:rPr>
          <w:noProof/>
        </w:rPr>
      </w:pPr>
      <w:r>
        <w:rPr>
          <w:noProof/>
        </w:rPr>
        <w:t>Изменено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Съюза, на Споразумението за въздушен транспорт между Европейската общност и нейните държави членки, от една страна, и Канада,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100, параграф 2, във връзка с член 218, параграф 6, буква а) от него,</w:t>
      </w:r>
    </w:p>
    <w:p>
      <w:pPr>
        <w:rPr>
          <w:rFonts w:eastAsia="Times New Roman"/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взе предвид </w:t>
      </w:r>
      <w:r>
        <w:rPr>
          <w:strike/>
          <w:noProof/>
        </w:rPr>
        <w:t>становището</w:t>
      </w:r>
      <w:r>
        <w:rPr>
          <w:noProof/>
        </w:rPr>
        <w:t xml:space="preserve"> </w:t>
      </w:r>
      <w:r>
        <w:rPr>
          <w:b/>
          <w:noProof/>
          <w:u w:val="single"/>
        </w:rPr>
        <w:t>съгласието</w:t>
      </w:r>
      <w:r>
        <w:rPr>
          <w:noProof/>
        </w:rPr>
        <w:t xml:space="preserve">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От името на Европейската общност и на държавите членки Комисията проведе преговори за Споразумение с Канада относно въздушния транспорт (наричано по-нататък „Споразумението“), в изпълнение на съответното Решение на Съвета, упълномощаващо Комисията да започне тези преговори.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Споразумението бе подписано на 17 и 18 декември 2009 г., при условие че бъде сключено на по-късна дата, в съответствие с Решение 2010/417/ЕО на Съвета и на Представителите на правителствата на държавите членки на Европейския съюз, заседаващи в рамките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Споразумението е ратифицирано от всички държави членки, с изключение на Република Хърватия. Предвидено е Република Хърватия да се присъедини към Споразумението в съответствие с член 6, параграф 2 от Акта за присъединяване, приложен към Договора за присъединяване от 5 декември 2011 г.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Споразумението следва да бъде одобрено сега от името на Европейския съюз.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В членове 3 и 4 от Решение 2010/417/ЕО се съдържат разпоредби относно вземането на решения и представителството във връзка с различни уредени в Споразумението въпроси. С оглед на Решението на Съда на Европейския съюз от 28 април 2015 г. по дело C-28/12 обаче прилагането на тези разпоредби следва да се преустанови. Като се имат предвид Договорите, не са необходими нови разпоредби по тези въпроси, както и разпоредби за задължения на държавите членки за предоставяне на информация, </w:t>
      </w:r>
      <w:r>
        <w:rPr>
          <w:b/>
          <w:noProof/>
          <w:u w:val="single"/>
        </w:rPr>
        <w:t>подобни на разпоредбите, формулирани в член 5 от Решение 2010/417/ЕО</w:t>
      </w:r>
      <w:r>
        <w:rPr>
          <w:noProof/>
        </w:rPr>
        <w:t>. Следователно членове 3, 4 и 5 от Решение 2010/417/Е</w:t>
      </w:r>
      <w:r>
        <w:rPr>
          <w:strike/>
          <w:noProof/>
        </w:rPr>
        <w:t>С</w:t>
      </w:r>
      <w:r>
        <w:rPr>
          <w:b/>
          <w:noProof/>
          <w:u w:val="single"/>
        </w:rPr>
        <w:t>О</w:t>
      </w:r>
      <w:r>
        <w:rPr>
          <w:noProof/>
        </w:rPr>
        <w:t xml:space="preserve"> следва да престанат да бъдат прилагани от датата на влизане в сила на настоящото решение,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rFonts w:eastAsia="Times New Roman"/>
          <w:noProof/>
        </w:rPr>
      </w:pPr>
      <w:r>
        <w:rPr>
          <w:noProof/>
        </w:rPr>
        <w:t>С настоящото решение се одобрява от името на Европейския съюз Споразумението за въздушен транспорт между Европейската общност и нейните държави членки, от една страна, и Канада, от друга страна (наричано по-долу „Споразумението“).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 2</w:t>
      </w:r>
    </w:p>
    <w:p>
      <w:pPr>
        <w:rPr>
          <w:rFonts w:eastAsia="Times New Roman"/>
          <w:noProof/>
        </w:rPr>
      </w:pPr>
      <w:r>
        <w:rPr>
          <w:noProof/>
        </w:rPr>
        <w:t xml:space="preserve">Председателят на Съвета трябва да определи лицето (-ата), оправомощено (-и) да представи (-ят) от името на Европейския съюз инструмента за одобрение, предвиден в член 23 от Споразумението, за да изрази (-ят) съгласието на Съюза за обвързване със Споразумението, и да направи (-ят) следното уведомление: </w:t>
      </w:r>
    </w:p>
    <w:p>
      <w:pPr>
        <w:rPr>
          <w:rFonts w:eastAsia="Times New Roman"/>
          <w:noProof/>
        </w:rPr>
      </w:pPr>
      <w:r>
        <w:rPr>
          <w:noProof/>
        </w:rPr>
        <w:tab/>
        <w:t>„Като следствие от влизането в сила на 1 декември 2009 г. на Лисабонския договор, Европейският съюз заменя Европейската общност и е неин правоприемник, като от тази дата упражнява всички права и поема всички задължения на Европейската общност. Поради това позоваванията на „Европейската общност“ в текста на Споразумението, където е целесъобразно, трябва да се четат като „Европейският съюз“.“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Членове 3, 4 и 5 от Решение 2010/47/ЕО престават да се прилагат от датата на влизане в сила на настоящото решение. 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keepLines/>
        <w:spacing w:after="480"/>
        <w:rPr>
          <w:rFonts w:eastAsia="Times New Roman"/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 C , , стр. 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 L 207, 6.8.2010 г., стр. 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5A46F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BBA97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C2F8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7C2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EA06E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3A6F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EC69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B9CFB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10 11:28:0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FC69875-C384-4677-8623-E4A738773E06"/>
    <w:docVar w:name="LW_COVERPAGE_TYPE" w:val="1"/>
    <w:docVar w:name="LW_CROSSREFERENCE" w:val="&lt;UNUSED&gt;"/>
    <w:docVar w:name="LW_DocType" w:val="COM"/>
    <w:docVar w:name="LW_EMISSION" w:val="10.1.2018"/>
    <w:docVar w:name="LW_EMISSION_ISODATE" w:val="2018-01-10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MOD"/>
    <w:docVar w:name="LW_ID_DOCTYPE" w:val="SG-010"/>
    <w:docVar w:name="LW_ID_STATUT" w:val="SG-010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18"/>
    <w:docVar w:name="LW_REF.II.NEW.CP_YEAR" w:val="2009"/>
    <w:docVar w:name="LW_REF.INST.NEW" w:val="COM"/>
    <w:docVar w:name="LW_REF.INST.NEW_ADOPTED" w:val="final"/>
    <w:docVar w:name="LW_REF.INST.NEW_TEXT" w:val="(2018) 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48?\u1079?\u1084?\u1077?\u1085?\u1077?\u1085?\u1086? \u1087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57?\u1098?\u1102?\u1079?\u1072?, \u1085?\u1072? \u1057?\u1087?\u1086?\u1088?\u1072?\u1079?\u1091?\u1084?\u1077?\u1085?\u1080?\u1077?\u1090?\u1086? \u1079?\u1072? \u1074?\u1098?\u1079?\u1076?\u1091?\u1096?\u1077?\u1085? \u1090?\u1088?\u1072?\u1085?\u1089?\u1087?\u1086?\u1088?\u1090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0?\u1072?\u1085?\u1072?\u1076?\u1072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Notapplicable">
    <w:name w:val="Not applicable"/>
    <w:basedOn w:val="ManualHeading2"/>
    <w:rPr>
      <w:rFonts w:eastAsia="Arial Unicode MS"/>
      <w:u w:color="000000"/>
      <w:bdr w:val="ni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Notapplicable">
    <w:name w:val="Not applicable"/>
    <w:basedOn w:val="ManualHeading2"/>
    <w:rPr>
      <w:rFonts w:eastAsia="Arial Unicode MS"/>
      <w:u w:color="000000"/>
      <w:bdr w:val="ni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800</Words>
  <Characters>4544</Characters>
  <Application>Microsoft Office Word</Application>
  <DocSecurity>0</DocSecurity>
  <Lines>96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33</cp:revision>
  <cp:lastPrinted>2017-10-05T07:02:00Z</cp:lastPrinted>
  <dcterms:created xsi:type="dcterms:W3CDTF">2017-12-19T12:34:00Z</dcterms:created>
  <dcterms:modified xsi:type="dcterms:W3CDTF">2018-01-10T10:28:00Z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SG-010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