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811DCB8-BDE6-4B83-9511-F973EB0F307C" style="width:450.35pt;height:40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numPr>
          <w:ilvl w:val="0"/>
          <w:numId w:val="22"/>
        </w:numPr>
        <w:shd w:val="clear" w:color="auto" w:fill="FFFFFF"/>
        <w:spacing w:before="360" w:after="120"/>
        <w:jc w:val="both"/>
        <w:outlineLvl w:val="0"/>
        <w:rPr>
          <w:rStyle w:val="Heading1Char"/>
          <w:rFonts w:eastAsia="Calibri"/>
          <w:noProof/>
          <w:sz w:val="24"/>
          <w:szCs w:val="24"/>
        </w:rPr>
      </w:pPr>
      <w:bookmarkStart w:id="1" w:name="_Toc410373480"/>
      <w:bookmarkStart w:id="2" w:name="_Toc413919809"/>
      <w:bookmarkStart w:id="3" w:name="_Toc413920795"/>
      <w:bookmarkStart w:id="4" w:name="_Toc414992036"/>
      <w:bookmarkStart w:id="5" w:name="_Toc415146506"/>
      <w:bookmarkStart w:id="6" w:name="_GoBack"/>
      <w:bookmarkEnd w:id="6"/>
      <w:r>
        <w:rPr>
          <w:rStyle w:val="Heading1Char"/>
          <w:noProof/>
          <w:sz w:val="24"/>
        </w:rPr>
        <w:lastRenderedPageBreak/>
        <w:t>Контекст</w:t>
      </w:r>
      <w:bookmarkEnd w:id="1"/>
      <w:bookmarkEnd w:id="2"/>
      <w:bookmarkEnd w:id="3"/>
      <w:bookmarkEnd w:id="4"/>
      <w:bookmarkEnd w:id="5"/>
    </w:p>
    <w:p>
      <w:pPr>
        <w:spacing w:before="120" w:after="120"/>
        <w:ind w:left="850"/>
        <w:jc w:val="both"/>
        <w:rPr>
          <w:noProof/>
          <w:sz w:val="24"/>
        </w:rPr>
      </w:pPr>
      <w:r>
        <w:rPr>
          <w:noProof/>
          <w:sz w:val="24"/>
        </w:rPr>
        <w:t>За да бъдат приведени изпълнителните правомощия в съответствие с Договора за функционирането на Европейския съюз, Регламент (ЕО) № 216/2009 от 11 март 2009 г. относно предоставянето на статистика за номиналния улов на държавите-членки, които извършват риболов в зони извън северната част на Атлантическия океан</w:t>
      </w:r>
      <w:r>
        <w:rPr>
          <w:rStyle w:val="FootnoteReference"/>
          <w:noProof/>
          <w:sz w:val="24"/>
        </w:rPr>
        <w:footnoteReference w:id="2"/>
      </w:r>
      <w:r>
        <w:rPr>
          <w:noProof/>
          <w:sz w:val="24"/>
        </w:rPr>
        <w:t>, Регламент (ЕО) № 217/2009 от 11 март 2009 г. относно предоставянето на статистика за улова и риболовната дейност от държавите-членки, които извършват риболов в северозападната част на Атлантическия океан</w:t>
      </w:r>
      <w:r>
        <w:rPr>
          <w:noProof/>
          <w:sz w:val="24"/>
          <w:lang w:val="en-GB"/>
        </w:rPr>
        <w:t>,</w:t>
      </w:r>
      <w:r>
        <w:rPr>
          <w:rStyle w:val="FootnoteReference"/>
          <w:noProof/>
          <w:sz w:val="24"/>
        </w:rPr>
        <w:footnoteReference w:id="3"/>
      </w:r>
      <w:r>
        <w:rPr>
          <w:noProof/>
          <w:sz w:val="24"/>
        </w:rPr>
        <w:t xml:space="preserve"> и Регламент (ЕО) № 218/2009 от 11 март 2009 г. относно предоставянето на статистика за номиналния улов на държавите-членки, които извършват риболов в североизточната част на Атлантическия океан</w:t>
      </w:r>
      <w:r>
        <w:rPr>
          <w:rStyle w:val="FootnoteReference"/>
          <w:noProof/>
          <w:sz w:val="24"/>
        </w:rPr>
        <w:footnoteReference w:id="4"/>
      </w:r>
      <w:r>
        <w:rPr>
          <w:noProof/>
          <w:sz w:val="24"/>
        </w:rPr>
        <w:t>, бяха изменени с Регламент (ЕС) № 1350/2013 от 11 декември 2013 г. за изменение на някои законодателни актове в областта на статистиката на селското и рибното стопанство</w:t>
      </w:r>
      <w:r>
        <w:rPr>
          <w:rStyle w:val="FootnoteReference"/>
          <w:noProof/>
          <w:sz w:val="24"/>
        </w:rPr>
        <w:footnoteReference w:id="5"/>
      </w:r>
      <w:r>
        <w:rPr>
          <w:noProof/>
          <w:sz w:val="24"/>
        </w:rPr>
        <w:t>.</w:t>
      </w:r>
    </w:p>
    <w:p>
      <w:pPr>
        <w:spacing w:before="120" w:after="120"/>
        <w:ind w:left="850"/>
        <w:jc w:val="both"/>
        <w:rPr>
          <w:noProof/>
          <w:sz w:val="24"/>
        </w:rPr>
      </w:pPr>
      <w:r>
        <w:rPr>
          <w:noProof/>
          <w:sz w:val="24"/>
        </w:rPr>
        <w:t xml:space="preserve">Комисията е оправомощена да приема делегирани актове, за да вземе под внимание икономическите и техническите промени. С делегирани актове могат да се изменят: </w:t>
      </w:r>
    </w:p>
    <w:p>
      <w:pPr>
        <w:spacing w:before="120" w:after="120"/>
        <w:ind w:left="1440" w:hanging="360"/>
        <w:jc w:val="both"/>
        <w:rPr>
          <w:noProof/>
          <w:sz w:val="24"/>
        </w:rPr>
      </w:pPr>
      <w:r>
        <w:rPr>
          <w:noProof/>
          <w:sz w:val="24"/>
        </w:rPr>
        <w:t>•</w:t>
      </w:r>
      <w:r>
        <w:rPr>
          <w:noProof/>
        </w:rPr>
        <w:tab/>
      </w:r>
      <w:r>
        <w:rPr>
          <w:noProof/>
          <w:sz w:val="24"/>
        </w:rPr>
        <w:t>списъците на статистическите риболовни зони или техните подучастъци, посочени в приложения I, II и III към Регламент (ЕО) № 216/2009 и в приложения II и III към регламенти (ЕО) № 217/2009 и (ЕО) № 218/2009.</w:t>
      </w:r>
    </w:p>
    <w:p>
      <w:pPr>
        <w:spacing w:before="120" w:after="120"/>
        <w:ind w:left="1440" w:hanging="360"/>
        <w:jc w:val="both"/>
        <w:rPr>
          <w:noProof/>
          <w:sz w:val="24"/>
        </w:rPr>
      </w:pPr>
      <w:r>
        <w:rPr>
          <w:noProof/>
          <w:sz w:val="24"/>
        </w:rPr>
        <w:t>•</w:t>
      </w:r>
      <w:r>
        <w:rPr>
          <w:noProof/>
        </w:rPr>
        <w:tab/>
      </w:r>
      <w:r>
        <w:rPr>
          <w:noProof/>
          <w:sz w:val="24"/>
        </w:rPr>
        <w:t>списъците на видовете, посочени в приложения IV към Регламент (ЕО) № 216/2009 и в приложение I към регламенти (ЕО) № 217/2009 и (ЕО) № 218/2009, както и</w:t>
      </w:r>
    </w:p>
    <w:p>
      <w:pPr>
        <w:spacing w:before="120" w:after="120"/>
        <w:ind w:left="1440" w:hanging="360"/>
        <w:jc w:val="both"/>
        <w:rPr>
          <w:noProof/>
          <w:sz w:val="24"/>
        </w:rPr>
      </w:pPr>
      <w:r>
        <w:rPr>
          <w:noProof/>
          <w:sz w:val="24"/>
        </w:rPr>
        <w:t>•</w:t>
      </w:r>
      <w:r>
        <w:rPr>
          <w:noProof/>
        </w:rPr>
        <w:tab/>
      </w:r>
      <w:r>
        <w:rPr>
          <w:noProof/>
          <w:sz w:val="24"/>
        </w:rPr>
        <w:t>мерките, кодовете и определенията, приложими по отношение на риболовната дейност, риболовните съоръжения, размерите на риболовните съдове и риболовните методи, посочени в приложение IV към Регламент (ЕО) № 217/2009.</w:t>
      </w:r>
    </w:p>
    <w:p>
      <w:pPr>
        <w:spacing w:before="120" w:after="120"/>
        <w:ind w:left="850"/>
        <w:jc w:val="both"/>
        <w:rPr>
          <w:noProof/>
          <w:sz w:val="24"/>
        </w:rPr>
      </w:pPr>
      <w:r>
        <w:rPr>
          <w:noProof/>
          <w:sz w:val="24"/>
        </w:rPr>
        <w:t>Съгласно член 5 от регламенти (ЕО) № 216/2009 и (ЕО) № 218/2009 и член 6 от Регламент (ЕО) № 217/2009 Комисията разполага с правомощието да приема делегирани актове за срок от пет години, считано от 10 януари 2014 г. Това правомощие се подновява мълчаливо за пет години, освен ако Европейският парламент или Съветът не представят възражение.</w:t>
      </w:r>
    </w:p>
    <w:p>
      <w:pPr>
        <w:spacing w:before="120" w:after="120"/>
        <w:ind w:left="850"/>
        <w:jc w:val="both"/>
        <w:rPr>
          <w:noProof/>
          <w:sz w:val="24"/>
        </w:rPr>
      </w:pPr>
      <w:r>
        <w:rPr>
          <w:noProof/>
          <w:sz w:val="24"/>
        </w:rPr>
        <w:t>Комисията е длъжна да изготви доклад относно делегираното правомощие не по-късно от девет месеца преди изтичането на петгодишния срок, което означава преди 10 април 2018 г.</w:t>
      </w:r>
    </w:p>
    <w:p>
      <w:pPr>
        <w:spacing w:before="120" w:after="120"/>
        <w:ind w:left="850"/>
        <w:jc w:val="both"/>
        <w:rPr>
          <w:noProof/>
          <w:sz w:val="24"/>
        </w:rPr>
      </w:pPr>
      <w:r>
        <w:rPr>
          <w:noProof/>
          <w:sz w:val="24"/>
        </w:rPr>
        <w:t>С настоящия доклад се изпълнява това задължение.</w:t>
      </w:r>
    </w:p>
    <w:p>
      <w:pPr>
        <w:keepNext/>
        <w:numPr>
          <w:ilvl w:val="0"/>
          <w:numId w:val="22"/>
        </w:numPr>
        <w:shd w:val="clear" w:color="auto" w:fill="FFFFFF"/>
        <w:spacing w:before="360" w:after="120"/>
        <w:jc w:val="both"/>
        <w:outlineLvl w:val="0"/>
        <w:rPr>
          <w:b/>
          <w:bCs/>
          <w:smallCaps/>
          <w:noProof/>
          <w:sz w:val="24"/>
          <w:szCs w:val="24"/>
        </w:rPr>
      </w:pPr>
      <w:bookmarkStart w:id="7" w:name="_Toc413919810"/>
      <w:bookmarkStart w:id="8" w:name="_Toc413920796"/>
      <w:bookmarkStart w:id="9" w:name="_Toc414992037"/>
      <w:bookmarkStart w:id="10" w:name="_Toc415146507"/>
      <w:bookmarkStart w:id="11" w:name="_Toc342558478"/>
      <w:bookmarkStart w:id="12" w:name="_Toc410373481"/>
      <w:r>
        <w:rPr>
          <w:rStyle w:val="Heading1Char"/>
          <w:noProof/>
          <w:sz w:val="24"/>
        </w:rPr>
        <w:t>Упражняване на делегирани правомощия от страна на Комисията в съответствие с</w:t>
      </w:r>
      <w:r>
        <w:rPr>
          <w:noProof/>
        </w:rPr>
        <w:t xml:space="preserve"> </w:t>
      </w:r>
      <w:r>
        <w:rPr>
          <w:b/>
          <w:smallCaps/>
          <w:noProof/>
          <w:sz w:val="24"/>
        </w:rPr>
        <w:t>регламенти</w:t>
      </w:r>
      <w:bookmarkEnd w:id="7"/>
      <w:r>
        <w:rPr>
          <w:b/>
          <w:smallCaps/>
          <w:noProof/>
          <w:sz w:val="24"/>
        </w:rPr>
        <w:t xml:space="preserve"> </w:t>
      </w:r>
      <w:bookmarkEnd w:id="8"/>
      <w:r>
        <w:rPr>
          <w:b/>
          <w:smallCaps/>
          <w:noProof/>
          <w:sz w:val="24"/>
        </w:rPr>
        <w:t xml:space="preserve"> </w:t>
      </w:r>
      <w:bookmarkEnd w:id="9"/>
      <w:r>
        <w:rPr>
          <w:b/>
          <w:smallCaps/>
          <w:noProof/>
          <w:sz w:val="24"/>
        </w:rPr>
        <w:t xml:space="preserve"> </w:t>
      </w:r>
      <w:bookmarkEnd w:id="10"/>
      <w:r>
        <w:rPr>
          <w:b/>
          <w:smallCaps/>
          <w:noProof/>
          <w:sz w:val="24"/>
        </w:rPr>
        <w:t>(ЕО) № 216/2009, (ЕО) № 217/2009 и (ЕО) № 218/2009</w:t>
      </w:r>
    </w:p>
    <w:p>
      <w:pPr>
        <w:spacing w:before="120" w:after="120"/>
        <w:ind w:left="850"/>
        <w:jc w:val="both"/>
        <w:rPr>
          <w:noProof/>
          <w:sz w:val="24"/>
        </w:rPr>
      </w:pPr>
      <w:r>
        <w:rPr>
          <w:noProof/>
          <w:sz w:val="24"/>
        </w:rPr>
        <w:t>Комисията все още не е упражнила правомощието за приемане на делегирани актове, предоставено ѝ с регламенти (ЕО) № 216/2009, (ЕО) № 217/2009 и (ЕО) № 218/2009.</w:t>
      </w:r>
    </w:p>
    <w:p>
      <w:pPr>
        <w:spacing w:before="120" w:after="120"/>
        <w:ind w:left="850"/>
        <w:jc w:val="both"/>
        <w:rPr>
          <w:noProof/>
          <w:sz w:val="24"/>
        </w:rPr>
      </w:pPr>
      <w:r>
        <w:rPr>
          <w:noProof/>
          <w:sz w:val="24"/>
        </w:rPr>
        <w:t>Посочените регламенти обхващат годишното събиране на статистическа информация за номиналния улов от плавателни съдове, извършващи риболов в седем основни риболовни зони и техните подучастъци, както и за риболовната дейност по календарни месеци, риболовните съоръжения, размерите на риболовните съдове и основните търсени видове за риболов в северозападната част на Атлантическия океан. Първите данни бяха събрани през 2009 г. и бяха предоставени на Комисията (Евростат) съответно в края на май 2010 г. — по Регламент (ЕО) № 217/2009, и в края на юни 2010 г. — по регламенти (ЕО) № 216/2009 и (ЕО) № 218/2009.</w:t>
      </w:r>
    </w:p>
    <w:p>
      <w:pPr>
        <w:spacing w:before="120" w:after="120"/>
        <w:ind w:left="850"/>
        <w:jc w:val="both"/>
        <w:rPr>
          <w:noProof/>
          <w:sz w:val="24"/>
        </w:rPr>
      </w:pPr>
      <w:r>
        <w:rPr>
          <w:noProof/>
          <w:sz w:val="24"/>
        </w:rPr>
        <w:t>До момента на предаване на настоящия доклад събирането на данни съгласно посочените регламенти беше стабилно, без промени в международните определения. Поради това Комисията все още не е счела за необходимо да упражни делегираните ѝ правомощия.</w:t>
      </w:r>
    </w:p>
    <w:p>
      <w:pPr>
        <w:spacing w:before="120" w:after="120"/>
        <w:ind w:left="850"/>
        <w:jc w:val="both"/>
        <w:rPr>
          <w:noProof/>
          <w:sz w:val="24"/>
        </w:rPr>
      </w:pPr>
    </w:p>
    <w:p>
      <w:pPr>
        <w:keepNext/>
        <w:numPr>
          <w:ilvl w:val="0"/>
          <w:numId w:val="22"/>
        </w:numPr>
        <w:shd w:val="clear" w:color="auto" w:fill="FFFFFF"/>
        <w:spacing w:before="360" w:after="120"/>
        <w:jc w:val="both"/>
        <w:outlineLvl w:val="0"/>
        <w:rPr>
          <w:rStyle w:val="Heading1Char"/>
          <w:rFonts w:eastAsia="Calibri"/>
          <w:noProof/>
          <w:sz w:val="24"/>
          <w:szCs w:val="24"/>
        </w:rPr>
      </w:pPr>
      <w:r>
        <w:rPr>
          <w:rStyle w:val="Heading1Char"/>
          <w:noProof/>
          <w:sz w:val="24"/>
        </w:rPr>
        <w:t>Заключения</w:t>
      </w:r>
    </w:p>
    <w:bookmarkEnd w:id="11"/>
    <w:bookmarkEnd w:id="12"/>
    <w:p>
      <w:pPr>
        <w:spacing w:before="120" w:after="120"/>
        <w:ind w:left="850"/>
        <w:jc w:val="both"/>
        <w:rPr>
          <w:noProof/>
          <w:sz w:val="24"/>
        </w:rPr>
      </w:pPr>
      <w:r>
        <w:rPr>
          <w:noProof/>
          <w:sz w:val="24"/>
        </w:rPr>
        <w:t>Комисията все още не е упражнила правомощието за приемане на делегирани актове, предоставено ѝ с Регламент (ЕО) № 216/2009, Регламент (ЕО) № 217/2009 и Регламент (ЕО) № 218/2009.</w:t>
      </w:r>
    </w:p>
    <w:p>
      <w:pPr>
        <w:spacing w:before="120" w:after="120"/>
        <w:ind w:left="850"/>
        <w:jc w:val="both"/>
        <w:rPr>
          <w:noProof/>
          <w:sz w:val="24"/>
        </w:rPr>
      </w:pPr>
      <w:r>
        <w:rPr>
          <w:noProof/>
          <w:sz w:val="24"/>
        </w:rPr>
        <w:t>Тя счита, че следва да продължи да разполага с тези делегирани правомощия, тъй като в бъдеще може да се наложи да приеме делегирани актове за изменение на видовете и риболовните зони, посочени в приложенията към посочените по-горе регламенти, за да отговори на нуждите на потребителите на данни в контекста на бъдещата политика в областта на рибарството.</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fi-FI"/>
        </w:rPr>
      </w:pPr>
      <w:r>
        <w:rPr>
          <w:rStyle w:val="FootnoteReference"/>
        </w:rPr>
        <w:footnoteRef/>
      </w:r>
      <w:r>
        <w:t xml:space="preserve"> </w:t>
      </w:r>
      <w:r>
        <w:tab/>
        <w:t>ОВ L 87, 31.3.2009 г., стр. 1.</w:t>
      </w:r>
    </w:p>
  </w:footnote>
  <w:footnote w:id="3">
    <w:p>
      <w:pPr>
        <w:pStyle w:val="FootnoteText"/>
        <w:rPr>
          <w:lang w:val="fi-FI"/>
        </w:rPr>
      </w:pPr>
      <w:r>
        <w:rPr>
          <w:rStyle w:val="FootnoteReference"/>
        </w:rPr>
        <w:footnoteRef/>
      </w:r>
      <w:r>
        <w:t xml:space="preserve"> </w:t>
      </w:r>
      <w:r>
        <w:tab/>
        <w:t>ОВ L 87, 31.3.2009 г., стр. 42.</w:t>
      </w:r>
    </w:p>
  </w:footnote>
  <w:footnote w:id="4">
    <w:p>
      <w:pPr>
        <w:pStyle w:val="FootnoteText"/>
        <w:rPr>
          <w:lang w:val="fi-FI"/>
        </w:rPr>
      </w:pPr>
      <w:r>
        <w:rPr>
          <w:rStyle w:val="FootnoteReference"/>
        </w:rPr>
        <w:footnoteRef/>
      </w:r>
      <w:r>
        <w:t xml:space="preserve"> </w:t>
      </w:r>
      <w:r>
        <w:tab/>
        <w:t>ОВ L 87, 31.3.2009 г., стр. 70.</w:t>
      </w:r>
    </w:p>
  </w:footnote>
  <w:footnote w:id="5">
    <w:p>
      <w:pPr>
        <w:pStyle w:val="FootnoteText"/>
        <w:rPr>
          <w:lang w:val="fi-FI"/>
        </w:rPr>
      </w:pPr>
      <w:r>
        <w:rPr>
          <w:rStyle w:val="FootnoteReference"/>
        </w:rPr>
        <w:footnoteRef/>
      </w:r>
      <w:r>
        <w:t xml:space="preserve"> </w:t>
      </w:r>
      <w:r>
        <w:tab/>
        <w:t>ОВ L 351, 21.12.2013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0930F61"/>
    <w:multiLevelType w:val="hybridMultilevel"/>
    <w:tmpl w:val="DD14C2FA"/>
    <w:name w:val="Annex"/>
    <w:lvl w:ilvl="0" w:tplc="3834758A">
      <w:start w:val="1"/>
      <w:numFmt w:val="upperRoman"/>
      <w:pStyle w:val="Annexheading"/>
      <w:lvlText w:val="ANNEX %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
  </w:num>
  <w:num w:numId="3">
    <w:abstractNumId w:val="11"/>
  </w:num>
  <w:num w:numId="4">
    <w:abstractNumId w:val="6"/>
  </w:num>
  <w:num w:numId="5">
    <w:abstractNumId w:val="10"/>
  </w:num>
  <w:num w:numId="6">
    <w:abstractNumId w:val="17"/>
  </w:num>
  <w:num w:numId="7">
    <w:abstractNumId w:val="19"/>
  </w:num>
  <w:num w:numId="8">
    <w:abstractNumId w:val="1"/>
  </w:num>
  <w:num w:numId="9">
    <w:abstractNumId w:val="8"/>
  </w:num>
  <w:num w:numId="10">
    <w:abstractNumId w:val="16"/>
  </w:num>
  <w:num w:numId="11">
    <w:abstractNumId w:val="15"/>
  </w:num>
  <w:num w:numId="12">
    <w:abstractNumId w:val="13"/>
  </w:num>
  <w:num w:numId="13">
    <w:abstractNumId w:val="14"/>
  </w:num>
  <w:num w:numId="14">
    <w:abstractNumId w:val="5"/>
  </w:num>
  <w:num w:numId="15">
    <w:abstractNumId w:val="9"/>
  </w:num>
  <w:num w:numId="16">
    <w:abstractNumId w:val="3"/>
  </w:num>
  <w:num w:numId="17">
    <w:abstractNumId w:val="7"/>
  </w:num>
  <w:num w:numId="18">
    <w:abstractNumId w:val="20"/>
  </w:num>
  <w:num w:numId="19">
    <w:abstractNumId w:val="0"/>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811DCB8-BDE6-4B83-9511-F973EB0F307C"/>
    <w:docVar w:name="LW_COVERPAGE_TYPE" w:val="1"/>
    <w:docVar w:name="LW_CROSSREFERENCE" w:val="&lt;UNUSED&gt;"/>
    <w:docVar w:name="LW_DocType" w:val="NORMAL"/>
    <w:docVar w:name="LW_EMISSION" w:val="12.1.2018"/>
    <w:docVar w:name="LW_EMISSION_ISODATE" w:val="2018-01-12"/>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Tahoma Cyr&gt;\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9?\u1098?\u1075?\u1083?\u1072?\u1089?\u1085?\u1086? \u1056?\u1077?\u1075?\u1083?\u1072?\u1084?\u1077?\u1085?\u1090? (\u1045?\u1054?) \u8470? 216/2009 \u1086?\u1090?\u1085?\u1086?\u1089?\u1085?\u1086? \u1087?\u1088?\u1077?\u1076?\u1086?\u1089?\u1090?\u1072?\u1074?\u1103?\u1085?\u1077?\u1090?\u1086? \u1085?\u1072? \u1089?\u1090?\u1072?\u1090?\u1080?\u1089?\u1090?\u1080?\u1082?\u1072? \u1079?\u1072? \u1085?\u1086?\u1084?\u1080?\u1085?\u1072?\u1083?\u1085?\u1080?\u1103? \u1091?\u1083?\u1086?\u1074? \u1085?\u1072? \u1076?\u1098?\u1088?\u1078?\u1072?\u1074?\u1080?\u1090?\u1077?-\u1095?\u1083?\u1077?\u1085?\u1082?\u1080?, \u1082?\u1086?\u1080?\u1090?\u1086? \u1080?\u1079?\u1074?\u1098?\u1088?\u1096?\u1074?\u1072?\u1090? \u1088?\u1080?\u1073?\u1086?\u1083?\u1086?\u1074? \u1074? \u1079?\u1086?\u1085?\u1080? \u1080?\u1079?\u1074?\u1098?\u1085? \u1089?\u1077?\u1074?\u1077?\u1088?\u1085?\u1072?\u1090?\u1072? \u1095?\u1072?\u1089?\u1090? \u1085?\u1072? \u1040?\u1090?\u1083?\u1072?\u1085?\u1090?\u1080?\u1095?\u1077?\u1089?\u1082?\u1080?\u1103? \u1086?\u1082?\u1077?\u1072?\u1085?, \u1056?\u1077?\u1075?\u1083?\u1072?\u1084?\u1077?\u1085?\u1090? (\u1045?\u1054?) \u8470? 217/2009 \u1086?\u1090?\u1085?\u1086?\u1089?\u1085?\u1086? \u1087?\u1088?\u1077?\u1076?\u1086?\u1089?\u1090?\u1072?\u1074?\u1103?\u1085?\u1077?\u1090?\u1086? \u1085?\u1072? \u1089?\u1090?\u1072?\u1090?\u1080?\u1089?\u1090?\u1080?\u1082?\u1072? \u1079?\u1072? \u1091?\u1083?\u1086?\u1074?\u1072? \u1080? \u1088?\u1080?\u1073?\u1086?\u1083?\u1086?\u1074?\u1085?\u1072?\u1090?\u1072? \u1076?\u1077?\u1081?\u1085?\u1086?\u1089?\u1090? \u1086?\u1090? \u1076?\u1098?\u1088?\u1078?\u1072?\u1074?\u1080?\u1090?\u1077?-\u1095?\u1083?\u1077?\u1085?\u1082?\u1080?, \u1082?\u1086?\u1080?\u1090?\u1086? \u1080?\u1079?\u1074?\u1098?\u1088?\u1096?\u1074?\u1072?\u1090? \u1088?\u1080?\u1073?\u1086?\u1083?\u1086?\u1074? \u1074? \u1089?\u1077?\u1074?\u1077?\u1088?\u1086?\u1079?\u1072?\u1087?\u1072?\u1076?\u1085?\u1072?\u1090?\u1072? \u1095?\u1072?\u1089?\u1090? \u1085?\u1072? \u1040?\u1090?\u1083?\u1072?\u1085?\u1090?\u1080?\u1095?\u1077?\u1089?\u1082?\u1080?\u1103? \u1086?\u1082?\u1077?\u1072?\u1085?&lt;/FMT&gt;&lt;FMT:Font=Tahoma&gt;,&lt;/FMT&gt;&lt;FMT:Font=Tahoma Cyr&gt; \u1080? \u1056?\u1077?\u1075?\u1083?\u1072?\u1084?\u1077?\u1085?\u1090? (\u1045?\u1054?) \u8470? 218/2009 \u1086?\u1090?\u1085?\u1086?\u1089?\u1085?\u1086? \u1087?\u1088?\u1077?\u1076?\u1086?\u1089?\u1090?\u1072?\u1074?\u1103?\u1085?\u1077?\u1090?\u1086? \u1085?\u1072? \u1089?\u1090?\u1072?\u1090?\u1080?\u1089?\u1090?\u1080?\u1082?\u1072? \u1079?\u1072? \u1085?\u1086?\u1084?\u1080?\u1085?\u1072?\u1083?\u1085?\u1080?\u1103? \u1091?\u1083?\u1086?\u1074? \u1085?\u1072? \u1076?\u1098?\u1088?\u1078?\u1072?\u1074?\u1080?\u1090?\u1077?-\u1095?\u1083?\u1077?\u1085?\u1082?\u1080?, \u1082?\u1086?\u1080?\u1090?\u1086? \u1080?\u1079?\u1074?\u1098?\u1088?\u1096?\u1074?\u1072?\u1090? \u1088?\u1080?\u1073?\u1086?\u1083?\u1086?\u1074? \u1074? \u1089?\u1077?\u1074?\u1077?\u1088?\u1086?\u1080?\u1079?\u1090?\u1086?\u1095?\u1085?\u1072?\u1090?\u1072? \u1095?\u1072?\u1089?\u1090? \u1085?\u1072? \u1040?\u1090?\u1083?\u1072?\u1085?\u1090?\u1080?\u1095?\u1077?\u1089?\u1082?\u1080?\u1103? \u1086?\u1082?\u1077?\u1072?\u1085?&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STAT\ESTAT-2017-10254\ESTAT-2017-10254-00-00-EN-REV-00.201710300954366584503.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pPr>
      <w:keepNext/>
      <w:numPr>
        <w:numId w:val="20"/>
      </w:numPr>
      <w:spacing w:before="240"/>
      <w:outlineLvl w:val="0"/>
    </w:pPr>
    <w:rPr>
      <w:b/>
      <w:smallCaps/>
    </w:rPr>
  </w:style>
  <w:style w:type="paragraph" w:styleId="Heading2">
    <w:name w:val="heading 2"/>
    <w:basedOn w:val="Normal"/>
    <w:next w:val="Normal"/>
    <w:link w:val="Heading2Char"/>
    <w:uiPriority w:val="9"/>
    <w:qFormat/>
    <w:pPr>
      <w:keepNext/>
      <w:numPr>
        <w:ilvl w:val="1"/>
        <w:numId w:val="20"/>
      </w:numPr>
      <w:outlineLvl w:val="1"/>
    </w:pPr>
    <w:rPr>
      <w:b/>
    </w:rPr>
  </w:style>
  <w:style w:type="paragraph" w:styleId="Heading3">
    <w:name w:val="heading 3"/>
    <w:basedOn w:val="Normal"/>
    <w:next w:val="Normal"/>
    <w:link w:val="Heading3Char"/>
    <w:uiPriority w:val="9"/>
    <w:qFormat/>
    <w:pPr>
      <w:keepNext/>
      <w:numPr>
        <w:ilvl w:val="2"/>
        <w:numId w:val="20"/>
      </w:numPr>
      <w:outlineLvl w:val="2"/>
    </w:pPr>
    <w:rPr>
      <w:i/>
    </w:rPr>
  </w:style>
  <w:style w:type="paragraph" w:styleId="Heading4">
    <w:name w:val="heading 4"/>
    <w:basedOn w:val="Normal"/>
    <w:next w:val="Normal"/>
    <w:link w:val="Heading4Char"/>
    <w:uiPriority w:val="9"/>
    <w:qFormat/>
    <w:pPr>
      <w:keepNext/>
      <w:numPr>
        <w:ilvl w:val="3"/>
        <w:numId w:val="20"/>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rPr>
  </w:style>
  <w:style w:type="paragraph" w:styleId="Heading8">
    <w:name w:val="heading 8"/>
    <w:basedOn w:val="Normal"/>
    <w:next w:val="Normal"/>
    <w:link w:val="Heading8Char"/>
    <w:qFormat/>
    <w:pPr>
      <w:tabs>
        <w:tab w:val="num" w:pos="0"/>
      </w:tabs>
      <w:spacing w:before="240" w:after="60"/>
      <w:outlineLvl w:val="7"/>
    </w:pPr>
    <w:rPr>
      <w:rFonts w:ascii="Arial" w:hAnsi="Arial"/>
      <w:i/>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_heading"/>
    <w:basedOn w:val="Normal"/>
    <w:pPr>
      <w:pageBreakBefore/>
      <w:numPr>
        <w:numId w:val="1"/>
      </w:numPr>
      <w:spacing w:after="240"/>
      <w:jc w:val="both"/>
    </w:pPr>
    <w:rPr>
      <w:b/>
      <w:sz w:val="24"/>
    </w:r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Normal"/>
    <w:pPr>
      <w:keepNext/>
      <w:spacing w:after="480"/>
      <w:jc w:val="center"/>
    </w:pPr>
    <w:rPr>
      <w:b/>
      <w:sz w:val="32"/>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customStyle="1" w:styleId="ConfidentialUE">
    <w:name w:val="Confidential UE"/>
    <w:basedOn w:val="Normal"/>
    <w:pPr>
      <w:jc w:val="center"/>
    </w:pPr>
    <w:rPr>
      <w:b/>
      <w:caps/>
      <w:sz w:val="32"/>
      <w:bdr w:val="single" w:sz="18" w:space="0" w:color="auto"/>
    </w:rPr>
  </w:style>
  <w:style w:type="paragraph" w:customStyle="1" w:styleId="Contact">
    <w:name w:val="Contact"/>
    <w:basedOn w:val="Normal"/>
    <w:next w:val="Normal"/>
    <w:pPr>
      <w:spacing w:after="480"/>
      <w:ind w:left="567" w:hanging="567"/>
    </w:pPr>
  </w:style>
  <w:style w:type="paragraph" w:styleId="Date">
    <w:name w:val="Date"/>
    <w:basedOn w:val="Normal"/>
    <w:next w:val="Normal"/>
    <w:link w:val="DateChar"/>
    <w:pPr>
      <w:ind w:left="5103" w:right="-567"/>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Designator">
    <w:name w:val="Designator"/>
    <w:basedOn w:val="Normal"/>
    <w:pPr>
      <w:jc w:val="center"/>
    </w:pPr>
    <w:rPr>
      <w:b/>
      <w:caps/>
      <w:sz w:val="32"/>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Normal"/>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 w:val="24"/>
      <w:szCs w:val="22"/>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styleId="FootnoteText">
    <w:name w:val="footnote text"/>
    <w:basedOn w:val="Normal"/>
    <w:uiPriority w:val="99"/>
    <w:pPr>
      <w:ind w:left="357" w:hanging="357"/>
    </w:p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 w:val="24"/>
      <w:szCs w:val="22"/>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rPr>
      <w:rFonts w:ascii="Times New Roman" w:eastAsia="Times New Roman" w:hAnsi="Times New Roman" w:cs="Times New Roman"/>
      <w:b/>
      <w:sz w:val="20"/>
      <w:szCs w:val="20"/>
    </w:rPr>
  </w:style>
  <w:style w:type="character" w:customStyle="1" w:styleId="Heading3Char">
    <w:name w:val="Heading 3 Char"/>
    <w:basedOn w:val="DefaultParagraphFont"/>
    <w:link w:val="Heading3"/>
    <w:rPr>
      <w:rFonts w:ascii="Times New Roman" w:eastAsia="Times New Roman" w:hAnsi="Times New Roman" w:cs="Times New Roman"/>
      <w:i/>
      <w:sz w:val="20"/>
      <w:szCs w:val="20"/>
    </w:rPr>
  </w:style>
  <w:style w:type="character" w:customStyle="1" w:styleId="Heading4Char">
    <w:name w:val="Heading 4 Char"/>
    <w:basedOn w:val="DefaultParagraphFont"/>
    <w:link w:val="Heading4"/>
    <w:rPr>
      <w:rFonts w:ascii="Times New Roman" w:eastAsia="Times New Roman" w:hAnsi="Times New Roman" w:cs="Times New Roman"/>
      <w:sz w:val="20"/>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customStyle="1" w:styleId="LegalNumPar">
    <w:name w:val="LegalNumPar"/>
    <w:basedOn w:val="Normal"/>
    <w:pPr>
      <w:numPr>
        <w:numId w:val="2"/>
      </w:numPr>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customStyle="1" w:styleId="Text1">
    <w:name w:val="Text 1"/>
    <w:basedOn w:val="Normal"/>
    <w:pPr>
      <w:ind w:left="482"/>
    </w:pPr>
  </w:style>
  <w:style w:type="paragraph" w:customStyle="1" w:styleId="ListBullet1">
    <w:name w:val="List Bullet 1"/>
    <w:basedOn w:val="Text1"/>
    <w:pPr>
      <w:numPr>
        <w:numId w:val="4"/>
      </w:numPr>
    </w:pPr>
  </w:style>
  <w:style w:type="paragraph" w:customStyle="1" w:styleId="Text2">
    <w:name w:val="Text 2"/>
    <w:basedOn w:val="Normal"/>
    <w:pPr>
      <w:tabs>
        <w:tab w:val="left" w:pos="2302"/>
      </w:tabs>
      <w:ind w:left="1202"/>
    </w:pPr>
  </w:style>
  <w:style w:type="paragraph" w:styleId="ListBullet2">
    <w:name w:val="List Bullet 2"/>
    <w:basedOn w:val="Text2"/>
    <w:pPr>
      <w:numPr>
        <w:numId w:val="5"/>
      </w:numPr>
      <w:tabs>
        <w:tab w:val="clear" w:pos="2302"/>
      </w:tabs>
    </w:pPr>
  </w:style>
  <w:style w:type="paragraph" w:customStyle="1" w:styleId="Text3">
    <w:name w:val="Text 3"/>
    <w:basedOn w:val="Normal"/>
    <w:pPr>
      <w:tabs>
        <w:tab w:val="left" w:pos="2302"/>
      </w:tabs>
      <w:ind w:left="1202"/>
    </w:pPr>
  </w:style>
  <w:style w:type="paragraph" w:styleId="ListBullet3">
    <w:name w:val="List Bullet 3"/>
    <w:basedOn w:val="Text3"/>
    <w:pPr>
      <w:numPr>
        <w:numId w:val="6"/>
      </w:numPr>
      <w:tabs>
        <w:tab w:val="clear" w:pos="2302"/>
      </w:tabs>
    </w:pPr>
  </w:style>
  <w:style w:type="paragraph" w:customStyle="1" w:styleId="Text4">
    <w:name w:val="Text 4"/>
    <w:basedOn w:val="Normal"/>
    <w:pPr>
      <w:tabs>
        <w:tab w:val="left" w:pos="2302"/>
      </w:tabs>
      <w:ind w:left="1202"/>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styleId="ListNumber">
    <w:name w:val="List Number"/>
    <w:basedOn w:val="Normal"/>
    <w:pPr>
      <w:numPr>
        <w:numId w:val="14"/>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styleId="ListNumber2">
    <w:name w:val="List Number 2"/>
    <w:basedOn w:val="Text2"/>
    <w:pPr>
      <w:numPr>
        <w:numId w:val="16"/>
      </w:numPr>
      <w:tabs>
        <w:tab w:val="clear" w:pos="2302"/>
      </w:tabs>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styleId="ListNumber3">
    <w:name w:val="List Number 3"/>
    <w:basedOn w:val="Text3"/>
    <w:pPr>
      <w:numPr>
        <w:numId w:val="17"/>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styleId="ListNumber4">
    <w:name w:val="List Number 4"/>
    <w:basedOn w:val="Text4"/>
    <w:pPr>
      <w:numPr>
        <w:numId w:val="18"/>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ListNumber5">
    <w:name w:val="List Number 5"/>
    <w:basedOn w:val="Normal"/>
    <w:pPr>
      <w:numPr>
        <w:numId w:val="19"/>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Normal"/>
    <w:pPr>
      <w:spacing w:before="720" w:after="720"/>
      <w:jc w:val="center"/>
    </w:pPr>
    <w:rPr>
      <w:b/>
      <w:smallCaps/>
    </w:rPr>
  </w:style>
  <w:style w:type="paragraph" w:customStyle="1" w:styleId="NoteList">
    <w:name w:val="NoteList"/>
    <w:basedOn w:val="Normal"/>
    <w:next w:val="Normal"/>
    <w:pPr>
      <w:tabs>
        <w:tab w:val="left" w:pos="5823"/>
      </w:tabs>
      <w:spacing w:before="720" w:after="720"/>
      <w:ind w:left="5104" w:hanging="3119"/>
    </w:pPr>
    <w:rPr>
      <w:b/>
      <w:smallCaps/>
    </w:rPr>
  </w:style>
  <w:style w:type="paragraph" w:customStyle="1" w:styleId="NumPar1">
    <w:name w:val="NumPar 1"/>
    <w:basedOn w:val="Heading1"/>
    <w:next w:val="Text1"/>
    <w:pPr>
      <w:keepNext w:val="0"/>
      <w:numPr>
        <w:numId w:val="0"/>
      </w:numPr>
      <w:spacing w:before="0"/>
      <w:outlineLvl w:val="9"/>
    </w:pPr>
    <w:rPr>
      <w:b w:val="0"/>
      <w:smallCaps w:val="0"/>
    </w:rPr>
  </w:style>
  <w:style w:type="paragraph" w:customStyle="1" w:styleId="NumPar2">
    <w:name w:val="NumPar 2"/>
    <w:basedOn w:val="Heading2"/>
    <w:next w:val="Text2"/>
    <w:pPr>
      <w:keepNext w:val="0"/>
      <w:numPr>
        <w:ilvl w:val="0"/>
        <w:numId w:val="0"/>
      </w:numPr>
      <w:outlineLvl w:val="9"/>
    </w:pPr>
    <w:rPr>
      <w:b w:val="0"/>
    </w:rPr>
  </w:style>
  <w:style w:type="paragraph" w:customStyle="1" w:styleId="NumPar3">
    <w:name w:val="NumPar 3"/>
    <w:basedOn w:val="Heading3"/>
    <w:next w:val="Text3"/>
    <w:pPr>
      <w:keepNext w:val="0"/>
      <w:numPr>
        <w:ilvl w:val="0"/>
        <w:numId w:val="0"/>
      </w:numPr>
      <w:outlineLvl w:val="9"/>
    </w:pPr>
    <w:rPr>
      <w:i w:val="0"/>
    </w:rPr>
  </w:style>
  <w:style w:type="paragraph" w:customStyle="1" w:styleId="NumPar4">
    <w:name w:val="NumPar 4"/>
    <w:basedOn w:val="Heading4"/>
    <w:next w:val="Text4"/>
    <w:pPr>
      <w:keepNext w:val="0"/>
      <w:numPr>
        <w:ilvl w:val="0"/>
        <w:numId w:val="0"/>
      </w:num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customStyle="1" w:styleId="References">
    <w:name w:val="References"/>
    <w:basedOn w:val="Normal"/>
    <w:next w:val="AddressTR"/>
    <w:pPr>
      <w:ind w:left="5103"/>
    </w:p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customStyle="1" w:styleId="SecretUE">
    <w:name w:val="Secret UE"/>
    <w:basedOn w:val="Normal"/>
    <w:pPr>
      <w:jc w:val="center"/>
    </w:pPr>
    <w:rPr>
      <w:b/>
      <w:caps/>
      <w:color w:val="FF0000"/>
      <w:sz w:val="32"/>
      <w:bdr w:val="single" w:sz="18" w:space="0" w:color="FF000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link w:val="SignatureChar"/>
    <w:pPr>
      <w:tabs>
        <w:tab w:val="left" w:pos="5103"/>
      </w:tabs>
      <w:spacing w:before="120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Subject">
    <w:name w:val="Subject"/>
    <w:basedOn w:val="Normal"/>
    <w:next w:val="Normal"/>
    <w:pPr>
      <w:spacing w:after="480"/>
      <w:ind w:left="1531" w:hanging="1531"/>
    </w:pPr>
    <w:rPr>
      <w:b/>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Normal"/>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CHeading">
    <w:name w:val="TOC Heading"/>
    <w:basedOn w:val="Normal"/>
    <w:next w:val="Normal"/>
    <w:qFormat/>
    <w:pPr>
      <w:keepNext/>
      <w:spacing w:before="240"/>
      <w:jc w:val="center"/>
    </w:pPr>
    <w:rPr>
      <w:b/>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YReferences">
    <w:name w:val="YReferences"/>
    <w:basedOn w:val="Normal"/>
    <w:next w:val="Normal"/>
    <w:pPr>
      <w:spacing w:after="480"/>
      <w:ind w:left="1531" w:hanging="1531"/>
    </w:pPr>
  </w:style>
  <w:style w:type="paragraph" w:customStyle="1" w:styleId="ZCom">
    <w:name w:val="Z_Com"/>
    <w:basedOn w:val="Normal"/>
    <w:next w:val="Normal"/>
    <w:uiPriority w:val="99"/>
    <w:pPr>
      <w:widowControl w:val="0"/>
      <w:autoSpaceDE w:val="0"/>
      <w:autoSpaceDN w:val="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character" w:styleId="FootnoteReference">
    <w:name w:val="footnote reference"/>
    <w:uiPriority w:val="99"/>
    <w:unhideWhenUsed/>
    <w:rPr>
      <w:shd w:val="clear" w:color="auto" w:fill="auto"/>
      <w:vertAlign w:val="superscript"/>
    </w:rPr>
  </w:style>
  <w:style w:type="paragraph" w:customStyle="1" w:styleId="Declassification">
    <w:name w:val="Declassification"/>
    <w:basedOn w:val="Normal"/>
    <w:next w:val="Normal"/>
    <w:pPr>
      <w:jc w:val="both"/>
    </w:pPr>
    <w:rPr>
      <w:rFonts w:eastAsiaTheme="minorHAnsi"/>
      <w:sz w:val="24"/>
      <w:szCs w:val="22"/>
    </w:rPr>
  </w:style>
  <w:style w:type="paragraph" w:customStyle="1" w:styleId="HeaderLandscape">
    <w:name w:val="HeaderLandscape"/>
    <w:basedOn w:val="Normal"/>
    <w:pPr>
      <w:tabs>
        <w:tab w:val="center" w:pos="7285"/>
        <w:tab w:val="right" w:pos="14003"/>
      </w:tabs>
      <w:spacing w:after="120"/>
      <w:jc w:val="both"/>
    </w:pPr>
    <w:rPr>
      <w:rFonts w:eastAsiaTheme="minorHAnsi"/>
      <w:sz w:val="24"/>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 w:val="24"/>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0"/>
      <w:szCs w:val="20"/>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pPr>
      <w:keepNext/>
      <w:numPr>
        <w:numId w:val="20"/>
      </w:numPr>
      <w:spacing w:before="240"/>
      <w:outlineLvl w:val="0"/>
    </w:pPr>
    <w:rPr>
      <w:b/>
      <w:smallCaps/>
    </w:rPr>
  </w:style>
  <w:style w:type="paragraph" w:styleId="Heading2">
    <w:name w:val="heading 2"/>
    <w:basedOn w:val="Normal"/>
    <w:next w:val="Normal"/>
    <w:link w:val="Heading2Char"/>
    <w:uiPriority w:val="9"/>
    <w:qFormat/>
    <w:pPr>
      <w:keepNext/>
      <w:numPr>
        <w:ilvl w:val="1"/>
        <w:numId w:val="20"/>
      </w:numPr>
      <w:outlineLvl w:val="1"/>
    </w:pPr>
    <w:rPr>
      <w:b/>
    </w:rPr>
  </w:style>
  <w:style w:type="paragraph" w:styleId="Heading3">
    <w:name w:val="heading 3"/>
    <w:basedOn w:val="Normal"/>
    <w:next w:val="Normal"/>
    <w:link w:val="Heading3Char"/>
    <w:uiPriority w:val="9"/>
    <w:qFormat/>
    <w:pPr>
      <w:keepNext/>
      <w:numPr>
        <w:ilvl w:val="2"/>
        <w:numId w:val="20"/>
      </w:numPr>
      <w:outlineLvl w:val="2"/>
    </w:pPr>
    <w:rPr>
      <w:i/>
    </w:rPr>
  </w:style>
  <w:style w:type="paragraph" w:styleId="Heading4">
    <w:name w:val="heading 4"/>
    <w:basedOn w:val="Normal"/>
    <w:next w:val="Normal"/>
    <w:link w:val="Heading4Char"/>
    <w:uiPriority w:val="9"/>
    <w:qFormat/>
    <w:pPr>
      <w:keepNext/>
      <w:numPr>
        <w:ilvl w:val="3"/>
        <w:numId w:val="20"/>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rPr>
  </w:style>
  <w:style w:type="paragraph" w:styleId="Heading8">
    <w:name w:val="heading 8"/>
    <w:basedOn w:val="Normal"/>
    <w:next w:val="Normal"/>
    <w:link w:val="Heading8Char"/>
    <w:qFormat/>
    <w:pPr>
      <w:tabs>
        <w:tab w:val="num" w:pos="0"/>
      </w:tabs>
      <w:spacing w:before="240" w:after="60"/>
      <w:outlineLvl w:val="7"/>
    </w:pPr>
    <w:rPr>
      <w:rFonts w:ascii="Arial" w:hAnsi="Arial"/>
      <w:i/>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_heading"/>
    <w:basedOn w:val="Normal"/>
    <w:pPr>
      <w:pageBreakBefore/>
      <w:numPr>
        <w:numId w:val="1"/>
      </w:numPr>
      <w:spacing w:after="240"/>
      <w:jc w:val="both"/>
    </w:pPr>
    <w:rPr>
      <w:b/>
      <w:sz w:val="24"/>
    </w:r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Normal"/>
    <w:pPr>
      <w:keepNext/>
      <w:spacing w:after="480"/>
      <w:jc w:val="center"/>
    </w:pPr>
    <w:rPr>
      <w:b/>
      <w:sz w:val="32"/>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customStyle="1" w:styleId="ConfidentialUE">
    <w:name w:val="Confidential UE"/>
    <w:basedOn w:val="Normal"/>
    <w:pPr>
      <w:jc w:val="center"/>
    </w:pPr>
    <w:rPr>
      <w:b/>
      <w:caps/>
      <w:sz w:val="32"/>
      <w:bdr w:val="single" w:sz="18" w:space="0" w:color="auto"/>
    </w:rPr>
  </w:style>
  <w:style w:type="paragraph" w:customStyle="1" w:styleId="Contact">
    <w:name w:val="Contact"/>
    <w:basedOn w:val="Normal"/>
    <w:next w:val="Normal"/>
    <w:pPr>
      <w:spacing w:after="480"/>
      <w:ind w:left="567" w:hanging="567"/>
    </w:pPr>
  </w:style>
  <w:style w:type="paragraph" w:styleId="Date">
    <w:name w:val="Date"/>
    <w:basedOn w:val="Normal"/>
    <w:next w:val="Normal"/>
    <w:link w:val="DateChar"/>
    <w:pPr>
      <w:ind w:left="5103" w:right="-567"/>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Designator">
    <w:name w:val="Designator"/>
    <w:basedOn w:val="Normal"/>
    <w:pPr>
      <w:jc w:val="center"/>
    </w:pPr>
    <w:rPr>
      <w:b/>
      <w:caps/>
      <w:sz w:val="32"/>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Normal"/>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 w:val="24"/>
      <w:szCs w:val="22"/>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styleId="FootnoteText">
    <w:name w:val="footnote text"/>
    <w:basedOn w:val="Normal"/>
    <w:uiPriority w:val="99"/>
    <w:pPr>
      <w:ind w:left="357" w:hanging="357"/>
    </w:p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 w:val="24"/>
      <w:szCs w:val="22"/>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rPr>
      <w:rFonts w:ascii="Times New Roman" w:eastAsia="Times New Roman" w:hAnsi="Times New Roman" w:cs="Times New Roman"/>
      <w:b/>
      <w:sz w:val="20"/>
      <w:szCs w:val="20"/>
    </w:rPr>
  </w:style>
  <w:style w:type="character" w:customStyle="1" w:styleId="Heading3Char">
    <w:name w:val="Heading 3 Char"/>
    <w:basedOn w:val="DefaultParagraphFont"/>
    <w:link w:val="Heading3"/>
    <w:rPr>
      <w:rFonts w:ascii="Times New Roman" w:eastAsia="Times New Roman" w:hAnsi="Times New Roman" w:cs="Times New Roman"/>
      <w:i/>
      <w:sz w:val="20"/>
      <w:szCs w:val="20"/>
    </w:rPr>
  </w:style>
  <w:style w:type="character" w:customStyle="1" w:styleId="Heading4Char">
    <w:name w:val="Heading 4 Char"/>
    <w:basedOn w:val="DefaultParagraphFont"/>
    <w:link w:val="Heading4"/>
    <w:rPr>
      <w:rFonts w:ascii="Times New Roman" w:eastAsia="Times New Roman" w:hAnsi="Times New Roman" w:cs="Times New Roman"/>
      <w:sz w:val="20"/>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customStyle="1" w:styleId="LegalNumPar">
    <w:name w:val="LegalNumPar"/>
    <w:basedOn w:val="Normal"/>
    <w:pPr>
      <w:numPr>
        <w:numId w:val="2"/>
      </w:numPr>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customStyle="1" w:styleId="Text1">
    <w:name w:val="Text 1"/>
    <w:basedOn w:val="Normal"/>
    <w:pPr>
      <w:ind w:left="482"/>
    </w:pPr>
  </w:style>
  <w:style w:type="paragraph" w:customStyle="1" w:styleId="ListBullet1">
    <w:name w:val="List Bullet 1"/>
    <w:basedOn w:val="Text1"/>
    <w:pPr>
      <w:numPr>
        <w:numId w:val="4"/>
      </w:numPr>
    </w:pPr>
  </w:style>
  <w:style w:type="paragraph" w:customStyle="1" w:styleId="Text2">
    <w:name w:val="Text 2"/>
    <w:basedOn w:val="Normal"/>
    <w:pPr>
      <w:tabs>
        <w:tab w:val="left" w:pos="2302"/>
      </w:tabs>
      <w:ind w:left="1202"/>
    </w:pPr>
  </w:style>
  <w:style w:type="paragraph" w:styleId="ListBullet2">
    <w:name w:val="List Bullet 2"/>
    <w:basedOn w:val="Text2"/>
    <w:pPr>
      <w:numPr>
        <w:numId w:val="5"/>
      </w:numPr>
      <w:tabs>
        <w:tab w:val="clear" w:pos="2302"/>
      </w:tabs>
    </w:pPr>
  </w:style>
  <w:style w:type="paragraph" w:customStyle="1" w:styleId="Text3">
    <w:name w:val="Text 3"/>
    <w:basedOn w:val="Normal"/>
    <w:pPr>
      <w:tabs>
        <w:tab w:val="left" w:pos="2302"/>
      </w:tabs>
      <w:ind w:left="1202"/>
    </w:pPr>
  </w:style>
  <w:style w:type="paragraph" w:styleId="ListBullet3">
    <w:name w:val="List Bullet 3"/>
    <w:basedOn w:val="Text3"/>
    <w:pPr>
      <w:numPr>
        <w:numId w:val="6"/>
      </w:numPr>
      <w:tabs>
        <w:tab w:val="clear" w:pos="2302"/>
      </w:tabs>
    </w:pPr>
  </w:style>
  <w:style w:type="paragraph" w:customStyle="1" w:styleId="Text4">
    <w:name w:val="Text 4"/>
    <w:basedOn w:val="Normal"/>
    <w:pPr>
      <w:tabs>
        <w:tab w:val="left" w:pos="2302"/>
      </w:tabs>
      <w:ind w:left="1202"/>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styleId="ListNumber">
    <w:name w:val="List Number"/>
    <w:basedOn w:val="Normal"/>
    <w:pPr>
      <w:numPr>
        <w:numId w:val="14"/>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styleId="ListNumber2">
    <w:name w:val="List Number 2"/>
    <w:basedOn w:val="Text2"/>
    <w:pPr>
      <w:numPr>
        <w:numId w:val="16"/>
      </w:numPr>
      <w:tabs>
        <w:tab w:val="clear" w:pos="2302"/>
      </w:tabs>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styleId="ListNumber3">
    <w:name w:val="List Number 3"/>
    <w:basedOn w:val="Text3"/>
    <w:pPr>
      <w:numPr>
        <w:numId w:val="17"/>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styleId="ListNumber4">
    <w:name w:val="List Number 4"/>
    <w:basedOn w:val="Text4"/>
    <w:pPr>
      <w:numPr>
        <w:numId w:val="18"/>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ListNumber5">
    <w:name w:val="List Number 5"/>
    <w:basedOn w:val="Normal"/>
    <w:pPr>
      <w:numPr>
        <w:numId w:val="19"/>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Normal"/>
    <w:pPr>
      <w:spacing w:before="720" w:after="720"/>
      <w:jc w:val="center"/>
    </w:pPr>
    <w:rPr>
      <w:b/>
      <w:smallCaps/>
    </w:rPr>
  </w:style>
  <w:style w:type="paragraph" w:customStyle="1" w:styleId="NoteList">
    <w:name w:val="NoteList"/>
    <w:basedOn w:val="Normal"/>
    <w:next w:val="Normal"/>
    <w:pPr>
      <w:tabs>
        <w:tab w:val="left" w:pos="5823"/>
      </w:tabs>
      <w:spacing w:before="720" w:after="720"/>
      <w:ind w:left="5104" w:hanging="3119"/>
    </w:pPr>
    <w:rPr>
      <w:b/>
      <w:smallCaps/>
    </w:rPr>
  </w:style>
  <w:style w:type="paragraph" w:customStyle="1" w:styleId="NumPar1">
    <w:name w:val="NumPar 1"/>
    <w:basedOn w:val="Heading1"/>
    <w:next w:val="Text1"/>
    <w:pPr>
      <w:keepNext w:val="0"/>
      <w:numPr>
        <w:numId w:val="0"/>
      </w:numPr>
      <w:spacing w:before="0"/>
      <w:outlineLvl w:val="9"/>
    </w:pPr>
    <w:rPr>
      <w:b w:val="0"/>
      <w:smallCaps w:val="0"/>
    </w:rPr>
  </w:style>
  <w:style w:type="paragraph" w:customStyle="1" w:styleId="NumPar2">
    <w:name w:val="NumPar 2"/>
    <w:basedOn w:val="Heading2"/>
    <w:next w:val="Text2"/>
    <w:pPr>
      <w:keepNext w:val="0"/>
      <w:numPr>
        <w:ilvl w:val="0"/>
        <w:numId w:val="0"/>
      </w:numPr>
      <w:outlineLvl w:val="9"/>
    </w:pPr>
    <w:rPr>
      <w:b w:val="0"/>
    </w:rPr>
  </w:style>
  <w:style w:type="paragraph" w:customStyle="1" w:styleId="NumPar3">
    <w:name w:val="NumPar 3"/>
    <w:basedOn w:val="Heading3"/>
    <w:next w:val="Text3"/>
    <w:pPr>
      <w:keepNext w:val="0"/>
      <w:numPr>
        <w:ilvl w:val="0"/>
        <w:numId w:val="0"/>
      </w:numPr>
      <w:outlineLvl w:val="9"/>
    </w:pPr>
    <w:rPr>
      <w:i w:val="0"/>
    </w:rPr>
  </w:style>
  <w:style w:type="paragraph" w:customStyle="1" w:styleId="NumPar4">
    <w:name w:val="NumPar 4"/>
    <w:basedOn w:val="Heading4"/>
    <w:next w:val="Text4"/>
    <w:pPr>
      <w:keepNext w:val="0"/>
      <w:numPr>
        <w:ilvl w:val="0"/>
        <w:numId w:val="0"/>
      </w:num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customStyle="1" w:styleId="References">
    <w:name w:val="References"/>
    <w:basedOn w:val="Normal"/>
    <w:next w:val="AddressTR"/>
    <w:pPr>
      <w:ind w:left="5103"/>
    </w:p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customStyle="1" w:styleId="SecretUE">
    <w:name w:val="Secret UE"/>
    <w:basedOn w:val="Normal"/>
    <w:pPr>
      <w:jc w:val="center"/>
    </w:pPr>
    <w:rPr>
      <w:b/>
      <w:caps/>
      <w:color w:val="FF0000"/>
      <w:sz w:val="32"/>
      <w:bdr w:val="single" w:sz="18" w:space="0" w:color="FF000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link w:val="SignatureChar"/>
    <w:pPr>
      <w:tabs>
        <w:tab w:val="left" w:pos="5103"/>
      </w:tabs>
      <w:spacing w:before="120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Subject">
    <w:name w:val="Subject"/>
    <w:basedOn w:val="Normal"/>
    <w:next w:val="Normal"/>
    <w:pPr>
      <w:spacing w:after="480"/>
      <w:ind w:left="1531" w:hanging="1531"/>
    </w:pPr>
    <w:rPr>
      <w:b/>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Normal"/>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CHeading">
    <w:name w:val="TOC Heading"/>
    <w:basedOn w:val="Normal"/>
    <w:next w:val="Normal"/>
    <w:qFormat/>
    <w:pPr>
      <w:keepNext/>
      <w:spacing w:before="240"/>
      <w:jc w:val="center"/>
    </w:pPr>
    <w:rPr>
      <w:b/>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YReferences">
    <w:name w:val="YReferences"/>
    <w:basedOn w:val="Normal"/>
    <w:next w:val="Normal"/>
    <w:pPr>
      <w:spacing w:after="480"/>
      <w:ind w:left="1531" w:hanging="1531"/>
    </w:pPr>
  </w:style>
  <w:style w:type="paragraph" w:customStyle="1" w:styleId="ZCom">
    <w:name w:val="Z_Com"/>
    <w:basedOn w:val="Normal"/>
    <w:next w:val="Normal"/>
    <w:uiPriority w:val="99"/>
    <w:pPr>
      <w:widowControl w:val="0"/>
      <w:autoSpaceDE w:val="0"/>
      <w:autoSpaceDN w:val="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character" w:styleId="FootnoteReference">
    <w:name w:val="footnote reference"/>
    <w:uiPriority w:val="99"/>
    <w:unhideWhenUsed/>
    <w:rPr>
      <w:shd w:val="clear" w:color="auto" w:fill="auto"/>
      <w:vertAlign w:val="superscript"/>
    </w:rPr>
  </w:style>
  <w:style w:type="paragraph" w:customStyle="1" w:styleId="Declassification">
    <w:name w:val="Declassification"/>
    <w:basedOn w:val="Normal"/>
    <w:next w:val="Normal"/>
    <w:pPr>
      <w:jc w:val="both"/>
    </w:pPr>
    <w:rPr>
      <w:rFonts w:eastAsiaTheme="minorHAnsi"/>
      <w:sz w:val="24"/>
      <w:szCs w:val="22"/>
    </w:rPr>
  </w:style>
  <w:style w:type="paragraph" w:customStyle="1" w:styleId="HeaderLandscape">
    <w:name w:val="HeaderLandscape"/>
    <w:basedOn w:val="Normal"/>
    <w:pPr>
      <w:tabs>
        <w:tab w:val="center" w:pos="7285"/>
        <w:tab w:val="right" w:pos="14003"/>
      </w:tabs>
      <w:spacing w:after="120"/>
      <w:jc w:val="both"/>
    </w:pPr>
    <w:rPr>
      <w:rFonts w:eastAsiaTheme="minorHAnsi"/>
      <w:sz w:val="24"/>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 w:val="24"/>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4323B-1CA8-45AA-A289-C2249225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596</Words>
  <Characters>3309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2017-07-19T06:07:00Z</cp:lastPrinted>
  <dcterms:created xsi:type="dcterms:W3CDTF">2017-11-28T12:13:00Z</dcterms:created>
  <dcterms:modified xsi:type="dcterms:W3CDTF">2018-01-05T09:28:00Z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