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E246A67-842E-4CDA-9B9D-8D716BC6B3E6" style="width:450.55pt;height:3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bookmarkStart w:id="1" w:name="_GoBack"/>
      <w:bookmarkEnd w:id="1"/>
      <w:r>
        <w:rPr>
          <w:rFonts w:ascii="Times New Roman" w:hAnsi="Times New Roman"/>
          <w:b/>
          <w:smallCaps/>
          <w:noProof/>
          <w:sz w:val="24"/>
        </w:rPr>
        <w:lastRenderedPageBreak/>
        <w:t>Контекст</w:t>
      </w:r>
    </w:p>
    <w:p>
      <w:pPr>
        <w:pStyle w:val="Default"/>
        <w:jc w:val="both"/>
        <w:rPr>
          <w:rFonts w:ascii="Times New Roman" w:hAnsi="Times New Roman"/>
          <w:noProof/>
        </w:rPr>
      </w:pPr>
      <w:r>
        <w:rPr>
          <w:rFonts w:ascii="Times New Roman" w:hAnsi="Times New Roman"/>
          <w:noProof/>
        </w:rPr>
        <w:t>Регламент (ЕО) № 543/2009 от 18 юни 2009 г. относно статистиката за растителните култури и за отмяна на регламенти (ЕИО) № 837/90 и (ЕИО) № 959/93 на Съвета</w:t>
      </w:r>
      <w:r>
        <w:rPr>
          <w:rStyle w:val="FootnoteReference"/>
          <w:rFonts w:ascii="Times New Roman" w:hAnsi="Times New Roman"/>
          <w:noProof/>
        </w:rPr>
        <w:footnoteReference w:id="1"/>
      </w:r>
      <w:r>
        <w:rPr>
          <w:rFonts w:ascii="Times New Roman" w:hAnsi="Times New Roman"/>
          <w:noProof/>
        </w:rPr>
        <w:t xml:space="preserve"> бе изменен с Регламент (ЕС) № 1350/2013 от 11 декември 2013 година за изменение на някои законодателни актове в областта на статистиката на селското и рибното стопанство</w:t>
      </w:r>
      <w:r>
        <w:rPr>
          <w:rStyle w:val="FootnoteReference"/>
          <w:rFonts w:ascii="Times New Roman" w:hAnsi="Times New Roman"/>
          <w:noProof/>
        </w:rPr>
        <w:footnoteReference w:id="2"/>
      </w:r>
      <w:r>
        <w:rPr>
          <w:rFonts w:ascii="Times New Roman" w:hAnsi="Times New Roman"/>
          <w:noProof/>
        </w:rPr>
        <w:t>, за да бъдат приведени изпълнителните правомощия в съответствие с Договора за функционирането на Европейския съюз.</w:t>
      </w:r>
    </w:p>
    <w:p>
      <w:pPr>
        <w:pStyle w:val="Default"/>
        <w:jc w:val="both"/>
        <w:rPr>
          <w:noProof/>
        </w:rPr>
      </w:pPr>
    </w:p>
    <w:p>
      <w:pPr>
        <w:pStyle w:val="Default"/>
        <w:jc w:val="both"/>
        <w:rPr>
          <w:noProof/>
        </w:rPr>
      </w:pPr>
      <w:r>
        <w:rPr>
          <w:rFonts w:ascii="Times New Roman" w:hAnsi="Times New Roman"/>
          <w:noProof/>
        </w:rPr>
        <w:t xml:space="preserve">С член 8а от Регламент (ЕО) № 543/2009 се предоставя на Комисията правомощието да приема делегирани актове. </w:t>
      </w:r>
      <w:r>
        <w:rPr>
          <w:noProof/>
        </w:rPr>
        <w:t>В съответствие с член 6 от Регламент (ЕО) № 543/2009 правомощието за приемане на делегирани актове може да се използва за изменение на определените в приложението към регламента таблици за предаване на данни.</w:t>
      </w:r>
    </w:p>
    <w:p>
      <w:pPr>
        <w:pStyle w:val="CM1"/>
        <w:spacing w:before="200" w:after="200"/>
        <w:jc w:val="both"/>
        <w:rPr>
          <w:rFonts w:ascii="Times New Roman" w:hAnsi="Times New Roman"/>
          <w:noProof/>
        </w:rPr>
      </w:pPr>
      <w:r>
        <w:rPr>
          <w:rFonts w:ascii="Times New Roman" w:hAnsi="Times New Roman"/>
          <w:noProof/>
        </w:rPr>
        <w:t>Съгласно член 8а, параграф 2 от посочения регламент правомощието да приема делегирани актове се предоставя за срок от пет години, считано от 10 януари 2014 г. Делегирането на правомощия се подновява мълчаливо за пет години, освен ако Европейският парламент или Съветът не представят възражение.</w:t>
      </w:r>
    </w:p>
    <w:p>
      <w:pPr>
        <w:pStyle w:val="CM1"/>
        <w:spacing w:before="200" w:after="200"/>
        <w:jc w:val="both"/>
        <w:rPr>
          <w:rFonts w:ascii="Times New Roman" w:hAnsi="Times New Roman"/>
          <w:noProof/>
        </w:rPr>
      </w:pPr>
      <w:r>
        <w:rPr>
          <w:rFonts w:ascii="Times New Roman" w:hAnsi="Times New Roman"/>
          <w:noProof/>
        </w:rPr>
        <w:t>Комисията е длъжна да изготви доклад относно делегираното правомощие не по-късно от девет месеца преди изтичането на петгодишния срок. С настоящия доклад се изпълнява това задължение.</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Упражняване на делегирани правомощия от страна на Комисията съгласно Регламент (ЕС) № 543/2009</w:t>
      </w:r>
    </w:p>
    <w:p>
      <w:pPr>
        <w:pStyle w:val="Default"/>
        <w:rPr>
          <w:noProof/>
        </w:rPr>
      </w:pPr>
    </w:p>
    <w:p>
      <w:pPr>
        <w:pStyle w:val="Default"/>
        <w:jc w:val="both"/>
        <w:rPr>
          <w:noProof/>
        </w:rPr>
      </w:pPr>
      <w:r>
        <w:rPr>
          <w:noProof/>
        </w:rPr>
        <w:t>Комисията използва своите правомощия за приемане на делегирани актове, за да приеме Делегиран регламент (ЕС) 2015/1557 на Комисията от 13 юли 2015 г. за изменение на Регламент (ЕО) № 543/2009 на Европейския парламент и на Съвета относно статистиката за растителните култури</w:t>
      </w:r>
      <w:r>
        <w:rPr>
          <w:rStyle w:val="FootnoteReference"/>
          <w:noProof/>
        </w:rPr>
        <w:footnoteReference w:id="3"/>
      </w:r>
      <w:r>
        <w:rPr>
          <w:noProof/>
        </w:rPr>
        <w:t xml:space="preserve">.  </w:t>
      </w:r>
    </w:p>
    <w:p>
      <w:pPr>
        <w:pStyle w:val="Default"/>
        <w:jc w:val="both"/>
        <w:rPr>
          <w:noProof/>
        </w:rPr>
      </w:pPr>
    </w:p>
    <w:p>
      <w:pPr>
        <w:pStyle w:val="Default"/>
        <w:jc w:val="both"/>
        <w:rPr>
          <w:noProof/>
        </w:rPr>
      </w:pPr>
      <w:r>
        <w:rPr>
          <w:noProof/>
        </w:rPr>
        <w:t>Извършеният от Комисията редовен преглед по отношение на събирането на статистически данни за растителните култури показа, че е необходимо да бъде актуализирано приложението към Регламент (ЕО) № 543/2009, с цел по-голяма яснота на понятията и по-качествени данните, както и за да се отговори по-добре на потребителските нуждите, които са промениха след реформата от 2014 г. на общата селскостопанска политика. Евростат извърши прегледа в тясно сътрудничество с генерална дирекция „Земеделие и развитие на селските райони“ и с държавите членки.</w:t>
      </w:r>
    </w:p>
    <w:p>
      <w:pPr>
        <w:pStyle w:val="Default"/>
        <w:jc w:val="both"/>
        <w:rPr>
          <w:noProof/>
        </w:rPr>
      </w:pPr>
    </w:p>
    <w:p>
      <w:pPr>
        <w:pStyle w:val="Default"/>
        <w:jc w:val="both"/>
        <w:rPr>
          <w:noProof/>
        </w:rPr>
      </w:pPr>
      <w:r>
        <w:rPr>
          <w:noProof/>
        </w:rPr>
        <w:t xml:space="preserve">В резултат на това беше приет Делегиран регламент (ЕС) 2015/1557 на Комисията за изменение на Регламент (ЕО) № 543/2009 относно статистиката за растителните култури и бяха актуализирани таблиците за предаване на данни в Регламент (ЕО) № 543/2009. Актуализациите се отнасяха най-вече до изясняване на наименованията на </w:t>
      </w:r>
      <w:r>
        <w:rPr>
          <w:noProof/>
        </w:rPr>
        <w:lastRenderedPageBreak/>
        <w:t>променливите и агрегатите; някои повтарящи се агрегати бяха премахнати от таблиците за предаване на данни.</w:t>
      </w:r>
    </w:p>
    <w:p>
      <w:pPr>
        <w:pStyle w:val="Default"/>
        <w:jc w:val="both"/>
        <w:rPr>
          <w:noProof/>
        </w:rPr>
      </w:pPr>
    </w:p>
    <w:p>
      <w:pPr>
        <w:pStyle w:val="Default"/>
        <w:jc w:val="both"/>
        <w:rPr>
          <w:noProof/>
        </w:rPr>
      </w:pPr>
      <w:r>
        <w:rPr>
          <w:noProof/>
        </w:rPr>
        <w:t xml:space="preserve">Бяха актуализирани само несъществени елементи от приложението към Регламент (ЕО) № 543/2009. Благодарение на намаления брой на агрегатите и ясните наименования на класовете, йерархията и структурата на агрегатите ще се подобри качеството на данните и ще се намали броят на грешките, свързани с определенията. Данните станаха са по-лесно сравними.  </w:t>
      </w:r>
    </w:p>
    <w:p>
      <w:pPr>
        <w:pStyle w:val="Default"/>
        <w:jc w:val="both"/>
        <w:rPr>
          <w:noProof/>
        </w:rPr>
      </w:pPr>
    </w:p>
    <w:p>
      <w:pPr>
        <w:pStyle w:val="Default"/>
        <w:jc w:val="both"/>
        <w:rPr>
          <w:noProof/>
        </w:rPr>
      </w:pPr>
      <w:r>
        <w:rPr>
          <w:noProof/>
        </w:rPr>
        <w:t>Въздействието върху събирането и обработването на данните в държавите членки (както на равнището на националните статистически институти, така и на респондентите) беше положително и сравнително ограничено.</w:t>
      </w:r>
    </w:p>
    <w:p>
      <w:pPr>
        <w:pStyle w:val="Default"/>
        <w:rPr>
          <w:noProof/>
        </w:r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Заключения</w:t>
      </w:r>
    </w:p>
    <w:p>
      <w:pPr>
        <w:spacing w:before="120" w:after="120" w:line="240" w:lineRule="auto"/>
        <w:jc w:val="both"/>
        <w:rPr>
          <w:rFonts w:ascii="Times New Roman" w:hAnsi="Times New Roman"/>
          <w:noProof/>
          <w:sz w:val="24"/>
        </w:rPr>
      </w:pPr>
      <w:r>
        <w:rPr>
          <w:rFonts w:ascii="Times New Roman" w:hAnsi="Times New Roman"/>
          <w:noProof/>
          <w:sz w:val="24"/>
        </w:rPr>
        <w:t>Комисията упражни някои от делегираните ѝ правомощия. Тя счита, че следва да продължи да разполага с тези правомощия, тъй като в бъдеще може да се наложи да приеме делегиран акт, за да измени отново таблиците за предаване на данни, фигуриращи в приложението, посочено в член 6 от регламента, за да отговори на нуждите на потребителите на данни в контекста на бъдещата обща селскостопанска политика.</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042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t xml:space="preserve"> </w:t>
      </w:r>
      <w:r>
        <w:tab/>
        <w:t>ОВ L 167, 29.6.2009 г., стр. 1.</w:t>
      </w:r>
    </w:p>
  </w:footnote>
  <w:footnote w:id="2">
    <w:p>
      <w:pPr>
        <w:pStyle w:val="FootnoteText"/>
        <w:rPr>
          <w:lang w:val="pl-PL"/>
        </w:rPr>
      </w:pPr>
      <w:r>
        <w:rPr>
          <w:rStyle w:val="FootnoteReference"/>
        </w:rPr>
        <w:footnoteRef/>
      </w:r>
      <w:r>
        <w:t xml:space="preserve"> </w:t>
      </w:r>
      <w:r>
        <w:tab/>
        <w:t>ОВ L 351, 21.12.2013 г., стр. 1.</w:t>
      </w:r>
    </w:p>
  </w:footnote>
  <w:footnote w:id="3">
    <w:p>
      <w:pPr>
        <w:pStyle w:val="FootnoteText"/>
        <w:rPr>
          <w:lang w:val="pl-PL"/>
        </w:rPr>
      </w:pPr>
      <w:r>
        <w:rPr>
          <w:rStyle w:val="FootnoteReference"/>
        </w:rPr>
        <w:footnoteRef/>
      </w:r>
      <w:r>
        <w:t xml:space="preserve"> </w:t>
      </w:r>
      <w:r>
        <w:tab/>
        <w:t>ОВ L 244, 19.9.2015 г.,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3CB"/>
    <w:multiLevelType w:val="hybridMultilevel"/>
    <w:tmpl w:val="93B2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246A67-842E-4CDA-9B9D-8D716BC6B3E6"/>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ahoma Cyr&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lt;/FMT&gt;&lt;FMT:Font=Tahoma&gt; &lt;/FMT&gt;&lt;FMT:Font=Tahoma Cyr&gt;\u1089?\u1098?\u1075?\u1083?\u1072?\u1089?\u1085?\u1086? \u1056?\u1077?\u1075?\u1083?\u1072?\u1084?\u1077?\u1085?\u1090? (\u1045?\u1054?) \u8470? 543/2009 \u1086?\u1090?\u1085?\u1086?\u1089?\u1085?\u1086? \u1089?\u1090?\u1072?\u1090?\u1080?\u1089?\u1090?\u1080?\u1082?\u1072?\u1090?\u1072? \u1079?\u1072? \u1088?\u1072?\u1089?\u1090?\u1080?\u1090?\u1077?\u1083?\u1085?\u1080?\u1090?\u1077? \u1082?\u1091?\u1083?\u1090?\u1091?\u1088?\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7-10252\ESTAT-2017-10252-00-00-EN-REV-00.20171030092348957417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324F-D18C-495E-92E6-E401B2BE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530</Words>
  <Characters>3037</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2017-11-20T13:19:00Z</dcterms:created>
  <dcterms:modified xsi:type="dcterms:W3CDTF">2018-01-05T08:35:00Z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