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B9F464-28B9-449A-8F1E-FFAA29EFF449" style="width:450.1pt;height:3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noProof/>
          <w:sz w:val="24"/>
        </w:rPr>
        <w:lastRenderedPageBreak/>
        <w:t>Контекст</w:t>
      </w:r>
      <w:bookmarkEnd w:id="1"/>
      <w:bookmarkEnd w:id="2"/>
      <w:bookmarkEnd w:id="3"/>
      <w:bookmarkEnd w:id="4"/>
      <w:bookmarkEnd w:id="5"/>
    </w:p>
    <w:p>
      <w:pPr>
        <w:spacing w:before="120" w:after="120"/>
        <w:ind w:left="850"/>
        <w:jc w:val="both"/>
        <w:rPr>
          <w:noProof/>
          <w:sz w:val="24"/>
        </w:rPr>
      </w:pPr>
      <w:r>
        <w:rPr>
          <w:noProof/>
          <w:sz w:val="24"/>
        </w:rPr>
        <w:t>Директива 96/16/ЕО на Съвета относно статистическите изследвания на млякото и млечните продукти</w:t>
      </w:r>
      <w:r>
        <w:rPr>
          <w:noProof/>
        </w:rPr>
        <w:footnoteReference w:id="1"/>
      </w:r>
      <w:r>
        <w:rPr>
          <w:noProof/>
          <w:sz w:val="24"/>
        </w:rPr>
        <w:t xml:space="preserve"> беше приета на 19 март 1996 г. Тя беше изменена с Регламент (ЕС) № 1350/2013 на Европейския парламент и на Съвета от 11 декември 2013 г. за изменение на някои законодателни актове в областта на статистиката на селското и рибното стопанство</w:t>
      </w:r>
      <w:r>
        <w:rPr>
          <w:noProof/>
          <w:sz w:val="24"/>
          <w:vertAlign w:val="superscript"/>
        </w:rPr>
        <w:footnoteReference w:id="2"/>
      </w:r>
      <w:r>
        <w:rPr>
          <w:noProof/>
          <w:sz w:val="24"/>
        </w:rPr>
        <w:t>, за да бъдат приведени изпълнителните правомощия в съответствие с Договора за функционирането на Европейския съюз.</w:t>
      </w:r>
    </w:p>
    <w:p>
      <w:pPr>
        <w:spacing w:before="120" w:after="120"/>
        <w:ind w:left="850"/>
        <w:jc w:val="both"/>
        <w:rPr>
          <w:noProof/>
          <w:sz w:val="24"/>
        </w:rPr>
      </w:pPr>
      <w:r>
        <w:rPr>
          <w:noProof/>
          <w:sz w:val="24"/>
        </w:rPr>
        <w:t>Съгласно член 3, параграф 2 от посочената директива на Комисията се предоставя правомощието да приема делегирани актове. Това правомощие ѝ се предоставя „за изменение на списъка на включените в обхвата на изследванията млечни продукти и да изготвя стандартни определения, приложими при съобщаване на резултатите за различните продукти“. Статистическите действия, предвидени в делегираните актове, трябва да бъдат надлежно обосновани по целесъобразност посредством приноса на експерти, основан на анализа на разходната ефективност. Това следва да включва оценка на тежестта върху респондентите и на разходите за изготвяне.</w:t>
      </w:r>
    </w:p>
    <w:p>
      <w:pPr>
        <w:spacing w:before="120" w:after="120"/>
        <w:ind w:left="850"/>
        <w:jc w:val="both"/>
        <w:rPr>
          <w:noProof/>
          <w:sz w:val="24"/>
        </w:rPr>
      </w:pPr>
      <w:r>
        <w:rPr>
          <w:noProof/>
          <w:sz w:val="24"/>
        </w:rPr>
        <w:t>Списъкът на млечните продукти и техните стандартни определения се съдържа в приложение I към Решение 97/80/ЕО на Комисията от 18 декември 1996 г. относно въвеждане на разпоредби за прилагането на Директива 96/16/ЕО на Съвета относно статистическите изследвания на млякото и млечните продукти</w:t>
      </w:r>
      <w:r>
        <w:rPr>
          <w:noProof/>
          <w:vertAlign w:val="superscript"/>
        </w:rPr>
        <w:footnoteReference w:id="3"/>
      </w:r>
      <w:r>
        <w:rPr>
          <w:noProof/>
          <w:sz w:val="24"/>
        </w:rPr>
        <w:t>.</w:t>
      </w:r>
    </w:p>
    <w:p>
      <w:pPr>
        <w:spacing w:before="120" w:after="120"/>
        <w:ind w:left="850"/>
        <w:jc w:val="both"/>
        <w:rPr>
          <w:noProof/>
          <w:sz w:val="24"/>
        </w:rPr>
      </w:pPr>
      <w:r>
        <w:rPr>
          <w:noProof/>
          <w:sz w:val="24"/>
        </w:rPr>
        <w:t xml:space="preserve">Съгласно член 6а, параграф 2 от посочената директива правомощието да приема делегирани актове се предоставя за срок от пет години, считано от 10 януари 2014 г. Делегирането на правомощия се подновява мълчаливо за пет години, освен ако Европейският парламент или Съветът не представят възражение. </w:t>
      </w:r>
    </w:p>
    <w:p>
      <w:pPr>
        <w:spacing w:before="120" w:after="120"/>
        <w:ind w:left="850"/>
        <w:jc w:val="both"/>
        <w:rPr>
          <w:noProof/>
          <w:sz w:val="24"/>
        </w:rPr>
      </w:pPr>
      <w:r>
        <w:rPr>
          <w:noProof/>
          <w:sz w:val="24"/>
        </w:rPr>
        <w:t>Комисията е длъжна да изготви доклад относно делегираното правомощие не по-късно от девет месеца преди изтичането на петгодишния срок. С настоящия доклад се изпълнява това задължение.</w:t>
      </w:r>
    </w:p>
    <w:p>
      <w:pPr>
        <w:keepNext/>
        <w:numPr>
          <w:ilvl w:val="0"/>
          <w:numId w:val="22"/>
        </w:numPr>
        <w:shd w:val="clear" w:color="auto" w:fill="FFFFFF"/>
        <w:spacing w:before="360" w:after="120"/>
        <w:jc w:val="both"/>
        <w:outlineLvl w:val="0"/>
        <w:rPr>
          <w:rStyle w:val="Heading1Char"/>
          <w:rFonts w:eastAsia="Calibri"/>
          <w:noProof/>
          <w:sz w:val="24"/>
          <w:szCs w:val="24"/>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noProof/>
          <w:sz w:val="24"/>
        </w:rPr>
        <w:t xml:space="preserve">Упражняване на делегирани правомощия от страна на Комисията съгласно </w:t>
      </w:r>
      <w:bookmarkEnd w:id="7"/>
      <w:bookmarkEnd w:id="8"/>
      <w:bookmarkEnd w:id="9"/>
      <w:bookmarkEnd w:id="10"/>
      <w:r>
        <w:rPr>
          <w:rStyle w:val="Heading1Char"/>
          <w:noProof/>
          <w:sz w:val="24"/>
        </w:rPr>
        <w:t>Директива 96/16/ЕО на Съвета</w:t>
      </w:r>
    </w:p>
    <w:p>
      <w:pPr>
        <w:spacing w:before="120" w:after="120"/>
        <w:ind w:left="850"/>
        <w:jc w:val="both"/>
        <w:rPr>
          <w:noProof/>
          <w:sz w:val="24"/>
        </w:rPr>
      </w:pPr>
      <w:r>
        <w:rPr>
          <w:noProof/>
          <w:sz w:val="24"/>
        </w:rPr>
        <w:t>Комисията все още не е упражнила правомощието за приемане на делегирани актове, предоставено ѝ с Директива 96/16/ЕО.</w:t>
      </w:r>
    </w:p>
    <w:p>
      <w:pPr>
        <w:spacing w:before="120" w:after="120"/>
        <w:ind w:left="850"/>
        <w:jc w:val="both"/>
        <w:rPr>
          <w:noProof/>
          <w:sz w:val="24"/>
        </w:rPr>
      </w:pPr>
      <w:r>
        <w:rPr>
          <w:noProof/>
          <w:sz w:val="24"/>
        </w:rPr>
        <w:t>Повечето млечни продукти не са били обект на промяна през разглеждания период. Няколко от тях са били обект на промени, но те са толкова незначителни, че няма основание за адаптиране към европейските и националните статистически системи.</w:t>
      </w:r>
      <w:r>
        <w:rPr>
          <w:noProof/>
        </w:rPr>
        <w:br w:type="page"/>
      </w:r>
    </w:p>
    <w:p>
      <w:pPr>
        <w:keepNext/>
        <w:numPr>
          <w:ilvl w:val="0"/>
          <w:numId w:val="22"/>
        </w:numPr>
        <w:shd w:val="clear" w:color="auto" w:fill="FFFFFF"/>
        <w:spacing w:before="360" w:after="120"/>
        <w:jc w:val="both"/>
        <w:outlineLvl w:val="0"/>
        <w:rPr>
          <w:rStyle w:val="Heading1Char"/>
          <w:rFonts w:eastAsia="Calibri"/>
          <w:noProof/>
          <w:sz w:val="24"/>
          <w:szCs w:val="24"/>
        </w:rPr>
      </w:pPr>
      <w:r>
        <w:rPr>
          <w:rStyle w:val="Heading1Char"/>
          <w:noProof/>
          <w:sz w:val="24"/>
        </w:rPr>
        <w:lastRenderedPageBreak/>
        <w:t>Заключения</w:t>
      </w:r>
    </w:p>
    <w:bookmarkEnd w:id="11"/>
    <w:bookmarkEnd w:id="12"/>
    <w:p>
      <w:pPr>
        <w:spacing w:before="120" w:after="120"/>
        <w:ind w:left="850"/>
        <w:jc w:val="both"/>
        <w:rPr>
          <w:noProof/>
          <w:sz w:val="24"/>
        </w:rPr>
      </w:pPr>
      <w:r>
        <w:rPr>
          <w:noProof/>
          <w:sz w:val="24"/>
        </w:rPr>
        <w:t>Комисията все още не е упражнила правомощието за приемане на делегирани актове, предоставено ѝ с Директива 96/16/ЕО на Съвета.</w:t>
      </w:r>
    </w:p>
    <w:p>
      <w:pPr>
        <w:spacing w:before="120" w:after="120"/>
        <w:ind w:left="850"/>
        <w:jc w:val="both"/>
        <w:rPr>
          <w:noProof/>
          <w:sz w:val="24"/>
        </w:rPr>
      </w:pPr>
      <w:r>
        <w:rPr>
          <w:noProof/>
          <w:sz w:val="24"/>
        </w:rPr>
        <w:t>Тя счита, че следва да продължи да разполага с тези правомощия, тъй като в бъдеще може да се наложи да приеме делегиран акт за изменение на точките, посочени в член 3, параграф 2 от директивата, за да се отговори на нуждите на потребителите на данни в контекста на бъдещата обща селскостопанска политика.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689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851" w:hanging="851"/>
        <w:rPr>
          <w:lang w:val="pl-PL"/>
        </w:rPr>
      </w:pPr>
      <w:r>
        <w:rPr>
          <w:rStyle w:val="FootnoteReference"/>
        </w:rPr>
        <w:footnoteRef/>
      </w:r>
      <w:r>
        <w:t xml:space="preserve"> </w:t>
      </w:r>
      <w:r>
        <w:tab/>
        <w:t>ОВ L 78, 28.3.1996 г., стр. 27–29.</w:t>
      </w:r>
    </w:p>
  </w:footnote>
  <w:footnote w:id="2">
    <w:p>
      <w:pPr>
        <w:pStyle w:val="FootnoteText"/>
        <w:ind w:left="851" w:hanging="851"/>
        <w:rPr>
          <w:lang w:val="pl-PL"/>
        </w:rPr>
      </w:pPr>
      <w:r>
        <w:rPr>
          <w:rStyle w:val="FootnoteReference"/>
        </w:rPr>
        <w:footnoteRef/>
      </w:r>
      <w:r>
        <w:t xml:space="preserve"> </w:t>
      </w:r>
      <w:r>
        <w:tab/>
        <w:t>ОВ L 351, 21.12.2013 г., стр. 1–14.</w:t>
      </w:r>
    </w:p>
  </w:footnote>
  <w:footnote w:id="3">
    <w:p>
      <w:pPr>
        <w:pStyle w:val="FootnoteText"/>
        <w:ind w:left="851" w:hanging="851"/>
        <w:rPr>
          <w:lang w:val="pl-PL"/>
        </w:rPr>
      </w:pPr>
      <w:r>
        <w:rPr>
          <w:rStyle w:val="FootnoteReference"/>
        </w:rPr>
        <w:footnoteRef/>
      </w:r>
      <w:r>
        <w:t xml:space="preserve"> </w:t>
      </w:r>
      <w:r>
        <w:tab/>
        <w:t>ОВ L 24, 25.1.1997 г., стр. 26–49.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B9F464-28B9-449A-8F1E-FFAA29EFF449"/>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6?\u1072? \u1087?\u1088?\u1080?\u1077?\u1084?\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96/16/\u1045?\u1054? \u1085?\u1072? \u1057?\u1098?\u1074?\u1077?\u1090?\u1072? \u1086?\u1090?\u1085?\u1086?\u1089?\u1085?\u1086? \u1089?\u1090?\u1072?\u1090?\u1080?\u1089?\u1090?\u1080?\u1095?\u1077?\u1089?\u1082?\u1080?\u1090?\u1077? \u1080?\u1079?\u1089?\u1083?\u1077?\u1076?\u1074?\u1072?\u1085?\u1080?\u1103? \u1085?\u1072? \u1084?\u1083?\u1103?\u1082?\u1086?\u1090?\u1086? \u1080? \u1084?\u1083?\u1077?\u1095?\u1085?\u1080?\u1090?\u1077? \u1087?\u1088?\u1086?\u1076?\u1091?\u1082?\u109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7-10255\ESTAT-2017-10255-00-00-EN-REV-00.20171030100156913832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CA5-6D62-4BCB-8847-545DA909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407</Words>
  <Characters>2352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2017-11-20T11:53:00Z</dcterms:created>
  <dcterms:modified xsi:type="dcterms:W3CDTF">2018-01-11T15:07:00Z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