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CBAD217-9BF9-4BBB-B1BE-C516C0551DF8" style="width:450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autoSpaceDE w:val="0"/>
        <w:autoSpaceDN w:val="0"/>
        <w:adjustRightInd w:val="0"/>
        <w:spacing w:before="0" w:after="27"/>
        <w:rPr>
          <w:noProof/>
          <w:color w:val="000000"/>
          <w:szCs w:val="24"/>
        </w:rPr>
      </w:pPr>
      <w:r>
        <w:rPr>
          <w:noProof/>
          <w:color w:val="000000"/>
          <w:szCs w:val="24"/>
        </w:rPr>
        <w:br/>
        <w:t>Position to be taken by the Member States which are members of the Commission on Narcotic Drugs acting jointly in the interest of the Union during the sixty-first session of the Commission on Narcotic Drugs of 12 to 16 March 2018 regarding changes in the scope of control of substances:</w:t>
      </w:r>
    </w:p>
    <w:p>
      <w:pPr>
        <w:autoSpaceDE w:val="0"/>
        <w:autoSpaceDN w:val="0"/>
        <w:adjustRightInd w:val="0"/>
        <w:spacing w:before="0" w:after="27"/>
        <w:rPr>
          <w:noProof/>
          <w:color w:val="000000"/>
          <w:szCs w:val="24"/>
        </w:rPr>
      </w:pPr>
    </w:p>
    <w:p>
      <w:pPr>
        <w:pStyle w:val="Point0number"/>
        <w:numPr>
          <w:ilvl w:val="0"/>
          <w:numId w:val="15"/>
        </w:numPr>
        <w:rPr>
          <w:noProof/>
        </w:rPr>
      </w:pPr>
      <w:r>
        <w:rPr>
          <w:noProof/>
        </w:rPr>
        <w:t>Carfentanil is to be included in Schedules I and IV of the Convention on Narcotic Drugs.</w:t>
      </w:r>
    </w:p>
    <w:p>
      <w:pPr>
        <w:pStyle w:val="Point0number"/>
        <w:numPr>
          <w:ilvl w:val="0"/>
          <w:numId w:val="15"/>
        </w:numPr>
        <w:rPr>
          <w:noProof/>
        </w:rPr>
      </w:pPr>
      <w:r>
        <w:rPr>
          <w:noProof/>
        </w:rPr>
        <w:t xml:space="preserve">Ocfentanil is to be included in Schedule I of the Convention on Narcotic Drugs. </w:t>
      </w:r>
    </w:p>
    <w:p>
      <w:pPr>
        <w:pStyle w:val="Point0number"/>
        <w:rPr>
          <w:noProof/>
        </w:rPr>
      </w:pPr>
      <w:r>
        <w:rPr>
          <w:noProof/>
        </w:rPr>
        <w:t>Furanyl fentanyl (Fu-F) is to be included in Schedule I of the Convention on Narcotic Drugs.</w:t>
      </w:r>
    </w:p>
    <w:p>
      <w:pPr>
        <w:pStyle w:val="Point0number"/>
        <w:rPr>
          <w:noProof/>
        </w:rPr>
      </w:pPr>
      <w:r>
        <w:rPr>
          <w:noProof/>
        </w:rPr>
        <w:t>Acryloylfentanyl (Acrylfentanyl) is to be included in Schedule I of the Convention on Narcotic Drugs.</w:t>
      </w:r>
    </w:p>
    <w:p>
      <w:pPr>
        <w:pStyle w:val="Point0number"/>
        <w:rPr>
          <w:noProof/>
        </w:rPr>
      </w:pPr>
      <w:r>
        <w:rPr>
          <w:noProof/>
        </w:rPr>
        <w:t>4-fluoroisobutyrfentanyl (4-FIBF, pFIBF) is to be included in Schedule I of the Convention on Narcotic Drugs.</w:t>
      </w:r>
    </w:p>
    <w:p>
      <w:pPr>
        <w:pStyle w:val="Point0number"/>
        <w:rPr>
          <w:noProof/>
        </w:rPr>
      </w:pPr>
      <w:r>
        <w:rPr>
          <w:noProof/>
        </w:rPr>
        <w:t>Tetrahydrofuranylfentanyl (THF-F) is to be included in Schedule I of the Convention on Narcotic Drugs.</w:t>
      </w:r>
    </w:p>
    <w:p>
      <w:pPr>
        <w:pStyle w:val="Point0number"/>
        <w:rPr>
          <w:noProof/>
        </w:rPr>
      </w:pPr>
      <w:r>
        <w:rPr>
          <w:noProof/>
        </w:rPr>
        <w:t xml:space="preserve">4-fluoroamphetamine (4-FA) is to be included in Schedule </w:t>
      </w:r>
      <w:r>
        <w:rPr>
          <w:noProof/>
          <w:szCs w:val="24"/>
        </w:rPr>
        <w:t>II of the Convention on Psychotropic Substances.</w:t>
      </w:r>
    </w:p>
    <w:p>
      <w:pPr>
        <w:pStyle w:val="Point0number"/>
        <w:rPr>
          <w:noProof/>
        </w:rPr>
      </w:pPr>
      <w:r>
        <w:rPr>
          <w:noProof/>
        </w:rPr>
        <w:t xml:space="preserve">AB-PINACA is to be included in Schedule </w:t>
      </w:r>
      <w:r>
        <w:rPr>
          <w:noProof/>
          <w:szCs w:val="24"/>
        </w:rPr>
        <w:t>II of the Convention on Psychotropic Substances.</w:t>
      </w:r>
    </w:p>
    <w:p>
      <w:pPr>
        <w:pStyle w:val="Point0number"/>
        <w:rPr>
          <w:noProof/>
        </w:rPr>
      </w:pPr>
      <w:r>
        <w:rPr>
          <w:noProof/>
        </w:rPr>
        <w:t xml:space="preserve">AB-CHMINACA is to be included in Schedule </w:t>
      </w:r>
      <w:r>
        <w:rPr>
          <w:noProof/>
          <w:szCs w:val="24"/>
        </w:rPr>
        <w:t>II of the Convention on Psychotropic Substances.</w:t>
      </w:r>
    </w:p>
    <w:p>
      <w:pPr>
        <w:pStyle w:val="Point0number"/>
        <w:rPr>
          <w:noProof/>
        </w:rPr>
      </w:pPr>
      <w:r>
        <w:rPr>
          <w:noProof/>
        </w:rPr>
        <w:t xml:space="preserve">5F-PB-22 is to be included in Schedule </w:t>
      </w:r>
      <w:r>
        <w:rPr>
          <w:noProof/>
          <w:szCs w:val="24"/>
        </w:rPr>
        <w:t>II of the Convention on Psychotropic Substances.</w:t>
      </w:r>
    </w:p>
    <w:p>
      <w:pPr>
        <w:pStyle w:val="Point0number"/>
        <w:rPr>
          <w:noProof/>
        </w:rPr>
      </w:pPr>
      <w:r>
        <w:rPr>
          <w:noProof/>
        </w:rPr>
        <w:t xml:space="preserve">UR-144 is to be included in Schedule </w:t>
      </w:r>
      <w:r>
        <w:rPr>
          <w:noProof/>
          <w:szCs w:val="24"/>
        </w:rPr>
        <w:t>II of the Convention on Psychotropic Substances.</w:t>
      </w:r>
    </w:p>
    <w:p>
      <w:pPr>
        <w:pStyle w:val="Point0number"/>
        <w:rPr>
          <w:noProof/>
        </w:rPr>
      </w:pPr>
      <w:r>
        <w:rPr>
          <w:noProof/>
        </w:rPr>
        <w:t xml:space="preserve">5F-ADB is to be included in Schedule </w:t>
      </w:r>
      <w:r>
        <w:rPr>
          <w:noProof/>
          <w:szCs w:val="24"/>
        </w:rPr>
        <w:t>II of the Convention on Psychotropic Substances.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8C64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229A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002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AC3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463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34D0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4A7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021C50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7"/>
  </w:num>
  <w:num w:numId="31">
    <w:abstractNumId w:val="5"/>
  </w:num>
  <w:num w:numId="32">
    <w:abstractNumId w:val="4"/>
  </w:num>
  <w:num w:numId="33">
    <w:abstractNumId w:val="3"/>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7:14: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CBAD217-9BF9-4BBB-B1BE-C516C0551DF8"/>
    <w:docVar w:name="LW_COVERPAGE_TYPE" w:val="1"/>
    <w:docVar w:name="LW_CROSSREFERENCE" w:val="&lt;UNUSED&gt;"/>
    <w:docVar w:name="LW_DocType" w:val="ANNEX"/>
    <w:docVar w:name="LW_EMISSION" w:val="12.1.2018"/>
    <w:docVar w:name="LW_EMISSION_ISODATE" w:val="2018-01-1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in the sixty-first session of the Commission on Narcotic Drugs on the scheduling of substances under the Single Convention on Narcotic Drugs of 1961 as amended by the 1972 Protocol and the Convention on Psychotropic Substances of 1971 _x000b_"/>
    <w:docVar w:name="LW_OBJETACTEPRINCIPAL.CP" w:val="on the position to be adopted, on behalf of the European Union, in the sixty-first session of the Commission on Narcotic Drugs on the scheduling of substances under the Single Convention on Narcotic Drugs of 1961 as amended by the 1972 Protocol and the Convention on Psychotropic Substances of 1971 _x000b_"/>
    <w:docVar w:name="LW_PART_NBR" w:val="1"/>
    <w:docVar w:name="LW_PART_NBR_TOTAL" w:val="1"/>
    <w:docVar w:name="LW_REF.INST.NEW" w:val="COM"/>
    <w:docVar w:name="LW_REF.INST.NEW_ADOPTED" w:val="final"/>
    <w:docVar w:name="LW_REF.INST.NEW_TEXT" w:val="(2018)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0"/>
      </w:numPr>
      <w:contextualSpacing/>
    </w:pPr>
  </w:style>
  <w:style w:type="paragraph" w:styleId="ListBullet2">
    <w:name w:val="List Bullet 2"/>
    <w:basedOn w:val="Normal"/>
    <w:uiPriority w:val="99"/>
    <w:semiHidden/>
    <w:unhideWhenUsed/>
    <w:pPr>
      <w:numPr>
        <w:numId w:val="31"/>
      </w:numPr>
      <w:contextualSpacing/>
    </w:pPr>
  </w:style>
  <w:style w:type="paragraph" w:styleId="ListBullet3">
    <w:name w:val="List Bullet 3"/>
    <w:basedOn w:val="Normal"/>
    <w:uiPriority w:val="99"/>
    <w:semiHidden/>
    <w:unhideWhenUsed/>
    <w:pPr>
      <w:numPr>
        <w:numId w:val="32"/>
      </w:numPr>
      <w:contextualSpacing/>
    </w:pPr>
  </w:style>
  <w:style w:type="paragraph" w:styleId="ListBullet4">
    <w:name w:val="List Bullet 4"/>
    <w:basedOn w:val="Normal"/>
    <w:uiPriority w:val="99"/>
    <w:semiHidden/>
    <w:unhideWhenUsed/>
    <w:pPr>
      <w:numPr>
        <w:numId w:val="33"/>
      </w:numPr>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0"/>
      </w:numPr>
      <w:contextualSpacing/>
    </w:pPr>
  </w:style>
  <w:style w:type="paragraph" w:styleId="ListBullet2">
    <w:name w:val="List Bullet 2"/>
    <w:basedOn w:val="Normal"/>
    <w:uiPriority w:val="99"/>
    <w:semiHidden/>
    <w:unhideWhenUsed/>
    <w:pPr>
      <w:numPr>
        <w:numId w:val="31"/>
      </w:numPr>
      <w:contextualSpacing/>
    </w:pPr>
  </w:style>
  <w:style w:type="paragraph" w:styleId="ListBullet3">
    <w:name w:val="List Bullet 3"/>
    <w:basedOn w:val="Normal"/>
    <w:uiPriority w:val="99"/>
    <w:semiHidden/>
    <w:unhideWhenUsed/>
    <w:pPr>
      <w:numPr>
        <w:numId w:val="32"/>
      </w:numPr>
      <w:contextualSpacing/>
    </w:pPr>
  </w:style>
  <w:style w:type="paragraph" w:styleId="ListBullet4">
    <w:name w:val="List Bullet 4"/>
    <w:basedOn w:val="Normal"/>
    <w:uiPriority w:val="99"/>
    <w:semiHidden/>
    <w:unhideWhenUsed/>
    <w:pPr>
      <w:numPr>
        <w:numId w:val="33"/>
      </w:numPr>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232</Words>
  <Characters>1190</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8</cp:revision>
  <dcterms:created xsi:type="dcterms:W3CDTF">2018-01-03T11:19:00Z</dcterms:created>
  <dcterms:modified xsi:type="dcterms:W3CDTF">2018-01-11T16:14:00Z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