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F5EC0334-A21D-4C7B-B6CA-C3C56E101075" style="width:450.45pt;height:338.7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CONTEXT OF THE PROPOSAL</w:t>
      </w:r>
    </w:p>
    <w:p>
      <w:pPr>
        <w:pStyle w:val="ManualNumPar1"/>
        <w:rPr>
          <w:noProof/>
        </w:rPr>
      </w:pPr>
      <w:r>
        <w:t>1.</w:t>
      </w:r>
      <w:r>
        <w:tab/>
      </w:r>
      <w:r>
        <w:rPr>
          <w:noProof/>
        </w:rPr>
        <w:t>The rules applicable to financial contributions from the European Globalisation Adjustment Fund (EGF) are laid down in Regulation (EU) No 1309/2013 of the European Parliament and of the Council of 17 December 2013 on the European Globalisation Adjustment Fund (2014-2020) and repealing Regulation (EC) No 1927/2006</w:t>
      </w:r>
      <w:r>
        <w:rPr>
          <w:rStyle w:val="FootnoteReference"/>
          <w:noProof/>
        </w:rPr>
        <w:footnoteReference w:id="1"/>
      </w:r>
      <w:r>
        <w:rPr>
          <w:noProof/>
        </w:rPr>
        <w:t xml:space="preserve"> (the ‘EGF Regulation’).</w:t>
      </w:r>
    </w:p>
    <w:p>
      <w:pPr>
        <w:pStyle w:val="ManualNumPar1"/>
        <w:rPr>
          <w:noProof/>
        </w:rPr>
      </w:pPr>
      <w:r>
        <w:t>2.</w:t>
      </w:r>
      <w:r>
        <w:tab/>
      </w:r>
      <w:r>
        <w:rPr>
          <w:noProof/>
        </w:rPr>
        <w:t>On 19 July 2017, Spain submitted an application EGF/</w:t>
      </w:r>
      <w:bookmarkStart w:id="1" w:name="EGF_Ref_Year"/>
      <w:r>
        <w:rPr>
          <w:noProof/>
        </w:rPr>
        <w:t>2017</w:t>
      </w:r>
      <w:bookmarkEnd w:id="1"/>
      <w:r>
        <w:rPr>
          <w:noProof/>
        </w:rPr>
        <w:t>/</w:t>
      </w:r>
      <w:bookmarkStart w:id="2" w:name="EGF_Ref_CaseNumber"/>
      <w:r>
        <w:rPr>
          <w:noProof/>
        </w:rPr>
        <w:t>006</w:t>
      </w:r>
      <w:bookmarkEnd w:id="2"/>
      <w:r>
        <w:rPr>
          <w:noProof/>
        </w:rPr>
        <w:t> </w:t>
      </w:r>
      <w:bookmarkStart w:id="3" w:name="MS_Code"/>
      <w:r>
        <w:rPr>
          <w:noProof/>
        </w:rPr>
        <w:t>ES</w:t>
      </w:r>
      <w:bookmarkEnd w:id="3"/>
      <w:r>
        <w:rPr>
          <w:noProof/>
        </w:rPr>
        <w:t>/</w:t>
      </w:r>
      <w:bookmarkStart w:id="4" w:name="EGF_Ref_CaseName"/>
      <w:r>
        <w:rPr>
          <w:noProof/>
        </w:rPr>
        <w:t>Galicia apparel</w:t>
      </w:r>
      <w:bookmarkEnd w:id="4"/>
      <w:r>
        <w:rPr>
          <w:noProof/>
        </w:rPr>
        <w:t xml:space="preserve"> for a financial contribution from the EGF, following redundancies</w:t>
      </w:r>
      <w:r>
        <w:rPr>
          <w:rStyle w:val="FootnoteReference"/>
          <w:noProof/>
        </w:rPr>
        <w:footnoteReference w:id="2"/>
      </w:r>
      <w:r>
        <w:rPr>
          <w:noProof/>
        </w:rPr>
        <w:t xml:space="preserve"> in the economic sector classified under the NACE Revision 2 Division </w:t>
      </w:r>
      <w:r>
        <w:rPr>
          <w:noProof/>
          <w:szCs w:val="24"/>
        </w:rPr>
        <w:t xml:space="preserve">14 (Manufacture of wearing apparel) in the </w:t>
      </w:r>
      <w:r>
        <w:rPr>
          <w:noProof/>
        </w:rPr>
        <w:t xml:space="preserve">NUTS level 2 region of </w:t>
      </w:r>
      <w:r>
        <w:rPr>
          <w:noProof/>
          <w:szCs w:val="24"/>
        </w:rPr>
        <w:t xml:space="preserve">Galicia (ES11) </w:t>
      </w:r>
      <w:r>
        <w:rPr>
          <w:noProof/>
        </w:rPr>
        <w:t xml:space="preserve">in </w:t>
      </w:r>
      <w:bookmarkStart w:id="5" w:name="MS_Name"/>
      <w:r>
        <w:rPr>
          <w:noProof/>
        </w:rPr>
        <w:t>Spain</w:t>
      </w:r>
      <w:bookmarkEnd w:id="5"/>
      <w:r>
        <w:rPr>
          <w:noProof/>
        </w:rPr>
        <w:t>.</w:t>
      </w:r>
    </w:p>
    <w:p>
      <w:pPr>
        <w:pStyle w:val="ManualNumPar1"/>
        <w:rPr>
          <w:noProof/>
        </w:rPr>
      </w:pPr>
      <w:r>
        <w:t>3.</w:t>
      </w:r>
      <w:r>
        <w:tab/>
      </w:r>
      <w:r>
        <w:rPr>
          <w:noProof/>
        </w:rPr>
        <w:t xml:space="preserve">Following its assessment of this application, the Commission has concluded, in accordance with all applicable provisions of the EGF Regulation, that the conditions for awarding a financial contribution from the EGF are met. </w:t>
      </w:r>
    </w:p>
    <w:p>
      <w:pPr>
        <w:pStyle w:val="ManualHeading1"/>
        <w:rPr>
          <w:noProof/>
        </w:rPr>
      </w:pPr>
      <w:r>
        <w:rPr>
          <w:noProof/>
        </w:rPr>
        <w:t>SUMMARY OF THE APPLICATION</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908"/>
        <w:gridCol w:w="1680"/>
        <w:gridCol w:w="2699"/>
      </w:tblGrid>
      <w:tr>
        <w:tc>
          <w:tcPr>
            <w:tcW w:w="4908" w:type="dxa"/>
            <w:shd w:val="clear" w:color="auto" w:fill="auto"/>
          </w:tcPr>
          <w:p>
            <w:pPr>
              <w:spacing w:before="60" w:after="60"/>
              <w:jc w:val="left"/>
              <w:rPr>
                <w:rFonts w:eastAsia="Calibri"/>
                <w:noProof/>
              </w:rPr>
            </w:pPr>
            <w:r>
              <w:rPr>
                <w:noProof/>
              </w:rPr>
              <w:t>EGF application</w:t>
            </w:r>
          </w:p>
        </w:tc>
        <w:tc>
          <w:tcPr>
            <w:tcW w:w="4379" w:type="dxa"/>
            <w:gridSpan w:val="2"/>
            <w:shd w:val="clear" w:color="auto" w:fill="auto"/>
          </w:tcPr>
          <w:p>
            <w:pPr>
              <w:spacing w:before="60" w:after="60"/>
              <w:ind w:rightChars="192" w:right="461"/>
              <w:jc w:val="left"/>
              <w:rPr>
                <w:rFonts w:eastAsia="Calibri"/>
                <w:noProof/>
              </w:rPr>
            </w:pPr>
            <w:r>
              <w:rPr>
                <w:noProof/>
              </w:rPr>
              <w:t>EGF/2017/006 ES/Galicia apparel</w:t>
            </w:r>
          </w:p>
        </w:tc>
      </w:tr>
      <w:tr>
        <w:tc>
          <w:tcPr>
            <w:tcW w:w="4908" w:type="dxa"/>
            <w:shd w:val="clear" w:color="auto" w:fill="auto"/>
          </w:tcPr>
          <w:p>
            <w:pPr>
              <w:spacing w:before="60" w:after="60"/>
              <w:jc w:val="left"/>
              <w:rPr>
                <w:rFonts w:eastAsia="Calibri"/>
                <w:noProof/>
              </w:rPr>
            </w:pPr>
            <w:r>
              <w:rPr>
                <w:rFonts w:eastAsia="Calibri"/>
                <w:noProof/>
              </w:rPr>
              <w:t>Member State</w:t>
            </w:r>
          </w:p>
        </w:tc>
        <w:tc>
          <w:tcPr>
            <w:tcW w:w="4379" w:type="dxa"/>
            <w:gridSpan w:val="2"/>
            <w:shd w:val="clear" w:color="auto" w:fill="auto"/>
          </w:tcPr>
          <w:p>
            <w:pPr>
              <w:spacing w:before="60" w:after="60"/>
              <w:ind w:rightChars="192" w:right="461"/>
              <w:jc w:val="left"/>
              <w:rPr>
                <w:rFonts w:eastAsia="Calibri"/>
                <w:noProof/>
              </w:rPr>
            </w:pPr>
            <w:r>
              <w:rPr>
                <w:noProof/>
              </w:rPr>
              <w:t>Spain</w:t>
            </w:r>
          </w:p>
        </w:tc>
      </w:tr>
      <w:tr>
        <w:tc>
          <w:tcPr>
            <w:tcW w:w="4908" w:type="dxa"/>
            <w:tcBorders>
              <w:bottom w:val="single" w:sz="4" w:space="0" w:color="auto"/>
            </w:tcBorders>
            <w:shd w:val="clear" w:color="auto" w:fill="auto"/>
          </w:tcPr>
          <w:p>
            <w:pPr>
              <w:spacing w:before="60" w:after="60"/>
              <w:jc w:val="left"/>
              <w:rPr>
                <w:rFonts w:eastAsia="Calibri"/>
                <w:noProof/>
              </w:rPr>
            </w:pPr>
            <w:r>
              <w:rPr>
                <w:rFonts w:eastAsia="Calibri"/>
                <w:noProof/>
              </w:rPr>
              <w:t>Region(s) concerned (NUTS</w:t>
            </w:r>
            <w:r>
              <w:rPr>
                <w:rStyle w:val="FootnoteReference"/>
                <w:noProof/>
              </w:rPr>
              <w:footnoteReference w:id="3"/>
            </w:r>
            <w:r>
              <w:rPr>
                <w:rFonts w:eastAsia="Calibri"/>
                <w:noProof/>
              </w:rPr>
              <w:t xml:space="preserve"> level 2)</w:t>
            </w:r>
          </w:p>
        </w:tc>
        <w:tc>
          <w:tcPr>
            <w:tcW w:w="4379" w:type="dxa"/>
            <w:gridSpan w:val="2"/>
            <w:tcBorders>
              <w:bottom w:val="single" w:sz="4" w:space="0" w:color="auto"/>
            </w:tcBorders>
            <w:shd w:val="clear" w:color="auto" w:fill="auto"/>
          </w:tcPr>
          <w:p>
            <w:pPr>
              <w:spacing w:before="0" w:after="0"/>
              <w:ind w:rightChars="192" w:right="461"/>
              <w:jc w:val="left"/>
              <w:rPr>
                <w:noProof/>
                <w:szCs w:val="24"/>
              </w:rPr>
            </w:pPr>
            <w:bookmarkStart w:id="6" w:name="Region_1_Name"/>
            <w:r>
              <w:rPr>
                <w:noProof/>
                <w:szCs w:val="24"/>
              </w:rPr>
              <w:t>Galicia</w:t>
            </w:r>
            <w:bookmarkEnd w:id="6"/>
            <w:r>
              <w:rPr>
                <w:noProof/>
                <w:szCs w:val="24"/>
              </w:rPr>
              <w:t xml:space="preserve"> (ES11)</w:t>
            </w:r>
          </w:p>
        </w:tc>
      </w:tr>
      <w:tr>
        <w:tc>
          <w:tcPr>
            <w:tcW w:w="4908" w:type="dxa"/>
            <w:tcBorders>
              <w:bottom w:val="dotted" w:sz="4" w:space="0" w:color="auto"/>
            </w:tcBorders>
            <w:shd w:val="clear" w:color="auto" w:fill="auto"/>
          </w:tcPr>
          <w:p>
            <w:pPr>
              <w:spacing w:before="60" w:after="60"/>
              <w:jc w:val="left"/>
              <w:rPr>
                <w:rFonts w:eastAsia="Calibri"/>
                <w:noProof/>
              </w:rPr>
            </w:pPr>
            <w:r>
              <w:rPr>
                <w:rFonts w:eastAsia="Calibri"/>
                <w:noProof/>
              </w:rPr>
              <w:t>Date of submission of the application</w:t>
            </w:r>
          </w:p>
        </w:tc>
        <w:tc>
          <w:tcPr>
            <w:tcW w:w="4379" w:type="dxa"/>
            <w:gridSpan w:val="2"/>
            <w:tcBorders>
              <w:bottom w:val="dotted" w:sz="4" w:space="0" w:color="auto"/>
            </w:tcBorders>
            <w:shd w:val="clear" w:color="auto" w:fill="auto"/>
          </w:tcPr>
          <w:p>
            <w:pPr>
              <w:spacing w:before="60" w:after="60"/>
              <w:ind w:rightChars="192" w:right="461"/>
              <w:jc w:val="left"/>
              <w:rPr>
                <w:rFonts w:eastAsia="Calibri"/>
                <w:noProof/>
              </w:rPr>
            </w:pPr>
            <w:r>
              <w:rPr>
                <w:noProof/>
              </w:rPr>
              <w:t>19 July 2017</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Date of acknowledgement of receipt of the application</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19 July 2017</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Date of request for additional information</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2 August 2017</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Deadline for provision of the additional information</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13 September 2017</w:t>
            </w:r>
          </w:p>
        </w:tc>
      </w:tr>
      <w:tr>
        <w:tc>
          <w:tcPr>
            <w:tcW w:w="4908" w:type="dxa"/>
            <w:tcBorders>
              <w:top w:val="dotted" w:sz="4" w:space="0" w:color="auto"/>
            </w:tcBorders>
            <w:shd w:val="clear" w:color="auto" w:fill="auto"/>
          </w:tcPr>
          <w:p>
            <w:pPr>
              <w:spacing w:before="60" w:after="60"/>
              <w:jc w:val="left"/>
              <w:rPr>
                <w:rFonts w:eastAsia="Calibri"/>
                <w:noProof/>
              </w:rPr>
            </w:pPr>
            <w:r>
              <w:rPr>
                <w:rFonts w:eastAsia="Calibri"/>
                <w:noProof/>
              </w:rPr>
              <w:t>Deadline for the completion of the assessment</w:t>
            </w:r>
          </w:p>
        </w:tc>
        <w:tc>
          <w:tcPr>
            <w:tcW w:w="4379" w:type="dxa"/>
            <w:gridSpan w:val="2"/>
            <w:tcBorders>
              <w:top w:val="dotted" w:sz="4" w:space="0" w:color="auto"/>
            </w:tcBorders>
            <w:shd w:val="clear" w:color="auto" w:fill="auto"/>
          </w:tcPr>
          <w:p>
            <w:pPr>
              <w:spacing w:before="60" w:after="60"/>
              <w:ind w:rightChars="192" w:right="461"/>
              <w:jc w:val="left"/>
              <w:rPr>
                <w:rFonts w:eastAsia="Calibri"/>
                <w:noProof/>
              </w:rPr>
            </w:pPr>
            <w:r>
              <w:rPr>
                <w:noProof/>
              </w:rPr>
              <w:t>6 December 2017</w:t>
            </w:r>
          </w:p>
        </w:tc>
      </w:tr>
      <w:tr>
        <w:tc>
          <w:tcPr>
            <w:tcW w:w="4908" w:type="dxa"/>
            <w:shd w:val="clear" w:color="auto" w:fill="auto"/>
          </w:tcPr>
          <w:p>
            <w:pPr>
              <w:spacing w:before="60" w:after="60"/>
              <w:jc w:val="left"/>
              <w:rPr>
                <w:rFonts w:eastAsia="Calibri"/>
                <w:noProof/>
              </w:rPr>
            </w:pPr>
            <w:r>
              <w:rPr>
                <w:rFonts w:eastAsia="Calibri"/>
                <w:noProof/>
              </w:rPr>
              <w:t>Intervention criterion</w:t>
            </w:r>
          </w:p>
        </w:tc>
        <w:tc>
          <w:tcPr>
            <w:tcW w:w="4379" w:type="dxa"/>
            <w:gridSpan w:val="2"/>
            <w:shd w:val="clear" w:color="auto" w:fill="auto"/>
          </w:tcPr>
          <w:p>
            <w:pPr>
              <w:spacing w:before="60" w:after="60"/>
              <w:ind w:rightChars="192" w:right="461"/>
              <w:jc w:val="left"/>
              <w:rPr>
                <w:rFonts w:eastAsia="Calibri"/>
                <w:noProof/>
              </w:rPr>
            </w:pPr>
            <w:r>
              <w:rPr>
                <w:rFonts w:eastAsia="Calibri"/>
                <w:noProof/>
              </w:rPr>
              <w:t xml:space="preserve">Article 4(2) of the EGF Regulation </w:t>
            </w:r>
            <w:r>
              <w:rPr>
                <w:noProof/>
              </w:rPr>
              <w:t>derogating from the criteria of Article 4(1)</w:t>
            </w:r>
            <w:r>
              <w:rPr>
                <w:rFonts w:eastAsia="Calibri"/>
                <w:noProof/>
              </w:rPr>
              <w:t>(b)</w:t>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r>
            <w:r>
              <w:rPr>
                <w:rFonts w:eastAsia="Calibri"/>
                <w:noProof/>
              </w:rPr>
              <w:t>Number of enterprises concerned</w:t>
            </w:r>
          </w:p>
        </w:tc>
        <w:tc>
          <w:tcPr>
            <w:tcW w:w="4379" w:type="dxa"/>
            <w:gridSpan w:val="2"/>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5</w:t>
            </w:r>
          </w:p>
        </w:tc>
      </w:tr>
      <w:tr>
        <w:tc>
          <w:tcPr>
            <w:tcW w:w="4908" w:type="dxa"/>
            <w:shd w:val="clear" w:color="auto" w:fill="auto"/>
          </w:tcPr>
          <w:p>
            <w:pPr>
              <w:spacing w:before="60" w:after="60"/>
              <w:jc w:val="left"/>
              <w:rPr>
                <w:rFonts w:eastAsia="Calibri"/>
                <w:noProof/>
              </w:rPr>
            </w:pPr>
            <w:r>
              <w:rPr>
                <w:rFonts w:eastAsia="Calibri"/>
                <w:noProof/>
              </w:rPr>
              <w:t>Sector(s) of economic activity</w:t>
            </w:r>
          </w:p>
          <w:p>
            <w:pPr>
              <w:spacing w:before="60" w:after="60"/>
              <w:jc w:val="left"/>
              <w:rPr>
                <w:rFonts w:eastAsia="Calibri"/>
                <w:noProof/>
              </w:rPr>
            </w:pPr>
            <w:r>
              <w:rPr>
                <w:rFonts w:eastAsia="Calibri"/>
                <w:noProof/>
              </w:rPr>
              <w:t>(NACE Revision 2 Division)</w:t>
            </w:r>
            <w:r>
              <w:rPr>
                <w:rStyle w:val="FootnoteReference"/>
                <w:noProof/>
                <w:szCs w:val="24"/>
              </w:rPr>
              <w:footnoteReference w:id="4"/>
            </w:r>
          </w:p>
        </w:tc>
        <w:tc>
          <w:tcPr>
            <w:tcW w:w="4379" w:type="dxa"/>
            <w:gridSpan w:val="2"/>
            <w:shd w:val="clear" w:color="auto" w:fill="auto"/>
          </w:tcPr>
          <w:p>
            <w:pPr>
              <w:spacing w:before="60" w:after="60"/>
              <w:ind w:rightChars="192" w:right="461"/>
              <w:jc w:val="left"/>
              <w:rPr>
                <w:noProof/>
                <w:szCs w:val="24"/>
              </w:rPr>
            </w:pPr>
            <w:r>
              <w:rPr>
                <w:noProof/>
                <w:szCs w:val="24"/>
              </w:rPr>
              <w:t>Division 14</w:t>
            </w:r>
            <w:r>
              <w:rPr>
                <w:noProof/>
                <w:szCs w:val="24"/>
              </w:rPr>
              <w:br/>
              <w:t>(Manufacture of wearing apparel)</w:t>
            </w:r>
          </w:p>
        </w:tc>
      </w:tr>
      <w:tr>
        <w:tc>
          <w:tcPr>
            <w:tcW w:w="4908" w:type="dxa"/>
            <w:tcBorders>
              <w:bottom w:val="single" w:sz="4" w:space="0" w:color="auto"/>
            </w:tcBorders>
            <w:shd w:val="clear" w:color="auto" w:fill="auto"/>
          </w:tcPr>
          <w:p>
            <w:pPr>
              <w:spacing w:before="60" w:after="60"/>
              <w:jc w:val="left"/>
              <w:rPr>
                <w:rFonts w:eastAsia="Calibri"/>
                <w:noProof/>
              </w:rPr>
            </w:pPr>
            <w:r>
              <w:rPr>
                <w:rFonts w:eastAsia="Calibri"/>
                <w:noProof/>
              </w:rPr>
              <w:t>Reference period (nine months):</w:t>
            </w:r>
          </w:p>
        </w:tc>
        <w:tc>
          <w:tcPr>
            <w:tcW w:w="4379" w:type="dxa"/>
            <w:gridSpan w:val="2"/>
            <w:tcBorders>
              <w:bottom w:val="single" w:sz="4" w:space="0" w:color="auto"/>
            </w:tcBorders>
            <w:shd w:val="clear" w:color="auto" w:fill="auto"/>
          </w:tcPr>
          <w:p>
            <w:pPr>
              <w:spacing w:before="60" w:after="60"/>
              <w:ind w:rightChars="192" w:right="461"/>
              <w:jc w:val="left"/>
              <w:rPr>
                <w:rFonts w:eastAsia="Calibri"/>
                <w:noProof/>
              </w:rPr>
            </w:pPr>
            <w:r>
              <w:rPr>
                <w:noProof/>
              </w:rPr>
              <w:t>30 July 2016</w:t>
            </w:r>
            <w:r>
              <w:rPr>
                <w:rFonts w:eastAsia="Calibri"/>
                <w:noProof/>
              </w:rPr>
              <w:t xml:space="preserve"> – </w:t>
            </w:r>
            <w:r>
              <w:rPr>
                <w:noProof/>
              </w:rPr>
              <w:t>30 April 2017</w:t>
            </w:r>
          </w:p>
        </w:tc>
      </w:tr>
      <w:tr>
        <w:tc>
          <w:tcPr>
            <w:tcW w:w="4908" w:type="dxa"/>
            <w:tcBorders>
              <w:top w:val="dotted" w:sz="4" w:space="0" w:color="auto"/>
              <w:bottom w:val="single" w:sz="4" w:space="0" w:color="auto"/>
            </w:tcBorders>
            <w:shd w:val="clear" w:color="auto" w:fill="auto"/>
          </w:tcPr>
          <w:p>
            <w:pPr>
              <w:spacing w:before="60" w:after="60"/>
              <w:jc w:val="left"/>
              <w:rPr>
                <w:rFonts w:eastAsia="Calibri"/>
                <w:noProof/>
              </w:rPr>
            </w:pPr>
            <w:r>
              <w:rPr>
                <w:rFonts w:eastAsia="Calibri"/>
                <w:noProof/>
              </w:rPr>
              <w:t>Total number of redundancies</w:t>
            </w:r>
          </w:p>
        </w:tc>
        <w:tc>
          <w:tcPr>
            <w:tcW w:w="4379" w:type="dxa"/>
            <w:gridSpan w:val="2"/>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303</w:t>
            </w:r>
          </w:p>
        </w:tc>
      </w:tr>
      <w:tr>
        <w:tc>
          <w:tcPr>
            <w:tcW w:w="4908" w:type="dxa"/>
            <w:tcBorders>
              <w:bottom w:val="dotted" w:sz="4" w:space="0" w:color="auto"/>
            </w:tcBorders>
            <w:shd w:val="clear" w:color="auto" w:fill="auto"/>
          </w:tcPr>
          <w:p>
            <w:pPr>
              <w:spacing w:before="60" w:after="60"/>
              <w:jc w:val="left"/>
              <w:rPr>
                <w:rFonts w:eastAsia="Calibri"/>
                <w:noProof/>
              </w:rPr>
            </w:pPr>
            <w:r>
              <w:rPr>
                <w:rFonts w:eastAsia="Calibri"/>
                <w:noProof/>
              </w:rPr>
              <w:t>Total number of eligible beneficiaries</w:t>
            </w:r>
          </w:p>
        </w:tc>
        <w:tc>
          <w:tcPr>
            <w:tcW w:w="4379" w:type="dxa"/>
            <w:gridSpan w:val="2"/>
            <w:tcBorders>
              <w:bottom w:val="dotted" w:sz="4" w:space="0" w:color="auto"/>
            </w:tcBorders>
            <w:shd w:val="clear" w:color="auto" w:fill="auto"/>
          </w:tcPr>
          <w:p>
            <w:pPr>
              <w:spacing w:before="60" w:after="60"/>
              <w:ind w:rightChars="192" w:right="461"/>
              <w:jc w:val="left"/>
              <w:rPr>
                <w:rFonts w:eastAsia="Calibri"/>
                <w:noProof/>
              </w:rPr>
            </w:pPr>
            <w:r>
              <w:rPr>
                <w:noProof/>
              </w:rPr>
              <w:t>303</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Total number of targeted beneficiaries</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303</w:t>
            </w:r>
          </w:p>
        </w:tc>
      </w:tr>
      <w:tr>
        <w:tc>
          <w:tcPr>
            <w:tcW w:w="4908" w:type="dxa"/>
            <w:tcBorders>
              <w:bottom w:val="dotted" w:sz="4" w:space="0" w:color="auto"/>
            </w:tcBorders>
            <w:shd w:val="clear" w:color="auto" w:fill="auto"/>
            <w:vAlign w:val="center"/>
          </w:tcPr>
          <w:p>
            <w:pPr>
              <w:spacing w:before="0" w:after="0"/>
              <w:jc w:val="left"/>
              <w:rPr>
                <w:noProof/>
              </w:rPr>
            </w:pPr>
            <w:r>
              <w:rPr>
                <w:noProof/>
              </w:rPr>
              <w:t>Budget for personalised services (EUR)</w:t>
            </w:r>
          </w:p>
        </w:tc>
        <w:tc>
          <w:tcPr>
            <w:tcW w:w="1680" w:type="dxa"/>
            <w:tcBorders>
              <w:bottom w:val="dotted" w:sz="4" w:space="0" w:color="auto"/>
              <w:right w:val="nil"/>
            </w:tcBorders>
            <w:shd w:val="clear" w:color="auto" w:fill="auto"/>
            <w:vAlign w:val="center"/>
          </w:tcPr>
          <w:p>
            <w:pPr>
              <w:spacing w:before="0" w:after="0"/>
              <w:ind w:rightChars="192" w:right="461"/>
              <w:jc w:val="right"/>
              <w:rPr>
                <w:noProof/>
              </w:rPr>
            </w:pPr>
            <w:r>
              <w:rPr>
                <w:noProof/>
              </w:rPr>
              <w:t>1 140 000</w:t>
            </w:r>
          </w:p>
        </w:tc>
        <w:tc>
          <w:tcPr>
            <w:tcW w:w="2699" w:type="dxa"/>
            <w:tcBorders>
              <w:left w:val="nil"/>
              <w:bottom w:val="dotted" w:sz="4" w:space="0" w:color="auto"/>
            </w:tcBorders>
            <w:shd w:val="clear" w:color="auto" w:fill="auto"/>
            <w:vAlign w:val="center"/>
          </w:tcPr>
          <w:p>
            <w:pPr>
              <w:spacing w:before="0" w:after="0"/>
              <w:ind w:rightChars="192" w:right="461"/>
              <w:jc w:val="left"/>
              <w:rPr>
                <w:noProof/>
              </w:rPr>
            </w:pP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Budget for implementing EGF</w:t>
            </w:r>
            <w:r>
              <w:rPr>
                <w:rStyle w:val="FootnoteReference"/>
                <w:noProof/>
              </w:rPr>
              <w:footnoteReference w:id="5"/>
            </w:r>
            <w:r>
              <w:rPr>
                <w:noProof/>
              </w:rPr>
              <w:t xml:space="preserve"> (EUR)</w:t>
            </w:r>
          </w:p>
        </w:tc>
        <w:tc>
          <w:tcPr>
            <w:tcW w:w="1680" w:type="dxa"/>
            <w:tcBorders>
              <w:top w:val="dotted" w:sz="4" w:space="0" w:color="auto"/>
              <w:bottom w:val="dotted" w:sz="4" w:space="0" w:color="auto"/>
              <w:right w:val="nil"/>
            </w:tcBorders>
            <w:shd w:val="clear" w:color="auto" w:fill="auto"/>
            <w:vAlign w:val="center"/>
          </w:tcPr>
          <w:p>
            <w:pPr>
              <w:spacing w:before="0" w:after="0"/>
              <w:ind w:rightChars="192" w:right="461"/>
              <w:jc w:val="right"/>
              <w:rPr>
                <w:noProof/>
              </w:rPr>
            </w:pPr>
            <w:r>
              <w:rPr>
                <w:noProof/>
              </w:rPr>
              <w:t>60 000</w:t>
            </w:r>
          </w:p>
        </w:tc>
        <w:tc>
          <w:tcPr>
            <w:tcW w:w="2699" w:type="dxa"/>
            <w:tcBorders>
              <w:top w:val="dotted" w:sz="4" w:space="0" w:color="auto"/>
              <w:left w:val="nil"/>
              <w:bottom w:val="dotted" w:sz="4" w:space="0" w:color="auto"/>
            </w:tcBorders>
            <w:shd w:val="clear" w:color="auto" w:fill="auto"/>
            <w:vAlign w:val="center"/>
          </w:tcPr>
          <w:p>
            <w:pPr>
              <w:spacing w:before="0" w:after="0"/>
              <w:ind w:rightChars="192" w:right="461"/>
              <w:jc w:val="left"/>
              <w:rPr>
                <w:noProof/>
              </w:rPr>
            </w:pP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Total budget (EUR)</w:t>
            </w:r>
          </w:p>
        </w:tc>
        <w:tc>
          <w:tcPr>
            <w:tcW w:w="1680" w:type="dxa"/>
            <w:tcBorders>
              <w:top w:val="dotted" w:sz="4" w:space="0" w:color="auto"/>
              <w:bottom w:val="dotted" w:sz="4" w:space="0" w:color="auto"/>
              <w:right w:val="nil"/>
            </w:tcBorders>
            <w:shd w:val="clear" w:color="auto" w:fill="auto"/>
            <w:vAlign w:val="center"/>
          </w:tcPr>
          <w:p>
            <w:pPr>
              <w:spacing w:before="0" w:after="0"/>
              <w:ind w:rightChars="192" w:right="461"/>
              <w:jc w:val="right"/>
              <w:rPr>
                <w:noProof/>
              </w:rPr>
            </w:pPr>
            <w:r>
              <w:rPr>
                <w:noProof/>
              </w:rPr>
              <w:t>1 200 000</w:t>
            </w:r>
          </w:p>
        </w:tc>
        <w:tc>
          <w:tcPr>
            <w:tcW w:w="2699" w:type="dxa"/>
            <w:tcBorders>
              <w:top w:val="dotted" w:sz="4" w:space="0" w:color="auto"/>
              <w:left w:val="nil"/>
              <w:bottom w:val="dotted" w:sz="4" w:space="0" w:color="auto"/>
            </w:tcBorders>
            <w:shd w:val="clear" w:color="auto" w:fill="auto"/>
            <w:vAlign w:val="center"/>
          </w:tcPr>
          <w:p>
            <w:pPr>
              <w:spacing w:before="0" w:after="0"/>
              <w:ind w:rightChars="192" w:right="461"/>
              <w:jc w:val="left"/>
              <w:rPr>
                <w:noProof/>
              </w:rPr>
            </w:pPr>
          </w:p>
        </w:tc>
      </w:tr>
      <w:tr>
        <w:tc>
          <w:tcPr>
            <w:tcW w:w="4908" w:type="dxa"/>
            <w:tcBorders>
              <w:top w:val="dotted" w:sz="4" w:space="0" w:color="auto"/>
            </w:tcBorders>
            <w:shd w:val="clear" w:color="auto" w:fill="auto"/>
            <w:vAlign w:val="center"/>
          </w:tcPr>
          <w:p>
            <w:pPr>
              <w:spacing w:before="0" w:after="0"/>
              <w:jc w:val="left"/>
              <w:rPr>
                <w:noProof/>
              </w:rPr>
            </w:pPr>
            <w:r>
              <w:rPr>
                <w:noProof/>
              </w:rPr>
              <w:t>EGF contribution (60 %) (EUR)</w:t>
            </w:r>
          </w:p>
        </w:tc>
        <w:tc>
          <w:tcPr>
            <w:tcW w:w="1680" w:type="dxa"/>
            <w:tcBorders>
              <w:top w:val="dotted" w:sz="4" w:space="0" w:color="auto"/>
              <w:right w:val="nil"/>
            </w:tcBorders>
            <w:shd w:val="clear" w:color="auto" w:fill="auto"/>
            <w:vAlign w:val="center"/>
          </w:tcPr>
          <w:p>
            <w:pPr>
              <w:spacing w:before="0" w:after="0"/>
              <w:ind w:rightChars="192" w:right="461"/>
              <w:jc w:val="right"/>
              <w:rPr>
                <w:noProof/>
              </w:rPr>
            </w:pPr>
            <w:r>
              <w:rPr>
                <w:noProof/>
              </w:rPr>
              <w:t>720 000</w:t>
            </w:r>
          </w:p>
        </w:tc>
        <w:tc>
          <w:tcPr>
            <w:tcW w:w="2699" w:type="dxa"/>
            <w:tcBorders>
              <w:top w:val="dotted" w:sz="4" w:space="0" w:color="auto"/>
              <w:left w:val="nil"/>
            </w:tcBorders>
            <w:shd w:val="clear" w:color="auto" w:fill="auto"/>
            <w:vAlign w:val="center"/>
          </w:tcPr>
          <w:p>
            <w:pPr>
              <w:spacing w:before="0" w:after="0"/>
              <w:ind w:rightChars="192" w:right="461"/>
              <w:jc w:val="left"/>
              <w:rPr>
                <w:noProof/>
              </w:rPr>
            </w:pPr>
          </w:p>
        </w:tc>
      </w:tr>
    </w:tbl>
    <w:p>
      <w:pPr>
        <w:pStyle w:val="ManualHeading1"/>
        <w:rPr>
          <w:noProof/>
        </w:rPr>
      </w:pPr>
      <w:r>
        <w:rPr>
          <w:noProof/>
        </w:rPr>
        <w:t>ASSESSMENT OF THE APPLICATION</w:t>
      </w:r>
    </w:p>
    <w:p>
      <w:pPr>
        <w:pStyle w:val="ManualHeading2"/>
        <w:rPr>
          <w:noProof/>
        </w:rPr>
      </w:pPr>
      <w:r>
        <w:rPr>
          <w:noProof/>
        </w:rPr>
        <w:t>Procedure</w:t>
      </w:r>
    </w:p>
    <w:p>
      <w:pPr>
        <w:pStyle w:val="ManualNumPar1"/>
        <w:rPr>
          <w:noProof/>
        </w:rPr>
      </w:pPr>
      <w:r>
        <w:t>4.</w:t>
      </w:r>
      <w:r>
        <w:tab/>
      </w:r>
      <w:r>
        <w:rPr>
          <w:noProof/>
        </w:rPr>
        <w:t>Spain submitted application EGF/2017/006 ES/Galicia apparel within 12 weeks of the date on which the intervention criteria set out in Article 4 of the EGF Regulation were met, on 19 July 2017. The Commission acknowledged receipt of the application the same day, and requested additional information from Spain on 2 August 2017. Such additional information was provided within six weeks of the request. The deadline of 12 weeks of the receipt of the complete application within which the Commission should finalise its assessment of the application's compliance with the conditions for providing a financial contribution expires on 6 December 2017.</w:t>
      </w:r>
    </w:p>
    <w:p>
      <w:pPr>
        <w:pStyle w:val="ManualHeading2"/>
        <w:rPr>
          <w:noProof/>
        </w:rPr>
      </w:pPr>
      <w:r>
        <w:rPr>
          <w:noProof/>
        </w:rPr>
        <w:t>Eligibility of the application</w:t>
      </w:r>
    </w:p>
    <w:p>
      <w:pPr>
        <w:pStyle w:val="ManualHeading3"/>
        <w:rPr>
          <w:noProof/>
        </w:rPr>
      </w:pPr>
      <w:r>
        <w:rPr>
          <w:noProof/>
        </w:rPr>
        <w:t>Enterprises and beneficiaries concerned</w:t>
      </w:r>
    </w:p>
    <w:p>
      <w:pPr>
        <w:pStyle w:val="ManualNumPar1"/>
        <w:rPr>
          <w:noProof/>
          <w:szCs w:val="24"/>
        </w:rPr>
      </w:pPr>
      <w:r>
        <w:t>5.</w:t>
      </w:r>
      <w:r>
        <w:tab/>
      </w:r>
      <w:r>
        <w:rPr>
          <w:noProof/>
        </w:rPr>
        <w:t xml:space="preserve">The application relates to 303 workers made redundant in the economic sector classified under the NACE Revision 2 Division </w:t>
      </w:r>
      <w:r>
        <w:rPr>
          <w:noProof/>
          <w:szCs w:val="24"/>
        </w:rPr>
        <w:t xml:space="preserve">14 (Manufacture of wearing apparel). </w:t>
      </w:r>
      <w:r>
        <w:rPr>
          <w:noProof/>
        </w:rPr>
        <w:t xml:space="preserve">The redundancies are located in the NUTS level 2 region of </w:t>
      </w:r>
      <w:r>
        <w:rPr>
          <w:noProof/>
          <w:szCs w:val="24"/>
        </w:rPr>
        <w:t>Galicia (ES11).</w:t>
      </w:r>
    </w:p>
    <w:tbl>
      <w:tblPr>
        <w:tblW w:w="834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480"/>
        <w:gridCol w:w="360"/>
        <w:gridCol w:w="2940"/>
        <w:gridCol w:w="600"/>
        <w:gridCol w:w="600"/>
      </w:tblGrid>
      <w:tr>
        <w:trPr>
          <w:trHeight w:val="284"/>
          <w:tblHeader/>
        </w:trPr>
        <w:tc>
          <w:tcPr>
            <w:tcW w:w="8340" w:type="dxa"/>
            <w:gridSpan w:val="6"/>
            <w:shd w:val="clear" w:color="auto" w:fill="D9D9D9" w:themeFill="background1" w:themeFillShade="D9"/>
          </w:tcPr>
          <w:p>
            <w:pPr>
              <w:spacing w:beforeLines="20" w:before="48" w:afterLines="20" w:after="48" w:line="276" w:lineRule="auto"/>
              <w:ind w:left="57"/>
              <w:jc w:val="center"/>
              <w:rPr>
                <w:rFonts w:eastAsia="Calibri"/>
                <w:noProof/>
                <w:szCs w:val="24"/>
              </w:rPr>
            </w:pPr>
            <w:r>
              <w:rPr>
                <w:rFonts w:eastAsia="Calibri"/>
                <w:b/>
                <w:noProof/>
                <w:szCs w:val="24"/>
              </w:rPr>
              <w:t>Enterprises and number of dismissals within the reference period</w:t>
            </w:r>
          </w:p>
        </w:tc>
      </w:tr>
      <w:tr>
        <w:tc>
          <w:tcPr>
            <w:tcW w:w="3360" w:type="dxa"/>
            <w:tcBorders>
              <w:bottom w:val="nil"/>
              <w:right w:val="nil"/>
            </w:tcBorders>
            <w:shd w:val="clear" w:color="auto" w:fill="auto"/>
            <w:vAlign w:val="center"/>
          </w:tcPr>
          <w:p>
            <w:pPr>
              <w:spacing w:before="0" w:after="0"/>
              <w:ind w:right="252"/>
              <w:jc w:val="left"/>
              <w:rPr>
                <w:noProof/>
                <w:szCs w:val="24"/>
              </w:rPr>
            </w:pPr>
            <w:r>
              <w:rPr>
                <w:noProof/>
                <w:szCs w:val="24"/>
              </w:rPr>
              <w:t>Caramelo S.A.</w:t>
            </w:r>
          </w:p>
        </w:tc>
        <w:tc>
          <w:tcPr>
            <w:tcW w:w="840" w:type="dxa"/>
            <w:gridSpan w:val="2"/>
            <w:tcBorders>
              <w:left w:val="nil"/>
              <w:bottom w:val="nil"/>
            </w:tcBorders>
            <w:shd w:val="clear" w:color="auto" w:fill="auto"/>
            <w:vAlign w:val="center"/>
          </w:tcPr>
          <w:p>
            <w:pPr>
              <w:spacing w:before="0" w:after="0"/>
              <w:ind w:left="-828"/>
              <w:jc w:val="right"/>
              <w:rPr>
                <w:noProof/>
                <w:szCs w:val="24"/>
              </w:rPr>
            </w:pPr>
            <w:r>
              <w:rPr>
                <w:noProof/>
                <w:szCs w:val="24"/>
              </w:rPr>
              <w:t>97</w:t>
            </w:r>
          </w:p>
        </w:tc>
        <w:tc>
          <w:tcPr>
            <w:tcW w:w="3540" w:type="dxa"/>
            <w:gridSpan w:val="2"/>
            <w:tcBorders>
              <w:bottom w:val="nil"/>
              <w:right w:val="nil"/>
            </w:tcBorders>
            <w:shd w:val="clear" w:color="auto" w:fill="auto"/>
            <w:vAlign w:val="center"/>
          </w:tcPr>
          <w:p>
            <w:pPr>
              <w:spacing w:before="0" w:after="0"/>
              <w:jc w:val="left"/>
              <w:rPr>
                <w:noProof/>
                <w:szCs w:val="24"/>
              </w:rPr>
            </w:pPr>
            <w:r>
              <w:rPr>
                <w:noProof/>
                <w:szCs w:val="24"/>
              </w:rPr>
              <w:t>Shivshi S.L.</w:t>
            </w:r>
          </w:p>
        </w:tc>
        <w:tc>
          <w:tcPr>
            <w:tcW w:w="600" w:type="dxa"/>
            <w:tcBorders>
              <w:left w:val="nil"/>
              <w:bottom w:val="nil"/>
            </w:tcBorders>
            <w:shd w:val="clear" w:color="auto" w:fill="auto"/>
            <w:vAlign w:val="center"/>
          </w:tcPr>
          <w:p>
            <w:pPr>
              <w:spacing w:before="0" w:after="0"/>
              <w:ind w:left="-828"/>
              <w:jc w:val="right"/>
              <w:rPr>
                <w:noProof/>
                <w:szCs w:val="24"/>
              </w:rPr>
            </w:pPr>
            <w:r>
              <w:rPr>
                <w:noProof/>
                <w:szCs w:val="24"/>
              </w:rPr>
              <w:t>41</w:t>
            </w:r>
          </w:p>
        </w:tc>
      </w:tr>
      <w:tr>
        <w:trPr>
          <w:trHeight w:val="138"/>
        </w:trPr>
        <w:tc>
          <w:tcPr>
            <w:tcW w:w="3360" w:type="dxa"/>
            <w:tcBorders>
              <w:top w:val="nil"/>
              <w:bottom w:val="nil"/>
              <w:right w:val="nil"/>
            </w:tcBorders>
            <w:shd w:val="clear" w:color="auto" w:fill="auto"/>
            <w:vAlign w:val="center"/>
          </w:tcPr>
          <w:p>
            <w:pPr>
              <w:spacing w:before="0" w:after="0"/>
              <w:jc w:val="left"/>
              <w:rPr>
                <w:noProof/>
                <w:szCs w:val="24"/>
              </w:rPr>
            </w:pPr>
            <w:r>
              <w:rPr>
                <w:noProof/>
                <w:szCs w:val="24"/>
              </w:rPr>
              <w:t>Confecciones Deus S.L.</w:t>
            </w:r>
          </w:p>
        </w:tc>
        <w:tc>
          <w:tcPr>
            <w:tcW w:w="840" w:type="dxa"/>
            <w:gridSpan w:val="2"/>
            <w:tcBorders>
              <w:top w:val="nil"/>
              <w:left w:val="nil"/>
              <w:bottom w:val="nil"/>
            </w:tcBorders>
            <w:shd w:val="clear" w:color="auto" w:fill="auto"/>
            <w:vAlign w:val="center"/>
          </w:tcPr>
          <w:p>
            <w:pPr>
              <w:spacing w:before="0" w:after="0"/>
              <w:ind w:left="-828"/>
              <w:jc w:val="right"/>
              <w:rPr>
                <w:noProof/>
                <w:szCs w:val="24"/>
              </w:rPr>
            </w:pPr>
            <w:r>
              <w:rPr>
                <w:noProof/>
                <w:szCs w:val="24"/>
              </w:rPr>
              <w:t>20</w:t>
            </w:r>
          </w:p>
        </w:tc>
        <w:tc>
          <w:tcPr>
            <w:tcW w:w="3540" w:type="dxa"/>
            <w:gridSpan w:val="2"/>
            <w:tcBorders>
              <w:top w:val="nil"/>
              <w:bottom w:val="nil"/>
              <w:right w:val="nil"/>
            </w:tcBorders>
            <w:shd w:val="clear" w:color="auto" w:fill="auto"/>
            <w:vAlign w:val="center"/>
          </w:tcPr>
          <w:p>
            <w:pPr>
              <w:spacing w:before="0" w:after="0"/>
              <w:jc w:val="left"/>
              <w:rPr>
                <w:noProof/>
                <w:szCs w:val="24"/>
              </w:rPr>
            </w:pPr>
            <w:r>
              <w:rPr>
                <w:noProof/>
                <w:szCs w:val="24"/>
              </w:rPr>
              <w:t>Viriato</w:t>
            </w:r>
          </w:p>
        </w:tc>
        <w:tc>
          <w:tcPr>
            <w:tcW w:w="600" w:type="dxa"/>
            <w:tcBorders>
              <w:top w:val="nil"/>
              <w:left w:val="nil"/>
              <w:bottom w:val="nil"/>
            </w:tcBorders>
            <w:shd w:val="clear" w:color="auto" w:fill="auto"/>
            <w:vAlign w:val="center"/>
          </w:tcPr>
          <w:p>
            <w:pPr>
              <w:spacing w:before="0" w:after="0"/>
              <w:ind w:left="-828"/>
              <w:jc w:val="right"/>
              <w:rPr>
                <w:noProof/>
                <w:szCs w:val="24"/>
              </w:rPr>
            </w:pPr>
            <w:r>
              <w:rPr>
                <w:noProof/>
                <w:szCs w:val="24"/>
              </w:rPr>
              <w:t>106</w:t>
            </w:r>
          </w:p>
        </w:tc>
      </w:tr>
      <w:tr>
        <w:tc>
          <w:tcPr>
            <w:tcW w:w="3360" w:type="dxa"/>
            <w:tcBorders>
              <w:top w:val="nil"/>
              <w:bottom w:val="nil"/>
              <w:right w:val="nil"/>
            </w:tcBorders>
            <w:shd w:val="clear" w:color="auto" w:fill="auto"/>
            <w:vAlign w:val="center"/>
          </w:tcPr>
          <w:p>
            <w:pPr>
              <w:spacing w:before="0" w:after="0"/>
              <w:jc w:val="left"/>
              <w:rPr>
                <w:noProof/>
                <w:szCs w:val="24"/>
              </w:rPr>
            </w:pPr>
            <w:r>
              <w:rPr>
                <w:noProof/>
                <w:szCs w:val="24"/>
              </w:rPr>
              <w:t>Deus Creaciones S.L.</w:t>
            </w:r>
          </w:p>
        </w:tc>
        <w:tc>
          <w:tcPr>
            <w:tcW w:w="840" w:type="dxa"/>
            <w:gridSpan w:val="2"/>
            <w:tcBorders>
              <w:top w:val="nil"/>
              <w:left w:val="nil"/>
              <w:bottom w:val="nil"/>
            </w:tcBorders>
            <w:shd w:val="clear" w:color="auto" w:fill="auto"/>
            <w:vAlign w:val="center"/>
          </w:tcPr>
          <w:p>
            <w:pPr>
              <w:spacing w:before="0" w:after="0"/>
              <w:ind w:left="-828"/>
              <w:jc w:val="right"/>
              <w:rPr>
                <w:noProof/>
                <w:szCs w:val="24"/>
              </w:rPr>
            </w:pPr>
            <w:r>
              <w:rPr>
                <w:noProof/>
                <w:szCs w:val="24"/>
              </w:rPr>
              <w:t>39</w:t>
            </w:r>
          </w:p>
        </w:tc>
        <w:tc>
          <w:tcPr>
            <w:tcW w:w="3540" w:type="dxa"/>
            <w:gridSpan w:val="2"/>
            <w:tcBorders>
              <w:top w:val="nil"/>
              <w:bottom w:val="nil"/>
              <w:right w:val="nil"/>
            </w:tcBorders>
            <w:shd w:val="clear" w:color="auto" w:fill="auto"/>
            <w:vAlign w:val="center"/>
          </w:tcPr>
          <w:p>
            <w:pPr>
              <w:spacing w:before="0" w:after="0"/>
              <w:jc w:val="left"/>
              <w:rPr>
                <w:noProof/>
                <w:szCs w:val="24"/>
              </w:rPr>
            </w:pPr>
          </w:p>
        </w:tc>
        <w:tc>
          <w:tcPr>
            <w:tcW w:w="600" w:type="dxa"/>
            <w:tcBorders>
              <w:top w:val="nil"/>
              <w:left w:val="nil"/>
              <w:bottom w:val="nil"/>
            </w:tcBorders>
            <w:shd w:val="clear" w:color="auto" w:fill="auto"/>
            <w:vAlign w:val="center"/>
          </w:tcPr>
          <w:p>
            <w:pPr>
              <w:spacing w:before="0" w:after="0"/>
              <w:ind w:left="-828"/>
              <w:jc w:val="right"/>
              <w:rPr>
                <w:noProof/>
                <w:szCs w:val="24"/>
              </w:rPr>
            </w:pPr>
          </w:p>
        </w:tc>
      </w:tr>
      <w:tr>
        <w:trPr>
          <w:trHeight w:val="284"/>
        </w:trPr>
        <w:tc>
          <w:tcPr>
            <w:tcW w:w="3840" w:type="dxa"/>
            <w:gridSpan w:val="2"/>
            <w:tcBorders>
              <w:bottom w:val="nil"/>
              <w:right w:val="nil"/>
            </w:tcBorders>
            <w:shd w:val="clear" w:color="auto" w:fill="E6E6E6"/>
            <w:vAlign w:val="center"/>
          </w:tcPr>
          <w:p>
            <w:pPr>
              <w:spacing w:beforeLines="20" w:before="48" w:afterLines="20" w:after="48" w:line="276" w:lineRule="auto"/>
              <w:ind w:left="57"/>
              <w:jc w:val="left"/>
              <w:rPr>
                <w:rFonts w:eastAsia="Calibri"/>
                <w:b/>
                <w:noProof/>
                <w:szCs w:val="24"/>
              </w:rPr>
            </w:pPr>
            <w:r>
              <w:rPr>
                <w:rFonts w:eastAsia="Calibri"/>
                <w:noProof/>
                <w:szCs w:val="24"/>
              </w:rPr>
              <w:br w:type="page"/>
            </w:r>
            <w:r>
              <w:rPr>
                <w:rFonts w:eastAsia="Calibri"/>
                <w:b/>
                <w:noProof/>
                <w:szCs w:val="24"/>
              </w:rPr>
              <w:t>Total no. of enterprises:</w:t>
            </w:r>
            <w:r>
              <w:rPr>
                <w:b/>
                <w:noProof/>
                <w:sz w:val="22"/>
              </w:rPr>
              <w:t xml:space="preserve"> </w:t>
            </w:r>
            <w:r>
              <w:rPr>
                <w:b/>
                <w:noProof/>
              </w:rPr>
              <w:t>5</w:t>
            </w:r>
          </w:p>
        </w:tc>
        <w:tc>
          <w:tcPr>
            <w:tcW w:w="3300" w:type="dxa"/>
            <w:gridSpan w:val="2"/>
            <w:tcBorders>
              <w:left w:val="nil"/>
              <w:bottom w:val="nil"/>
              <w:right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rFonts w:eastAsia="Calibri"/>
                <w:b/>
                <w:noProof/>
                <w:szCs w:val="24"/>
              </w:rPr>
              <w:t>Total no. of dismissals:</w:t>
            </w:r>
            <w:r>
              <w:rPr>
                <w:b/>
                <w:noProof/>
                <w:sz w:val="22"/>
              </w:rPr>
              <w:t xml:space="preserve"> </w:t>
            </w:r>
          </w:p>
        </w:tc>
        <w:tc>
          <w:tcPr>
            <w:tcW w:w="1200" w:type="dxa"/>
            <w:gridSpan w:val="2"/>
            <w:tcBorders>
              <w:left w:val="nil"/>
              <w:bottom w:val="nil"/>
            </w:tcBorders>
            <w:shd w:val="clear" w:color="auto" w:fill="E6E6E6"/>
            <w:vAlign w:val="center"/>
          </w:tcPr>
          <w:p>
            <w:pPr>
              <w:spacing w:beforeLines="20" w:before="48" w:afterLines="20" w:after="48" w:line="276" w:lineRule="auto"/>
              <w:ind w:left="57" w:right="227"/>
              <w:jc w:val="right"/>
              <w:rPr>
                <w:rFonts w:eastAsia="Calibri"/>
                <w:b/>
                <w:noProof/>
                <w:szCs w:val="24"/>
              </w:rPr>
            </w:pPr>
            <w:r>
              <w:rPr>
                <w:b/>
                <w:noProof/>
              </w:rPr>
              <w:t>303</w:t>
            </w:r>
          </w:p>
        </w:tc>
      </w:tr>
      <w:tr>
        <w:trPr>
          <w:trHeight w:val="284"/>
        </w:trPr>
        <w:tc>
          <w:tcPr>
            <w:tcW w:w="7140" w:type="dxa"/>
            <w:gridSpan w:val="4"/>
            <w:tcBorders>
              <w:top w:val="nil"/>
              <w:bottom w:val="nil"/>
              <w:right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rFonts w:eastAsia="Calibri"/>
                <w:b/>
                <w:noProof/>
                <w:szCs w:val="24"/>
              </w:rPr>
              <w:t>Total no. of self-employed persons whose activity has ceased:</w:t>
            </w:r>
            <w:r>
              <w:rPr>
                <w:rFonts w:eastAsia="Calibri"/>
                <w:noProof/>
                <w:szCs w:val="24"/>
              </w:rPr>
              <w:t xml:space="preserve"> </w:t>
            </w:r>
          </w:p>
        </w:tc>
        <w:tc>
          <w:tcPr>
            <w:tcW w:w="1200" w:type="dxa"/>
            <w:gridSpan w:val="2"/>
            <w:tcBorders>
              <w:top w:val="nil"/>
              <w:left w:val="nil"/>
              <w:bottom w:val="nil"/>
            </w:tcBorders>
            <w:shd w:val="clear" w:color="auto" w:fill="E6E6E6"/>
            <w:vAlign w:val="center"/>
          </w:tcPr>
          <w:p>
            <w:pPr>
              <w:spacing w:beforeLines="20" w:before="48" w:afterLines="20" w:after="48" w:line="276" w:lineRule="auto"/>
              <w:ind w:left="57" w:right="227"/>
              <w:jc w:val="right"/>
              <w:rPr>
                <w:rFonts w:eastAsia="Calibri"/>
                <w:b/>
                <w:noProof/>
                <w:szCs w:val="24"/>
              </w:rPr>
            </w:pPr>
            <w:r>
              <w:rPr>
                <w:b/>
                <w:noProof/>
              </w:rPr>
              <w:t>0</w:t>
            </w:r>
          </w:p>
        </w:tc>
      </w:tr>
      <w:tr>
        <w:trPr>
          <w:trHeight w:val="284"/>
        </w:trPr>
        <w:tc>
          <w:tcPr>
            <w:tcW w:w="7140" w:type="dxa"/>
            <w:gridSpan w:val="4"/>
            <w:tcBorders>
              <w:top w:val="nil"/>
              <w:right w:val="nil"/>
            </w:tcBorders>
            <w:shd w:val="clear" w:color="auto" w:fill="E6E6E6"/>
            <w:vAlign w:val="center"/>
          </w:tcPr>
          <w:p>
            <w:pPr>
              <w:spacing w:beforeLines="20" w:before="48" w:afterLines="20" w:after="48" w:line="276" w:lineRule="auto"/>
              <w:ind w:left="57"/>
              <w:jc w:val="left"/>
              <w:rPr>
                <w:rFonts w:eastAsia="Calibri"/>
                <w:b/>
                <w:noProof/>
                <w:szCs w:val="24"/>
              </w:rPr>
            </w:pPr>
            <w:r>
              <w:rPr>
                <w:rFonts w:eastAsia="Calibri"/>
                <w:b/>
                <w:noProof/>
                <w:szCs w:val="24"/>
              </w:rPr>
              <w:t xml:space="preserve">Total no. of eligible workers and self-employed persons: </w:t>
            </w:r>
          </w:p>
        </w:tc>
        <w:tc>
          <w:tcPr>
            <w:tcW w:w="1200" w:type="dxa"/>
            <w:gridSpan w:val="2"/>
            <w:tcBorders>
              <w:top w:val="nil"/>
              <w:left w:val="nil"/>
            </w:tcBorders>
            <w:shd w:val="clear" w:color="auto" w:fill="E6E6E6"/>
            <w:vAlign w:val="center"/>
          </w:tcPr>
          <w:p>
            <w:pPr>
              <w:spacing w:beforeLines="20" w:before="48" w:afterLines="20" w:after="48" w:line="276" w:lineRule="auto"/>
              <w:ind w:left="57" w:right="227"/>
              <w:jc w:val="right"/>
              <w:rPr>
                <w:rFonts w:eastAsia="Calibri"/>
                <w:b/>
                <w:noProof/>
                <w:szCs w:val="24"/>
              </w:rPr>
            </w:pPr>
            <w:r>
              <w:rPr>
                <w:b/>
                <w:noProof/>
              </w:rPr>
              <w:t>303</w:t>
            </w:r>
          </w:p>
        </w:tc>
      </w:tr>
    </w:tbl>
    <w:p>
      <w:pPr>
        <w:pStyle w:val="ManualHeading3"/>
        <w:rPr>
          <w:noProof/>
        </w:rPr>
      </w:pPr>
      <w:r>
        <w:rPr>
          <w:noProof/>
        </w:rPr>
        <w:t>Intervention criteria</w:t>
      </w:r>
    </w:p>
    <w:p>
      <w:pPr>
        <w:pStyle w:val="ManualNumPar1"/>
        <w:rPr>
          <w:noProof/>
        </w:rPr>
      </w:pPr>
      <w:r>
        <w:t>6.</w:t>
      </w:r>
      <w:r>
        <w:tab/>
      </w:r>
      <w:r>
        <w:rPr>
          <w:noProof/>
        </w:rPr>
        <w:t xml:space="preserve">Spain submitted the application under the intervention criteria of </w:t>
      </w:r>
      <w:r>
        <w:rPr>
          <w:rFonts w:eastAsia="Calibri"/>
          <w:noProof/>
        </w:rPr>
        <w:t xml:space="preserve">Article 4(2) </w:t>
      </w:r>
      <w:r>
        <w:rPr>
          <w:noProof/>
        </w:rPr>
        <w:t>derogating from the criteria of Article 4(1)</w:t>
      </w:r>
      <w:r>
        <w:rPr>
          <w:rFonts w:eastAsia="Calibri"/>
          <w:noProof/>
        </w:rPr>
        <w:t xml:space="preserve">(b) </w:t>
      </w:r>
      <w:r>
        <w:rPr>
          <w:noProof/>
        </w:rPr>
        <w:t xml:space="preserve">of the EGF Regulation, which requires at least 500 workers being made redundant over a reference period of </w:t>
      </w:r>
      <w:r>
        <w:rPr>
          <w:noProof/>
          <w:lang w:val="en-IE"/>
        </w:rPr>
        <w:t xml:space="preserve">nine months in enterprises operating in the same economic sector defined at </w:t>
      </w:r>
      <w:r>
        <w:rPr>
          <w:noProof/>
        </w:rPr>
        <w:t>NACE Revision 2 Division</w:t>
      </w:r>
      <w:r>
        <w:rPr>
          <w:noProof/>
          <w:lang w:val="en-IE"/>
        </w:rPr>
        <w:t xml:space="preserve"> and located in one region or two contiguous regions defined at NUTS 2 level in a Member State. </w:t>
      </w:r>
      <w:r>
        <w:rPr>
          <w:noProof/>
        </w:rPr>
        <w:t xml:space="preserve">There were 303 redundancies in the NUTS level 2 region of </w:t>
      </w:r>
      <w:r>
        <w:rPr>
          <w:noProof/>
          <w:szCs w:val="24"/>
        </w:rPr>
        <w:t>Galicia (ES11).</w:t>
      </w:r>
    </w:p>
    <w:p>
      <w:pPr>
        <w:pStyle w:val="ManualNumPar1"/>
        <w:rPr>
          <w:noProof/>
        </w:rPr>
      </w:pPr>
      <w:bookmarkStart w:id="7" w:name="_Ref372189348"/>
      <w:r>
        <w:t>7.</w:t>
      </w:r>
      <w:r>
        <w:tab/>
      </w:r>
      <w:r>
        <w:rPr>
          <w:noProof/>
        </w:rPr>
        <w:t xml:space="preserve">The reference period of </w:t>
      </w:r>
      <w:r>
        <w:rPr>
          <w:rFonts w:eastAsia="Calibri"/>
          <w:noProof/>
        </w:rPr>
        <w:t>nine</w:t>
      </w:r>
      <w:r>
        <w:rPr>
          <w:noProof/>
        </w:rPr>
        <w:t xml:space="preserve"> months for the application runs from 30 July 2016 to </w:t>
      </w:r>
      <w:bookmarkEnd w:id="7"/>
      <w:r>
        <w:rPr>
          <w:noProof/>
        </w:rPr>
        <w:t>30 April 2017.</w:t>
      </w:r>
    </w:p>
    <w:p>
      <w:pPr>
        <w:pStyle w:val="ManualHeading3"/>
        <w:rPr>
          <w:noProof/>
        </w:rPr>
      </w:pPr>
      <w:r>
        <w:rPr>
          <w:noProof/>
        </w:rPr>
        <w:t>Calculation of redundancies and of cessation of activity</w:t>
      </w:r>
    </w:p>
    <w:p>
      <w:pPr>
        <w:pStyle w:val="ManualNumPar1"/>
        <w:rPr>
          <w:noProof/>
        </w:rPr>
      </w:pPr>
      <w:r>
        <w:t>8.</w:t>
      </w:r>
      <w:r>
        <w:tab/>
      </w:r>
      <w:r>
        <w:rPr>
          <w:noProof/>
        </w:rPr>
        <w:t>All the redundancies during the reference period have been calculated as from the date of the de facto termination of the contract of employment or its expiry.</w:t>
      </w:r>
    </w:p>
    <w:p>
      <w:pPr>
        <w:pStyle w:val="ManualHeading3"/>
        <w:rPr>
          <w:noProof/>
        </w:rPr>
      </w:pPr>
      <w:r>
        <w:rPr>
          <w:noProof/>
        </w:rPr>
        <w:t>Eligible beneficiaries</w:t>
      </w:r>
    </w:p>
    <w:p>
      <w:pPr>
        <w:pStyle w:val="ManualNumPar1"/>
        <w:rPr>
          <w:noProof/>
        </w:rPr>
      </w:pPr>
      <w:r>
        <w:t>9.</w:t>
      </w:r>
      <w:r>
        <w:tab/>
      </w:r>
      <w:r>
        <w:rPr>
          <w:noProof/>
        </w:rPr>
        <w:t>The total number of eligible beneficiaries is 303.</w:t>
      </w:r>
    </w:p>
    <w:p>
      <w:pPr>
        <w:pStyle w:val="ManualHeading3"/>
        <w:tabs>
          <w:tab w:val="clear" w:pos="850"/>
          <w:tab w:val="left" w:pos="0"/>
        </w:tabs>
        <w:ind w:left="0" w:firstLine="0"/>
        <w:rPr>
          <w:noProof/>
        </w:rPr>
      </w:pPr>
      <w:r>
        <w:rPr>
          <w:noProof/>
        </w:rPr>
        <w:t>Link between the redundancies and major structural changes in world trade patterns due to globalisation.</w:t>
      </w:r>
    </w:p>
    <w:p>
      <w:pPr>
        <w:pStyle w:val="ManualNumPar1"/>
        <w:rPr>
          <w:noProof/>
        </w:rPr>
      </w:pPr>
      <w:r>
        <w:t>10.</w:t>
      </w:r>
      <w:r>
        <w:tab/>
      </w:r>
      <w:r>
        <w:rPr>
          <w:noProof/>
        </w:rPr>
        <w:t>In order to establish the link between the redundancies and major structural changes in world trade patterns due to globalisation, Spain argues that the liberalisation of trade in textiles and clothing — following the expiry of the World Trade Organisation Multifibre Arrangement at the end of 2004 — has led to radical changes in the structure of world trade. According to EUROSTAT-Comext figures, in 2016 imports of clothing into the EU-28 increased by 37,9 % compared to 2008 and by 83,2 % compared to 2004.</w:t>
      </w:r>
    </w:p>
    <w:p>
      <w:pPr>
        <w:pStyle w:val="Text1"/>
        <w:jc w:val="center"/>
        <w:rPr>
          <w:b/>
          <w:noProof/>
        </w:rPr>
      </w:pPr>
      <w:r>
        <w:rPr>
          <w:b/>
          <w:noProof/>
        </w:rPr>
        <w:t>EU28 clothing imports and exports (million euro)</w:t>
      </w:r>
    </w:p>
    <w:tbl>
      <w:tblPr>
        <w:tblStyle w:val="TableGrid"/>
        <w:tblW w:w="0" w:type="auto"/>
        <w:tblInd w:w="925" w:type="dxa"/>
        <w:tblLook w:val="04A0" w:firstRow="1" w:lastRow="0" w:firstColumn="1" w:lastColumn="0" w:noHBand="0" w:noVBand="1"/>
      </w:tblPr>
      <w:tblGrid>
        <w:gridCol w:w="1114"/>
        <w:gridCol w:w="1035"/>
        <w:gridCol w:w="1035"/>
        <w:gridCol w:w="1036"/>
        <w:gridCol w:w="1036"/>
        <w:gridCol w:w="1036"/>
        <w:gridCol w:w="1036"/>
        <w:gridCol w:w="1036"/>
      </w:tblGrid>
      <w:tr>
        <w:tc>
          <w:tcPr>
            <w:tcW w:w="236" w:type="dxa"/>
            <w:tcBorders>
              <w:top w:val="nil"/>
              <w:left w:val="nil"/>
            </w:tcBorders>
            <w:vAlign w:val="bottom"/>
          </w:tcPr>
          <w:p>
            <w:pPr>
              <w:jc w:val="center"/>
              <w:rPr>
                <w:b/>
                <w:noProof/>
                <w:color w:val="000000"/>
                <w:sz w:val="20"/>
                <w:szCs w:val="20"/>
              </w:rPr>
            </w:pPr>
          </w:p>
        </w:tc>
        <w:tc>
          <w:tcPr>
            <w:tcW w:w="1161" w:type="dxa"/>
            <w:vAlign w:val="bottom"/>
          </w:tcPr>
          <w:p>
            <w:pPr>
              <w:jc w:val="center"/>
              <w:rPr>
                <w:b/>
                <w:noProof/>
                <w:color w:val="000000"/>
                <w:sz w:val="20"/>
                <w:szCs w:val="20"/>
              </w:rPr>
            </w:pPr>
            <w:r>
              <w:rPr>
                <w:b/>
                <w:noProof/>
                <w:color w:val="000000"/>
                <w:sz w:val="20"/>
                <w:szCs w:val="20"/>
              </w:rPr>
              <w:t>2004</w:t>
            </w:r>
          </w:p>
        </w:tc>
        <w:tc>
          <w:tcPr>
            <w:tcW w:w="1161" w:type="dxa"/>
            <w:vAlign w:val="bottom"/>
          </w:tcPr>
          <w:p>
            <w:pPr>
              <w:jc w:val="center"/>
              <w:rPr>
                <w:b/>
                <w:noProof/>
                <w:color w:val="000000"/>
                <w:sz w:val="20"/>
                <w:szCs w:val="20"/>
              </w:rPr>
            </w:pPr>
            <w:r>
              <w:rPr>
                <w:b/>
                <w:noProof/>
                <w:color w:val="000000"/>
                <w:sz w:val="20"/>
                <w:szCs w:val="20"/>
              </w:rPr>
              <w:t>2005</w:t>
            </w:r>
          </w:p>
        </w:tc>
        <w:tc>
          <w:tcPr>
            <w:tcW w:w="1161" w:type="dxa"/>
            <w:vAlign w:val="bottom"/>
          </w:tcPr>
          <w:p>
            <w:pPr>
              <w:jc w:val="center"/>
              <w:rPr>
                <w:b/>
                <w:noProof/>
                <w:color w:val="000000"/>
                <w:sz w:val="20"/>
                <w:szCs w:val="20"/>
              </w:rPr>
            </w:pPr>
            <w:r>
              <w:rPr>
                <w:b/>
                <w:noProof/>
                <w:color w:val="000000"/>
                <w:sz w:val="20"/>
                <w:szCs w:val="20"/>
              </w:rPr>
              <w:t>2006</w:t>
            </w:r>
          </w:p>
        </w:tc>
        <w:tc>
          <w:tcPr>
            <w:tcW w:w="1161" w:type="dxa"/>
            <w:vAlign w:val="bottom"/>
          </w:tcPr>
          <w:p>
            <w:pPr>
              <w:jc w:val="center"/>
              <w:rPr>
                <w:b/>
                <w:noProof/>
                <w:color w:val="000000"/>
                <w:sz w:val="20"/>
                <w:szCs w:val="20"/>
              </w:rPr>
            </w:pPr>
            <w:r>
              <w:rPr>
                <w:b/>
                <w:noProof/>
                <w:color w:val="000000"/>
                <w:sz w:val="20"/>
                <w:szCs w:val="20"/>
              </w:rPr>
              <w:t>2007</w:t>
            </w:r>
          </w:p>
        </w:tc>
        <w:tc>
          <w:tcPr>
            <w:tcW w:w="1161" w:type="dxa"/>
            <w:vAlign w:val="bottom"/>
          </w:tcPr>
          <w:p>
            <w:pPr>
              <w:jc w:val="center"/>
              <w:rPr>
                <w:b/>
                <w:noProof/>
                <w:color w:val="000000"/>
                <w:sz w:val="20"/>
                <w:szCs w:val="20"/>
              </w:rPr>
            </w:pPr>
            <w:r>
              <w:rPr>
                <w:b/>
                <w:noProof/>
                <w:color w:val="000000"/>
                <w:sz w:val="20"/>
                <w:szCs w:val="20"/>
              </w:rPr>
              <w:t>2008</w:t>
            </w:r>
          </w:p>
        </w:tc>
        <w:tc>
          <w:tcPr>
            <w:tcW w:w="1161" w:type="dxa"/>
            <w:vAlign w:val="bottom"/>
          </w:tcPr>
          <w:p>
            <w:pPr>
              <w:jc w:val="center"/>
              <w:rPr>
                <w:b/>
                <w:noProof/>
                <w:color w:val="000000"/>
                <w:sz w:val="20"/>
                <w:szCs w:val="20"/>
              </w:rPr>
            </w:pPr>
            <w:r>
              <w:rPr>
                <w:b/>
                <w:noProof/>
                <w:color w:val="000000"/>
                <w:sz w:val="20"/>
                <w:szCs w:val="20"/>
              </w:rPr>
              <w:t>2009</w:t>
            </w:r>
          </w:p>
        </w:tc>
        <w:tc>
          <w:tcPr>
            <w:tcW w:w="1161" w:type="dxa"/>
            <w:vAlign w:val="bottom"/>
          </w:tcPr>
          <w:p>
            <w:pPr>
              <w:jc w:val="center"/>
              <w:rPr>
                <w:b/>
                <w:noProof/>
                <w:color w:val="000000"/>
                <w:sz w:val="20"/>
                <w:szCs w:val="20"/>
              </w:rPr>
            </w:pPr>
            <w:r>
              <w:rPr>
                <w:b/>
                <w:noProof/>
                <w:color w:val="000000"/>
                <w:sz w:val="20"/>
                <w:szCs w:val="20"/>
              </w:rPr>
              <w:t>2010</w:t>
            </w:r>
          </w:p>
        </w:tc>
      </w:tr>
      <w:tr>
        <w:tc>
          <w:tcPr>
            <w:tcW w:w="236" w:type="dxa"/>
            <w:vAlign w:val="bottom"/>
          </w:tcPr>
          <w:p>
            <w:pPr>
              <w:rPr>
                <w:b/>
                <w:noProof/>
                <w:color w:val="000000"/>
                <w:sz w:val="19"/>
                <w:szCs w:val="19"/>
              </w:rPr>
            </w:pPr>
            <w:r>
              <w:rPr>
                <w:b/>
                <w:noProof/>
                <w:color w:val="000000"/>
                <w:sz w:val="19"/>
                <w:szCs w:val="19"/>
              </w:rPr>
              <w:t>IMPORTS</w:t>
            </w:r>
          </w:p>
        </w:tc>
        <w:tc>
          <w:tcPr>
            <w:tcW w:w="1161" w:type="dxa"/>
            <w:vAlign w:val="bottom"/>
          </w:tcPr>
          <w:p>
            <w:pPr>
              <w:jc w:val="right"/>
              <w:rPr>
                <w:noProof/>
                <w:color w:val="000000"/>
                <w:sz w:val="20"/>
                <w:szCs w:val="20"/>
              </w:rPr>
            </w:pPr>
            <w:r>
              <w:rPr>
                <w:noProof/>
                <w:color w:val="000000"/>
                <w:sz w:val="20"/>
                <w:szCs w:val="20"/>
              </w:rPr>
              <w:t>49 674,5</w:t>
            </w:r>
          </w:p>
        </w:tc>
        <w:tc>
          <w:tcPr>
            <w:tcW w:w="1161" w:type="dxa"/>
            <w:vAlign w:val="bottom"/>
          </w:tcPr>
          <w:p>
            <w:pPr>
              <w:jc w:val="right"/>
              <w:rPr>
                <w:noProof/>
                <w:color w:val="000000"/>
                <w:sz w:val="20"/>
                <w:szCs w:val="20"/>
              </w:rPr>
            </w:pPr>
            <w:r>
              <w:rPr>
                <w:noProof/>
                <w:color w:val="000000"/>
                <w:sz w:val="20"/>
                <w:szCs w:val="20"/>
              </w:rPr>
              <w:t>54 379,5</w:t>
            </w:r>
          </w:p>
        </w:tc>
        <w:tc>
          <w:tcPr>
            <w:tcW w:w="1161" w:type="dxa"/>
            <w:vAlign w:val="bottom"/>
          </w:tcPr>
          <w:p>
            <w:pPr>
              <w:jc w:val="right"/>
              <w:rPr>
                <w:noProof/>
                <w:color w:val="000000"/>
                <w:sz w:val="20"/>
                <w:szCs w:val="20"/>
              </w:rPr>
            </w:pPr>
            <w:r>
              <w:rPr>
                <w:noProof/>
                <w:color w:val="000000"/>
                <w:sz w:val="20"/>
                <w:szCs w:val="20"/>
              </w:rPr>
              <w:t>61 409,9</w:t>
            </w:r>
          </w:p>
        </w:tc>
        <w:tc>
          <w:tcPr>
            <w:tcW w:w="1161" w:type="dxa"/>
            <w:vAlign w:val="bottom"/>
          </w:tcPr>
          <w:p>
            <w:pPr>
              <w:jc w:val="right"/>
              <w:rPr>
                <w:noProof/>
                <w:color w:val="000000"/>
                <w:sz w:val="20"/>
                <w:szCs w:val="20"/>
              </w:rPr>
            </w:pPr>
            <w:r>
              <w:rPr>
                <w:noProof/>
                <w:color w:val="000000"/>
                <w:sz w:val="20"/>
                <w:szCs w:val="20"/>
              </w:rPr>
              <w:t>64 479,0</w:t>
            </w:r>
          </w:p>
        </w:tc>
        <w:tc>
          <w:tcPr>
            <w:tcW w:w="1161" w:type="dxa"/>
            <w:vAlign w:val="bottom"/>
          </w:tcPr>
          <w:p>
            <w:pPr>
              <w:jc w:val="right"/>
              <w:rPr>
                <w:noProof/>
                <w:color w:val="000000"/>
                <w:sz w:val="20"/>
                <w:szCs w:val="20"/>
              </w:rPr>
            </w:pPr>
            <w:r>
              <w:rPr>
                <w:noProof/>
                <w:color w:val="000000"/>
                <w:sz w:val="20"/>
                <w:szCs w:val="20"/>
              </w:rPr>
              <w:t>65 990,0</w:t>
            </w:r>
          </w:p>
        </w:tc>
        <w:tc>
          <w:tcPr>
            <w:tcW w:w="1161" w:type="dxa"/>
            <w:vAlign w:val="bottom"/>
          </w:tcPr>
          <w:p>
            <w:pPr>
              <w:jc w:val="right"/>
              <w:rPr>
                <w:noProof/>
                <w:color w:val="000000"/>
                <w:sz w:val="20"/>
                <w:szCs w:val="20"/>
              </w:rPr>
            </w:pPr>
            <w:r>
              <w:rPr>
                <w:noProof/>
                <w:color w:val="000000"/>
                <w:sz w:val="20"/>
                <w:szCs w:val="20"/>
              </w:rPr>
              <w:t>63 735,6</w:t>
            </w:r>
          </w:p>
        </w:tc>
        <w:tc>
          <w:tcPr>
            <w:tcW w:w="1161" w:type="dxa"/>
            <w:vAlign w:val="bottom"/>
          </w:tcPr>
          <w:p>
            <w:pPr>
              <w:jc w:val="right"/>
              <w:rPr>
                <w:noProof/>
                <w:color w:val="000000"/>
                <w:sz w:val="20"/>
                <w:szCs w:val="20"/>
              </w:rPr>
            </w:pPr>
            <w:r>
              <w:rPr>
                <w:noProof/>
                <w:color w:val="000000"/>
                <w:sz w:val="20"/>
                <w:szCs w:val="20"/>
              </w:rPr>
              <w:t>71 169,7</w:t>
            </w:r>
          </w:p>
        </w:tc>
      </w:tr>
      <w:tr>
        <w:tc>
          <w:tcPr>
            <w:tcW w:w="236" w:type="dxa"/>
            <w:tcBorders>
              <w:bottom w:val="single" w:sz="4" w:space="0" w:color="auto"/>
            </w:tcBorders>
            <w:vAlign w:val="bottom"/>
          </w:tcPr>
          <w:p>
            <w:pPr>
              <w:rPr>
                <w:b/>
                <w:noProof/>
                <w:color w:val="000000"/>
                <w:sz w:val="19"/>
                <w:szCs w:val="19"/>
              </w:rPr>
            </w:pPr>
            <w:r>
              <w:rPr>
                <w:b/>
                <w:noProof/>
                <w:color w:val="000000"/>
                <w:sz w:val="19"/>
                <w:szCs w:val="19"/>
              </w:rPr>
              <w:t>EXPORTS</w:t>
            </w:r>
          </w:p>
        </w:tc>
        <w:tc>
          <w:tcPr>
            <w:tcW w:w="1161" w:type="dxa"/>
            <w:tcBorders>
              <w:bottom w:val="single" w:sz="4" w:space="0" w:color="auto"/>
            </w:tcBorders>
            <w:vAlign w:val="bottom"/>
          </w:tcPr>
          <w:p>
            <w:pPr>
              <w:jc w:val="right"/>
              <w:rPr>
                <w:noProof/>
                <w:color w:val="000000"/>
                <w:sz w:val="20"/>
                <w:szCs w:val="20"/>
              </w:rPr>
            </w:pPr>
            <w:r>
              <w:rPr>
                <w:noProof/>
                <w:color w:val="000000"/>
                <w:sz w:val="20"/>
                <w:szCs w:val="20"/>
              </w:rPr>
              <w:t>14 929,5</w:t>
            </w:r>
          </w:p>
        </w:tc>
        <w:tc>
          <w:tcPr>
            <w:tcW w:w="1161" w:type="dxa"/>
            <w:tcBorders>
              <w:bottom w:val="single" w:sz="4" w:space="0" w:color="auto"/>
            </w:tcBorders>
            <w:vAlign w:val="bottom"/>
          </w:tcPr>
          <w:p>
            <w:pPr>
              <w:jc w:val="right"/>
              <w:rPr>
                <w:noProof/>
                <w:color w:val="000000"/>
                <w:sz w:val="20"/>
                <w:szCs w:val="20"/>
              </w:rPr>
            </w:pPr>
            <w:r>
              <w:rPr>
                <w:noProof/>
                <w:color w:val="000000"/>
                <w:sz w:val="20"/>
                <w:szCs w:val="20"/>
              </w:rPr>
              <w:t>15 684,1</w:t>
            </w:r>
          </w:p>
        </w:tc>
        <w:tc>
          <w:tcPr>
            <w:tcW w:w="1161" w:type="dxa"/>
            <w:tcBorders>
              <w:bottom w:val="single" w:sz="4" w:space="0" w:color="auto"/>
            </w:tcBorders>
            <w:vAlign w:val="bottom"/>
          </w:tcPr>
          <w:p>
            <w:pPr>
              <w:jc w:val="right"/>
              <w:rPr>
                <w:noProof/>
                <w:color w:val="000000"/>
                <w:sz w:val="20"/>
                <w:szCs w:val="20"/>
              </w:rPr>
            </w:pPr>
            <w:r>
              <w:rPr>
                <w:noProof/>
                <w:color w:val="000000"/>
                <w:sz w:val="20"/>
                <w:szCs w:val="20"/>
              </w:rPr>
              <w:t>17 095,7</w:t>
            </w:r>
          </w:p>
        </w:tc>
        <w:tc>
          <w:tcPr>
            <w:tcW w:w="1161" w:type="dxa"/>
            <w:tcBorders>
              <w:bottom w:val="single" w:sz="4" w:space="0" w:color="auto"/>
            </w:tcBorders>
            <w:vAlign w:val="bottom"/>
          </w:tcPr>
          <w:p>
            <w:pPr>
              <w:jc w:val="right"/>
              <w:rPr>
                <w:noProof/>
                <w:color w:val="000000"/>
                <w:sz w:val="20"/>
                <w:szCs w:val="20"/>
              </w:rPr>
            </w:pPr>
            <w:r>
              <w:rPr>
                <w:noProof/>
                <w:color w:val="000000"/>
                <w:sz w:val="20"/>
                <w:szCs w:val="20"/>
              </w:rPr>
              <w:t>18 368,8</w:t>
            </w:r>
          </w:p>
        </w:tc>
        <w:tc>
          <w:tcPr>
            <w:tcW w:w="1161" w:type="dxa"/>
            <w:tcBorders>
              <w:bottom w:val="single" w:sz="4" w:space="0" w:color="auto"/>
            </w:tcBorders>
            <w:vAlign w:val="bottom"/>
          </w:tcPr>
          <w:p>
            <w:pPr>
              <w:jc w:val="right"/>
              <w:rPr>
                <w:noProof/>
                <w:color w:val="000000"/>
                <w:sz w:val="20"/>
                <w:szCs w:val="20"/>
              </w:rPr>
            </w:pPr>
            <w:r>
              <w:rPr>
                <w:noProof/>
                <w:color w:val="000000"/>
                <w:sz w:val="20"/>
                <w:szCs w:val="20"/>
              </w:rPr>
              <w:t>19 159,5</w:t>
            </w:r>
          </w:p>
        </w:tc>
        <w:tc>
          <w:tcPr>
            <w:tcW w:w="1161" w:type="dxa"/>
            <w:tcBorders>
              <w:bottom w:val="single" w:sz="4" w:space="0" w:color="auto"/>
            </w:tcBorders>
            <w:vAlign w:val="bottom"/>
          </w:tcPr>
          <w:p>
            <w:pPr>
              <w:jc w:val="right"/>
              <w:rPr>
                <w:noProof/>
                <w:color w:val="000000"/>
                <w:sz w:val="20"/>
                <w:szCs w:val="20"/>
              </w:rPr>
            </w:pPr>
            <w:r>
              <w:rPr>
                <w:noProof/>
                <w:color w:val="000000"/>
                <w:sz w:val="20"/>
                <w:szCs w:val="20"/>
              </w:rPr>
              <w:t>16 218,6</w:t>
            </w:r>
          </w:p>
        </w:tc>
        <w:tc>
          <w:tcPr>
            <w:tcW w:w="1161" w:type="dxa"/>
            <w:tcBorders>
              <w:bottom w:val="single" w:sz="4" w:space="0" w:color="auto"/>
            </w:tcBorders>
            <w:vAlign w:val="bottom"/>
          </w:tcPr>
          <w:p>
            <w:pPr>
              <w:jc w:val="right"/>
              <w:rPr>
                <w:noProof/>
                <w:color w:val="000000"/>
                <w:sz w:val="20"/>
                <w:szCs w:val="20"/>
              </w:rPr>
            </w:pPr>
            <w:r>
              <w:rPr>
                <w:noProof/>
                <w:color w:val="000000"/>
                <w:sz w:val="20"/>
                <w:szCs w:val="20"/>
              </w:rPr>
              <w:t>17 346,2</w:t>
            </w:r>
          </w:p>
        </w:tc>
      </w:tr>
      <w:tr>
        <w:tc>
          <w:tcPr>
            <w:tcW w:w="236" w:type="dxa"/>
            <w:tcBorders>
              <w:left w:val="nil"/>
              <w:bottom w:val="nil"/>
              <w:right w:val="nil"/>
            </w:tcBorders>
          </w:tcPr>
          <w:p>
            <w:pPr>
              <w:autoSpaceDE w:val="0"/>
              <w:autoSpaceDN w:val="0"/>
              <w:adjustRightInd w:val="0"/>
              <w:spacing w:after="0"/>
              <w:rPr>
                <w:noProof/>
                <w:sz w:val="20"/>
                <w:szCs w:val="20"/>
              </w:rPr>
            </w:pPr>
          </w:p>
        </w:tc>
        <w:tc>
          <w:tcPr>
            <w:tcW w:w="1161" w:type="dxa"/>
            <w:tcBorders>
              <w:left w:val="nil"/>
              <w:bottom w:val="nil"/>
              <w:right w:val="nil"/>
            </w:tcBorders>
          </w:tcPr>
          <w:p>
            <w:pPr>
              <w:autoSpaceDE w:val="0"/>
              <w:autoSpaceDN w:val="0"/>
              <w:adjustRightInd w:val="0"/>
              <w:spacing w:after="0"/>
              <w:rPr>
                <w:noProof/>
                <w:sz w:val="20"/>
                <w:szCs w:val="20"/>
              </w:rPr>
            </w:pPr>
          </w:p>
        </w:tc>
        <w:tc>
          <w:tcPr>
            <w:tcW w:w="1161" w:type="dxa"/>
            <w:tcBorders>
              <w:left w:val="nil"/>
              <w:bottom w:val="nil"/>
              <w:right w:val="nil"/>
            </w:tcBorders>
          </w:tcPr>
          <w:p>
            <w:pPr>
              <w:autoSpaceDE w:val="0"/>
              <w:autoSpaceDN w:val="0"/>
              <w:adjustRightInd w:val="0"/>
              <w:spacing w:after="0"/>
              <w:rPr>
                <w:noProof/>
                <w:sz w:val="20"/>
                <w:szCs w:val="20"/>
              </w:rPr>
            </w:pPr>
          </w:p>
        </w:tc>
        <w:tc>
          <w:tcPr>
            <w:tcW w:w="1161" w:type="dxa"/>
            <w:tcBorders>
              <w:left w:val="nil"/>
              <w:bottom w:val="nil"/>
              <w:right w:val="nil"/>
            </w:tcBorders>
          </w:tcPr>
          <w:p>
            <w:pPr>
              <w:autoSpaceDE w:val="0"/>
              <w:autoSpaceDN w:val="0"/>
              <w:adjustRightInd w:val="0"/>
              <w:spacing w:after="0"/>
              <w:rPr>
                <w:noProof/>
                <w:sz w:val="20"/>
                <w:szCs w:val="20"/>
              </w:rPr>
            </w:pPr>
          </w:p>
        </w:tc>
        <w:tc>
          <w:tcPr>
            <w:tcW w:w="1161" w:type="dxa"/>
            <w:tcBorders>
              <w:left w:val="nil"/>
              <w:bottom w:val="nil"/>
              <w:right w:val="nil"/>
            </w:tcBorders>
          </w:tcPr>
          <w:p>
            <w:pPr>
              <w:autoSpaceDE w:val="0"/>
              <w:autoSpaceDN w:val="0"/>
              <w:adjustRightInd w:val="0"/>
              <w:spacing w:after="0"/>
              <w:rPr>
                <w:noProof/>
                <w:sz w:val="20"/>
                <w:szCs w:val="20"/>
              </w:rPr>
            </w:pPr>
          </w:p>
        </w:tc>
        <w:tc>
          <w:tcPr>
            <w:tcW w:w="1161" w:type="dxa"/>
            <w:tcBorders>
              <w:left w:val="nil"/>
              <w:bottom w:val="nil"/>
              <w:right w:val="nil"/>
            </w:tcBorders>
          </w:tcPr>
          <w:p>
            <w:pPr>
              <w:autoSpaceDE w:val="0"/>
              <w:autoSpaceDN w:val="0"/>
              <w:adjustRightInd w:val="0"/>
              <w:spacing w:after="0"/>
              <w:rPr>
                <w:noProof/>
                <w:sz w:val="20"/>
                <w:szCs w:val="20"/>
              </w:rPr>
            </w:pPr>
          </w:p>
        </w:tc>
        <w:tc>
          <w:tcPr>
            <w:tcW w:w="1161" w:type="dxa"/>
            <w:tcBorders>
              <w:left w:val="nil"/>
              <w:bottom w:val="nil"/>
              <w:right w:val="nil"/>
            </w:tcBorders>
          </w:tcPr>
          <w:p>
            <w:pPr>
              <w:autoSpaceDE w:val="0"/>
              <w:autoSpaceDN w:val="0"/>
              <w:adjustRightInd w:val="0"/>
              <w:spacing w:after="0"/>
              <w:rPr>
                <w:noProof/>
                <w:sz w:val="20"/>
                <w:szCs w:val="20"/>
              </w:rPr>
            </w:pPr>
          </w:p>
        </w:tc>
        <w:tc>
          <w:tcPr>
            <w:tcW w:w="1161" w:type="dxa"/>
            <w:tcBorders>
              <w:left w:val="nil"/>
              <w:bottom w:val="nil"/>
              <w:right w:val="nil"/>
            </w:tcBorders>
          </w:tcPr>
          <w:p>
            <w:pPr>
              <w:autoSpaceDE w:val="0"/>
              <w:autoSpaceDN w:val="0"/>
              <w:adjustRightInd w:val="0"/>
              <w:spacing w:after="0"/>
              <w:rPr>
                <w:noProof/>
                <w:sz w:val="20"/>
                <w:szCs w:val="20"/>
              </w:rPr>
            </w:pPr>
          </w:p>
        </w:tc>
      </w:tr>
      <w:tr>
        <w:tc>
          <w:tcPr>
            <w:tcW w:w="236" w:type="dxa"/>
            <w:tcBorders>
              <w:top w:val="nil"/>
              <w:left w:val="nil"/>
              <w:bottom w:val="nil"/>
              <w:right w:val="nil"/>
            </w:tcBorders>
          </w:tcPr>
          <w:p>
            <w:pPr>
              <w:autoSpaceDE w:val="0"/>
              <w:autoSpaceDN w:val="0"/>
              <w:adjustRightInd w:val="0"/>
              <w:spacing w:after="0"/>
              <w:rPr>
                <w:noProof/>
                <w:sz w:val="20"/>
                <w:szCs w:val="20"/>
              </w:rPr>
            </w:pPr>
          </w:p>
        </w:tc>
        <w:tc>
          <w:tcPr>
            <w:tcW w:w="1161" w:type="dxa"/>
            <w:tcBorders>
              <w:top w:val="nil"/>
              <w:left w:val="nil"/>
              <w:right w:val="nil"/>
            </w:tcBorders>
          </w:tcPr>
          <w:p>
            <w:pPr>
              <w:autoSpaceDE w:val="0"/>
              <w:autoSpaceDN w:val="0"/>
              <w:adjustRightInd w:val="0"/>
              <w:spacing w:after="0"/>
              <w:rPr>
                <w:noProof/>
                <w:sz w:val="20"/>
                <w:szCs w:val="20"/>
              </w:rPr>
            </w:pPr>
          </w:p>
        </w:tc>
        <w:tc>
          <w:tcPr>
            <w:tcW w:w="1161" w:type="dxa"/>
            <w:tcBorders>
              <w:top w:val="nil"/>
              <w:left w:val="nil"/>
              <w:right w:val="nil"/>
            </w:tcBorders>
          </w:tcPr>
          <w:p>
            <w:pPr>
              <w:autoSpaceDE w:val="0"/>
              <w:autoSpaceDN w:val="0"/>
              <w:adjustRightInd w:val="0"/>
              <w:spacing w:after="0"/>
              <w:rPr>
                <w:noProof/>
                <w:sz w:val="20"/>
                <w:szCs w:val="20"/>
              </w:rPr>
            </w:pPr>
          </w:p>
        </w:tc>
        <w:tc>
          <w:tcPr>
            <w:tcW w:w="1161" w:type="dxa"/>
            <w:tcBorders>
              <w:top w:val="nil"/>
              <w:left w:val="nil"/>
              <w:right w:val="nil"/>
            </w:tcBorders>
          </w:tcPr>
          <w:p>
            <w:pPr>
              <w:autoSpaceDE w:val="0"/>
              <w:autoSpaceDN w:val="0"/>
              <w:adjustRightInd w:val="0"/>
              <w:spacing w:after="0"/>
              <w:rPr>
                <w:noProof/>
                <w:sz w:val="20"/>
                <w:szCs w:val="20"/>
              </w:rPr>
            </w:pPr>
          </w:p>
        </w:tc>
        <w:tc>
          <w:tcPr>
            <w:tcW w:w="1161" w:type="dxa"/>
            <w:tcBorders>
              <w:top w:val="nil"/>
              <w:left w:val="nil"/>
              <w:right w:val="nil"/>
            </w:tcBorders>
          </w:tcPr>
          <w:p>
            <w:pPr>
              <w:autoSpaceDE w:val="0"/>
              <w:autoSpaceDN w:val="0"/>
              <w:adjustRightInd w:val="0"/>
              <w:spacing w:after="0"/>
              <w:rPr>
                <w:noProof/>
                <w:sz w:val="20"/>
                <w:szCs w:val="20"/>
              </w:rPr>
            </w:pPr>
          </w:p>
        </w:tc>
        <w:tc>
          <w:tcPr>
            <w:tcW w:w="1161" w:type="dxa"/>
            <w:tcBorders>
              <w:top w:val="nil"/>
              <w:left w:val="nil"/>
              <w:right w:val="nil"/>
            </w:tcBorders>
          </w:tcPr>
          <w:p>
            <w:pPr>
              <w:autoSpaceDE w:val="0"/>
              <w:autoSpaceDN w:val="0"/>
              <w:adjustRightInd w:val="0"/>
              <w:spacing w:after="0"/>
              <w:rPr>
                <w:noProof/>
                <w:sz w:val="20"/>
                <w:szCs w:val="20"/>
              </w:rPr>
            </w:pPr>
          </w:p>
        </w:tc>
        <w:tc>
          <w:tcPr>
            <w:tcW w:w="1161" w:type="dxa"/>
            <w:tcBorders>
              <w:top w:val="nil"/>
              <w:left w:val="nil"/>
              <w:right w:val="nil"/>
            </w:tcBorders>
          </w:tcPr>
          <w:p>
            <w:pPr>
              <w:autoSpaceDE w:val="0"/>
              <w:autoSpaceDN w:val="0"/>
              <w:adjustRightInd w:val="0"/>
              <w:spacing w:after="0"/>
              <w:rPr>
                <w:noProof/>
                <w:sz w:val="20"/>
                <w:szCs w:val="20"/>
              </w:rPr>
            </w:pPr>
          </w:p>
        </w:tc>
        <w:tc>
          <w:tcPr>
            <w:tcW w:w="1161" w:type="dxa"/>
            <w:tcBorders>
              <w:top w:val="nil"/>
              <w:left w:val="nil"/>
              <w:bottom w:val="nil"/>
              <w:right w:val="nil"/>
            </w:tcBorders>
          </w:tcPr>
          <w:p>
            <w:pPr>
              <w:autoSpaceDE w:val="0"/>
              <w:autoSpaceDN w:val="0"/>
              <w:adjustRightInd w:val="0"/>
              <w:spacing w:after="0"/>
              <w:rPr>
                <w:noProof/>
                <w:sz w:val="20"/>
                <w:szCs w:val="20"/>
              </w:rPr>
            </w:pPr>
          </w:p>
        </w:tc>
      </w:tr>
      <w:tr>
        <w:tc>
          <w:tcPr>
            <w:tcW w:w="236" w:type="dxa"/>
            <w:tcBorders>
              <w:top w:val="nil"/>
              <w:left w:val="nil"/>
            </w:tcBorders>
          </w:tcPr>
          <w:p>
            <w:pPr>
              <w:autoSpaceDE w:val="0"/>
              <w:autoSpaceDN w:val="0"/>
              <w:adjustRightInd w:val="0"/>
              <w:spacing w:after="0"/>
              <w:jc w:val="center"/>
              <w:rPr>
                <w:b/>
                <w:noProof/>
                <w:sz w:val="20"/>
                <w:szCs w:val="20"/>
              </w:rPr>
            </w:pPr>
          </w:p>
        </w:tc>
        <w:tc>
          <w:tcPr>
            <w:tcW w:w="1161" w:type="dxa"/>
            <w:vAlign w:val="bottom"/>
          </w:tcPr>
          <w:p>
            <w:pPr>
              <w:jc w:val="center"/>
              <w:rPr>
                <w:b/>
                <w:noProof/>
                <w:color w:val="000000"/>
                <w:sz w:val="20"/>
                <w:szCs w:val="20"/>
              </w:rPr>
            </w:pPr>
            <w:r>
              <w:rPr>
                <w:b/>
                <w:noProof/>
                <w:color w:val="000000"/>
                <w:sz w:val="20"/>
                <w:szCs w:val="20"/>
              </w:rPr>
              <w:t>2011</w:t>
            </w:r>
          </w:p>
        </w:tc>
        <w:tc>
          <w:tcPr>
            <w:tcW w:w="1161" w:type="dxa"/>
            <w:vAlign w:val="bottom"/>
          </w:tcPr>
          <w:p>
            <w:pPr>
              <w:jc w:val="center"/>
              <w:rPr>
                <w:b/>
                <w:noProof/>
                <w:color w:val="000000"/>
                <w:sz w:val="20"/>
                <w:szCs w:val="20"/>
              </w:rPr>
            </w:pPr>
            <w:r>
              <w:rPr>
                <w:b/>
                <w:noProof/>
                <w:color w:val="000000"/>
                <w:sz w:val="20"/>
                <w:szCs w:val="20"/>
              </w:rPr>
              <w:t>2012</w:t>
            </w:r>
          </w:p>
        </w:tc>
        <w:tc>
          <w:tcPr>
            <w:tcW w:w="1161" w:type="dxa"/>
            <w:vAlign w:val="bottom"/>
          </w:tcPr>
          <w:p>
            <w:pPr>
              <w:jc w:val="center"/>
              <w:rPr>
                <w:b/>
                <w:noProof/>
                <w:color w:val="000000"/>
                <w:sz w:val="20"/>
                <w:szCs w:val="20"/>
              </w:rPr>
            </w:pPr>
            <w:r>
              <w:rPr>
                <w:b/>
                <w:noProof/>
                <w:color w:val="000000"/>
                <w:sz w:val="20"/>
                <w:szCs w:val="20"/>
              </w:rPr>
              <w:t>2013</w:t>
            </w:r>
          </w:p>
        </w:tc>
        <w:tc>
          <w:tcPr>
            <w:tcW w:w="1161" w:type="dxa"/>
            <w:vAlign w:val="bottom"/>
          </w:tcPr>
          <w:p>
            <w:pPr>
              <w:jc w:val="center"/>
              <w:rPr>
                <w:b/>
                <w:noProof/>
                <w:color w:val="000000"/>
                <w:sz w:val="20"/>
                <w:szCs w:val="20"/>
              </w:rPr>
            </w:pPr>
            <w:r>
              <w:rPr>
                <w:b/>
                <w:noProof/>
                <w:color w:val="000000"/>
                <w:sz w:val="20"/>
                <w:szCs w:val="20"/>
              </w:rPr>
              <w:t>2014</w:t>
            </w:r>
          </w:p>
        </w:tc>
        <w:tc>
          <w:tcPr>
            <w:tcW w:w="1161" w:type="dxa"/>
            <w:vAlign w:val="bottom"/>
          </w:tcPr>
          <w:p>
            <w:pPr>
              <w:jc w:val="center"/>
              <w:rPr>
                <w:b/>
                <w:noProof/>
                <w:color w:val="000000"/>
                <w:sz w:val="20"/>
                <w:szCs w:val="20"/>
              </w:rPr>
            </w:pPr>
            <w:r>
              <w:rPr>
                <w:b/>
                <w:noProof/>
                <w:color w:val="000000"/>
                <w:sz w:val="20"/>
                <w:szCs w:val="20"/>
              </w:rPr>
              <w:t>2015</w:t>
            </w:r>
          </w:p>
        </w:tc>
        <w:tc>
          <w:tcPr>
            <w:tcW w:w="1161" w:type="dxa"/>
            <w:vAlign w:val="bottom"/>
          </w:tcPr>
          <w:p>
            <w:pPr>
              <w:jc w:val="center"/>
              <w:rPr>
                <w:b/>
                <w:noProof/>
                <w:color w:val="000000"/>
                <w:sz w:val="20"/>
                <w:szCs w:val="20"/>
              </w:rPr>
            </w:pPr>
            <w:r>
              <w:rPr>
                <w:b/>
                <w:noProof/>
                <w:color w:val="000000"/>
                <w:sz w:val="20"/>
                <w:szCs w:val="20"/>
              </w:rPr>
              <w:t>2016</w:t>
            </w:r>
          </w:p>
        </w:tc>
        <w:tc>
          <w:tcPr>
            <w:tcW w:w="1161" w:type="dxa"/>
            <w:tcBorders>
              <w:top w:val="nil"/>
              <w:bottom w:val="nil"/>
              <w:right w:val="nil"/>
            </w:tcBorders>
          </w:tcPr>
          <w:p>
            <w:pPr>
              <w:autoSpaceDE w:val="0"/>
              <w:autoSpaceDN w:val="0"/>
              <w:adjustRightInd w:val="0"/>
              <w:spacing w:after="0"/>
              <w:jc w:val="center"/>
              <w:rPr>
                <w:b/>
                <w:noProof/>
                <w:sz w:val="20"/>
                <w:szCs w:val="20"/>
              </w:rPr>
            </w:pPr>
          </w:p>
        </w:tc>
      </w:tr>
      <w:tr>
        <w:tc>
          <w:tcPr>
            <w:tcW w:w="236" w:type="dxa"/>
            <w:vAlign w:val="bottom"/>
          </w:tcPr>
          <w:p>
            <w:pPr>
              <w:rPr>
                <w:b/>
                <w:noProof/>
                <w:color w:val="000000"/>
                <w:sz w:val="19"/>
                <w:szCs w:val="19"/>
              </w:rPr>
            </w:pPr>
            <w:r>
              <w:rPr>
                <w:b/>
                <w:noProof/>
                <w:color w:val="000000"/>
                <w:sz w:val="19"/>
                <w:szCs w:val="19"/>
              </w:rPr>
              <w:t>IMPORTS</w:t>
            </w:r>
          </w:p>
        </w:tc>
        <w:tc>
          <w:tcPr>
            <w:tcW w:w="1161" w:type="dxa"/>
            <w:vAlign w:val="bottom"/>
          </w:tcPr>
          <w:p>
            <w:pPr>
              <w:jc w:val="right"/>
              <w:rPr>
                <w:noProof/>
                <w:color w:val="000000"/>
                <w:sz w:val="20"/>
                <w:szCs w:val="20"/>
              </w:rPr>
            </w:pPr>
            <w:r>
              <w:rPr>
                <w:noProof/>
                <w:color w:val="000000"/>
                <w:sz w:val="20"/>
                <w:szCs w:val="20"/>
              </w:rPr>
              <w:t>77 866,3</w:t>
            </w:r>
          </w:p>
        </w:tc>
        <w:tc>
          <w:tcPr>
            <w:tcW w:w="1161" w:type="dxa"/>
            <w:vAlign w:val="bottom"/>
          </w:tcPr>
          <w:p>
            <w:pPr>
              <w:jc w:val="right"/>
              <w:rPr>
                <w:noProof/>
                <w:color w:val="000000"/>
                <w:sz w:val="20"/>
                <w:szCs w:val="20"/>
              </w:rPr>
            </w:pPr>
            <w:r>
              <w:rPr>
                <w:noProof/>
                <w:color w:val="000000"/>
                <w:sz w:val="20"/>
                <w:szCs w:val="20"/>
              </w:rPr>
              <w:t>75 008,4</w:t>
            </w:r>
          </w:p>
        </w:tc>
        <w:tc>
          <w:tcPr>
            <w:tcW w:w="1161" w:type="dxa"/>
            <w:vAlign w:val="bottom"/>
          </w:tcPr>
          <w:p>
            <w:pPr>
              <w:jc w:val="right"/>
              <w:rPr>
                <w:noProof/>
                <w:color w:val="000000"/>
                <w:sz w:val="20"/>
                <w:szCs w:val="20"/>
              </w:rPr>
            </w:pPr>
            <w:r>
              <w:rPr>
                <w:noProof/>
                <w:color w:val="000000"/>
                <w:sz w:val="20"/>
                <w:szCs w:val="20"/>
              </w:rPr>
              <w:t>74 830,4</w:t>
            </w:r>
          </w:p>
        </w:tc>
        <w:tc>
          <w:tcPr>
            <w:tcW w:w="1161" w:type="dxa"/>
            <w:vAlign w:val="bottom"/>
          </w:tcPr>
          <w:p>
            <w:pPr>
              <w:jc w:val="right"/>
              <w:rPr>
                <w:noProof/>
                <w:color w:val="000000"/>
                <w:sz w:val="20"/>
                <w:szCs w:val="20"/>
              </w:rPr>
            </w:pPr>
            <w:r>
              <w:rPr>
                <w:noProof/>
                <w:color w:val="000000"/>
                <w:sz w:val="20"/>
                <w:szCs w:val="20"/>
              </w:rPr>
              <w:t>82 016,8</w:t>
            </w:r>
          </w:p>
        </w:tc>
        <w:tc>
          <w:tcPr>
            <w:tcW w:w="1161" w:type="dxa"/>
            <w:vAlign w:val="bottom"/>
          </w:tcPr>
          <w:p>
            <w:pPr>
              <w:jc w:val="right"/>
              <w:rPr>
                <w:noProof/>
                <w:color w:val="000000"/>
                <w:sz w:val="20"/>
                <w:szCs w:val="20"/>
              </w:rPr>
            </w:pPr>
            <w:r>
              <w:rPr>
                <w:noProof/>
                <w:color w:val="000000"/>
                <w:sz w:val="20"/>
                <w:szCs w:val="20"/>
              </w:rPr>
              <w:t>90 256,8</w:t>
            </w:r>
          </w:p>
        </w:tc>
        <w:tc>
          <w:tcPr>
            <w:tcW w:w="1161" w:type="dxa"/>
            <w:vAlign w:val="bottom"/>
          </w:tcPr>
          <w:p>
            <w:pPr>
              <w:jc w:val="right"/>
              <w:rPr>
                <w:noProof/>
                <w:color w:val="000000"/>
                <w:sz w:val="20"/>
                <w:szCs w:val="20"/>
              </w:rPr>
            </w:pPr>
            <w:r>
              <w:rPr>
                <w:noProof/>
                <w:color w:val="000000"/>
                <w:sz w:val="20"/>
                <w:szCs w:val="20"/>
              </w:rPr>
              <w:t>91 002,5</w:t>
            </w:r>
          </w:p>
        </w:tc>
        <w:tc>
          <w:tcPr>
            <w:tcW w:w="1161" w:type="dxa"/>
            <w:tcBorders>
              <w:top w:val="nil"/>
              <w:bottom w:val="nil"/>
              <w:right w:val="nil"/>
            </w:tcBorders>
          </w:tcPr>
          <w:p>
            <w:pPr>
              <w:autoSpaceDE w:val="0"/>
              <w:autoSpaceDN w:val="0"/>
              <w:adjustRightInd w:val="0"/>
              <w:spacing w:after="0"/>
              <w:rPr>
                <w:noProof/>
                <w:sz w:val="20"/>
                <w:szCs w:val="20"/>
              </w:rPr>
            </w:pPr>
          </w:p>
        </w:tc>
      </w:tr>
      <w:tr>
        <w:tc>
          <w:tcPr>
            <w:tcW w:w="236" w:type="dxa"/>
            <w:vAlign w:val="bottom"/>
          </w:tcPr>
          <w:p>
            <w:pPr>
              <w:rPr>
                <w:b/>
                <w:noProof/>
                <w:color w:val="000000"/>
                <w:sz w:val="19"/>
                <w:szCs w:val="19"/>
              </w:rPr>
            </w:pPr>
            <w:r>
              <w:rPr>
                <w:b/>
                <w:noProof/>
                <w:color w:val="000000"/>
                <w:sz w:val="19"/>
                <w:szCs w:val="19"/>
              </w:rPr>
              <w:t>EXPORTS</w:t>
            </w:r>
          </w:p>
        </w:tc>
        <w:tc>
          <w:tcPr>
            <w:tcW w:w="1161" w:type="dxa"/>
            <w:vAlign w:val="bottom"/>
          </w:tcPr>
          <w:p>
            <w:pPr>
              <w:jc w:val="right"/>
              <w:rPr>
                <w:noProof/>
                <w:color w:val="000000"/>
                <w:sz w:val="20"/>
                <w:szCs w:val="20"/>
              </w:rPr>
            </w:pPr>
            <w:r>
              <w:rPr>
                <w:noProof/>
                <w:color w:val="000000"/>
                <w:sz w:val="20"/>
                <w:szCs w:val="20"/>
              </w:rPr>
              <w:t>20 555,7</w:t>
            </w:r>
          </w:p>
        </w:tc>
        <w:tc>
          <w:tcPr>
            <w:tcW w:w="1161" w:type="dxa"/>
            <w:vAlign w:val="bottom"/>
          </w:tcPr>
          <w:p>
            <w:pPr>
              <w:jc w:val="right"/>
              <w:rPr>
                <w:noProof/>
                <w:color w:val="000000"/>
                <w:sz w:val="20"/>
                <w:szCs w:val="20"/>
              </w:rPr>
            </w:pPr>
            <w:r>
              <w:rPr>
                <w:noProof/>
                <w:color w:val="000000"/>
                <w:sz w:val="20"/>
                <w:szCs w:val="20"/>
              </w:rPr>
              <w:t>22 857,5</w:t>
            </w:r>
          </w:p>
        </w:tc>
        <w:tc>
          <w:tcPr>
            <w:tcW w:w="1161" w:type="dxa"/>
            <w:vAlign w:val="bottom"/>
          </w:tcPr>
          <w:p>
            <w:pPr>
              <w:jc w:val="right"/>
              <w:rPr>
                <w:noProof/>
                <w:color w:val="000000"/>
                <w:sz w:val="20"/>
                <w:szCs w:val="20"/>
              </w:rPr>
            </w:pPr>
            <w:r>
              <w:rPr>
                <w:noProof/>
                <w:color w:val="000000"/>
                <w:sz w:val="20"/>
                <w:szCs w:val="20"/>
              </w:rPr>
              <w:t>23 888,9</w:t>
            </w:r>
          </w:p>
        </w:tc>
        <w:tc>
          <w:tcPr>
            <w:tcW w:w="1161" w:type="dxa"/>
            <w:vAlign w:val="bottom"/>
          </w:tcPr>
          <w:p>
            <w:pPr>
              <w:jc w:val="right"/>
              <w:rPr>
                <w:noProof/>
                <w:color w:val="000000"/>
                <w:sz w:val="20"/>
                <w:szCs w:val="20"/>
              </w:rPr>
            </w:pPr>
            <w:r>
              <w:rPr>
                <w:noProof/>
                <w:color w:val="000000"/>
                <w:sz w:val="20"/>
                <w:szCs w:val="20"/>
              </w:rPr>
              <w:t>24 990,4</w:t>
            </w:r>
          </w:p>
        </w:tc>
        <w:tc>
          <w:tcPr>
            <w:tcW w:w="1161" w:type="dxa"/>
            <w:vAlign w:val="bottom"/>
          </w:tcPr>
          <w:p>
            <w:pPr>
              <w:jc w:val="right"/>
              <w:rPr>
                <w:noProof/>
                <w:color w:val="000000"/>
                <w:sz w:val="20"/>
                <w:szCs w:val="20"/>
              </w:rPr>
            </w:pPr>
            <w:r>
              <w:rPr>
                <w:noProof/>
                <w:color w:val="000000"/>
                <w:sz w:val="20"/>
                <w:szCs w:val="20"/>
              </w:rPr>
              <w:t>25 944,7</w:t>
            </w:r>
          </w:p>
        </w:tc>
        <w:tc>
          <w:tcPr>
            <w:tcW w:w="1161" w:type="dxa"/>
            <w:vAlign w:val="bottom"/>
          </w:tcPr>
          <w:p>
            <w:pPr>
              <w:jc w:val="right"/>
              <w:rPr>
                <w:noProof/>
                <w:color w:val="000000"/>
                <w:sz w:val="20"/>
                <w:szCs w:val="20"/>
              </w:rPr>
            </w:pPr>
            <w:r>
              <w:rPr>
                <w:noProof/>
                <w:color w:val="000000"/>
                <w:sz w:val="20"/>
                <w:szCs w:val="20"/>
              </w:rPr>
              <w:t>26 149,1</w:t>
            </w:r>
          </w:p>
        </w:tc>
        <w:tc>
          <w:tcPr>
            <w:tcW w:w="1161" w:type="dxa"/>
            <w:tcBorders>
              <w:top w:val="nil"/>
              <w:bottom w:val="nil"/>
              <w:right w:val="nil"/>
            </w:tcBorders>
          </w:tcPr>
          <w:p>
            <w:pPr>
              <w:autoSpaceDE w:val="0"/>
              <w:autoSpaceDN w:val="0"/>
              <w:adjustRightInd w:val="0"/>
              <w:spacing w:after="0"/>
              <w:rPr>
                <w:noProof/>
                <w:sz w:val="20"/>
                <w:szCs w:val="20"/>
              </w:rPr>
            </w:pPr>
          </w:p>
        </w:tc>
      </w:tr>
    </w:tbl>
    <w:p>
      <w:pPr>
        <w:pStyle w:val="Text1"/>
        <w:rPr>
          <w:i/>
          <w:noProof/>
        </w:rPr>
      </w:pPr>
      <w:r>
        <w:rPr>
          <w:i/>
          <w:noProof/>
        </w:rPr>
        <w:t>Source: Eurostat-Comext</w:t>
      </w:r>
    </w:p>
    <w:p>
      <w:pPr>
        <w:pStyle w:val="ManualNumPar1"/>
        <w:rPr>
          <w:noProof/>
        </w:rPr>
      </w:pPr>
      <w:r>
        <w:t>11.</w:t>
      </w:r>
      <w:r>
        <w:tab/>
      </w:r>
      <w:r>
        <w:rPr>
          <w:noProof/>
        </w:rPr>
        <w:t>The main supplier is China with an increase of 245 % of its imports into the EU-28 in 2016 compared to 2004 (from EUR 13 billion to EUR 31,8), followed by Bangladesh whose imports into the EU increased fourfold (from EUR 3,8 billion to EUR 15,3).</w:t>
      </w:r>
    </w:p>
    <w:p>
      <w:pPr>
        <w:pStyle w:val="ManualNumPar1"/>
        <w:rPr>
          <w:noProof/>
        </w:rPr>
      </w:pPr>
      <w:r>
        <w:t>12.</w:t>
      </w:r>
      <w:r>
        <w:tab/>
      </w:r>
      <w:r>
        <w:rPr>
          <w:noProof/>
        </w:rPr>
        <w:t>Over the same period, EU28 exports grew as well, although at a lesser extent. Clothing exports increased by 28,3 % in 2016 compared to 2008 and by 75,1 % compared to 2004. This resulting in an increasing negative EU trade balance in clothing.</w:t>
      </w:r>
    </w:p>
    <w:p>
      <w:pPr>
        <w:rPr>
          <w:noProof/>
        </w:rPr>
      </w:pPr>
      <w:r>
        <w:rPr>
          <w:noProof/>
        </w:rPr>
        <w:br w:type="page"/>
      </w:r>
    </w:p>
    <w:p>
      <w:pPr>
        <w:pStyle w:val="Text1"/>
        <w:jc w:val="center"/>
        <w:rPr>
          <w:b/>
          <w:noProof/>
        </w:rPr>
      </w:pPr>
      <w:r>
        <w:rPr>
          <w:b/>
          <w:noProof/>
        </w:rPr>
        <w:t>EU28 trade balance in clothing</w:t>
      </w:r>
    </w:p>
    <w:p>
      <w:pPr>
        <w:pStyle w:val="Text1"/>
        <w:rPr>
          <w:noProof/>
        </w:rPr>
      </w:pPr>
      <w:r>
        <w:rPr>
          <w:noProof/>
          <w:lang w:val="en-US"/>
        </w:rPr>
        <w:drawing>
          <wp:inline distT="0" distB="0" distL="0" distR="0">
            <wp:extent cx="5191125" cy="23526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Text1"/>
        <w:rPr>
          <w:i/>
          <w:noProof/>
        </w:rPr>
      </w:pPr>
      <w:r>
        <w:rPr>
          <w:i/>
          <w:noProof/>
        </w:rPr>
        <w:t>Source: Eurostat-Comext</w:t>
      </w:r>
    </w:p>
    <w:p>
      <w:pPr>
        <w:pStyle w:val="ManualNumPar1"/>
        <w:rPr>
          <w:noProof/>
        </w:rPr>
      </w:pPr>
      <w:r>
        <w:t>13.</w:t>
      </w:r>
      <w:r>
        <w:tab/>
      </w:r>
      <w:r>
        <w:rPr>
          <w:noProof/>
        </w:rPr>
        <w:t xml:space="preserve">To date, the </w:t>
      </w:r>
      <w:r>
        <w:rPr>
          <w:noProof/>
          <w:szCs w:val="24"/>
        </w:rPr>
        <w:t>Manufacture of wearing apparel sector has been the subject of five</w:t>
      </w:r>
      <w:r>
        <w:rPr>
          <w:noProof/>
        </w:rPr>
        <w:t xml:space="preserve"> EGF applications, three of which based on trade related globalisation and two on the global financial and economic crisis</w:t>
      </w:r>
      <w:r>
        <w:rPr>
          <w:rStyle w:val="FootnoteReference"/>
          <w:noProof/>
        </w:rPr>
        <w:footnoteReference w:id="6"/>
      </w:r>
      <w:r>
        <w:rPr>
          <w:noProof/>
        </w:rPr>
        <w:t>. This is the second application concerning redundant workers in SME's operating in the clothing sector in Galicia.</w:t>
      </w:r>
    </w:p>
    <w:p>
      <w:pPr>
        <w:pStyle w:val="ManualHeading3"/>
        <w:rPr>
          <w:noProof/>
        </w:rPr>
      </w:pPr>
      <w:r>
        <w:rPr>
          <w:noProof/>
        </w:rPr>
        <w:t>Events giving rise to the redundancies and cessation of activity</w:t>
      </w:r>
    </w:p>
    <w:p>
      <w:pPr>
        <w:pStyle w:val="ManualNumPar1"/>
        <w:rPr>
          <w:noProof/>
        </w:rPr>
      </w:pPr>
      <w:r>
        <w:t>14.</w:t>
      </w:r>
      <w:r>
        <w:tab/>
      </w:r>
      <w:r>
        <w:rPr>
          <w:noProof/>
        </w:rPr>
        <w:t>The increase of imports into the EU put a downward pressure on prices which had a negative effect on the financial position of enterprises in the textiles sector in the EU and triggered a general trend in the textiles and clothing industry to off-shore production to lower cost countries outside the EU, such as Morocco, Tunisia, China and various Asian countries</w:t>
      </w:r>
      <w:r>
        <w:rPr>
          <w:rStyle w:val="FootnoteReference"/>
          <w:noProof/>
        </w:rPr>
        <w:footnoteReference w:id="7"/>
      </w:r>
      <w:r>
        <w:rPr>
          <w:noProof/>
        </w:rPr>
        <w:t xml:space="preserve">. In Galicia, this has resulted </w:t>
      </w:r>
      <w:r>
        <w:rPr>
          <w:noProof/>
          <w:lang w:val="en"/>
        </w:rPr>
        <w:t>in a constant decrease in the number of clothing companies (-26 % over the period 2010-2016) and thus in redundancies.</w:t>
      </w:r>
    </w:p>
    <w:p>
      <w:pPr>
        <w:spacing w:before="0" w:after="200" w:line="276" w:lineRule="auto"/>
        <w:jc w:val="left"/>
        <w:rPr>
          <w:b/>
          <w:noProof/>
        </w:rPr>
      </w:pPr>
      <w:r>
        <w:rPr>
          <w:b/>
          <w:noProof/>
        </w:rPr>
        <w:br w:type="page"/>
      </w:r>
    </w:p>
    <w:p>
      <w:pPr>
        <w:pStyle w:val="Text1"/>
        <w:spacing w:before="360"/>
        <w:jc w:val="center"/>
        <w:rPr>
          <w:b/>
          <w:noProof/>
        </w:rPr>
      </w:pPr>
      <w:r>
        <w:rPr>
          <w:b/>
          <w:noProof/>
        </w:rPr>
        <w:t>Clothing enterprises (NACE 14) in Galicia</w:t>
      </w:r>
    </w:p>
    <w:p>
      <w:pPr>
        <w:pStyle w:val="Text1"/>
        <w:rPr>
          <w:noProof/>
        </w:rPr>
      </w:pPr>
      <w:r>
        <w:rPr>
          <w:noProof/>
          <w:lang w:val="en-US"/>
        </w:rPr>
        <w:drawing>
          <wp:inline distT="0" distB="0" distL="0" distR="0">
            <wp:extent cx="4933950" cy="2181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icia nace 14.png"/>
                    <pic:cNvPicPr/>
                  </pic:nvPicPr>
                  <pic:blipFill>
                    <a:blip r:embed="rId17">
                      <a:extLst>
                        <a:ext uri="{28A0092B-C50C-407E-A947-70E740481C1C}">
                          <a14:useLocalDpi xmlns:a14="http://schemas.microsoft.com/office/drawing/2010/main" val="0"/>
                        </a:ext>
                      </a:extLst>
                    </a:blip>
                    <a:stretch>
                      <a:fillRect/>
                    </a:stretch>
                  </pic:blipFill>
                  <pic:spPr>
                    <a:xfrm>
                      <a:off x="0" y="0"/>
                      <a:ext cx="4934639" cy="2181530"/>
                    </a:xfrm>
                    <a:prstGeom prst="rect">
                      <a:avLst/>
                    </a:prstGeom>
                  </pic:spPr>
                </pic:pic>
              </a:graphicData>
            </a:graphic>
          </wp:inline>
        </w:drawing>
      </w:r>
    </w:p>
    <w:p>
      <w:pPr>
        <w:pStyle w:val="Text1"/>
        <w:spacing w:after="360"/>
        <w:rPr>
          <w:noProof/>
        </w:rPr>
      </w:pPr>
      <w:r>
        <w:rPr>
          <w:i/>
          <w:noProof/>
        </w:rPr>
        <w:t>Source: Instituto Gallego de Estadística (IGE).</w:t>
      </w:r>
    </w:p>
    <w:p>
      <w:pPr>
        <w:pStyle w:val="ManualHeading3"/>
        <w:tabs>
          <w:tab w:val="clear" w:pos="850"/>
          <w:tab w:val="left" w:pos="0"/>
        </w:tabs>
        <w:ind w:left="0" w:firstLine="0"/>
        <w:rPr>
          <w:noProof/>
        </w:rPr>
      </w:pPr>
      <w:r>
        <w:rPr>
          <w:noProof/>
        </w:rPr>
        <w:t>Explanation of the exceptional circumstances underlying the admissibility of the application and expected impact of the redundancies as regards the local economy and employment.</w:t>
      </w:r>
    </w:p>
    <w:p>
      <w:pPr>
        <w:pStyle w:val="ManualNumPar1"/>
        <w:rPr>
          <w:noProof/>
        </w:rPr>
      </w:pPr>
      <w:r>
        <w:t>15.</w:t>
      </w:r>
      <w:r>
        <w:tab/>
      </w:r>
      <w:r>
        <w:rPr>
          <w:noProof/>
        </w:rPr>
        <w:t>Spain argues that, despite the fact that fewer than 500 redundancies occurred within the nine-month reference period, this application should nevertheless be assimilated to an application under Article 4(1)</w:t>
      </w:r>
      <w:r>
        <w:rPr>
          <w:rFonts w:eastAsia="Calibri"/>
          <w:noProof/>
        </w:rPr>
        <w:t>(b)</w:t>
      </w:r>
      <w:r>
        <w:rPr>
          <w:noProof/>
        </w:rPr>
        <w:t xml:space="preserve"> of the EGF Regulation due to exceptional circumstances having a serious impact on employment and the local, regional or national economy. </w:t>
      </w:r>
    </w:p>
    <w:p>
      <w:pPr>
        <w:pStyle w:val="ManualNumPar1"/>
        <w:rPr>
          <w:noProof/>
        </w:rPr>
      </w:pPr>
      <w:r>
        <w:t>16.</w:t>
      </w:r>
      <w:r>
        <w:tab/>
      </w:r>
      <w:r>
        <w:rPr>
          <w:noProof/>
        </w:rPr>
        <w:t>The population in Galicia concentrates mainly on the major economic poles of the region, the coastal zones between Ferrol and A Coruña (Northwest) and between Villagarcía, Pontevedra and Vigo (Southwest); whilst the inland territories face depopulation issues and lack of jobs. In 2016, there were 13 375 people less living in Galicia than in 2000, and yet there were 1 260 empty i.e. abandoned sites (towns or other population units) more than in 2000, as people move and concentrate near the economic poles. In addition, since 2010, demographic evolution in Galicia has been negative (with an annual decrease of around 2,3%) as a consequence of the emigration of young people and the rising number of deaths in relation to births.</w:t>
      </w:r>
    </w:p>
    <w:p>
      <w:pPr>
        <w:pStyle w:val="ManualNumPar1"/>
        <w:rPr>
          <w:noProof/>
        </w:rPr>
      </w:pPr>
      <w:r>
        <w:t>17.</w:t>
      </w:r>
      <w:r>
        <w:tab/>
      </w:r>
      <w:r>
        <w:rPr>
          <w:noProof/>
        </w:rPr>
        <w:t>The territory affected by the redundancies is Ordes/Órdenes</w:t>
      </w:r>
      <w:r>
        <w:rPr>
          <w:rStyle w:val="FootnoteReference"/>
          <w:noProof/>
        </w:rPr>
        <w:footnoteReference w:id="8"/>
      </w:r>
      <w:r>
        <w:rPr>
          <w:noProof/>
        </w:rPr>
        <w:t xml:space="preserve">, an inland territory where the clothing enterprises (most of them SMEs and cooperatives) are the economic driver. </w:t>
      </w:r>
    </w:p>
    <w:p>
      <w:pPr>
        <w:pStyle w:val="Text1"/>
        <w:jc w:val="center"/>
        <w:rPr>
          <w:b/>
          <w:noProof/>
        </w:rPr>
      </w:pPr>
      <w:r>
        <w:rPr>
          <w:b/>
          <w:noProof/>
        </w:rPr>
        <w:t>Ordes/Órdenes' geographical location</w:t>
      </w:r>
    </w:p>
    <w:p>
      <w:pPr>
        <w:pStyle w:val="Text1"/>
        <w:jc w:val="center"/>
        <w:rPr>
          <w:b/>
          <w:noProof/>
        </w:rPr>
      </w:pPr>
      <w:r>
        <w:rPr>
          <w:rFonts w:ascii="Arial" w:hAnsi="Arial" w:cs="Arial"/>
          <w:b/>
          <w:noProof/>
          <w:color w:val="4F81BD" w:themeColor="accent1"/>
          <w:lang w:val="en-US"/>
        </w:rPr>
        <w:drawing>
          <wp:inline distT="0" distB="0" distL="0" distR="0">
            <wp:extent cx="1711757" cy="1767590"/>
            <wp:effectExtent l="0" t="0" r="3175" b="444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6032" cy="1772004"/>
                    </a:xfrm>
                    <a:prstGeom prst="rect">
                      <a:avLst/>
                    </a:prstGeom>
                    <a:noFill/>
                    <a:ln>
                      <a:noFill/>
                    </a:ln>
                  </pic:spPr>
                </pic:pic>
              </a:graphicData>
            </a:graphic>
          </wp:inline>
        </w:drawing>
      </w:r>
    </w:p>
    <w:p>
      <w:pPr>
        <w:pStyle w:val="ManualNumPar1"/>
        <w:rPr>
          <w:noProof/>
        </w:rPr>
      </w:pPr>
      <w:r>
        <w:t>18.</w:t>
      </w:r>
      <w:r>
        <w:tab/>
      </w:r>
      <w:r>
        <w:rPr>
          <w:noProof/>
        </w:rPr>
        <w:t>Highly dependent of the clothing industry, Ordes has been suffering from the decline in the number of clothing enterprises resulting from end of activities or production off-shore, which has been following the increase in imports of wearing apparel into the EU. Over the period 2008-2014 the number of enterprises of more than 6 workers has declined by 40 %. Along with the decline in the number of clothing enterprises the GDP per capita of Ordes has been decreasing from EUR 17 057 in 2010 to EUR 15 883 in 2014. Unemployment in the manufacturing sector in Ordes increased by 40 % over the period December 2016 - April 2017, when a majority of the redundancies -object of this application- occurred.</w:t>
      </w:r>
    </w:p>
    <w:p>
      <w:pPr>
        <w:pStyle w:val="ManualNumPar1"/>
        <w:rPr>
          <w:noProof/>
        </w:rPr>
      </w:pPr>
      <w:r>
        <w:t>19.</w:t>
      </w:r>
      <w:r>
        <w:tab/>
      </w:r>
      <w:r>
        <w:rPr>
          <w:noProof/>
        </w:rPr>
        <w:t>The redundancies are expected to put an enormous strain on the territory. The impact of the layoffs is linked to the difficulties of redeployment, due to the scarcity of jobs, since the territory is away from the major industrial centers; to the low educational background of the dismissed workers; to their vocational skills developed in a sector now in decline; and to the high number of job seekers. The unemployed in the manufacturing industry account for 34,6 % (43,7 % if we refer to female unemployment) of the total unemployed in Ordes.</w:t>
      </w:r>
    </w:p>
    <w:p>
      <w:pPr>
        <w:pStyle w:val="ManualHeading2"/>
        <w:rPr>
          <w:noProof/>
        </w:rPr>
      </w:pPr>
      <w:r>
        <w:rPr>
          <w:noProof/>
        </w:rPr>
        <w:t>Targeted beneficiaries and proposed actions</w:t>
      </w:r>
    </w:p>
    <w:p>
      <w:pPr>
        <w:pStyle w:val="ManualHeading3"/>
        <w:rPr>
          <w:noProof/>
        </w:rPr>
      </w:pPr>
      <w:r>
        <w:rPr>
          <w:noProof/>
        </w:rPr>
        <w:t>Targeted beneficiaries</w:t>
      </w:r>
    </w:p>
    <w:p>
      <w:pPr>
        <w:pStyle w:val="ManualNumPar1"/>
        <w:rPr>
          <w:noProof/>
        </w:rPr>
      </w:pPr>
      <w:r>
        <w:t>20.</w:t>
      </w:r>
      <w:r>
        <w:tab/>
      </w:r>
      <w:r>
        <w:rPr>
          <w:noProof/>
        </w:rPr>
        <w:t>All 303 redundant workers are expected to participate in the measures. The breakdown of these workers by sex, citizenship and age group is as follows:</w:t>
      </w:r>
    </w:p>
    <w:tbl>
      <w:tblPr>
        <w:tblW w:w="0" w:type="auto"/>
        <w:jc w:val="center"/>
        <w:tblLook w:val="04A0" w:firstRow="1" w:lastRow="0" w:firstColumn="1" w:lastColumn="0" w:noHBand="0" w:noVBand="1"/>
      </w:tblPr>
      <w:tblGrid>
        <w:gridCol w:w="1496"/>
        <w:gridCol w:w="2063"/>
        <w:gridCol w:w="1176"/>
        <w:gridCol w:w="1176"/>
      </w:tblGrid>
      <w:tr>
        <w:trPr>
          <w:jc w:val="center"/>
        </w:trPr>
        <w:tc>
          <w:tcPr>
            <w:tcW w:w="3559" w:type="dxa"/>
            <w:gridSpan w:val="2"/>
            <w:tcBorders>
              <w:top w:val="single" w:sz="4" w:space="0" w:color="auto"/>
              <w:left w:val="nil"/>
              <w:bottom w:val="single" w:sz="4" w:space="0" w:color="auto"/>
              <w:right w:val="nil"/>
            </w:tcBorders>
            <w:hideMark/>
          </w:tcPr>
          <w:p>
            <w:pPr>
              <w:spacing w:before="60" w:after="60"/>
              <w:jc w:val="center"/>
              <w:rPr>
                <w:noProof/>
              </w:rPr>
            </w:pPr>
            <w:r>
              <w:rPr>
                <w:noProof/>
              </w:rPr>
              <w:t>Category</w:t>
            </w:r>
          </w:p>
        </w:tc>
        <w:tc>
          <w:tcPr>
            <w:tcW w:w="2352" w:type="dxa"/>
            <w:gridSpan w:val="2"/>
            <w:tcBorders>
              <w:top w:val="single" w:sz="4" w:space="0" w:color="auto"/>
              <w:left w:val="nil"/>
              <w:bottom w:val="single" w:sz="4" w:space="0" w:color="auto"/>
              <w:right w:val="nil"/>
            </w:tcBorders>
            <w:hideMark/>
          </w:tcPr>
          <w:p>
            <w:pPr>
              <w:spacing w:before="60" w:after="60"/>
              <w:jc w:val="center"/>
              <w:rPr>
                <w:noProof/>
              </w:rPr>
            </w:pPr>
            <w:r>
              <w:rPr>
                <w:noProof/>
              </w:rPr>
              <w:t xml:space="preserve">Number of </w:t>
            </w:r>
            <w:r>
              <w:rPr>
                <w:noProof/>
              </w:rPr>
              <w:br/>
              <w:t>targeted beneficiaries</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Sex:</w:t>
            </w:r>
          </w:p>
        </w:tc>
        <w:tc>
          <w:tcPr>
            <w:tcW w:w="2063" w:type="dxa"/>
            <w:tcBorders>
              <w:top w:val="single" w:sz="4" w:space="0" w:color="auto"/>
              <w:left w:val="nil"/>
              <w:right w:val="nil"/>
            </w:tcBorders>
            <w:hideMark/>
          </w:tcPr>
          <w:p>
            <w:pPr>
              <w:spacing w:before="60" w:after="60"/>
              <w:rPr>
                <w:noProof/>
              </w:rPr>
            </w:pPr>
            <w:r>
              <w:rPr>
                <w:noProof/>
              </w:rPr>
              <w:t>Men:</w:t>
            </w:r>
          </w:p>
        </w:tc>
        <w:tc>
          <w:tcPr>
            <w:tcW w:w="1176" w:type="dxa"/>
            <w:tcBorders>
              <w:top w:val="single" w:sz="4" w:space="0" w:color="auto"/>
              <w:left w:val="nil"/>
              <w:right w:val="nil"/>
            </w:tcBorders>
            <w:hideMark/>
          </w:tcPr>
          <w:p>
            <w:pPr>
              <w:spacing w:before="60" w:after="60"/>
              <w:jc w:val="right"/>
              <w:rPr>
                <w:noProof/>
              </w:rPr>
            </w:pPr>
            <w:r>
              <w:rPr>
                <w:noProof/>
              </w:rPr>
              <w:t>50</w:t>
            </w:r>
          </w:p>
        </w:tc>
        <w:tc>
          <w:tcPr>
            <w:tcW w:w="1176" w:type="dxa"/>
            <w:tcBorders>
              <w:top w:val="single" w:sz="4" w:space="0" w:color="auto"/>
              <w:left w:val="nil"/>
              <w:right w:val="nil"/>
            </w:tcBorders>
            <w:hideMark/>
          </w:tcPr>
          <w:p>
            <w:pPr>
              <w:spacing w:before="60" w:after="60"/>
              <w:jc w:val="right"/>
              <w:rPr>
                <w:noProof/>
              </w:rPr>
            </w:pPr>
            <w:r>
              <w:rPr>
                <w:rFonts w:eastAsia="Calibri"/>
                <w:noProof/>
              </w:rPr>
              <w:t>(</w:t>
            </w:r>
            <w:r>
              <w:rPr>
                <w:noProof/>
              </w:rPr>
              <w:t>16,50</w:t>
            </w:r>
            <w:r>
              <w:rPr>
                <w:rFonts w:eastAsia="Calibri"/>
                <w:noProof/>
              </w:rPr>
              <w:t>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rFonts w:eastAsia="Calibri"/>
                <w:noProof/>
              </w:rPr>
              <w:t>W</w:t>
            </w:r>
            <w:r>
              <w:rPr>
                <w:noProof/>
              </w:rPr>
              <w:t>omen:</w:t>
            </w:r>
          </w:p>
        </w:tc>
        <w:tc>
          <w:tcPr>
            <w:tcW w:w="1176" w:type="dxa"/>
            <w:tcBorders>
              <w:bottom w:val="single" w:sz="4" w:space="0" w:color="auto"/>
            </w:tcBorders>
            <w:hideMark/>
          </w:tcPr>
          <w:p>
            <w:pPr>
              <w:spacing w:before="60" w:after="60"/>
              <w:jc w:val="right"/>
              <w:rPr>
                <w:noProof/>
              </w:rPr>
            </w:pPr>
            <w:r>
              <w:rPr>
                <w:noProof/>
              </w:rPr>
              <w:t>253</w:t>
            </w:r>
          </w:p>
        </w:tc>
        <w:tc>
          <w:tcPr>
            <w:tcW w:w="1176" w:type="dxa"/>
            <w:tcBorders>
              <w:bottom w:val="single" w:sz="4" w:space="0" w:color="auto"/>
            </w:tcBorders>
            <w:hideMark/>
          </w:tcPr>
          <w:p>
            <w:pPr>
              <w:spacing w:before="60" w:after="60"/>
              <w:jc w:val="right"/>
              <w:rPr>
                <w:noProof/>
              </w:rPr>
            </w:pPr>
            <w:r>
              <w:rPr>
                <w:rFonts w:eastAsia="Calibri"/>
                <w:noProof/>
              </w:rPr>
              <w:t>(</w:t>
            </w:r>
            <w:r>
              <w:rPr>
                <w:noProof/>
              </w:rPr>
              <w:t>83,50</w:t>
            </w:r>
            <w:r>
              <w:rPr>
                <w:rFonts w:eastAsia="Calibri"/>
                <w:noProof/>
              </w:rPr>
              <w:t>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Citizenship:</w:t>
            </w:r>
          </w:p>
        </w:tc>
        <w:tc>
          <w:tcPr>
            <w:tcW w:w="2063" w:type="dxa"/>
            <w:tcBorders>
              <w:top w:val="single" w:sz="4" w:space="0" w:color="auto"/>
              <w:left w:val="nil"/>
              <w:bottom w:val="nil"/>
              <w:right w:val="nil"/>
            </w:tcBorders>
            <w:hideMark/>
          </w:tcPr>
          <w:p>
            <w:pPr>
              <w:spacing w:before="60" w:after="60"/>
              <w:rPr>
                <w:noProof/>
              </w:rPr>
            </w:pPr>
            <w:r>
              <w:rPr>
                <w:rFonts w:eastAsia="Calibri"/>
                <w:noProof/>
              </w:rPr>
              <w:t>EU citizens:</w:t>
            </w:r>
          </w:p>
        </w:tc>
        <w:tc>
          <w:tcPr>
            <w:tcW w:w="1176" w:type="dxa"/>
            <w:tcBorders>
              <w:top w:val="single" w:sz="4" w:space="0" w:color="auto"/>
            </w:tcBorders>
            <w:hideMark/>
          </w:tcPr>
          <w:p>
            <w:pPr>
              <w:spacing w:before="60" w:after="60"/>
              <w:jc w:val="right"/>
              <w:rPr>
                <w:noProof/>
              </w:rPr>
            </w:pPr>
            <w:r>
              <w:rPr>
                <w:noProof/>
              </w:rPr>
              <w:t>298</w:t>
            </w:r>
          </w:p>
        </w:tc>
        <w:tc>
          <w:tcPr>
            <w:tcW w:w="1176" w:type="dxa"/>
            <w:tcBorders>
              <w:top w:val="single" w:sz="4" w:space="0" w:color="auto"/>
            </w:tcBorders>
            <w:hideMark/>
          </w:tcPr>
          <w:p>
            <w:pPr>
              <w:spacing w:before="60" w:after="60"/>
              <w:jc w:val="right"/>
              <w:rPr>
                <w:noProof/>
              </w:rPr>
            </w:pPr>
            <w:r>
              <w:rPr>
                <w:rFonts w:eastAsia="Calibri"/>
                <w:noProof/>
              </w:rPr>
              <w:t>(</w:t>
            </w:r>
            <w:r>
              <w:rPr>
                <w:noProof/>
              </w:rPr>
              <w:t>98,35</w:t>
            </w:r>
            <w:r>
              <w:rPr>
                <w:rFonts w:eastAsia="Calibri"/>
                <w:noProof/>
              </w:rPr>
              <w:t>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rFonts w:eastAsia="Calibri"/>
                <w:noProof/>
              </w:rPr>
              <w:t>non-EU citizens:</w:t>
            </w:r>
          </w:p>
        </w:tc>
        <w:tc>
          <w:tcPr>
            <w:tcW w:w="1176" w:type="dxa"/>
            <w:tcBorders>
              <w:bottom w:val="single" w:sz="4" w:space="0" w:color="auto"/>
            </w:tcBorders>
            <w:hideMark/>
          </w:tcPr>
          <w:p>
            <w:pPr>
              <w:spacing w:before="60" w:after="60"/>
              <w:jc w:val="right"/>
              <w:rPr>
                <w:noProof/>
              </w:rPr>
            </w:pPr>
            <w:r>
              <w:rPr>
                <w:noProof/>
              </w:rPr>
              <w:t>5</w:t>
            </w:r>
          </w:p>
        </w:tc>
        <w:tc>
          <w:tcPr>
            <w:tcW w:w="1176" w:type="dxa"/>
            <w:tcBorders>
              <w:bottom w:val="single" w:sz="4" w:space="0" w:color="auto"/>
            </w:tcBorders>
            <w:hideMark/>
          </w:tcPr>
          <w:p>
            <w:pPr>
              <w:spacing w:before="60" w:after="60"/>
              <w:jc w:val="right"/>
              <w:rPr>
                <w:noProof/>
              </w:rPr>
            </w:pPr>
            <w:r>
              <w:rPr>
                <w:rFonts w:eastAsia="Calibri"/>
                <w:noProof/>
              </w:rPr>
              <w:t>(</w:t>
            </w:r>
            <w:r>
              <w:rPr>
                <w:noProof/>
              </w:rPr>
              <w:t>1,65</w:t>
            </w:r>
            <w:r>
              <w:rPr>
                <w:rFonts w:eastAsia="Calibri"/>
                <w:noProof/>
              </w:rPr>
              <w:t>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Age group:</w:t>
            </w:r>
          </w:p>
        </w:tc>
        <w:tc>
          <w:tcPr>
            <w:tcW w:w="2063" w:type="dxa"/>
            <w:tcBorders>
              <w:top w:val="single" w:sz="4" w:space="0" w:color="auto"/>
              <w:left w:val="nil"/>
              <w:bottom w:val="nil"/>
              <w:right w:val="nil"/>
            </w:tcBorders>
            <w:hideMark/>
          </w:tcPr>
          <w:p>
            <w:pPr>
              <w:spacing w:before="60" w:after="60"/>
              <w:rPr>
                <w:noProof/>
              </w:rPr>
            </w:pPr>
            <w:r>
              <w:rPr>
                <w:noProof/>
              </w:rPr>
              <w:t>15-24 years:</w:t>
            </w:r>
          </w:p>
        </w:tc>
        <w:tc>
          <w:tcPr>
            <w:tcW w:w="1176" w:type="dxa"/>
            <w:tcBorders>
              <w:top w:val="single" w:sz="4" w:space="0" w:color="auto"/>
            </w:tcBorders>
            <w:hideMark/>
          </w:tcPr>
          <w:p>
            <w:pPr>
              <w:spacing w:before="60" w:after="60"/>
              <w:jc w:val="right"/>
              <w:rPr>
                <w:noProof/>
              </w:rPr>
            </w:pPr>
            <w:r>
              <w:rPr>
                <w:noProof/>
              </w:rPr>
              <w:t>2</w:t>
            </w:r>
          </w:p>
        </w:tc>
        <w:tc>
          <w:tcPr>
            <w:tcW w:w="1176" w:type="dxa"/>
            <w:tcBorders>
              <w:top w:val="single" w:sz="4" w:space="0" w:color="auto"/>
            </w:tcBorders>
            <w:hideMark/>
          </w:tcPr>
          <w:p>
            <w:pPr>
              <w:spacing w:before="60" w:after="60"/>
              <w:jc w:val="right"/>
              <w:rPr>
                <w:noProof/>
              </w:rPr>
            </w:pPr>
            <w:r>
              <w:rPr>
                <w:rFonts w:eastAsia="Calibri"/>
                <w:noProof/>
              </w:rPr>
              <w:t>(</w:t>
            </w:r>
            <w:r>
              <w:rPr>
                <w:noProof/>
              </w:rPr>
              <w:t>0,66</w:t>
            </w:r>
            <w:r>
              <w:rPr>
                <w:rFonts w:eastAsia="Calibri"/>
                <w:noProof/>
              </w:rPr>
              <w:t>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25-29 years:</w:t>
            </w:r>
          </w:p>
        </w:tc>
        <w:tc>
          <w:tcPr>
            <w:tcW w:w="1176" w:type="dxa"/>
            <w:hideMark/>
          </w:tcPr>
          <w:p>
            <w:pPr>
              <w:spacing w:before="60" w:after="60"/>
              <w:jc w:val="right"/>
              <w:rPr>
                <w:noProof/>
              </w:rPr>
            </w:pPr>
            <w:r>
              <w:rPr>
                <w:noProof/>
              </w:rPr>
              <w:t>13</w:t>
            </w:r>
          </w:p>
        </w:tc>
        <w:tc>
          <w:tcPr>
            <w:tcW w:w="1176" w:type="dxa"/>
            <w:hideMark/>
          </w:tcPr>
          <w:p>
            <w:pPr>
              <w:spacing w:before="60" w:after="60"/>
              <w:jc w:val="right"/>
              <w:rPr>
                <w:noProof/>
              </w:rPr>
            </w:pPr>
            <w:r>
              <w:rPr>
                <w:rFonts w:eastAsia="Calibri"/>
                <w:noProof/>
              </w:rPr>
              <w:t>(</w:t>
            </w:r>
            <w:r>
              <w:rPr>
                <w:noProof/>
              </w:rPr>
              <w:t>4,29</w:t>
            </w:r>
            <w:r>
              <w:rPr>
                <w:rFonts w:eastAsia="Calibri"/>
                <w:noProof/>
              </w:rPr>
              <w:t> %)</w:t>
            </w:r>
          </w:p>
        </w:tc>
      </w:tr>
      <w:tr>
        <w:trPr>
          <w:jc w:val="center"/>
        </w:trPr>
        <w:tc>
          <w:tcPr>
            <w:tcW w:w="1496" w:type="dxa"/>
          </w:tcPr>
          <w:p>
            <w:pPr>
              <w:spacing w:before="60" w:after="60"/>
              <w:rPr>
                <w:noProof/>
              </w:rPr>
            </w:pPr>
          </w:p>
        </w:tc>
        <w:tc>
          <w:tcPr>
            <w:tcW w:w="2063" w:type="dxa"/>
            <w:hideMark/>
          </w:tcPr>
          <w:p>
            <w:pPr>
              <w:spacing w:before="60" w:after="60"/>
              <w:rPr>
                <w:noProof/>
              </w:rPr>
            </w:pPr>
            <w:r>
              <w:rPr>
                <w:rFonts w:eastAsia="Calibri"/>
                <w:noProof/>
              </w:rPr>
              <w:t>30-54 years:</w:t>
            </w:r>
          </w:p>
        </w:tc>
        <w:tc>
          <w:tcPr>
            <w:tcW w:w="1176" w:type="dxa"/>
            <w:hideMark/>
          </w:tcPr>
          <w:p>
            <w:pPr>
              <w:spacing w:before="60" w:after="60"/>
              <w:jc w:val="right"/>
              <w:rPr>
                <w:noProof/>
              </w:rPr>
            </w:pPr>
            <w:r>
              <w:rPr>
                <w:noProof/>
              </w:rPr>
              <w:t>217</w:t>
            </w:r>
          </w:p>
        </w:tc>
        <w:tc>
          <w:tcPr>
            <w:tcW w:w="1176" w:type="dxa"/>
            <w:hideMark/>
          </w:tcPr>
          <w:p>
            <w:pPr>
              <w:spacing w:before="60" w:after="60"/>
              <w:jc w:val="right"/>
              <w:rPr>
                <w:noProof/>
              </w:rPr>
            </w:pPr>
            <w:r>
              <w:rPr>
                <w:rFonts w:eastAsia="Calibri"/>
                <w:noProof/>
              </w:rPr>
              <w:t>(</w:t>
            </w:r>
            <w:r>
              <w:rPr>
                <w:noProof/>
              </w:rPr>
              <w:t>71,62</w:t>
            </w:r>
            <w:r>
              <w:rPr>
                <w:rFonts w:eastAsia="Calibri"/>
                <w:noProof/>
              </w:rPr>
              <w:t>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55-64 years</w:t>
            </w:r>
            <w:r>
              <w:rPr>
                <w:rFonts w:eastAsia="Calibri"/>
                <w:noProof/>
              </w:rPr>
              <w:t>:</w:t>
            </w:r>
          </w:p>
        </w:tc>
        <w:tc>
          <w:tcPr>
            <w:tcW w:w="1176" w:type="dxa"/>
            <w:hideMark/>
          </w:tcPr>
          <w:p>
            <w:pPr>
              <w:spacing w:before="60" w:after="60"/>
              <w:jc w:val="right"/>
              <w:rPr>
                <w:noProof/>
              </w:rPr>
            </w:pPr>
            <w:r>
              <w:rPr>
                <w:noProof/>
              </w:rPr>
              <w:t>71</w:t>
            </w:r>
          </w:p>
        </w:tc>
        <w:tc>
          <w:tcPr>
            <w:tcW w:w="1176" w:type="dxa"/>
            <w:hideMark/>
          </w:tcPr>
          <w:p>
            <w:pPr>
              <w:spacing w:before="60" w:after="60"/>
              <w:jc w:val="right"/>
              <w:rPr>
                <w:noProof/>
              </w:rPr>
            </w:pPr>
            <w:r>
              <w:rPr>
                <w:rFonts w:eastAsia="Calibri"/>
                <w:noProof/>
              </w:rPr>
              <w:t>(</w:t>
            </w:r>
            <w:r>
              <w:rPr>
                <w:noProof/>
              </w:rPr>
              <w:t>23,43</w:t>
            </w:r>
            <w:r>
              <w:rPr>
                <w:rFonts w:eastAsia="Calibri"/>
                <w:noProof/>
              </w:rPr>
              <w:t>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over 64 years</w:t>
            </w:r>
            <w:r>
              <w:rPr>
                <w:rFonts w:eastAsia="Calibri"/>
                <w:noProof/>
              </w:rPr>
              <w:t>:</w:t>
            </w:r>
          </w:p>
        </w:tc>
        <w:tc>
          <w:tcPr>
            <w:tcW w:w="1176" w:type="dxa"/>
            <w:tcBorders>
              <w:top w:val="nil"/>
              <w:left w:val="nil"/>
              <w:bottom w:val="single" w:sz="4" w:space="0" w:color="auto"/>
              <w:right w:val="nil"/>
            </w:tcBorders>
            <w:hideMark/>
          </w:tcPr>
          <w:p>
            <w:pPr>
              <w:spacing w:before="60" w:after="60"/>
              <w:jc w:val="right"/>
              <w:rPr>
                <w:noProof/>
              </w:rPr>
            </w:pPr>
            <w:r>
              <w:rPr>
                <w:noProof/>
              </w:rPr>
              <w:t>0</w:t>
            </w:r>
          </w:p>
        </w:tc>
        <w:tc>
          <w:tcPr>
            <w:tcW w:w="1176" w:type="dxa"/>
            <w:tcBorders>
              <w:top w:val="nil"/>
              <w:left w:val="nil"/>
              <w:bottom w:val="single" w:sz="4" w:space="0" w:color="auto"/>
              <w:right w:val="nil"/>
            </w:tcBorders>
            <w:hideMark/>
          </w:tcPr>
          <w:p>
            <w:pPr>
              <w:spacing w:before="60" w:after="60"/>
              <w:jc w:val="right"/>
              <w:rPr>
                <w:noProof/>
              </w:rPr>
            </w:pPr>
            <w:r>
              <w:rPr>
                <w:rFonts w:eastAsia="Calibri"/>
                <w:noProof/>
              </w:rPr>
              <w:t>(</w:t>
            </w:r>
            <w:r>
              <w:rPr>
                <w:noProof/>
              </w:rPr>
              <w:t>00,0</w:t>
            </w:r>
            <w:r>
              <w:rPr>
                <w:rFonts w:eastAsia="Calibri"/>
                <w:noProof/>
              </w:rPr>
              <w:t> %)</w:t>
            </w:r>
          </w:p>
        </w:tc>
      </w:tr>
    </w:tbl>
    <w:p>
      <w:pPr>
        <w:pStyle w:val="ManualHeading3"/>
        <w:rPr>
          <w:noProof/>
          <w:u w:val="single"/>
        </w:rPr>
      </w:pPr>
      <w:r>
        <w:rPr>
          <w:noProof/>
        </w:rPr>
        <w:t>Eligibility of the proposed actions</w:t>
      </w:r>
    </w:p>
    <w:p>
      <w:pPr>
        <w:pStyle w:val="ManualNumPar1"/>
        <w:rPr>
          <w:noProof/>
        </w:rPr>
      </w:pPr>
      <w:bookmarkStart w:id="8" w:name="_Ref372214239"/>
      <w:r>
        <w:t>21.</w:t>
      </w:r>
      <w:r>
        <w:tab/>
      </w:r>
      <w:r>
        <w:rPr>
          <w:noProof/>
        </w:rPr>
        <w:t xml:space="preserve">The personalised services to be provided to redundant workers consist of the following actions: </w:t>
      </w:r>
      <w:bookmarkEnd w:id="8"/>
    </w:p>
    <w:p>
      <w:pPr>
        <w:pStyle w:val="Tiret1"/>
        <w:numPr>
          <w:ilvl w:val="0"/>
          <w:numId w:val="13"/>
        </w:numPr>
        <w:rPr>
          <w:noProof/>
        </w:rPr>
      </w:pPr>
      <w:r>
        <w:rPr>
          <w:noProof/>
          <w:u w:val="single"/>
        </w:rPr>
        <w:t>Welcome sessions and preparatory workshops</w:t>
      </w:r>
      <w:r>
        <w:rPr>
          <w:noProof/>
        </w:rPr>
        <w:t>: The welcome sessions is the first measure to be offered to all targeted beneficiaries and includes general information on available counselling and training programmes; and on allowances and incentives. This also includes the profiling of the participant workers. At preparatory workshops, more in-depth information will be provided on redeployment, sectors which require licensing or certificates of professional competence, certification of competencies and soft skills acquired in work situations; and how to complete compulsory education.</w:t>
      </w:r>
    </w:p>
    <w:p>
      <w:pPr>
        <w:pStyle w:val="Tiret1"/>
        <w:rPr>
          <w:noProof/>
        </w:rPr>
      </w:pPr>
      <w:r>
        <w:rPr>
          <w:noProof/>
          <w:u w:val="single"/>
        </w:rPr>
        <w:t>Occupational guidance</w:t>
      </w:r>
      <w:r>
        <w:rPr>
          <w:noProof/>
        </w:rPr>
        <w:t xml:space="preserve"> towards dependent employment or self-employment will be provided throughout the implementation period.</w:t>
      </w:r>
    </w:p>
    <w:p>
      <w:pPr>
        <w:pStyle w:val="Tiret1"/>
        <w:rPr>
          <w:noProof/>
        </w:rPr>
      </w:pPr>
      <w:r>
        <w:rPr>
          <w:noProof/>
          <w:u w:val="single"/>
        </w:rPr>
        <w:t>Training.</w:t>
      </w:r>
      <w:r>
        <w:rPr>
          <w:noProof/>
        </w:rPr>
        <w:t xml:space="preserve"> This will include training on key competencies, horizontal competencies, vocational training such as training to higher-value-added occupations within the clothing sector (unlike production other areas such as design, distribution, brand management or logistics have not been off-shored), geriatric care and social and health care for dependents, warehousing, monitor in leisure and recreation, as well as preparation for tests towards recognition of skills acquired through work experience/recognition of prior learning and training towards entrepreneurship.</w:t>
      </w:r>
    </w:p>
    <w:p>
      <w:pPr>
        <w:pStyle w:val="Tiret1"/>
        <w:rPr>
          <w:noProof/>
        </w:rPr>
      </w:pPr>
      <w:r>
        <w:rPr>
          <w:noProof/>
          <w:u w:val="single"/>
        </w:rPr>
        <w:t>Intensive job-search assistance</w:t>
      </w:r>
      <w:r>
        <w:rPr>
          <w:noProof/>
        </w:rPr>
        <w:t>, including active research of the local and regional employment opportunities (also for self-employed persons) and job-matching.</w:t>
      </w:r>
    </w:p>
    <w:p>
      <w:pPr>
        <w:pStyle w:val="Tiret1"/>
        <w:rPr>
          <w:noProof/>
        </w:rPr>
      </w:pPr>
      <w:r>
        <w:rPr>
          <w:noProof/>
          <w:u w:val="single"/>
        </w:rPr>
        <w:t>Tutoring after reintegration into work</w:t>
      </w:r>
      <w:r>
        <w:rPr>
          <w:noProof/>
        </w:rPr>
        <w:t>. The workers reintegrated into employment will be guided during the first months to prevent possible problems arising in their new jobs.</w:t>
      </w:r>
    </w:p>
    <w:p>
      <w:pPr>
        <w:pStyle w:val="Tiret1"/>
        <w:rPr>
          <w:noProof/>
        </w:rPr>
      </w:pPr>
      <w:r>
        <w:rPr>
          <w:noProof/>
          <w:u w:val="single"/>
        </w:rPr>
        <w:t>Incentives</w:t>
      </w:r>
      <w:r>
        <w:rPr>
          <w:noProof/>
        </w:rPr>
        <w:t xml:space="preserve">. There will be a variety of incentives. </w:t>
      </w:r>
      <w:r>
        <w:rPr>
          <w:b/>
          <w:noProof/>
        </w:rPr>
        <w:t>(1) Participation incentive</w:t>
      </w:r>
      <w:r>
        <w:rPr>
          <w:noProof/>
        </w:rPr>
        <w:t xml:space="preserve">. The workers who take part in the measures and follow the agreed pathway to reintegration will receive up to EUR 400 (one pay-off or into instalments). </w:t>
      </w:r>
      <w:r>
        <w:rPr>
          <w:b/>
          <w:noProof/>
        </w:rPr>
        <w:t>(2) Contribution to commuting expenses.</w:t>
      </w:r>
      <w:r>
        <w:rPr>
          <w:noProof/>
        </w:rPr>
        <w:t xml:space="preserve"> EUR 3 per day when commuting within the same town and EUR 0,19/kilometre for inter-towns commuting. </w:t>
      </w:r>
      <w:r>
        <w:rPr>
          <w:b/>
          <w:noProof/>
        </w:rPr>
        <w:t>(3) Contribution to the expenses for carers of dependent persons</w:t>
      </w:r>
      <w:r>
        <w:rPr>
          <w:noProof/>
        </w:rPr>
        <w:t>. Workers with caring responsibilities (children, elderly or disabled persons) will receive EUR 15</w:t>
      </w:r>
      <w:r>
        <w:rPr>
          <w:rStyle w:val="FootnoteReference"/>
          <w:noProof/>
        </w:rPr>
        <w:footnoteReference w:id="9"/>
      </w:r>
      <w:r>
        <w:rPr>
          <w:noProof/>
        </w:rPr>
        <w:t xml:space="preserve"> per day of participation in the measures. This aims to cover the additional costs faced by the participants with caring responsibilities in order to avail themselves of training or other measures. </w:t>
      </w:r>
      <w:r>
        <w:rPr>
          <w:b/>
          <w:noProof/>
        </w:rPr>
        <w:t>(4) Income compensation</w:t>
      </w:r>
      <w:r>
        <w:rPr>
          <w:noProof/>
        </w:rPr>
        <w:t>. Those reintegrating into employment as self-employed persons will receive an income compensation of EUR 200 monthly, over a six months period.</w:t>
      </w:r>
    </w:p>
    <w:p>
      <w:pPr>
        <w:pStyle w:val="ManualNumPar1"/>
        <w:rPr>
          <w:noProof/>
        </w:rPr>
      </w:pPr>
      <w:bookmarkStart w:id="9" w:name="_Ref372214242"/>
      <w:r>
        <w:t>22.</w:t>
      </w:r>
      <w:r>
        <w:tab/>
      </w:r>
      <w:r>
        <w:rPr>
          <w:noProof/>
        </w:rPr>
        <w:t>The proposed actions, here described, constitute active labour market measures within the eligible actions set out in Article 7 of the EGF Regulation. These actions do not substitute passive social protection measures.</w:t>
      </w:r>
    </w:p>
    <w:p>
      <w:pPr>
        <w:pStyle w:val="ManualNumPar1"/>
        <w:rPr>
          <w:noProof/>
        </w:rPr>
      </w:pPr>
      <w:r>
        <w:t>23.</w:t>
      </w:r>
      <w:r>
        <w:tab/>
      </w:r>
      <w:r>
        <w:rPr>
          <w:noProof/>
        </w:rPr>
        <w:t>Spain has provided the required information on actions that are mandatory for the enterprise concerned by virtue of national law or pursuant to collective agreements. They have confirmed that a financial contribution from the EGF will not replace such actions.</w:t>
      </w:r>
      <w:bookmarkEnd w:id="9"/>
    </w:p>
    <w:p>
      <w:pPr>
        <w:pStyle w:val="ManualHeading3"/>
        <w:rPr>
          <w:noProof/>
        </w:rPr>
      </w:pPr>
      <w:r>
        <w:rPr>
          <w:noProof/>
        </w:rPr>
        <w:t>Estimated budget</w:t>
      </w:r>
    </w:p>
    <w:p>
      <w:pPr>
        <w:pStyle w:val="ManualNumPar1"/>
        <w:rPr>
          <w:noProof/>
        </w:rPr>
      </w:pPr>
      <w:r>
        <w:t>24.</w:t>
      </w:r>
      <w:r>
        <w:tab/>
      </w:r>
      <w:r>
        <w:rPr>
          <w:noProof/>
        </w:rPr>
        <w:t>The estimated total costs are EUR 1 200 000, comprising expenditure for personalised services of EUR 1 140 000</w:t>
      </w:r>
      <w:r>
        <w:rPr>
          <w:rFonts w:eastAsia="Calibri"/>
          <w:noProof/>
        </w:rPr>
        <w:t xml:space="preserve"> </w:t>
      </w:r>
      <w:r>
        <w:rPr>
          <w:noProof/>
        </w:rPr>
        <w:t>and expenditure for preparatory, management, information and publicity, control and reporting activities of EUR 60 000.</w:t>
      </w:r>
    </w:p>
    <w:p>
      <w:pPr>
        <w:pStyle w:val="ManualNumPar1"/>
        <w:rPr>
          <w:noProof/>
        </w:rPr>
      </w:pPr>
      <w:bookmarkStart w:id="10" w:name="_Ref372550770"/>
      <w:r>
        <w:t>25.</w:t>
      </w:r>
      <w:r>
        <w:tab/>
      </w:r>
      <w:r>
        <w:rPr>
          <w:noProof/>
        </w:rPr>
        <w:t>The total financial contribution requested from the EGF is EUR 720 000 (60 % of total costs).</w:t>
      </w:r>
      <w:bookmarkEnd w:id="10"/>
    </w:p>
    <w:p>
      <w:pPr>
        <w:rPr>
          <w:noProof/>
        </w:rPr>
      </w:pPr>
      <w:r>
        <w:rPr>
          <w:noProof/>
        </w:rPr>
        <w:br w:type="page"/>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44"/>
        <w:gridCol w:w="1548"/>
        <w:gridCol w:w="1548"/>
        <w:gridCol w:w="1548"/>
      </w:tblGrid>
      <w:tr>
        <w:tc>
          <w:tcPr>
            <w:tcW w:w="4644" w:type="dxa"/>
            <w:shd w:val="clear" w:color="auto" w:fill="auto"/>
            <w:vAlign w:val="center"/>
          </w:tcPr>
          <w:p>
            <w:pPr>
              <w:spacing w:before="60" w:after="60"/>
              <w:jc w:val="center"/>
              <w:rPr>
                <w:rFonts w:eastAsia="Times New Roman"/>
                <w:noProof/>
                <w:szCs w:val="24"/>
              </w:rPr>
            </w:pPr>
            <w:r>
              <w:rPr>
                <w:rFonts w:eastAsia="Times New Roman"/>
                <w:noProof/>
                <w:szCs w:val="24"/>
              </w:rPr>
              <w:t>Actions</w:t>
            </w:r>
          </w:p>
        </w:tc>
        <w:tc>
          <w:tcPr>
            <w:tcW w:w="1548" w:type="dxa"/>
            <w:shd w:val="clear" w:color="auto" w:fill="auto"/>
            <w:vAlign w:val="center"/>
          </w:tcPr>
          <w:p>
            <w:pPr>
              <w:spacing w:before="60" w:after="60"/>
              <w:jc w:val="center"/>
              <w:rPr>
                <w:rFonts w:eastAsia="Times New Roman"/>
                <w:noProof/>
                <w:szCs w:val="24"/>
              </w:rPr>
            </w:pPr>
            <w:r>
              <w:rPr>
                <w:rFonts w:eastAsia="Times New Roman"/>
                <w:noProof/>
                <w:szCs w:val="24"/>
              </w:rPr>
              <w:t>Estimated number of participants</w:t>
            </w:r>
          </w:p>
        </w:tc>
        <w:tc>
          <w:tcPr>
            <w:tcW w:w="1548" w:type="dxa"/>
            <w:shd w:val="clear" w:color="auto" w:fill="auto"/>
            <w:vAlign w:val="center"/>
          </w:tcPr>
          <w:p>
            <w:pPr>
              <w:spacing w:before="60" w:after="60"/>
              <w:jc w:val="center"/>
              <w:rPr>
                <w:rFonts w:eastAsia="Times New Roman"/>
                <w:noProof/>
                <w:szCs w:val="24"/>
              </w:rPr>
            </w:pPr>
            <w:r>
              <w:rPr>
                <w:rFonts w:eastAsia="Times New Roman"/>
                <w:noProof/>
                <w:szCs w:val="24"/>
              </w:rPr>
              <w:t>Estimated cost per participant</w:t>
            </w:r>
            <w:r>
              <w:rPr>
                <w:rFonts w:eastAsia="Times New Roman"/>
                <w:noProof/>
                <w:szCs w:val="24"/>
              </w:rPr>
              <w:br/>
            </w:r>
            <w:r>
              <w:rPr>
                <w:rFonts w:eastAsia="Times New Roman"/>
                <w:i/>
                <w:noProof/>
                <w:szCs w:val="24"/>
              </w:rPr>
              <w:t>(EUR)</w:t>
            </w:r>
            <w:r>
              <w:rPr>
                <w:rStyle w:val="FootnoteReference"/>
                <w:rFonts w:eastAsia="Times New Roman"/>
                <w:i/>
                <w:noProof/>
                <w:szCs w:val="24"/>
              </w:rPr>
              <w:footnoteReference w:id="10"/>
            </w:r>
          </w:p>
        </w:tc>
        <w:tc>
          <w:tcPr>
            <w:tcW w:w="1548" w:type="dxa"/>
            <w:shd w:val="clear" w:color="auto" w:fill="auto"/>
            <w:vAlign w:val="center"/>
          </w:tcPr>
          <w:p>
            <w:pPr>
              <w:spacing w:before="60" w:after="60"/>
              <w:jc w:val="center"/>
              <w:rPr>
                <w:rFonts w:eastAsia="Times New Roman"/>
                <w:noProof/>
                <w:szCs w:val="24"/>
              </w:rPr>
            </w:pPr>
            <w:r>
              <w:rPr>
                <w:rFonts w:eastAsia="Times New Roman"/>
                <w:noProof/>
                <w:szCs w:val="24"/>
              </w:rPr>
              <w:t>Estimated total costs</w:t>
            </w:r>
          </w:p>
          <w:p>
            <w:pPr>
              <w:spacing w:before="60" w:after="60"/>
              <w:jc w:val="center"/>
              <w:rPr>
                <w:rFonts w:eastAsia="Times New Roman"/>
                <w:noProof/>
                <w:szCs w:val="24"/>
              </w:rPr>
            </w:pPr>
            <w:r>
              <w:rPr>
                <w:rFonts w:eastAsia="Times New Roman"/>
                <w:i/>
                <w:noProof/>
                <w:szCs w:val="24"/>
              </w:rPr>
              <w:t>(EUR)</w:t>
            </w:r>
            <w:r>
              <w:rPr>
                <w:rStyle w:val="FootnoteReference"/>
                <w:rFonts w:eastAsia="Times New Roman"/>
                <w:i/>
                <w:noProof/>
                <w:szCs w:val="24"/>
              </w:rPr>
              <w:footnoteReference w:id="11"/>
            </w:r>
            <w:r>
              <w:rPr>
                <w:rFonts w:eastAsia="Times New Roman"/>
                <w:i/>
                <w:noProof/>
                <w:szCs w:val="24"/>
              </w:rPr>
              <w:t xml:space="preserve"> </w:t>
            </w:r>
          </w:p>
        </w:tc>
      </w:tr>
      <w:tr>
        <w:tc>
          <w:tcPr>
            <w:tcW w:w="9288" w:type="dxa"/>
            <w:gridSpan w:val="4"/>
            <w:shd w:val="clear" w:color="auto" w:fill="auto"/>
          </w:tcPr>
          <w:p>
            <w:pPr>
              <w:spacing w:before="60" w:after="60"/>
              <w:jc w:val="left"/>
              <w:rPr>
                <w:rFonts w:eastAsia="Times New Roman"/>
                <w:noProof/>
                <w:szCs w:val="24"/>
              </w:rPr>
            </w:pPr>
            <w:r>
              <w:rPr>
                <w:rFonts w:eastAsia="Times New Roman"/>
                <w:noProof/>
                <w:szCs w:val="24"/>
              </w:rPr>
              <w:t>Personalised services (Actions under Article 7(1)(a) and (c) of the EGF Regulation)</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szCs w:val="24"/>
              </w:rPr>
            </w:pPr>
            <w:r>
              <w:rPr>
                <w:noProof/>
                <w:szCs w:val="24"/>
              </w:rPr>
              <w:t>Welcome sessions and preparatory workshops</w:t>
            </w:r>
            <w:r>
              <w:rPr>
                <w:noProof/>
                <w:szCs w:val="24"/>
              </w:rPr>
              <w:br/>
              <w:t>(</w:t>
            </w:r>
            <w:r>
              <w:rPr>
                <w:i/>
                <w:noProof/>
                <w:szCs w:val="24"/>
              </w:rPr>
              <w:t>Acogida y medidas de sensibilización)</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szCs w:val="24"/>
              </w:rPr>
            </w:pPr>
            <w:r>
              <w:rPr>
                <w:noProof/>
                <w:szCs w:val="24"/>
              </w:rPr>
              <w:t>303</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szCs w:val="24"/>
              </w:rPr>
            </w:pPr>
            <w:r>
              <w:rPr>
                <w:noProof/>
                <w:szCs w:val="24"/>
              </w:rPr>
              <w:t>187</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right"/>
              <w:rPr>
                <w:noProof/>
                <w:szCs w:val="24"/>
              </w:rPr>
            </w:pPr>
            <w:r>
              <w:rPr>
                <w:noProof/>
                <w:szCs w:val="24"/>
              </w:rPr>
              <w:t>56 628</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szCs w:val="24"/>
              </w:rPr>
            </w:pPr>
            <w:r>
              <w:rPr>
                <w:noProof/>
                <w:szCs w:val="24"/>
              </w:rPr>
              <w:t>Occupational guidance</w:t>
            </w:r>
            <w:r>
              <w:rPr>
                <w:noProof/>
                <w:szCs w:val="24"/>
              </w:rPr>
              <w:br/>
              <w:t>(</w:t>
            </w:r>
            <w:r>
              <w:rPr>
                <w:i/>
                <w:noProof/>
                <w:szCs w:val="24"/>
              </w:rPr>
              <w:t>Programa de orientación)</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szCs w:val="24"/>
              </w:rPr>
            </w:pPr>
            <w:r>
              <w:rPr>
                <w:noProof/>
                <w:szCs w:val="24"/>
              </w:rPr>
              <w:t>212</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szCs w:val="24"/>
              </w:rPr>
            </w:pPr>
            <w:r>
              <w:rPr>
                <w:noProof/>
                <w:szCs w:val="24"/>
              </w:rPr>
              <w:t>583</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right"/>
              <w:rPr>
                <w:noProof/>
                <w:szCs w:val="24"/>
              </w:rPr>
            </w:pPr>
            <w:r>
              <w:rPr>
                <w:noProof/>
                <w:szCs w:val="24"/>
              </w:rPr>
              <w:t>123 598</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szCs w:val="24"/>
              </w:rPr>
            </w:pPr>
            <w:r>
              <w:rPr>
                <w:noProof/>
                <w:szCs w:val="24"/>
              </w:rPr>
              <w:t>Training</w:t>
            </w:r>
            <w:r>
              <w:rPr>
                <w:noProof/>
                <w:szCs w:val="24"/>
              </w:rPr>
              <w:br/>
              <w:t>(</w:t>
            </w:r>
            <w:r>
              <w:rPr>
                <w:i/>
                <w:noProof/>
                <w:szCs w:val="24"/>
              </w:rPr>
              <w:t>Programa de formación)</w:t>
            </w:r>
            <w:r>
              <w:rPr>
                <w:noProof/>
                <w:szCs w:val="24"/>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szCs w:val="24"/>
              </w:rPr>
            </w:pPr>
            <w:r>
              <w:rPr>
                <w:noProof/>
                <w:szCs w:val="24"/>
              </w:rPr>
              <w:t>212</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szCs w:val="24"/>
              </w:rPr>
            </w:pPr>
            <w:r>
              <w:rPr>
                <w:noProof/>
                <w:szCs w:val="24"/>
              </w:rPr>
              <w:t>2 514</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right"/>
              <w:rPr>
                <w:noProof/>
                <w:szCs w:val="24"/>
              </w:rPr>
            </w:pPr>
            <w:r>
              <w:rPr>
                <w:noProof/>
                <w:szCs w:val="24"/>
              </w:rPr>
              <w:t>533 030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szCs w:val="24"/>
                <w:lang w:val="es-ES_tradnl"/>
              </w:rPr>
            </w:pPr>
            <w:r>
              <w:rPr>
                <w:noProof/>
                <w:szCs w:val="24"/>
                <w:lang w:val="es-ES_tradnl"/>
              </w:rPr>
              <w:t>Intensive job-search assistance</w:t>
            </w:r>
            <w:r>
              <w:rPr>
                <w:noProof/>
                <w:szCs w:val="24"/>
                <w:lang w:val="es-ES_tradnl"/>
              </w:rPr>
              <w:br/>
              <w:t>(</w:t>
            </w:r>
            <w:r>
              <w:rPr>
                <w:i/>
                <w:noProof/>
                <w:szCs w:val="24"/>
                <w:lang w:val="es-ES_tradnl"/>
              </w:rPr>
              <w:t>Apoyo a la recolocación)</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szCs w:val="24"/>
              </w:rPr>
            </w:pPr>
            <w:r>
              <w:rPr>
                <w:noProof/>
                <w:szCs w:val="24"/>
              </w:rPr>
              <w:t>100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szCs w:val="24"/>
              </w:rPr>
            </w:pPr>
            <w:r>
              <w:rPr>
                <w:noProof/>
                <w:szCs w:val="24"/>
              </w:rPr>
              <w:t>1 978</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right"/>
              <w:rPr>
                <w:noProof/>
                <w:szCs w:val="24"/>
              </w:rPr>
            </w:pPr>
            <w:r>
              <w:rPr>
                <w:noProof/>
                <w:szCs w:val="24"/>
              </w:rPr>
              <w:t>197 836</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szCs w:val="24"/>
              </w:rPr>
            </w:pPr>
            <w:r>
              <w:rPr>
                <w:noProof/>
                <w:szCs w:val="24"/>
              </w:rPr>
              <w:t>Tutoring after reintegration into work</w:t>
            </w:r>
            <w:r>
              <w:rPr>
                <w:noProof/>
                <w:szCs w:val="24"/>
              </w:rPr>
              <w:br/>
              <w:t>(</w:t>
            </w:r>
            <w:r>
              <w:rPr>
                <w:i/>
                <w:noProof/>
                <w:szCs w:val="24"/>
              </w:rPr>
              <w:t>Seguimiento en el empleo)</w:t>
            </w:r>
            <w:r>
              <w:rPr>
                <w:noProof/>
                <w:szCs w:val="24"/>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szCs w:val="24"/>
              </w:rPr>
            </w:pPr>
            <w:r>
              <w:rPr>
                <w:noProof/>
                <w:szCs w:val="24"/>
              </w:rPr>
              <w:t>95</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szCs w:val="24"/>
              </w:rPr>
            </w:pPr>
            <w:r>
              <w:rPr>
                <w:noProof/>
                <w:szCs w:val="24"/>
              </w:rPr>
              <w:t>224</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right"/>
              <w:rPr>
                <w:noProof/>
                <w:szCs w:val="24"/>
              </w:rPr>
            </w:pPr>
            <w:r>
              <w:rPr>
                <w:noProof/>
                <w:szCs w:val="24"/>
              </w:rPr>
              <w:t>21 308</w:t>
            </w:r>
          </w:p>
        </w:tc>
      </w:tr>
      <w:tr>
        <w:trPr>
          <w:trHeight w:val="398"/>
        </w:trPr>
        <w:tc>
          <w:tcPr>
            <w:tcW w:w="4644" w:type="dxa"/>
            <w:vMerge w:val="restart"/>
            <w:shd w:val="clear" w:color="auto" w:fill="auto"/>
            <w:vAlign w:val="center"/>
          </w:tcPr>
          <w:p>
            <w:pPr>
              <w:spacing w:before="60" w:after="60"/>
              <w:jc w:val="right"/>
              <w:rPr>
                <w:rFonts w:eastAsia="Times New Roman"/>
                <w:noProof/>
                <w:szCs w:val="24"/>
              </w:rPr>
            </w:pPr>
            <w:r>
              <w:rPr>
                <w:rFonts w:eastAsia="Times New Roman"/>
                <w:noProof/>
                <w:szCs w:val="24"/>
              </w:rPr>
              <w:t>Sub-total (a):</w:t>
            </w:r>
          </w:p>
          <w:p>
            <w:pPr>
              <w:spacing w:before="60" w:after="60"/>
              <w:jc w:val="right"/>
              <w:rPr>
                <w:rFonts w:eastAsia="Times New Roman"/>
                <w:noProof/>
                <w:szCs w:val="24"/>
              </w:rPr>
            </w:pPr>
            <w:r>
              <w:rPr>
                <w:rFonts w:eastAsia="Times New Roman"/>
                <w:noProof/>
                <w:szCs w:val="24"/>
              </w:rPr>
              <w:t xml:space="preserve">Percentage of the package of personalised services </w:t>
            </w:r>
          </w:p>
        </w:tc>
        <w:tc>
          <w:tcPr>
            <w:tcW w:w="3096" w:type="dxa"/>
            <w:gridSpan w:val="2"/>
            <w:vMerge w:val="restart"/>
            <w:shd w:val="clear" w:color="auto" w:fill="D9D9D9"/>
            <w:vAlign w:val="center"/>
          </w:tcPr>
          <w:p>
            <w:pPr>
              <w:spacing w:before="60" w:after="60"/>
              <w:jc w:val="center"/>
              <w:rPr>
                <w:rFonts w:eastAsia="Times New Roman"/>
                <w:noProof/>
                <w:szCs w:val="24"/>
              </w:rPr>
            </w:pPr>
            <w:r>
              <w:rPr>
                <w:rFonts w:eastAsia="Times New Roman"/>
                <w:noProof/>
                <w:szCs w:val="24"/>
              </w:rPr>
              <w:t>–</w:t>
            </w:r>
          </w:p>
        </w:tc>
        <w:tc>
          <w:tcPr>
            <w:tcW w:w="1548" w:type="dxa"/>
            <w:tcBorders>
              <w:bottom w:val="nil"/>
            </w:tcBorders>
            <w:shd w:val="clear" w:color="auto" w:fill="auto"/>
            <w:vAlign w:val="center"/>
          </w:tcPr>
          <w:p>
            <w:pPr>
              <w:spacing w:before="60" w:after="60"/>
              <w:jc w:val="right"/>
              <w:rPr>
                <w:rFonts w:eastAsia="Times New Roman"/>
                <w:noProof/>
                <w:szCs w:val="24"/>
              </w:rPr>
            </w:pPr>
            <w:r>
              <w:rPr>
                <w:noProof/>
                <w:szCs w:val="24"/>
              </w:rPr>
              <w:t>932 400</w:t>
            </w:r>
          </w:p>
        </w:tc>
      </w:tr>
      <w:tr>
        <w:trPr>
          <w:trHeight w:val="397"/>
        </w:trPr>
        <w:tc>
          <w:tcPr>
            <w:tcW w:w="4644" w:type="dxa"/>
            <w:vMerge/>
            <w:shd w:val="clear" w:color="auto" w:fill="auto"/>
            <w:vAlign w:val="center"/>
          </w:tcPr>
          <w:p>
            <w:pPr>
              <w:spacing w:before="60" w:after="60"/>
              <w:jc w:val="right"/>
              <w:rPr>
                <w:rFonts w:eastAsia="Times New Roman"/>
                <w:noProof/>
                <w:szCs w:val="24"/>
              </w:rPr>
            </w:pPr>
          </w:p>
        </w:tc>
        <w:tc>
          <w:tcPr>
            <w:tcW w:w="3096" w:type="dxa"/>
            <w:gridSpan w:val="2"/>
            <w:vMerge/>
            <w:shd w:val="clear" w:color="auto" w:fill="D9D9D9"/>
            <w:vAlign w:val="center"/>
          </w:tcPr>
          <w:p>
            <w:pPr>
              <w:spacing w:before="60" w:after="60"/>
              <w:jc w:val="center"/>
              <w:rPr>
                <w:rFonts w:eastAsia="Times New Roman"/>
                <w:noProof/>
                <w:szCs w:val="24"/>
              </w:rPr>
            </w:pPr>
          </w:p>
        </w:tc>
        <w:tc>
          <w:tcPr>
            <w:tcW w:w="1548" w:type="dxa"/>
            <w:tcBorders>
              <w:top w:val="nil"/>
            </w:tcBorders>
            <w:shd w:val="clear" w:color="auto" w:fill="auto"/>
            <w:vAlign w:val="center"/>
          </w:tcPr>
          <w:p>
            <w:pPr>
              <w:spacing w:before="60" w:after="60"/>
              <w:jc w:val="right"/>
              <w:rPr>
                <w:rFonts w:eastAsia="Times New Roman"/>
                <w:noProof/>
                <w:szCs w:val="24"/>
              </w:rPr>
            </w:pPr>
            <w:r>
              <w:rPr>
                <w:rFonts w:eastAsia="Times New Roman"/>
                <w:noProof/>
                <w:szCs w:val="24"/>
              </w:rPr>
              <w:t>(</w:t>
            </w:r>
            <w:r>
              <w:rPr>
                <w:noProof/>
                <w:szCs w:val="24"/>
              </w:rPr>
              <w:t>81,79 </w:t>
            </w:r>
            <w:r>
              <w:rPr>
                <w:rFonts w:eastAsia="Times New Roman"/>
                <w:noProof/>
                <w:szCs w:val="24"/>
              </w:rPr>
              <w:t>%)</w:t>
            </w:r>
          </w:p>
        </w:tc>
      </w:tr>
      <w:tr>
        <w:tc>
          <w:tcPr>
            <w:tcW w:w="9288" w:type="dxa"/>
            <w:gridSpan w:val="4"/>
            <w:shd w:val="clear" w:color="auto" w:fill="auto"/>
            <w:vAlign w:val="center"/>
          </w:tcPr>
          <w:p>
            <w:pPr>
              <w:spacing w:before="60" w:after="60"/>
              <w:jc w:val="left"/>
              <w:rPr>
                <w:noProof/>
                <w:szCs w:val="24"/>
              </w:rPr>
            </w:pPr>
            <w:r>
              <w:rPr>
                <w:rFonts w:eastAsia="Times New Roman"/>
                <w:noProof/>
                <w:szCs w:val="24"/>
              </w:rPr>
              <w:t>Allowances and incentives (Actions under Article 7(1)(b) of the EGF Regulation)</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szCs w:val="24"/>
              </w:rPr>
            </w:pPr>
            <w:r>
              <w:rPr>
                <w:noProof/>
                <w:szCs w:val="24"/>
              </w:rPr>
              <w:t>Incentives</w:t>
            </w:r>
            <w:r>
              <w:rPr>
                <w:noProof/>
                <w:szCs w:val="24"/>
              </w:rPr>
              <w:br/>
              <w:t>(</w:t>
            </w:r>
            <w:r>
              <w:rPr>
                <w:i/>
                <w:noProof/>
                <w:szCs w:val="24"/>
              </w:rPr>
              <w:t>Programa de incentivos)</w:t>
            </w:r>
            <w:r>
              <w:rPr>
                <w:noProof/>
                <w:szCs w:val="24"/>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szCs w:val="24"/>
              </w:rPr>
            </w:pPr>
            <w:r>
              <w:rPr>
                <w:noProof/>
                <w:szCs w:val="24"/>
              </w:rPr>
              <w:t>212</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szCs w:val="24"/>
              </w:rPr>
            </w:pPr>
            <w:r>
              <w:rPr>
                <w:noProof/>
                <w:szCs w:val="24"/>
              </w:rPr>
              <w:t>979</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right"/>
              <w:rPr>
                <w:noProof/>
                <w:szCs w:val="24"/>
              </w:rPr>
            </w:pPr>
            <w:r>
              <w:rPr>
                <w:noProof/>
                <w:szCs w:val="24"/>
              </w:rPr>
              <w:t>207 600</w:t>
            </w:r>
          </w:p>
        </w:tc>
      </w:tr>
      <w:tr>
        <w:trPr>
          <w:trHeight w:val="203"/>
        </w:trPr>
        <w:tc>
          <w:tcPr>
            <w:tcW w:w="4644" w:type="dxa"/>
            <w:vMerge w:val="restart"/>
            <w:shd w:val="clear" w:color="auto" w:fill="auto"/>
            <w:vAlign w:val="center"/>
          </w:tcPr>
          <w:p>
            <w:pPr>
              <w:spacing w:before="60" w:after="60"/>
              <w:jc w:val="right"/>
              <w:rPr>
                <w:rFonts w:eastAsia="Times New Roman"/>
                <w:noProof/>
                <w:szCs w:val="24"/>
              </w:rPr>
            </w:pPr>
            <w:r>
              <w:rPr>
                <w:rFonts w:eastAsia="Times New Roman"/>
                <w:noProof/>
                <w:szCs w:val="24"/>
              </w:rPr>
              <w:t>Sub-total (b):</w:t>
            </w:r>
          </w:p>
          <w:p>
            <w:pPr>
              <w:spacing w:before="60" w:after="60"/>
              <w:jc w:val="right"/>
              <w:rPr>
                <w:rFonts w:eastAsia="Times New Roman"/>
                <w:noProof/>
                <w:szCs w:val="24"/>
              </w:rPr>
            </w:pPr>
            <w:r>
              <w:rPr>
                <w:rFonts w:eastAsia="Times New Roman"/>
                <w:noProof/>
                <w:szCs w:val="24"/>
              </w:rPr>
              <w:t>Percentage of the package of personalised services:</w:t>
            </w:r>
          </w:p>
        </w:tc>
        <w:tc>
          <w:tcPr>
            <w:tcW w:w="3096" w:type="dxa"/>
            <w:gridSpan w:val="2"/>
            <w:vMerge w:val="restart"/>
            <w:shd w:val="clear" w:color="auto" w:fill="D9D9D9"/>
            <w:vAlign w:val="center"/>
          </w:tcPr>
          <w:p>
            <w:pPr>
              <w:spacing w:before="60" w:after="60"/>
              <w:jc w:val="center"/>
              <w:rPr>
                <w:rFonts w:eastAsia="Times New Roman"/>
                <w:noProof/>
                <w:szCs w:val="24"/>
              </w:rPr>
            </w:pPr>
            <w:r>
              <w:rPr>
                <w:rFonts w:eastAsia="Times New Roman"/>
                <w:noProof/>
                <w:szCs w:val="24"/>
              </w:rPr>
              <w:t>–</w:t>
            </w:r>
          </w:p>
        </w:tc>
        <w:tc>
          <w:tcPr>
            <w:tcW w:w="1548" w:type="dxa"/>
            <w:tcBorders>
              <w:bottom w:val="nil"/>
            </w:tcBorders>
            <w:shd w:val="clear" w:color="auto" w:fill="auto"/>
            <w:vAlign w:val="center"/>
          </w:tcPr>
          <w:p>
            <w:pPr>
              <w:spacing w:before="60" w:after="60"/>
              <w:jc w:val="right"/>
              <w:rPr>
                <w:rFonts w:eastAsia="Times New Roman"/>
                <w:noProof/>
                <w:szCs w:val="24"/>
              </w:rPr>
            </w:pPr>
            <w:r>
              <w:rPr>
                <w:noProof/>
                <w:szCs w:val="24"/>
              </w:rPr>
              <w:t>207 600</w:t>
            </w:r>
          </w:p>
        </w:tc>
      </w:tr>
      <w:tr>
        <w:trPr>
          <w:trHeight w:val="202"/>
        </w:trPr>
        <w:tc>
          <w:tcPr>
            <w:tcW w:w="4644" w:type="dxa"/>
            <w:vMerge/>
            <w:shd w:val="clear" w:color="auto" w:fill="auto"/>
            <w:vAlign w:val="center"/>
          </w:tcPr>
          <w:p>
            <w:pPr>
              <w:spacing w:before="60" w:after="60"/>
              <w:jc w:val="right"/>
              <w:rPr>
                <w:rFonts w:eastAsia="Times New Roman"/>
                <w:noProof/>
                <w:szCs w:val="24"/>
              </w:rPr>
            </w:pPr>
          </w:p>
        </w:tc>
        <w:tc>
          <w:tcPr>
            <w:tcW w:w="3096" w:type="dxa"/>
            <w:gridSpan w:val="2"/>
            <w:vMerge/>
            <w:shd w:val="clear" w:color="auto" w:fill="D9D9D9"/>
            <w:vAlign w:val="center"/>
          </w:tcPr>
          <w:p>
            <w:pPr>
              <w:spacing w:before="60" w:after="60"/>
              <w:jc w:val="center"/>
              <w:rPr>
                <w:rFonts w:eastAsia="Times New Roman"/>
                <w:noProof/>
                <w:szCs w:val="24"/>
              </w:rPr>
            </w:pPr>
          </w:p>
        </w:tc>
        <w:tc>
          <w:tcPr>
            <w:tcW w:w="1548" w:type="dxa"/>
            <w:tcBorders>
              <w:top w:val="nil"/>
            </w:tcBorders>
            <w:shd w:val="clear" w:color="auto" w:fill="auto"/>
            <w:vAlign w:val="center"/>
          </w:tcPr>
          <w:p>
            <w:pPr>
              <w:spacing w:before="60" w:after="60"/>
              <w:jc w:val="right"/>
              <w:rPr>
                <w:rFonts w:eastAsia="Times New Roman"/>
                <w:noProof/>
                <w:szCs w:val="24"/>
              </w:rPr>
            </w:pPr>
            <w:r>
              <w:rPr>
                <w:rFonts w:eastAsia="Times New Roman"/>
                <w:noProof/>
                <w:szCs w:val="24"/>
              </w:rPr>
              <w:t>(</w:t>
            </w:r>
            <w:r>
              <w:rPr>
                <w:noProof/>
                <w:szCs w:val="24"/>
              </w:rPr>
              <w:t>18,21 </w:t>
            </w:r>
            <w:r>
              <w:rPr>
                <w:rFonts w:eastAsia="Times New Roman"/>
                <w:noProof/>
                <w:szCs w:val="24"/>
              </w:rPr>
              <w:t>%)</w:t>
            </w:r>
          </w:p>
        </w:tc>
      </w:tr>
      <w:tr>
        <w:tc>
          <w:tcPr>
            <w:tcW w:w="9288" w:type="dxa"/>
            <w:gridSpan w:val="4"/>
            <w:shd w:val="clear" w:color="auto" w:fill="auto"/>
            <w:vAlign w:val="center"/>
          </w:tcPr>
          <w:p>
            <w:pPr>
              <w:spacing w:before="60" w:after="60"/>
              <w:jc w:val="left"/>
              <w:rPr>
                <w:rFonts w:eastAsia="Times New Roman"/>
                <w:noProof/>
                <w:szCs w:val="24"/>
              </w:rPr>
            </w:pPr>
            <w:r>
              <w:rPr>
                <w:rFonts w:eastAsia="Times New Roman"/>
                <w:noProof/>
                <w:szCs w:val="24"/>
              </w:rPr>
              <w:t xml:space="preserve"> Actions under Article 7(4) of the EGF Regulation</w:t>
            </w:r>
          </w:p>
        </w:tc>
      </w:tr>
      <w:tr>
        <w:tc>
          <w:tcPr>
            <w:tcW w:w="4644" w:type="dxa"/>
            <w:shd w:val="clear" w:color="auto" w:fill="auto"/>
          </w:tcPr>
          <w:p>
            <w:pPr>
              <w:spacing w:before="60" w:after="60"/>
              <w:ind w:left="284"/>
              <w:jc w:val="left"/>
              <w:rPr>
                <w:rFonts w:eastAsia="Times New Roman"/>
                <w:noProof/>
                <w:szCs w:val="24"/>
              </w:rPr>
            </w:pPr>
            <w:r>
              <w:rPr>
                <w:rFonts w:eastAsia="Times New Roman"/>
                <w:noProof/>
                <w:szCs w:val="24"/>
              </w:rPr>
              <w:t>1. Preparatory activities</w:t>
            </w:r>
          </w:p>
        </w:tc>
        <w:tc>
          <w:tcPr>
            <w:tcW w:w="3096" w:type="dxa"/>
            <w:gridSpan w:val="2"/>
            <w:shd w:val="clear" w:color="auto" w:fill="D9D9D9"/>
            <w:vAlign w:val="center"/>
          </w:tcPr>
          <w:p>
            <w:pPr>
              <w:spacing w:before="60" w:after="60"/>
              <w:jc w:val="center"/>
              <w:rPr>
                <w:rFonts w:eastAsia="Times New Roman"/>
                <w:noProof/>
                <w:szCs w:val="24"/>
              </w:rPr>
            </w:pPr>
            <w:r>
              <w:rPr>
                <w:rFonts w:eastAsia="Times New Roman"/>
                <w:noProof/>
                <w:szCs w:val="24"/>
              </w:rPr>
              <w:t>–</w:t>
            </w:r>
          </w:p>
        </w:tc>
        <w:tc>
          <w:tcPr>
            <w:tcW w:w="1548" w:type="dxa"/>
            <w:shd w:val="clear" w:color="auto" w:fill="auto"/>
          </w:tcPr>
          <w:p>
            <w:pPr>
              <w:spacing w:before="60" w:after="60"/>
              <w:jc w:val="right"/>
              <w:rPr>
                <w:rFonts w:eastAsia="Times New Roman"/>
                <w:noProof/>
                <w:szCs w:val="24"/>
              </w:rPr>
            </w:pPr>
            <w:r>
              <w:rPr>
                <w:noProof/>
                <w:szCs w:val="24"/>
              </w:rPr>
              <w:t>0</w:t>
            </w:r>
          </w:p>
        </w:tc>
      </w:tr>
      <w:tr>
        <w:tc>
          <w:tcPr>
            <w:tcW w:w="4644" w:type="dxa"/>
            <w:shd w:val="clear" w:color="auto" w:fill="auto"/>
          </w:tcPr>
          <w:p>
            <w:pPr>
              <w:spacing w:before="60" w:after="60"/>
              <w:ind w:left="284"/>
              <w:jc w:val="left"/>
              <w:rPr>
                <w:rFonts w:eastAsia="Times New Roman"/>
                <w:noProof/>
                <w:szCs w:val="24"/>
              </w:rPr>
            </w:pPr>
            <w:r>
              <w:rPr>
                <w:rFonts w:eastAsia="Times New Roman"/>
                <w:noProof/>
                <w:szCs w:val="24"/>
              </w:rPr>
              <w:t>2. Management</w:t>
            </w:r>
          </w:p>
        </w:tc>
        <w:tc>
          <w:tcPr>
            <w:tcW w:w="3096" w:type="dxa"/>
            <w:gridSpan w:val="2"/>
            <w:shd w:val="clear" w:color="auto" w:fill="D9D9D9"/>
            <w:vAlign w:val="center"/>
          </w:tcPr>
          <w:p>
            <w:pPr>
              <w:spacing w:before="60" w:after="60"/>
              <w:jc w:val="center"/>
              <w:rPr>
                <w:rFonts w:eastAsia="Times New Roman"/>
                <w:noProof/>
                <w:szCs w:val="24"/>
              </w:rPr>
            </w:pPr>
            <w:r>
              <w:rPr>
                <w:rFonts w:eastAsia="Times New Roman"/>
                <w:noProof/>
                <w:szCs w:val="24"/>
              </w:rPr>
              <w:t>–</w:t>
            </w:r>
          </w:p>
        </w:tc>
        <w:tc>
          <w:tcPr>
            <w:tcW w:w="1548" w:type="dxa"/>
            <w:shd w:val="clear" w:color="auto" w:fill="auto"/>
          </w:tcPr>
          <w:p>
            <w:pPr>
              <w:spacing w:before="60" w:after="60"/>
              <w:jc w:val="right"/>
              <w:rPr>
                <w:rFonts w:eastAsia="Times New Roman"/>
                <w:noProof/>
                <w:szCs w:val="24"/>
              </w:rPr>
            </w:pPr>
            <w:r>
              <w:rPr>
                <w:noProof/>
                <w:szCs w:val="24"/>
              </w:rPr>
              <w:t>48 000</w:t>
            </w:r>
          </w:p>
        </w:tc>
      </w:tr>
      <w:tr>
        <w:tc>
          <w:tcPr>
            <w:tcW w:w="4644" w:type="dxa"/>
            <w:shd w:val="clear" w:color="auto" w:fill="auto"/>
          </w:tcPr>
          <w:p>
            <w:pPr>
              <w:spacing w:before="60" w:after="60"/>
              <w:ind w:left="284"/>
              <w:jc w:val="left"/>
              <w:rPr>
                <w:rFonts w:eastAsia="Times New Roman"/>
                <w:noProof/>
                <w:szCs w:val="24"/>
              </w:rPr>
            </w:pPr>
            <w:r>
              <w:rPr>
                <w:rFonts w:eastAsia="Times New Roman"/>
                <w:noProof/>
                <w:szCs w:val="24"/>
              </w:rPr>
              <w:t>3. Information and publicity</w:t>
            </w:r>
          </w:p>
        </w:tc>
        <w:tc>
          <w:tcPr>
            <w:tcW w:w="3096" w:type="dxa"/>
            <w:gridSpan w:val="2"/>
            <w:shd w:val="clear" w:color="auto" w:fill="D9D9D9"/>
            <w:vAlign w:val="center"/>
          </w:tcPr>
          <w:p>
            <w:pPr>
              <w:spacing w:before="60" w:after="60"/>
              <w:jc w:val="center"/>
              <w:rPr>
                <w:rFonts w:eastAsia="Times New Roman"/>
                <w:noProof/>
                <w:szCs w:val="24"/>
              </w:rPr>
            </w:pPr>
            <w:r>
              <w:rPr>
                <w:rFonts w:eastAsia="Times New Roman"/>
                <w:noProof/>
                <w:szCs w:val="24"/>
              </w:rPr>
              <w:t>–</w:t>
            </w:r>
          </w:p>
        </w:tc>
        <w:tc>
          <w:tcPr>
            <w:tcW w:w="1548" w:type="dxa"/>
            <w:shd w:val="clear" w:color="auto" w:fill="auto"/>
          </w:tcPr>
          <w:p>
            <w:pPr>
              <w:spacing w:before="60" w:after="60"/>
              <w:jc w:val="right"/>
              <w:rPr>
                <w:rFonts w:eastAsia="Times New Roman"/>
                <w:noProof/>
                <w:szCs w:val="24"/>
              </w:rPr>
            </w:pPr>
            <w:r>
              <w:rPr>
                <w:noProof/>
                <w:szCs w:val="24"/>
              </w:rPr>
              <w:t>3 000</w:t>
            </w:r>
          </w:p>
        </w:tc>
      </w:tr>
      <w:tr>
        <w:tc>
          <w:tcPr>
            <w:tcW w:w="4644" w:type="dxa"/>
            <w:shd w:val="clear" w:color="auto" w:fill="auto"/>
          </w:tcPr>
          <w:p>
            <w:pPr>
              <w:spacing w:before="60" w:after="60"/>
              <w:ind w:left="284"/>
              <w:jc w:val="left"/>
              <w:rPr>
                <w:rFonts w:eastAsia="Times New Roman"/>
                <w:noProof/>
                <w:szCs w:val="24"/>
              </w:rPr>
            </w:pPr>
            <w:r>
              <w:rPr>
                <w:rFonts w:eastAsia="Times New Roman"/>
                <w:noProof/>
                <w:szCs w:val="24"/>
              </w:rPr>
              <w:t>4. Control and reporting</w:t>
            </w:r>
          </w:p>
        </w:tc>
        <w:tc>
          <w:tcPr>
            <w:tcW w:w="3096" w:type="dxa"/>
            <w:gridSpan w:val="2"/>
            <w:shd w:val="clear" w:color="auto" w:fill="D9D9D9"/>
            <w:vAlign w:val="center"/>
          </w:tcPr>
          <w:p>
            <w:pPr>
              <w:spacing w:before="60" w:after="60"/>
              <w:jc w:val="center"/>
              <w:rPr>
                <w:rFonts w:eastAsia="Times New Roman"/>
                <w:noProof/>
                <w:szCs w:val="24"/>
              </w:rPr>
            </w:pPr>
            <w:r>
              <w:rPr>
                <w:rFonts w:eastAsia="Times New Roman"/>
                <w:noProof/>
                <w:szCs w:val="24"/>
              </w:rPr>
              <w:t>–</w:t>
            </w:r>
          </w:p>
        </w:tc>
        <w:tc>
          <w:tcPr>
            <w:tcW w:w="1548" w:type="dxa"/>
            <w:tcBorders>
              <w:bottom w:val="single" w:sz="4" w:space="0" w:color="auto"/>
            </w:tcBorders>
            <w:shd w:val="clear" w:color="auto" w:fill="auto"/>
          </w:tcPr>
          <w:p>
            <w:pPr>
              <w:spacing w:before="60" w:after="60"/>
              <w:jc w:val="right"/>
              <w:rPr>
                <w:rFonts w:eastAsia="Times New Roman"/>
                <w:noProof/>
                <w:szCs w:val="24"/>
              </w:rPr>
            </w:pPr>
            <w:r>
              <w:rPr>
                <w:noProof/>
                <w:szCs w:val="24"/>
              </w:rPr>
              <w:t>9 000</w:t>
            </w:r>
          </w:p>
        </w:tc>
      </w:tr>
      <w:tr>
        <w:trPr>
          <w:trHeight w:val="203"/>
        </w:trPr>
        <w:tc>
          <w:tcPr>
            <w:tcW w:w="4644" w:type="dxa"/>
            <w:vMerge w:val="restart"/>
            <w:shd w:val="clear" w:color="auto" w:fill="auto"/>
            <w:vAlign w:val="center"/>
          </w:tcPr>
          <w:p>
            <w:pPr>
              <w:spacing w:before="60" w:after="60"/>
              <w:jc w:val="right"/>
              <w:rPr>
                <w:rFonts w:eastAsia="Times New Roman"/>
                <w:noProof/>
                <w:szCs w:val="24"/>
              </w:rPr>
            </w:pPr>
            <w:r>
              <w:rPr>
                <w:rFonts w:eastAsia="Times New Roman"/>
                <w:noProof/>
                <w:szCs w:val="24"/>
              </w:rPr>
              <w:t>Sub-total (c):</w:t>
            </w:r>
          </w:p>
          <w:p>
            <w:pPr>
              <w:spacing w:before="60" w:after="60"/>
              <w:jc w:val="right"/>
              <w:rPr>
                <w:rFonts w:eastAsia="Times New Roman"/>
                <w:noProof/>
                <w:szCs w:val="24"/>
              </w:rPr>
            </w:pPr>
            <w:r>
              <w:rPr>
                <w:rFonts w:eastAsia="Times New Roman"/>
                <w:noProof/>
                <w:szCs w:val="24"/>
              </w:rPr>
              <w:t>Percentage of the total costs :</w:t>
            </w:r>
          </w:p>
        </w:tc>
        <w:tc>
          <w:tcPr>
            <w:tcW w:w="3096" w:type="dxa"/>
            <w:gridSpan w:val="2"/>
            <w:vMerge w:val="restart"/>
            <w:shd w:val="clear" w:color="auto" w:fill="D9D9D9"/>
            <w:vAlign w:val="center"/>
          </w:tcPr>
          <w:p>
            <w:pPr>
              <w:spacing w:before="0" w:after="0"/>
              <w:jc w:val="center"/>
              <w:rPr>
                <w:rFonts w:eastAsia="Times New Roman"/>
                <w:noProof/>
                <w:szCs w:val="24"/>
              </w:rPr>
            </w:pPr>
            <w:r>
              <w:rPr>
                <w:rFonts w:eastAsia="Times New Roman"/>
                <w:noProof/>
                <w:szCs w:val="24"/>
              </w:rPr>
              <w:t>–</w:t>
            </w:r>
          </w:p>
        </w:tc>
        <w:tc>
          <w:tcPr>
            <w:tcW w:w="1548" w:type="dxa"/>
            <w:tcBorders>
              <w:bottom w:val="nil"/>
            </w:tcBorders>
            <w:shd w:val="clear" w:color="auto" w:fill="auto"/>
            <w:vAlign w:val="center"/>
          </w:tcPr>
          <w:p>
            <w:pPr>
              <w:spacing w:before="60" w:after="60"/>
              <w:jc w:val="right"/>
              <w:rPr>
                <w:rFonts w:eastAsia="Times New Roman"/>
                <w:noProof/>
                <w:szCs w:val="24"/>
              </w:rPr>
            </w:pPr>
            <w:r>
              <w:rPr>
                <w:noProof/>
                <w:szCs w:val="24"/>
              </w:rPr>
              <w:t>60 000</w:t>
            </w:r>
          </w:p>
        </w:tc>
      </w:tr>
      <w:tr>
        <w:trPr>
          <w:trHeight w:val="202"/>
        </w:trPr>
        <w:tc>
          <w:tcPr>
            <w:tcW w:w="4644" w:type="dxa"/>
            <w:vMerge/>
            <w:shd w:val="clear" w:color="auto" w:fill="auto"/>
          </w:tcPr>
          <w:p>
            <w:pPr>
              <w:spacing w:before="0" w:after="0"/>
              <w:jc w:val="right"/>
              <w:rPr>
                <w:rFonts w:eastAsia="Times New Roman"/>
                <w:noProof/>
                <w:szCs w:val="24"/>
              </w:rPr>
            </w:pPr>
          </w:p>
        </w:tc>
        <w:tc>
          <w:tcPr>
            <w:tcW w:w="3096" w:type="dxa"/>
            <w:gridSpan w:val="2"/>
            <w:vMerge/>
            <w:shd w:val="clear" w:color="auto" w:fill="D9D9D9"/>
            <w:vAlign w:val="center"/>
          </w:tcPr>
          <w:p>
            <w:pPr>
              <w:spacing w:before="0" w:after="0"/>
              <w:jc w:val="center"/>
              <w:rPr>
                <w:rFonts w:eastAsia="Times New Roman"/>
                <w:noProof/>
                <w:szCs w:val="24"/>
              </w:rPr>
            </w:pPr>
          </w:p>
        </w:tc>
        <w:tc>
          <w:tcPr>
            <w:tcW w:w="1548" w:type="dxa"/>
            <w:tcBorders>
              <w:top w:val="nil"/>
            </w:tcBorders>
            <w:shd w:val="clear" w:color="auto" w:fill="auto"/>
            <w:vAlign w:val="center"/>
          </w:tcPr>
          <w:p>
            <w:pPr>
              <w:spacing w:before="60" w:after="60"/>
              <w:jc w:val="right"/>
              <w:rPr>
                <w:rFonts w:eastAsia="Times New Roman"/>
                <w:noProof/>
                <w:szCs w:val="24"/>
              </w:rPr>
            </w:pPr>
            <w:r>
              <w:rPr>
                <w:rFonts w:eastAsia="Times New Roman"/>
                <w:noProof/>
                <w:szCs w:val="24"/>
              </w:rPr>
              <w:t>(</w:t>
            </w:r>
            <w:r>
              <w:rPr>
                <w:noProof/>
                <w:szCs w:val="24"/>
              </w:rPr>
              <w:t>5,00 </w:t>
            </w:r>
            <w:r>
              <w:rPr>
                <w:rFonts w:eastAsia="Times New Roman"/>
                <w:noProof/>
                <w:szCs w:val="24"/>
              </w:rPr>
              <w:t>%)</w:t>
            </w:r>
          </w:p>
        </w:tc>
      </w:tr>
      <w:tr>
        <w:tc>
          <w:tcPr>
            <w:tcW w:w="4644" w:type="dxa"/>
            <w:shd w:val="clear" w:color="auto" w:fill="auto"/>
          </w:tcPr>
          <w:p>
            <w:pPr>
              <w:spacing w:before="60" w:after="60"/>
              <w:jc w:val="left"/>
              <w:rPr>
                <w:rFonts w:eastAsia="Times New Roman"/>
                <w:noProof/>
                <w:szCs w:val="24"/>
              </w:rPr>
            </w:pPr>
            <w:r>
              <w:rPr>
                <w:rFonts w:eastAsia="Times New Roman"/>
                <w:noProof/>
                <w:szCs w:val="24"/>
              </w:rPr>
              <w:t>Total costs (a + b + c):</w:t>
            </w:r>
          </w:p>
        </w:tc>
        <w:tc>
          <w:tcPr>
            <w:tcW w:w="3096" w:type="dxa"/>
            <w:gridSpan w:val="2"/>
            <w:shd w:val="clear" w:color="auto" w:fill="D9D9D9"/>
            <w:vAlign w:val="center"/>
          </w:tcPr>
          <w:p>
            <w:pPr>
              <w:spacing w:before="60" w:after="60"/>
              <w:jc w:val="center"/>
              <w:rPr>
                <w:rFonts w:eastAsia="Times New Roman"/>
                <w:noProof/>
                <w:szCs w:val="24"/>
              </w:rPr>
            </w:pPr>
            <w:r>
              <w:rPr>
                <w:rFonts w:eastAsia="Times New Roman"/>
                <w:noProof/>
                <w:szCs w:val="24"/>
              </w:rPr>
              <w:t>–</w:t>
            </w:r>
          </w:p>
        </w:tc>
        <w:tc>
          <w:tcPr>
            <w:tcW w:w="1548" w:type="dxa"/>
            <w:shd w:val="clear" w:color="auto" w:fill="auto"/>
          </w:tcPr>
          <w:p>
            <w:pPr>
              <w:spacing w:before="60" w:after="60"/>
              <w:jc w:val="right"/>
              <w:rPr>
                <w:noProof/>
                <w:szCs w:val="24"/>
              </w:rPr>
            </w:pPr>
            <w:r>
              <w:rPr>
                <w:noProof/>
                <w:szCs w:val="24"/>
              </w:rPr>
              <w:t>1 200 000</w:t>
            </w:r>
          </w:p>
        </w:tc>
      </w:tr>
      <w:tr>
        <w:tc>
          <w:tcPr>
            <w:tcW w:w="4644" w:type="dxa"/>
            <w:shd w:val="clear" w:color="auto" w:fill="auto"/>
          </w:tcPr>
          <w:p>
            <w:pPr>
              <w:spacing w:before="60" w:after="60"/>
              <w:jc w:val="left"/>
              <w:rPr>
                <w:rFonts w:eastAsia="Times New Roman"/>
                <w:noProof/>
                <w:szCs w:val="24"/>
              </w:rPr>
            </w:pPr>
            <w:r>
              <w:rPr>
                <w:rFonts w:eastAsia="Times New Roman"/>
                <w:noProof/>
                <w:szCs w:val="24"/>
              </w:rPr>
              <w:t>EGF contribution (60 % of total costs)</w:t>
            </w:r>
          </w:p>
        </w:tc>
        <w:tc>
          <w:tcPr>
            <w:tcW w:w="3096" w:type="dxa"/>
            <w:gridSpan w:val="2"/>
            <w:shd w:val="clear" w:color="auto" w:fill="D9D9D9"/>
            <w:vAlign w:val="center"/>
          </w:tcPr>
          <w:p>
            <w:pPr>
              <w:spacing w:before="60" w:after="60"/>
              <w:jc w:val="center"/>
              <w:rPr>
                <w:rFonts w:eastAsia="Times New Roman"/>
                <w:noProof/>
                <w:szCs w:val="24"/>
              </w:rPr>
            </w:pPr>
            <w:r>
              <w:rPr>
                <w:rFonts w:eastAsia="Times New Roman"/>
                <w:noProof/>
                <w:szCs w:val="24"/>
              </w:rPr>
              <w:t>–</w:t>
            </w:r>
          </w:p>
        </w:tc>
        <w:tc>
          <w:tcPr>
            <w:tcW w:w="1548" w:type="dxa"/>
            <w:shd w:val="clear" w:color="auto" w:fill="auto"/>
          </w:tcPr>
          <w:p>
            <w:pPr>
              <w:spacing w:before="60" w:after="60"/>
              <w:jc w:val="right"/>
              <w:rPr>
                <w:rFonts w:eastAsia="Times New Roman"/>
                <w:noProof/>
                <w:szCs w:val="24"/>
              </w:rPr>
            </w:pPr>
            <w:r>
              <w:rPr>
                <w:noProof/>
                <w:szCs w:val="24"/>
              </w:rPr>
              <w:t>720 000</w:t>
            </w:r>
          </w:p>
        </w:tc>
      </w:tr>
    </w:tbl>
    <w:p>
      <w:pPr>
        <w:pStyle w:val="ManualNumPar1"/>
        <w:rPr>
          <w:noProof/>
          <w:szCs w:val="20"/>
        </w:rPr>
      </w:pPr>
      <w:r>
        <w:t>26.</w:t>
      </w:r>
      <w:r>
        <w:tab/>
      </w:r>
      <w:r>
        <w:rPr>
          <w:noProof/>
        </w:rPr>
        <w:t>The costs of the actions identified in the table above as actions under Article 7(1)(b) of the EGF Regulation do not exceed 35 % of the total costs for the coordinated package of personalised services. Spain confirmed that these actions are conditional on the active participation of the targeted beneficiaries in job-search or training activities.</w:t>
      </w:r>
    </w:p>
    <w:p>
      <w:pPr>
        <w:pStyle w:val="ManualHeading3"/>
        <w:rPr>
          <w:noProof/>
        </w:rPr>
      </w:pPr>
      <w:r>
        <w:rPr>
          <w:noProof/>
        </w:rPr>
        <w:t>Period of eligibility of expenditure</w:t>
      </w:r>
    </w:p>
    <w:p>
      <w:pPr>
        <w:pStyle w:val="ManualNumPar1"/>
        <w:rPr>
          <w:noProof/>
        </w:rPr>
      </w:pPr>
      <w:r>
        <w:t>27.</w:t>
      </w:r>
      <w:r>
        <w:tab/>
      </w:r>
      <w:r>
        <w:rPr>
          <w:noProof/>
        </w:rPr>
        <w:t>Spain started providing the personalised services to the targeted beneficiaries on 4 September 2017. The expenditure on the actions will therefore be eligible for a financial contribution from the EGF from 4 September 2017 to 4 September 2019.</w:t>
      </w:r>
    </w:p>
    <w:p>
      <w:pPr>
        <w:pStyle w:val="ManualNumPar1"/>
        <w:rPr>
          <w:noProof/>
        </w:rPr>
      </w:pPr>
      <w:r>
        <w:t>28.</w:t>
      </w:r>
      <w:r>
        <w:tab/>
      </w:r>
      <w:r>
        <w:rPr>
          <w:noProof/>
        </w:rPr>
        <w:t xml:space="preserve">Spain started incurring the administrative expenditure to implement the EGF on 21 August 2017. The expenditure for preparatory, management, information and publicity, control and reporting activities shall therefore be eligible for a financial contribution from the EGF from 21 August 2017 to 4 March 2020. </w:t>
      </w:r>
    </w:p>
    <w:p>
      <w:pPr>
        <w:pStyle w:val="ManualHeading3"/>
        <w:rPr>
          <w:noProof/>
        </w:rPr>
      </w:pPr>
      <w:r>
        <w:rPr>
          <w:noProof/>
        </w:rPr>
        <w:t>Complementarity with actions funded by national or Union funds</w:t>
      </w:r>
    </w:p>
    <w:p>
      <w:pPr>
        <w:pStyle w:val="ManualNumPar1"/>
        <w:rPr>
          <w:noProof/>
        </w:rPr>
      </w:pPr>
      <w:r>
        <w:t>29.</w:t>
      </w:r>
      <w:r>
        <w:tab/>
      </w:r>
      <w:r>
        <w:rPr>
          <w:noProof/>
        </w:rPr>
        <w:t>The source of national pre-financing or co-funding are funds of the autonomous region Galicia.</w:t>
      </w:r>
    </w:p>
    <w:p>
      <w:pPr>
        <w:pStyle w:val="ManualNumPar1"/>
        <w:rPr>
          <w:noProof/>
        </w:rPr>
      </w:pPr>
      <w:r>
        <w:t>30.</w:t>
      </w:r>
      <w:r>
        <w:tab/>
      </w:r>
      <w:r>
        <w:rPr>
          <w:noProof/>
        </w:rPr>
        <w:t>Spain has confirmed that the measures described above receiving a financial contribution from the EGF will not also receive financial contributions from other Union financial instruments.</w:t>
      </w:r>
    </w:p>
    <w:p>
      <w:pPr>
        <w:pStyle w:val="ManualHeading3"/>
        <w:tabs>
          <w:tab w:val="clear" w:pos="850"/>
          <w:tab w:val="left" w:pos="0"/>
        </w:tabs>
        <w:ind w:left="0" w:firstLine="0"/>
        <w:rPr>
          <w:noProof/>
          <w:u w:val="single"/>
        </w:rPr>
      </w:pPr>
      <w:r>
        <w:rPr>
          <w:noProof/>
        </w:rPr>
        <w:t>Procedures for consulting the targeted beneficiaries or their representatives or the social partners as well as local and regional authorities</w:t>
      </w:r>
    </w:p>
    <w:p>
      <w:pPr>
        <w:pStyle w:val="ManualNumPar1"/>
        <w:rPr>
          <w:noProof/>
        </w:rPr>
      </w:pPr>
      <w:r>
        <w:t>31.</w:t>
      </w:r>
      <w:r>
        <w:tab/>
      </w:r>
      <w:r>
        <w:rPr>
          <w:noProof/>
        </w:rPr>
        <w:t xml:space="preserve">Spain has indicated that the co-ordinated package of personalised services has been drawn up in consultation with the social partners. On a first meeting held on 28 September 2017, they were informed about the application submitted for EGF co-funding in support of workers made redundant in the wearing apparel sector in Galicia. On the occasion, they were also invited to participate in round tables where the measures to be provided were discussed. The round tables took place on various dates in October. Since the social partners had actively participated in the previous cases submitted by the Galician authorities, as implementing bodies, they are knowledgeable about the added value of the EGF co-funded measures and they committed to the case. </w:t>
      </w:r>
    </w:p>
    <w:p>
      <w:pPr>
        <w:pStyle w:val="ManualHeading2"/>
        <w:rPr>
          <w:noProof/>
        </w:rPr>
      </w:pPr>
      <w:r>
        <w:rPr>
          <w:noProof/>
        </w:rPr>
        <w:t>Management and control systems</w:t>
      </w:r>
    </w:p>
    <w:p>
      <w:pPr>
        <w:pStyle w:val="ManualNumPar1"/>
        <w:rPr>
          <w:noProof/>
        </w:rPr>
      </w:pPr>
      <w:r>
        <w:t>32.</w:t>
      </w:r>
      <w:r>
        <w:tab/>
      </w:r>
      <w:r>
        <w:rPr>
          <w:noProof/>
        </w:rPr>
        <w:t>The application contains a description of the management and control system which specifies the responsibilities of the bodies involved. Spain has notified the Commission that the financial contribution will be managed and controlled by the same bodies that manage and control the ESF. The Xunta de Galicia will be the intermediate body for the managing authority</w:t>
      </w:r>
      <w:r>
        <w:rPr>
          <w:rStyle w:val="FootnoteReference"/>
          <w:noProof/>
        </w:rPr>
        <w:footnoteReference w:id="12"/>
      </w:r>
      <w:r>
        <w:rPr>
          <w:noProof/>
        </w:rPr>
        <w:t>.</w:t>
      </w:r>
    </w:p>
    <w:p>
      <w:pPr>
        <w:pStyle w:val="ManualHeading2"/>
        <w:rPr>
          <w:noProof/>
        </w:rPr>
      </w:pPr>
      <w:r>
        <w:rPr>
          <w:noProof/>
        </w:rPr>
        <w:t>Commitments provided by the Member State concerned</w:t>
      </w:r>
    </w:p>
    <w:p>
      <w:pPr>
        <w:pStyle w:val="ManualNumPar1"/>
        <w:rPr>
          <w:noProof/>
        </w:rPr>
      </w:pPr>
      <w:r>
        <w:t>33.</w:t>
      </w:r>
      <w:r>
        <w:tab/>
      </w:r>
      <w:r>
        <w:rPr>
          <w:noProof/>
        </w:rPr>
        <w:t xml:space="preserve">Spain has provided all necessary assurances regarding the following: </w:t>
      </w:r>
    </w:p>
    <w:p>
      <w:pPr>
        <w:pStyle w:val="Tiret1"/>
        <w:numPr>
          <w:ilvl w:val="0"/>
          <w:numId w:val="12"/>
        </w:numPr>
        <w:rPr>
          <w:noProof/>
        </w:rPr>
      </w:pPr>
      <w:r>
        <w:rPr>
          <w:noProof/>
        </w:rPr>
        <w:t>the principles of equality of treatment and non-discrimination will be respected in the access to the proposed actions and their implementation,</w:t>
      </w:r>
    </w:p>
    <w:p>
      <w:pPr>
        <w:pStyle w:val="Tiret1"/>
        <w:numPr>
          <w:ilvl w:val="0"/>
          <w:numId w:val="12"/>
        </w:numPr>
        <w:rPr>
          <w:noProof/>
        </w:rPr>
      </w:pPr>
      <w:r>
        <w:rPr>
          <w:noProof/>
        </w:rPr>
        <w:t>the requirements laid down in national and EU legislation concerning collective redundancies have been complied with,</w:t>
      </w:r>
    </w:p>
    <w:p>
      <w:pPr>
        <w:pStyle w:val="Tiret1"/>
        <w:numPr>
          <w:ilvl w:val="0"/>
          <w:numId w:val="12"/>
        </w:numPr>
        <w:rPr>
          <w:noProof/>
        </w:rPr>
      </w:pPr>
      <w:r>
        <w:rPr>
          <w:noProof/>
        </w:rPr>
        <w:t>the dismissing enterprises, which have continued their activities after the lay-offs, have complied with their legal obligations governing the redundancies and provided for their workers accordingly,</w:t>
      </w:r>
    </w:p>
    <w:p>
      <w:pPr>
        <w:pStyle w:val="Tiret1"/>
        <w:numPr>
          <w:ilvl w:val="0"/>
          <w:numId w:val="12"/>
        </w:numPr>
        <w:rPr>
          <w:noProof/>
        </w:rPr>
      </w:pPr>
      <w:r>
        <w:rPr>
          <w:noProof/>
        </w:rPr>
        <w:t>the proposed actions will not receive financial support from other Union funds or financial instruments and any double financing will be prevented,</w:t>
      </w:r>
    </w:p>
    <w:p>
      <w:pPr>
        <w:pStyle w:val="Tiret1"/>
        <w:numPr>
          <w:ilvl w:val="0"/>
          <w:numId w:val="12"/>
        </w:numPr>
        <w:rPr>
          <w:noProof/>
        </w:rPr>
      </w:pPr>
      <w:r>
        <w:rPr>
          <w:noProof/>
        </w:rPr>
        <w:t>the proposed actions will be complementary with actions funded by the Structural Funds,</w:t>
      </w:r>
    </w:p>
    <w:p>
      <w:pPr>
        <w:pStyle w:val="Tiret1"/>
        <w:numPr>
          <w:ilvl w:val="0"/>
          <w:numId w:val="12"/>
        </w:numPr>
        <w:rPr>
          <w:noProof/>
        </w:rPr>
      </w:pPr>
      <w:r>
        <w:rPr>
          <w:noProof/>
        </w:rPr>
        <w:t>the financial contribution from the EGF will comply with the procedural and material Union rules on State aids.</w:t>
      </w:r>
    </w:p>
    <w:p>
      <w:pPr>
        <w:pStyle w:val="ManualHeading1"/>
        <w:rPr>
          <w:noProof/>
        </w:rPr>
      </w:pPr>
      <w:r>
        <w:rPr>
          <w:noProof/>
        </w:rPr>
        <w:t>BUDGETARY IMPLICATION</w:t>
      </w:r>
    </w:p>
    <w:p>
      <w:pPr>
        <w:pStyle w:val="ManualHeading2"/>
        <w:rPr>
          <w:noProof/>
        </w:rPr>
      </w:pPr>
      <w:r>
        <w:rPr>
          <w:noProof/>
        </w:rPr>
        <w:t>Budgetary proposal</w:t>
      </w:r>
    </w:p>
    <w:p>
      <w:pPr>
        <w:pStyle w:val="ManualNumPar1"/>
        <w:rPr>
          <w:noProof/>
        </w:rPr>
      </w:pPr>
      <w:r>
        <w:t>34.</w:t>
      </w:r>
      <w:r>
        <w:tab/>
      </w:r>
      <w:r>
        <w:rPr>
          <w:noProof/>
        </w:rPr>
        <w:t>The EGF shall not exceed a maximum annual amount of EUR 150 million (2011 prices), as laid down in Article 12 of Council Regulation (EU, Euratom) No 1311/2013 of 2 December 2013 laying down the multiannual financial framework for the years 2014-2020</w:t>
      </w:r>
      <w:r>
        <w:rPr>
          <w:rStyle w:val="FootnoteReference"/>
          <w:noProof/>
        </w:rPr>
        <w:footnoteReference w:id="13"/>
      </w:r>
      <w:r>
        <w:rPr>
          <w:noProof/>
        </w:rPr>
        <w:t>.</w:t>
      </w:r>
    </w:p>
    <w:p>
      <w:pPr>
        <w:pStyle w:val="ManualNumPar1"/>
        <w:rPr>
          <w:rFonts w:eastAsia="Calibri"/>
          <w:noProof/>
        </w:rPr>
      </w:pPr>
      <w:r>
        <w:t>35.</w:t>
      </w:r>
      <w:r>
        <w:tab/>
      </w:r>
      <w:r>
        <w:rPr>
          <w:noProof/>
        </w:rPr>
        <w:t>Having examined the application in respect of the conditions set out in Article 13(1) of the EGF Regulation, and having taken into account the number of targeted beneficiaries, the proposed actions and the estimated costs, the Commission proposes to mobilise the EGF for the amount of EUR 720 000</w:t>
      </w:r>
      <w:r>
        <w:rPr>
          <w:rFonts w:eastAsia="Calibri"/>
          <w:noProof/>
        </w:rPr>
        <w:t>, representing 60 % of the total costs of the proposed actions,</w:t>
      </w:r>
      <w:r>
        <w:rPr>
          <w:noProof/>
        </w:rPr>
        <w:t xml:space="preserve"> </w:t>
      </w:r>
      <w:r>
        <w:rPr>
          <w:rFonts w:eastAsia="Calibri"/>
          <w:noProof/>
        </w:rPr>
        <w:t>in order to provide a financial contribution for the application.</w:t>
      </w:r>
    </w:p>
    <w:p>
      <w:pPr>
        <w:pStyle w:val="ManualNumPar1"/>
        <w:rPr>
          <w:rFonts w:eastAsia="Times New Roman"/>
          <w:noProof/>
        </w:rPr>
      </w:pPr>
      <w:r>
        <w:t>36.</w:t>
      </w:r>
      <w:r>
        <w:tab/>
      </w:r>
      <w:r>
        <w:rPr>
          <w:noProof/>
        </w:rPr>
        <w:t>The proposed decision to mobilise the EGF will be taken jointly by the European Parliament and the Council, as laid down in point 13 of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14"/>
      </w:r>
      <w:r>
        <w:rPr>
          <w:noProof/>
        </w:rPr>
        <w:t>.</w:t>
      </w:r>
    </w:p>
    <w:p>
      <w:pPr>
        <w:pStyle w:val="ManualHeading2"/>
        <w:rPr>
          <w:noProof/>
        </w:rPr>
      </w:pPr>
      <w:r>
        <w:rPr>
          <w:noProof/>
        </w:rPr>
        <w:t>Related acts</w:t>
      </w:r>
    </w:p>
    <w:p>
      <w:pPr>
        <w:pStyle w:val="ManualNumPar1"/>
        <w:rPr>
          <w:noProof/>
        </w:rPr>
      </w:pPr>
      <w:r>
        <w:t>37.</w:t>
      </w:r>
      <w:r>
        <w:tab/>
      </w:r>
      <w:r>
        <w:rPr>
          <w:noProof/>
        </w:rPr>
        <w:t>At the same time as it presents this proposal for a decision to mobilise the EGF, the Commission will present to the European Parliament and to the Council a proposal for a transfer to the relevant budgetary line for the amount of EUR 720 000.</w:t>
      </w:r>
    </w:p>
    <w:p>
      <w:pPr>
        <w:pStyle w:val="ManualNumPar1"/>
        <w:rPr>
          <w:noProof/>
        </w:rPr>
      </w:pPr>
      <w:r>
        <w:t>38.</w:t>
      </w:r>
      <w:r>
        <w:tab/>
      </w:r>
      <w:r>
        <w:rPr>
          <w:noProof/>
        </w:rPr>
        <w:t>At the same time as it adopts this proposal for a decision to mobilise the EGF, the Commission will adopt a decision on a financial contribution, by means of an implementing act, which will enter into force on the date at which the European Parliament and the Council adopt the proposed decision to mobilise the EGF.</w:t>
      </w:r>
    </w:p>
    <w:p>
      <w:pPr>
        <w:rPr>
          <w:noProof/>
        </w:rPr>
        <w:sectPr>
          <w:footerReference w:type="default" r:id="rId19"/>
          <w:footerReference w:type="first" r:id="rId20"/>
          <w:pgSz w:w="11907" w:h="16839"/>
          <w:pgMar w:top="1134" w:right="1417" w:bottom="1080" w:left="1417" w:header="709" w:footer="709" w:gutter="0"/>
          <w:pgNumType w:start="1"/>
          <w:cols w:space="708"/>
          <w:docGrid w:linePitch="360"/>
        </w:sectPr>
      </w:pPr>
    </w:p>
    <w:p>
      <w:pPr>
        <w:pStyle w:val="Statut"/>
        <w:rPr>
          <w:noProof/>
        </w:rPr>
      </w:pPr>
      <w:r>
        <w:rPr>
          <w:noProof/>
        </w:rPr>
        <w:t>Proposal for a</w:t>
      </w:r>
    </w:p>
    <w:p>
      <w:pPr>
        <w:pStyle w:val="Typedudocument"/>
        <w:rPr>
          <w:noProof/>
        </w:rPr>
      </w:pPr>
      <w:r>
        <w:rPr>
          <w:noProof/>
        </w:rPr>
        <w:t>DECISION OF THE EUROPEAN PARLIAMENT AND OF THE COUNCIL</w:t>
      </w:r>
    </w:p>
    <w:p>
      <w:pPr>
        <w:pStyle w:val="Titreobjet"/>
        <w:rPr>
          <w:noProof/>
        </w:rPr>
      </w:pPr>
      <w:r>
        <w:rPr>
          <w:noProof/>
        </w:rPr>
        <w:t>on the mobilisation of the European Globalisation Adjustment Fund following an</w:t>
      </w:r>
      <w:r>
        <w:rPr>
          <w:noProof/>
        </w:rPr>
        <w:br/>
        <w:t>application from Spain – EGF/2017/006 ES/Galicia apparel</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w:t>
      </w:r>
    </w:p>
    <w:p>
      <w:pPr>
        <w:rPr>
          <w:noProof/>
        </w:rPr>
      </w:pPr>
      <w:r>
        <w:rPr>
          <w:noProof/>
        </w:rPr>
        <w:t>Having regard to Regulation (EU) No 1309/2013 of the European Parliament and of the Council of 17 December 2013 on the European Globalisation Adjustment Fund (2014-2020) and repealing Regulation (EC) No 1927/2006</w:t>
      </w:r>
      <w:r>
        <w:rPr>
          <w:rStyle w:val="FootnoteReference"/>
          <w:noProof/>
        </w:rPr>
        <w:footnoteReference w:id="15"/>
      </w:r>
      <w:r>
        <w:rPr>
          <w:noProof/>
        </w:rPr>
        <w:t>, and in particular Article 15(4) thereof,</w:t>
      </w:r>
    </w:p>
    <w:p>
      <w:pPr>
        <w:rPr>
          <w:noProof/>
        </w:rPr>
      </w:pPr>
      <w:r>
        <w:rPr>
          <w:noProof/>
        </w:rPr>
        <w:t>Having regard to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16"/>
      </w:r>
      <w:r>
        <w:rPr>
          <w:noProof/>
        </w:rPr>
        <w:t>, and in particular point 13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European Globalisation Adjustment Fund (EGF) aims to provide support for workers made redundant and self-employed persons whose activity has ceased as a result of major structural changes in world trade patterns due to globalisation, as a result of a continuation of the global financial and economic crisis, or as a result of a new global financial and economic crisis, and to assist them with their reintegration into the labour market.</w:t>
      </w:r>
    </w:p>
    <w:p>
      <w:pPr>
        <w:pStyle w:val="ManualConsidrant"/>
        <w:rPr>
          <w:noProof/>
        </w:rPr>
      </w:pPr>
      <w:r>
        <w:t>(2)</w:t>
      </w:r>
      <w:r>
        <w:tab/>
      </w:r>
      <w:r>
        <w:rPr>
          <w:noProof/>
        </w:rPr>
        <w:t>The EGF is not to exceed a maximum annual amount of EUR 150 million (2011 prices), as laid down in Article 12 of Council Regulation (EU, Euratom) No 1311/2013</w:t>
      </w:r>
      <w:r>
        <w:rPr>
          <w:rStyle w:val="FootnoteReference"/>
          <w:noProof/>
        </w:rPr>
        <w:footnoteReference w:id="17"/>
      </w:r>
      <w:r>
        <w:rPr>
          <w:noProof/>
        </w:rPr>
        <w:t>.</w:t>
      </w:r>
    </w:p>
    <w:p>
      <w:pPr>
        <w:pStyle w:val="ManualConsidrant"/>
        <w:rPr>
          <w:noProof/>
        </w:rPr>
      </w:pPr>
      <w:r>
        <w:t>(3)</w:t>
      </w:r>
      <w:r>
        <w:tab/>
      </w:r>
      <w:r>
        <w:rPr>
          <w:noProof/>
        </w:rPr>
        <w:t xml:space="preserve">On 19 July 2017, Spain submitted an application to mobilise the EGF, in respect of redundancies in the economic sector classified under the Statistical classification of economic activities in the European Community ('NACE') Revision 2 Division </w:t>
      </w:r>
      <w:r>
        <w:rPr>
          <w:noProof/>
          <w:szCs w:val="24"/>
        </w:rPr>
        <w:t>14 (Manufacture of wearing apparel) in the Nomenclature of Territorial Units for Statistics ('</w:t>
      </w:r>
      <w:r>
        <w:rPr>
          <w:noProof/>
        </w:rPr>
        <w:t>NUTS')</w:t>
      </w:r>
      <w:r>
        <w:rPr>
          <w:rStyle w:val="FootnoteReference"/>
          <w:noProof/>
        </w:rPr>
        <w:footnoteReference w:id="18"/>
      </w:r>
      <w:r>
        <w:rPr>
          <w:noProof/>
        </w:rPr>
        <w:t xml:space="preserve"> level 2 region of </w:t>
      </w:r>
      <w:r>
        <w:rPr>
          <w:noProof/>
          <w:szCs w:val="24"/>
        </w:rPr>
        <w:t xml:space="preserve">Galicia (ES11) </w:t>
      </w:r>
      <w:r>
        <w:rPr>
          <w:noProof/>
        </w:rPr>
        <w:t>in Spain. It was supplemented by additional information provided in accordance with Article 8(3) of Regulation (EU) No 1309/2013. That application complies with the requirements for determining a financial contribution from the EGF as laid down in Article 13 of Regulation (EU) No 1309/2013.</w:t>
      </w:r>
    </w:p>
    <w:p>
      <w:pPr>
        <w:pStyle w:val="ManualConsidrant"/>
        <w:rPr>
          <w:noProof/>
        </w:rPr>
      </w:pPr>
      <w:r>
        <w:t>(4)</w:t>
      </w:r>
      <w:r>
        <w:tab/>
      </w:r>
      <w:r>
        <w:rPr>
          <w:noProof/>
          <w:szCs w:val="20"/>
        </w:rPr>
        <w:t xml:space="preserve">In accordance with Article 4(2) of Regulation (EU) No 1309/2013, the application from </w:t>
      </w:r>
      <w:r>
        <w:rPr>
          <w:noProof/>
        </w:rPr>
        <w:t>Spain is considered admissible since the redundancies have a serious impact on employment and the local economy.</w:t>
      </w:r>
    </w:p>
    <w:p>
      <w:pPr>
        <w:pStyle w:val="ManualConsidrant"/>
        <w:rPr>
          <w:noProof/>
        </w:rPr>
      </w:pPr>
      <w:r>
        <w:t>(5)</w:t>
      </w:r>
      <w:r>
        <w:tab/>
      </w:r>
      <w:r>
        <w:rPr>
          <w:noProof/>
        </w:rPr>
        <w:t>The EGF should, therefore, be mobilised in order to provide a financial contribution of EUR 720 000 in respect of the application submitted by Spain.</w:t>
      </w:r>
    </w:p>
    <w:p>
      <w:pPr>
        <w:pStyle w:val="ManualConsidrant"/>
        <w:rPr>
          <w:noProof/>
        </w:rPr>
      </w:pPr>
      <w:r>
        <w:t>(6)</w:t>
      </w:r>
      <w:r>
        <w:tab/>
      </w:r>
      <w:r>
        <w:rPr>
          <w:noProof/>
        </w:rPr>
        <w:t>In order to minimise the time taken to mobilise the EGF, this decision should apply from the date of its adoption,</w:t>
      </w:r>
    </w:p>
    <w:p>
      <w:pPr>
        <w:pStyle w:val="Formuledadoption"/>
        <w:rPr>
          <w:noProof/>
        </w:rPr>
      </w:pPr>
      <w:r>
        <w:rPr>
          <w:noProof/>
        </w:rPr>
        <w:t xml:space="preserve">HAVE ADOPTED THIS DECISION: </w:t>
      </w:r>
    </w:p>
    <w:p>
      <w:pPr>
        <w:pStyle w:val="Titrearticle"/>
        <w:rPr>
          <w:noProof/>
        </w:rPr>
      </w:pPr>
      <w:r>
        <w:rPr>
          <w:noProof/>
        </w:rPr>
        <w:t>Article 1</w:t>
      </w:r>
    </w:p>
    <w:p>
      <w:pPr>
        <w:rPr>
          <w:noProof/>
        </w:rPr>
      </w:pPr>
      <w:r>
        <w:rPr>
          <w:noProof/>
        </w:rPr>
        <w:t>For the general budget of the Union for the financial year 2018, the European Globalisation Adjustment Fund shall be mobilised to provide the amount of EUR 720 000 in commitment and payment appropriations.</w:t>
      </w:r>
    </w:p>
    <w:p>
      <w:pPr>
        <w:pStyle w:val="Titrearticle"/>
        <w:rPr>
          <w:noProof/>
        </w:rPr>
      </w:pPr>
      <w:r>
        <w:rPr>
          <w:noProof/>
        </w:rPr>
        <w:t>Article 2</w:t>
      </w:r>
    </w:p>
    <w:p>
      <w:pPr>
        <w:keepNext/>
        <w:keepLines/>
        <w:rPr>
          <w:noProof/>
        </w:rPr>
      </w:pPr>
      <w:r>
        <w:rPr>
          <w:noProof/>
        </w:rPr>
        <w:t xml:space="preserve">This Decision shall enter into force on the day of its publication in the Official Journal of the European Union. It shall apply from </w:t>
      </w:r>
      <w:r>
        <w:rPr>
          <w:noProof/>
          <w:color w:val="FF0000"/>
        </w:rPr>
        <w:t>[</w:t>
      </w:r>
      <w:r>
        <w:rPr>
          <w:i/>
          <w:noProof/>
          <w:color w:val="FF0000"/>
        </w:rPr>
        <w:t>the date of its adoption</w:t>
      </w:r>
      <w:r>
        <w:rPr>
          <w:noProof/>
          <w:color w:val="FF0000"/>
        </w:rPr>
        <w:t>]</w:t>
      </w:r>
      <w:r>
        <w:rPr>
          <w:rStyle w:val="FootnoteReference"/>
          <w:noProof/>
          <w:color w:val="FF0000"/>
        </w:rPr>
        <w:footnoteReference w:customMarkFollows="1" w:id="19"/>
        <w:sym w:font="Symbol" w:char="F02A"/>
      </w:r>
      <w:r>
        <w:rPr>
          <w:noProof/>
        </w:rPr>
        <w:t>.</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347, 20.12.2013, p. 855.</w:t>
      </w:r>
    </w:p>
  </w:footnote>
  <w:footnote w:id="2">
    <w:p>
      <w:pPr>
        <w:pStyle w:val="FootnoteText"/>
      </w:pPr>
      <w:r>
        <w:rPr>
          <w:rStyle w:val="FootnoteReference"/>
        </w:rPr>
        <w:footnoteRef/>
      </w:r>
      <w:r>
        <w:tab/>
        <w:t>Within the meaning of Article 3 of the EGF Regulation.</w:t>
      </w:r>
    </w:p>
  </w:footnote>
  <w:footnote w:id="3">
    <w:p>
      <w:pPr>
        <w:pStyle w:val="FootnoteText"/>
      </w:pPr>
      <w:r>
        <w:rPr>
          <w:rStyle w:val="FootnoteReference"/>
        </w:rPr>
        <w:footnoteRef/>
      </w:r>
      <w:r>
        <w:tab/>
        <w:t>Commission Regulation (EU) No 1046/2012 of 8 November 2012 implementing Regulation (EC) No 1059/2003 of the European Parliament and of the Council on the establishment of a common classification of territorial units for statistics (NUTS) as regards the transmission of the time series for the new regional breakdown (OJ L 310, 9.11.2012, p. 34).</w:t>
      </w:r>
    </w:p>
  </w:footnote>
  <w:footnote w:id="4">
    <w:p>
      <w:pPr>
        <w:pStyle w:val="FootnoteText"/>
      </w:pPr>
      <w:r>
        <w:rPr>
          <w:rStyle w:val="FootnoteReference"/>
        </w:rPr>
        <w:footnoteRef/>
      </w:r>
      <w:r>
        <w:tab/>
        <w:t>OJ L 393, 30.12.2006, p. 1.</w:t>
      </w:r>
    </w:p>
  </w:footnote>
  <w:footnote w:id="5">
    <w:p>
      <w:pPr>
        <w:pStyle w:val="FootnoteText"/>
        <w:rPr>
          <w:lang w:val="en-US"/>
        </w:rPr>
      </w:pPr>
      <w:r>
        <w:rPr>
          <w:rStyle w:val="FootnoteReference"/>
        </w:rPr>
        <w:footnoteRef/>
      </w:r>
      <w:r>
        <w:tab/>
        <w:t>In accordance with the fourth paragraph of Article 7 of Regulation (EU) No 1309/2013.</w:t>
      </w:r>
    </w:p>
  </w:footnote>
  <w:footnote w:id="6">
    <w:p>
      <w:pPr>
        <w:pStyle w:val="FootnoteText"/>
      </w:pPr>
      <w:r>
        <w:rPr>
          <w:rStyle w:val="FootnoteReference"/>
        </w:rPr>
        <w:footnoteRef/>
      </w:r>
      <w:r>
        <w:tab/>
        <w:t>Based on trade related globalisation: EGF/2017/006 ES/Galicia apparel (the case object of this proposal for decision), as well as, EGF/2007/008 MT Textiles, COM(2008) 94 and EGF/2010/003 ES Galicia textile, COM(2010) 437. Based on the global financial and economic crisis: EGF/2009/018 LT Wearing apparel, COM(2010) 56 and EGF/2010/014 SI Mura, COM(2010) 582.</w:t>
      </w:r>
    </w:p>
  </w:footnote>
  <w:footnote w:id="7">
    <w:p>
      <w:pPr>
        <w:pStyle w:val="FootnoteText"/>
      </w:pPr>
      <w:r>
        <w:rPr>
          <w:rStyle w:val="FootnoteReference"/>
        </w:rPr>
        <w:footnoteRef/>
      </w:r>
      <w:r>
        <w:tab/>
        <w:t>Source: Cointega, the textile fashion cluster of Galicia (www.cointega.com).</w:t>
      </w:r>
    </w:p>
  </w:footnote>
  <w:footnote w:id="8">
    <w:p>
      <w:pPr>
        <w:pStyle w:val="FootnoteText"/>
      </w:pPr>
      <w:r>
        <w:rPr>
          <w:rStyle w:val="FootnoteReference"/>
        </w:rPr>
        <w:footnoteRef/>
      </w:r>
      <w:r>
        <w:tab/>
        <w:t>Name of the territory in Galician and Spanish.</w:t>
      </w:r>
    </w:p>
  </w:footnote>
  <w:footnote w:id="9">
    <w:p>
      <w:pPr>
        <w:pStyle w:val="FootnoteText"/>
      </w:pPr>
      <w:r>
        <w:rPr>
          <w:rStyle w:val="FootnoteReference"/>
        </w:rPr>
        <w:footnoteRef/>
      </w:r>
      <w:r>
        <w:tab/>
        <w:t>EUR 20 per day when the number of dependent persons are two or more</w:t>
      </w:r>
    </w:p>
  </w:footnote>
  <w:footnote w:id="10">
    <w:p>
      <w:pPr>
        <w:pStyle w:val="FootnoteText"/>
      </w:pPr>
      <w:r>
        <w:rPr>
          <w:rStyle w:val="FootnoteReference"/>
        </w:rPr>
        <w:footnoteRef/>
      </w:r>
      <w:r>
        <w:tab/>
        <w:t>To avoid decimals, the estimated costs per worker have been rounded. However the rounding has no impact on the total cost of each measure which remains as in the application submitted by Spain.</w:t>
      </w:r>
    </w:p>
  </w:footnote>
  <w:footnote w:id="11">
    <w:p>
      <w:pPr>
        <w:pStyle w:val="FootnoteText"/>
      </w:pPr>
      <w:r>
        <w:rPr>
          <w:rStyle w:val="FootnoteReference"/>
        </w:rPr>
        <w:footnoteRef/>
      </w:r>
      <w:r>
        <w:tab/>
        <w:t>Totals do not tally due to rounding.</w:t>
      </w:r>
    </w:p>
  </w:footnote>
  <w:footnote w:id="12">
    <w:p>
      <w:pPr>
        <w:pStyle w:val="FootnoteText"/>
      </w:pPr>
      <w:r>
        <w:rPr>
          <w:rStyle w:val="FootnoteReference"/>
        </w:rPr>
        <w:footnoteRef/>
      </w:r>
      <w:r>
        <w:tab/>
        <w:t>Xunta de Galicia and in particular the Consellería de Facenda – Dirección General de política financiera, tesoro y fondos europeos / Servicio de inspección y control de fondos comunitarios in cooperation with the Consellería de Economía, Emprego e Industria – Secretaría  Xeral de Emprego / Subdirección Xeral de Relacións Laborais will be the intermediate body for the managing authority.</w:t>
      </w:r>
    </w:p>
  </w:footnote>
  <w:footnote w:id="13">
    <w:p>
      <w:pPr>
        <w:pStyle w:val="FootnoteText"/>
        <w:rPr>
          <w:lang w:val="pl-PL"/>
        </w:rPr>
      </w:pPr>
      <w:r>
        <w:rPr>
          <w:rStyle w:val="FootnoteReference"/>
        </w:rPr>
        <w:footnoteRef/>
      </w:r>
      <w:r>
        <w:rPr>
          <w:lang w:val="pl-PL"/>
        </w:rPr>
        <w:tab/>
        <w:t>OJ L 347, 20.12.2013, p. 884.</w:t>
      </w:r>
    </w:p>
  </w:footnote>
  <w:footnote w:id="14">
    <w:p>
      <w:pPr>
        <w:pStyle w:val="FootnoteText"/>
        <w:rPr>
          <w:lang w:val="pl-PL"/>
        </w:rPr>
      </w:pPr>
      <w:r>
        <w:rPr>
          <w:rStyle w:val="FootnoteReference"/>
        </w:rPr>
        <w:footnoteRef/>
      </w:r>
      <w:r>
        <w:rPr>
          <w:lang w:val="pl-PL"/>
        </w:rPr>
        <w:tab/>
        <w:t>OJ C 373, 20.12.2013, p. 1.</w:t>
      </w:r>
    </w:p>
  </w:footnote>
  <w:footnote w:id="15">
    <w:p>
      <w:pPr>
        <w:pStyle w:val="FootnoteText"/>
        <w:rPr>
          <w:lang w:val="pl-PL"/>
        </w:rPr>
      </w:pPr>
      <w:r>
        <w:rPr>
          <w:rStyle w:val="FootnoteReference"/>
        </w:rPr>
        <w:footnoteRef/>
      </w:r>
      <w:r>
        <w:rPr>
          <w:lang w:val="pl-PL"/>
        </w:rPr>
        <w:tab/>
        <w:t>OJ L 347, 20.12.2013, p. 855.</w:t>
      </w:r>
    </w:p>
  </w:footnote>
  <w:footnote w:id="16">
    <w:p>
      <w:pPr>
        <w:pStyle w:val="FootnoteText"/>
      </w:pPr>
      <w:r>
        <w:rPr>
          <w:rStyle w:val="FootnoteReference"/>
        </w:rPr>
        <w:footnoteRef/>
      </w:r>
      <w:r>
        <w:tab/>
        <w:t>OJ C 373, 20.12.2013, p. 1.</w:t>
      </w:r>
    </w:p>
  </w:footnote>
  <w:footnote w:id="17">
    <w:p>
      <w:pPr>
        <w:pStyle w:val="FootnoteText"/>
      </w:pPr>
      <w:r>
        <w:rPr>
          <w:rStyle w:val="FootnoteReference"/>
        </w:rPr>
        <w:footnoteRef/>
      </w:r>
      <w:r>
        <w:tab/>
      </w:r>
      <w:r>
        <w:rPr>
          <w:noProof/>
        </w:rPr>
        <w:t>Council Regulation (EU, Euratom) No 1311/2013 of 2 December 2013 laying down the multiannual financial framework for the years 2014-2020 (</w:t>
      </w:r>
      <w:r>
        <w:t>OJ L 347, 20.12.2013, p. 884).</w:t>
      </w:r>
    </w:p>
  </w:footnote>
  <w:footnote w:id="18">
    <w:p>
      <w:pPr>
        <w:pStyle w:val="FootnoteText"/>
      </w:pPr>
      <w:r>
        <w:rPr>
          <w:rStyle w:val="FootnoteReference"/>
        </w:rPr>
        <w:footnoteRef/>
      </w:r>
      <w:r>
        <w:tab/>
        <w:t>Commission Regulation (EU) No 1046/2012 of 8 November 2012 implementing Regulation (EC) No 1059/2003 of the European Parliament and of the Council on the establishment of a common classification of territorial units for statistics (NUTS) as regards the transmission of the time series for the new regional breakdown (OJ L 310, 9.11.2012, p. 34).</w:t>
      </w:r>
    </w:p>
  </w:footnote>
  <w:footnote w:id="19">
    <w:p>
      <w:pPr>
        <w:pStyle w:val="FootnoteText"/>
        <w:rPr>
          <w:color w:val="FF0000"/>
        </w:rPr>
      </w:pPr>
      <w:r>
        <w:rPr>
          <w:rStyle w:val="FootnoteReference"/>
          <w:color w:val="FF0000"/>
        </w:rPr>
        <w:sym w:font="Symbol" w:char="F02A"/>
      </w:r>
      <w:r>
        <w:rPr>
          <w:color w:val="FF0000"/>
        </w:rPr>
        <w:t xml:space="preserve"> </w:t>
      </w:r>
      <w:r>
        <w:rPr>
          <w:color w:val="FF0000"/>
        </w:rPr>
        <w:tab/>
        <w:t>Date to be inserted by the Parliament before the publication in OJ.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B68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E463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0CFF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98E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2C75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9047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28232A"/>
    <w:lvl w:ilvl="0">
      <w:start w:val="1"/>
      <w:numFmt w:val="decimal"/>
      <w:pStyle w:val="ListNumber"/>
      <w:lvlText w:val="%1."/>
      <w:lvlJc w:val="left"/>
      <w:pPr>
        <w:tabs>
          <w:tab w:val="num" w:pos="360"/>
        </w:tabs>
        <w:ind w:left="360" w:hanging="360"/>
      </w:pPr>
    </w:lvl>
  </w:abstractNum>
  <w:abstractNum w:abstractNumId="7">
    <w:nsid w:val="FFFFFF89"/>
    <w:multiLevelType w:val="singleLevel"/>
    <w:tmpl w:val="45869B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num>
  <w:num w:numId="2">
    <w:abstractNumId w:val="7"/>
  </w:num>
  <w:num w:numId="3">
    <w:abstractNumId w:val="5"/>
  </w:num>
  <w:num w:numId="4">
    <w:abstractNumId w:val="4"/>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num>
  <w:num w:numId="8">
    <w:abstractNumId w:val="6"/>
  </w:num>
  <w:num w:numId="9">
    <w:abstractNumId w:val="2"/>
  </w:num>
  <w:num w:numId="10">
    <w:abstractNumId w:val="1"/>
  </w:num>
  <w:num w:numId="11">
    <w:abstractNumId w:val="0"/>
  </w:num>
  <w:num w:numId="12">
    <w:abstractNumId w:val="12"/>
  </w:num>
  <w:num w:numId="13">
    <w:abstractNumId w:val="12"/>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hideSpellingErrors/>
  <w:hideGrammaticalErrors/>
  <w:attachedTemplate r:id="rId1"/>
  <w:revisionView w:markup="0"/>
  <w:documentProtection w:edit="forms" w:enforcement="0"/>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21 15:28:55"/>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3"/>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5EC0334-A21D-4C7B-B6CA-C3C56E101075"/>
    <w:docVar w:name="LW_COVERPAGE_TYPE" w:val="1"/>
    <w:docVar w:name="LW_CROSSREFERENCE" w:val="&lt;UNUSED&gt;"/>
    <w:docVar w:name="LW_DocType" w:val="COM"/>
    <w:docVar w:name="LW_EMISSION" w:val="28.11.2017"/>
    <w:docVar w:name="LW_EMISSION_ISODATE" w:val="2017-11-28"/>
    <w:docVar w:name="LW_EMISSION_LOCATION" w:val="BRX"/>
    <w:docVar w:name="LW_EMISSION_PREFIX" w:val="Brussels, "/>
    <w:docVar w:name="LW_EMISSION_SUFFIX" w:val=" "/>
    <w:docVar w:name="LW_ID_DOCMODEL" w:val="SJ-026"/>
    <w:docVar w:name="LW_ID_DOCSIGNATURE" w:val="SJ-026"/>
    <w:docVar w:name="LW_ID_DOCSTRUCTURE" w:val="COM/PL/ORG"/>
    <w:docVar w:name="LW_ID_DOCTYPE" w:val="SJ-026"/>
    <w:docVar w:name="LW_ID_STATUT" w:val="SJ-02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6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on the mobilisation of the European Globalisation Adjustment Fund following an_x000b_application from Spain \u8211? EGF/2017/006 ES/Galicia apparel"/>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83066">
      <w:bodyDiv w:val="1"/>
      <w:marLeft w:val="0"/>
      <w:marRight w:val="0"/>
      <w:marTop w:val="0"/>
      <w:marBottom w:val="0"/>
      <w:divBdr>
        <w:top w:val="none" w:sz="0" w:space="0" w:color="auto"/>
        <w:left w:val="none" w:sz="0" w:space="0" w:color="auto"/>
        <w:bottom w:val="none" w:sz="0" w:space="0" w:color="auto"/>
        <w:right w:val="none" w:sz="0" w:space="0" w:color="auto"/>
      </w:divBdr>
    </w:div>
    <w:div w:id="483592220">
      <w:bodyDiv w:val="1"/>
      <w:marLeft w:val="0"/>
      <w:marRight w:val="0"/>
      <w:marTop w:val="0"/>
      <w:marBottom w:val="0"/>
      <w:divBdr>
        <w:top w:val="none" w:sz="0" w:space="0" w:color="auto"/>
        <w:left w:val="none" w:sz="0" w:space="0" w:color="auto"/>
        <w:bottom w:val="none" w:sz="0" w:space="0" w:color="auto"/>
        <w:right w:val="none" w:sz="0" w:space="0" w:color="auto"/>
      </w:divBdr>
    </w:div>
    <w:div w:id="492333814">
      <w:bodyDiv w:val="1"/>
      <w:marLeft w:val="0"/>
      <w:marRight w:val="0"/>
      <w:marTop w:val="0"/>
      <w:marBottom w:val="0"/>
      <w:divBdr>
        <w:top w:val="none" w:sz="0" w:space="0" w:color="auto"/>
        <w:left w:val="none" w:sz="0" w:space="0" w:color="auto"/>
        <w:bottom w:val="none" w:sz="0" w:space="0" w:color="auto"/>
        <w:right w:val="none" w:sz="0" w:space="0" w:color="auto"/>
      </w:divBdr>
    </w:div>
    <w:div w:id="560139115">
      <w:bodyDiv w:val="1"/>
      <w:marLeft w:val="0"/>
      <w:marRight w:val="0"/>
      <w:marTop w:val="0"/>
      <w:marBottom w:val="0"/>
      <w:divBdr>
        <w:top w:val="none" w:sz="0" w:space="0" w:color="auto"/>
        <w:left w:val="none" w:sz="0" w:space="0" w:color="auto"/>
        <w:bottom w:val="none" w:sz="0" w:space="0" w:color="auto"/>
        <w:right w:val="none" w:sz="0" w:space="0" w:color="auto"/>
      </w:divBdr>
    </w:div>
    <w:div w:id="643776604">
      <w:bodyDiv w:val="1"/>
      <w:marLeft w:val="0"/>
      <w:marRight w:val="0"/>
      <w:marTop w:val="0"/>
      <w:marBottom w:val="0"/>
      <w:divBdr>
        <w:top w:val="none" w:sz="0" w:space="0" w:color="auto"/>
        <w:left w:val="none" w:sz="0" w:space="0" w:color="auto"/>
        <w:bottom w:val="none" w:sz="0" w:space="0" w:color="auto"/>
        <w:right w:val="none" w:sz="0" w:space="0" w:color="auto"/>
      </w:divBdr>
    </w:div>
    <w:div w:id="668217216">
      <w:bodyDiv w:val="1"/>
      <w:marLeft w:val="0"/>
      <w:marRight w:val="0"/>
      <w:marTop w:val="0"/>
      <w:marBottom w:val="0"/>
      <w:divBdr>
        <w:top w:val="none" w:sz="0" w:space="0" w:color="auto"/>
        <w:left w:val="none" w:sz="0" w:space="0" w:color="auto"/>
        <w:bottom w:val="none" w:sz="0" w:space="0" w:color="auto"/>
        <w:right w:val="none" w:sz="0" w:space="0" w:color="auto"/>
      </w:divBdr>
    </w:div>
    <w:div w:id="676663619">
      <w:bodyDiv w:val="1"/>
      <w:marLeft w:val="0"/>
      <w:marRight w:val="0"/>
      <w:marTop w:val="0"/>
      <w:marBottom w:val="0"/>
      <w:divBdr>
        <w:top w:val="none" w:sz="0" w:space="0" w:color="auto"/>
        <w:left w:val="none" w:sz="0" w:space="0" w:color="auto"/>
        <w:bottom w:val="none" w:sz="0" w:space="0" w:color="auto"/>
        <w:right w:val="none" w:sz="0" w:space="0" w:color="auto"/>
      </w:divBdr>
    </w:div>
    <w:div w:id="696194753">
      <w:bodyDiv w:val="1"/>
      <w:marLeft w:val="0"/>
      <w:marRight w:val="0"/>
      <w:marTop w:val="0"/>
      <w:marBottom w:val="0"/>
      <w:divBdr>
        <w:top w:val="none" w:sz="0" w:space="0" w:color="auto"/>
        <w:left w:val="none" w:sz="0" w:space="0" w:color="auto"/>
        <w:bottom w:val="none" w:sz="0" w:space="0" w:color="auto"/>
        <w:right w:val="none" w:sz="0" w:space="0" w:color="auto"/>
      </w:divBdr>
    </w:div>
    <w:div w:id="776753268">
      <w:bodyDiv w:val="1"/>
      <w:marLeft w:val="0"/>
      <w:marRight w:val="0"/>
      <w:marTop w:val="0"/>
      <w:marBottom w:val="0"/>
      <w:divBdr>
        <w:top w:val="none" w:sz="0" w:space="0" w:color="auto"/>
        <w:left w:val="none" w:sz="0" w:space="0" w:color="auto"/>
        <w:bottom w:val="none" w:sz="0" w:space="0" w:color="auto"/>
        <w:right w:val="none" w:sz="0" w:space="0" w:color="auto"/>
      </w:divBdr>
    </w:div>
    <w:div w:id="929968872">
      <w:bodyDiv w:val="1"/>
      <w:marLeft w:val="0"/>
      <w:marRight w:val="0"/>
      <w:marTop w:val="0"/>
      <w:marBottom w:val="0"/>
      <w:divBdr>
        <w:top w:val="none" w:sz="0" w:space="0" w:color="auto"/>
        <w:left w:val="none" w:sz="0" w:space="0" w:color="auto"/>
        <w:bottom w:val="none" w:sz="0" w:space="0" w:color="auto"/>
        <w:right w:val="none" w:sz="0" w:space="0" w:color="auto"/>
      </w:divBdr>
    </w:div>
    <w:div w:id="1078016921">
      <w:bodyDiv w:val="1"/>
      <w:marLeft w:val="0"/>
      <w:marRight w:val="0"/>
      <w:marTop w:val="0"/>
      <w:marBottom w:val="0"/>
      <w:divBdr>
        <w:top w:val="none" w:sz="0" w:space="0" w:color="auto"/>
        <w:left w:val="none" w:sz="0" w:space="0" w:color="auto"/>
        <w:bottom w:val="none" w:sz="0" w:space="0" w:color="auto"/>
        <w:right w:val="none" w:sz="0" w:space="0" w:color="auto"/>
      </w:divBdr>
    </w:div>
    <w:div w:id="1136293205">
      <w:bodyDiv w:val="1"/>
      <w:marLeft w:val="0"/>
      <w:marRight w:val="0"/>
      <w:marTop w:val="0"/>
      <w:marBottom w:val="0"/>
      <w:divBdr>
        <w:top w:val="none" w:sz="0" w:space="0" w:color="auto"/>
        <w:left w:val="none" w:sz="0" w:space="0" w:color="auto"/>
        <w:bottom w:val="none" w:sz="0" w:space="0" w:color="auto"/>
        <w:right w:val="none" w:sz="0" w:space="0" w:color="auto"/>
      </w:divBdr>
    </w:div>
    <w:div w:id="1203060159">
      <w:bodyDiv w:val="1"/>
      <w:marLeft w:val="0"/>
      <w:marRight w:val="0"/>
      <w:marTop w:val="0"/>
      <w:marBottom w:val="0"/>
      <w:divBdr>
        <w:top w:val="none" w:sz="0" w:space="0" w:color="auto"/>
        <w:left w:val="none" w:sz="0" w:space="0" w:color="auto"/>
        <w:bottom w:val="none" w:sz="0" w:space="0" w:color="auto"/>
        <w:right w:val="none" w:sz="0" w:space="0" w:color="auto"/>
      </w:divBdr>
    </w:div>
    <w:div w:id="1433208756">
      <w:bodyDiv w:val="1"/>
      <w:marLeft w:val="0"/>
      <w:marRight w:val="0"/>
      <w:marTop w:val="0"/>
      <w:marBottom w:val="0"/>
      <w:divBdr>
        <w:top w:val="none" w:sz="0" w:space="0" w:color="auto"/>
        <w:left w:val="none" w:sz="0" w:space="0" w:color="auto"/>
        <w:bottom w:val="none" w:sz="0" w:space="0" w:color="auto"/>
        <w:right w:val="none" w:sz="0" w:space="0" w:color="auto"/>
      </w:divBdr>
    </w:div>
    <w:div w:id="1481577567">
      <w:bodyDiv w:val="1"/>
      <w:marLeft w:val="0"/>
      <w:marRight w:val="0"/>
      <w:marTop w:val="0"/>
      <w:marBottom w:val="0"/>
      <w:divBdr>
        <w:top w:val="none" w:sz="0" w:space="0" w:color="auto"/>
        <w:left w:val="none" w:sz="0" w:space="0" w:color="auto"/>
        <w:bottom w:val="none" w:sz="0" w:space="0" w:color="auto"/>
        <w:right w:val="none" w:sz="0" w:space="0" w:color="auto"/>
      </w:divBdr>
    </w:div>
    <w:div w:id="156632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lvarmu\AppData\Local\Microsoft\Windows\Temporary%20Internet%20Files\Content.Outlook\QX24QI0J\EU%20trade%20clothing%20NACE14%20(2004-May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Sheet1!$A$11</c:f>
              <c:strCache>
                <c:ptCount val="1"/>
              </c:strCache>
            </c:strRef>
          </c:tx>
          <c:marker>
            <c:symbol val="none"/>
          </c:marker>
          <c:cat>
            <c:strRef>
              <c:f>Sheet1!$B$10:$N$10</c:f>
              <c:strCach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strCache>
            </c:strRef>
          </c:cat>
          <c:val>
            <c:numRef>
              <c:f>Sheet1!$B$11:$N$11</c:f>
              <c:numCache>
                <c:formatCode>General</c:formatCode>
                <c:ptCount val="13"/>
                <c:pt idx="0">
                  <c:v>-34744.991530000007</c:v>
                </c:pt>
                <c:pt idx="1">
                  <c:v>-38695.413310000004</c:v>
                </c:pt>
                <c:pt idx="2">
                  <c:v>-44314.179340000002</c:v>
                </c:pt>
                <c:pt idx="3">
                  <c:v>-46110.275630000004</c:v>
                </c:pt>
                <c:pt idx="4">
                  <c:v>-46830.566709999999</c:v>
                </c:pt>
                <c:pt idx="5">
                  <c:v>-47517.060049999993</c:v>
                </c:pt>
                <c:pt idx="6">
                  <c:v>-53823.508969999995</c:v>
                </c:pt>
                <c:pt idx="7">
                  <c:v>-57310.604359999998</c:v>
                </c:pt>
                <c:pt idx="8">
                  <c:v>-52150.96807000001</c:v>
                </c:pt>
                <c:pt idx="9">
                  <c:v>-50941.495569999999</c:v>
                </c:pt>
                <c:pt idx="10">
                  <c:v>-57026.392670000001</c:v>
                </c:pt>
                <c:pt idx="11">
                  <c:v>-64312.07316</c:v>
                </c:pt>
                <c:pt idx="12">
                  <c:v>-64853.38493</c:v>
                </c:pt>
              </c:numCache>
            </c:numRef>
          </c:val>
          <c:smooth val="0"/>
        </c:ser>
        <c:dLbls>
          <c:showLegendKey val="0"/>
          <c:showVal val="0"/>
          <c:showCatName val="0"/>
          <c:showSerName val="0"/>
          <c:showPercent val="0"/>
          <c:showBubbleSize val="0"/>
        </c:dLbls>
        <c:marker val="1"/>
        <c:smooth val="0"/>
        <c:axId val="79784576"/>
        <c:axId val="37986688"/>
      </c:lineChart>
      <c:catAx>
        <c:axId val="79784576"/>
        <c:scaling>
          <c:orientation val="minMax"/>
        </c:scaling>
        <c:delete val="0"/>
        <c:axPos val="b"/>
        <c:majorTickMark val="out"/>
        <c:minorTickMark val="none"/>
        <c:tickLblPos val="nextTo"/>
        <c:crossAx val="37986688"/>
        <c:crosses val="autoZero"/>
        <c:auto val="1"/>
        <c:lblAlgn val="ctr"/>
        <c:lblOffset val="100"/>
        <c:noMultiLvlLbl val="0"/>
      </c:catAx>
      <c:valAx>
        <c:axId val="37986688"/>
        <c:scaling>
          <c:orientation val="minMax"/>
        </c:scaling>
        <c:delete val="0"/>
        <c:axPos val="l"/>
        <c:majorGridlines/>
        <c:numFmt formatCode="General" sourceLinked="1"/>
        <c:majorTickMark val="out"/>
        <c:minorTickMark val="none"/>
        <c:tickLblPos val="nextTo"/>
        <c:crossAx val="7978457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6AADB-652D-4CD3-B9F4-133E5590F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13</Pages>
  <Words>3643</Words>
  <Characters>19637</Characters>
  <Application>Microsoft Office Word</Application>
  <DocSecurity>0</DocSecurity>
  <Lines>577</Lines>
  <Paragraphs>347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2017-10-06T09:26:00Z</cp:lastPrinted>
  <dcterms:created xsi:type="dcterms:W3CDTF">2017-11-13T13:44:00Z</dcterms:created>
  <dcterms:modified xsi:type="dcterms:W3CDTF">2017-11-21T14:28:00Z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5.8.3, Build 20140113</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SJ-026</vt:lpwstr>
  </property>
  <property fmtid="{D5CDD505-2E9C-101B-9397-08002B2CF9AE}" pid="9" name="Level of sensitivity">
    <vt:lpwstr>Standard treatment</vt:lpwstr>
  </property>
  <property fmtid="{D5CDD505-2E9C-101B-9397-08002B2CF9AE}" pid="10" name="DQCStatus">
    <vt:lpwstr>Green (DQC version 03)</vt:lpwstr>
  </property>
</Properties>
</file>