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8A31154-A8FC-4078-BD9E-ADE51037B656"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КОНТЕКСТ НА ПРЕДЛОЖЕНИЕТО</w:t>
      </w:r>
    </w:p>
    <w:p>
      <w:pPr>
        <w:pStyle w:val="ManualNumPar1"/>
        <w:rPr>
          <w:noProof/>
        </w:rPr>
      </w:pPr>
      <w:r>
        <w:t>1.</w:t>
      </w:r>
      <w:r>
        <w:tab/>
      </w:r>
      <w:r>
        <w:rPr>
          <w:noProof/>
        </w:rPr>
        <w:t>Приложимите разпоредби за предоставяне на финансово участие от Европейския фонд за приспособяване към глобализацията (ЕФПГ) са определени в Регламент (ЕС)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1"/>
      </w:r>
      <w:r>
        <w:rPr>
          <w:noProof/>
        </w:rPr>
        <w:t xml:space="preserve"> („Регламента за ЕФПГ“).</w:t>
      </w:r>
    </w:p>
    <w:p>
      <w:pPr>
        <w:pStyle w:val="ManualNumPar1"/>
        <w:rPr>
          <w:noProof/>
        </w:rPr>
      </w:pPr>
      <w:r>
        <w:t>2.</w:t>
      </w:r>
      <w:r>
        <w:tab/>
      </w:r>
      <w:r>
        <w:rPr>
          <w:noProof/>
        </w:rPr>
        <w:t>На 19 юли 2017 г. Испания подаде заявление EGF/</w:t>
      </w:r>
      <w:bookmarkStart w:id="1" w:name="EGF_Ref_Year"/>
      <w:r>
        <w:rPr>
          <w:noProof/>
        </w:rPr>
        <w:t>2017</w:t>
      </w:r>
      <w:bookmarkEnd w:id="1"/>
      <w:r>
        <w:rPr>
          <w:noProof/>
        </w:rPr>
        <w:t>/</w:t>
      </w:r>
      <w:bookmarkStart w:id="2" w:name="EGF_Ref_CaseNumber"/>
      <w:r>
        <w:rPr>
          <w:noProof/>
        </w:rPr>
        <w:t>006</w:t>
      </w:r>
      <w:bookmarkEnd w:id="2"/>
      <w:r>
        <w:rPr>
          <w:noProof/>
        </w:rPr>
        <w:t> </w:t>
      </w:r>
      <w:bookmarkStart w:id="3" w:name="MS_Code"/>
      <w:r>
        <w:rPr>
          <w:noProof/>
        </w:rPr>
        <w:t>ES</w:t>
      </w:r>
      <w:bookmarkEnd w:id="3"/>
      <w:r>
        <w:rPr>
          <w:noProof/>
        </w:rPr>
        <w:t>/</w:t>
      </w:r>
      <w:bookmarkStart w:id="4" w:name="EGF_Ref_CaseName"/>
      <w:r>
        <w:rPr>
          <w:noProof/>
        </w:rPr>
        <w:t>Galicia apparel</w:t>
      </w:r>
      <w:bookmarkEnd w:id="4"/>
      <w:r>
        <w:rPr>
          <w:noProof/>
        </w:rPr>
        <w:t xml:space="preserve"> — облекла за предоставяне на финансово участие от ЕФПГ във връзка с извършени съкращения</w:t>
      </w:r>
      <w:r>
        <w:rPr>
          <w:rStyle w:val="FootnoteReference"/>
          <w:noProof/>
        </w:rPr>
        <w:footnoteReference w:id="2"/>
      </w:r>
      <w:r>
        <w:rPr>
          <w:noProof/>
        </w:rPr>
        <w:t xml:space="preserve"> в икономическия отрасъл от разделение 14 по статистическата класификация на икономическите дейности в Европейската общност (NACE) Rev. 2 („Производство на облекло“) в региона на ниво 2 по NUTS Galicia (ES11) в </w:t>
      </w:r>
      <w:bookmarkStart w:id="5" w:name="MS_Name"/>
      <w:r>
        <w:rPr>
          <w:noProof/>
        </w:rPr>
        <w:t>Испания</w:t>
      </w:r>
      <w:bookmarkEnd w:id="5"/>
      <w:r>
        <w:rPr>
          <w:noProof/>
        </w:rPr>
        <w:t>.</w:t>
      </w:r>
    </w:p>
    <w:p>
      <w:pPr>
        <w:pStyle w:val="ManualNumPar1"/>
        <w:rPr>
          <w:noProof/>
        </w:rPr>
      </w:pPr>
      <w:r>
        <w:t>3.</w:t>
      </w:r>
      <w:r>
        <w:tab/>
      </w:r>
      <w:r>
        <w:rPr>
          <w:noProof/>
        </w:rPr>
        <w:t xml:space="preserve">След оценка на заявлението Комисията заключи, в съответствие с всички приложими разпоредби на Регламента за ЕФПГ, че условията за предоставяне на финансово участие от ЕФПГ са изпълнени. </w:t>
      </w:r>
    </w:p>
    <w:p>
      <w:pPr>
        <w:pStyle w:val="ManualHeading1"/>
        <w:rPr>
          <w:noProof/>
        </w:rPr>
      </w:pPr>
      <w:r>
        <w:rPr>
          <w:noProof/>
        </w:rPr>
        <w:t>ОБОБЩЕНИ ДАННИ ЗА ЗАЯВЛЕНИЕТО</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1680"/>
        <w:gridCol w:w="2699"/>
      </w:tblGrid>
      <w:tr>
        <w:tc>
          <w:tcPr>
            <w:tcW w:w="4908" w:type="dxa"/>
            <w:shd w:val="clear" w:color="auto" w:fill="auto"/>
          </w:tcPr>
          <w:p>
            <w:pPr>
              <w:spacing w:before="60" w:after="60"/>
              <w:jc w:val="left"/>
              <w:rPr>
                <w:rFonts w:eastAsia="Calibri"/>
                <w:noProof/>
              </w:rPr>
            </w:pPr>
            <w:r>
              <w:rPr>
                <w:noProof/>
              </w:rPr>
              <w:t>Заявление по ЕФПГ</w:t>
            </w:r>
          </w:p>
        </w:tc>
        <w:tc>
          <w:tcPr>
            <w:tcW w:w="4379" w:type="dxa"/>
            <w:gridSpan w:val="2"/>
            <w:shd w:val="clear" w:color="auto" w:fill="auto"/>
          </w:tcPr>
          <w:p>
            <w:pPr>
              <w:spacing w:before="60" w:after="60"/>
              <w:ind w:rightChars="192" w:right="461"/>
              <w:jc w:val="left"/>
              <w:rPr>
                <w:rFonts w:eastAsia="Calibri"/>
                <w:noProof/>
              </w:rPr>
            </w:pPr>
            <w:r>
              <w:rPr>
                <w:noProof/>
              </w:rPr>
              <w:t>EGF/2017/006 ES/Galicia apparel</w:t>
            </w:r>
          </w:p>
        </w:tc>
      </w:tr>
      <w:tr>
        <w:tc>
          <w:tcPr>
            <w:tcW w:w="4908" w:type="dxa"/>
            <w:shd w:val="clear" w:color="auto" w:fill="auto"/>
          </w:tcPr>
          <w:p>
            <w:pPr>
              <w:spacing w:before="60" w:after="60"/>
              <w:jc w:val="left"/>
              <w:rPr>
                <w:rFonts w:eastAsia="Calibri"/>
                <w:noProof/>
              </w:rPr>
            </w:pPr>
            <w:r>
              <w:rPr>
                <w:noProof/>
              </w:rPr>
              <w:t>Държава членка</w:t>
            </w:r>
          </w:p>
        </w:tc>
        <w:tc>
          <w:tcPr>
            <w:tcW w:w="4379" w:type="dxa"/>
            <w:gridSpan w:val="2"/>
            <w:shd w:val="clear" w:color="auto" w:fill="auto"/>
          </w:tcPr>
          <w:p>
            <w:pPr>
              <w:spacing w:before="60" w:after="60"/>
              <w:ind w:rightChars="192" w:right="461"/>
              <w:jc w:val="left"/>
              <w:rPr>
                <w:rFonts w:eastAsia="Calibri"/>
                <w:noProof/>
              </w:rPr>
            </w:pPr>
            <w:r>
              <w:rPr>
                <w:noProof/>
              </w:rPr>
              <w:t>Испания</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Засегнат(и) регион(и) (ниво 2 по NUTS</w:t>
            </w:r>
            <w:r>
              <w:rPr>
                <w:rStyle w:val="FootnoteReference"/>
                <w:noProof/>
              </w:rPr>
              <w:footnoteReference w:id="3"/>
            </w:r>
            <w:r>
              <w:rPr>
                <w:noProof/>
              </w:rPr>
              <w:t>)</w:t>
            </w:r>
          </w:p>
        </w:tc>
        <w:tc>
          <w:tcPr>
            <w:tcW w:w="4379" w:type="dxa"/>
            <w:gridSpan w:val="2"/>
            <w:tcBorders>
              <w:bottom w:val="single" w:sz="4" w:space="0" w:color="auto"/>
            </w:tcBorders>
            <w:shd w:val="clear" w:color="auto" w:fill="auto"/>
          </w:tcPr>
          <w:p>
            <w:pPr>
              <w:spacing w:before="0" w:after="0"/>
              <w:ind w:rightChars="192" w:right="461"/>
              <w:jc w:val="left"/>
              <w:rPr>
                <w:noProof/>
                <w:szCs w:val="24"/>
              </w:rPr>
            </w:pPr>
            <w:bookmarkStart w:id="6" w:name="Region_1_Name"/>
            <w:r>
              <w:rPr>
                <w:noProof/>
              </w:rPr>
              <w:t>Галисия</w:t>
            </w:r>
            <w:bookmarkEnd w:id="6"/>
            <w:r>
              <w:rPr>
                <w:noProof/>
              </w:rPr>
              <w:t xml:space="preserve"> (ES11)</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Дата на подаване на заявлението</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19 юли 2017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потвърждението за получаване на заявлението</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19 юли 2017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искането за допълнителна информация</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 август 2017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Срок за предоставяне на допълнителната информация</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13 септември 2017 г.</w:t>
            </w:r>
          </w:p>
        </w:tc>
      </w:tr>
      <w:tr>
        <w:tc>
          <w:tcPr>
            <w:tcW w:w="4908" w:type="dxa"/>
            <w:tcBorders>
              <w:top w:val="dotted" w:sz="4" w:space="0" w:color="auto"/>
            </w:tcBorders>
            <w:shd w:val="clear" w:color="auto" w:fill="auto"/>
          </w:tcPr>
          <w:p>
            <w:pPr>
              <w:spacing w:before="60" w:after="60"/>
              <w:jc w:val="left"/>
              <w:rPr>
                <w:rFonts w:eastAsia="Calibri"/>
                <w:noProof/>
              </w:rPr>
            </w:pPr>
            <w:r>
              <w:rPr>
                <w:noProof/>
              </w:rPr>
              <w:t>Срок за приключване на оценката</w:t>
            </w:r>
          </w:p>
        </w:tc>
        <w:tc>
          <w:tcPr>
            <w:tcW w:w="4379" w:type="dxa"/>
            <w:gridSpan w:val="2"/>
            <w:tcBorders>
              <w:top w:val="dotted" w:sz="4" w:space="0" w:color="auto"/>
            </w:tcBorders>
            <w:shd w:val="clear" w:color="auto" w:fill="auto"/>
          </w:tcPr>
          <w:p>
            <w:pPr>
              <w:spacing w:before="60" w:after="60"/>
              <w:ind w:rightChars="192" w:right="461"/>
              <w:jc w:val="left"/>
              <w:rPr>
                <w:rFonts w:eastAsia="Calibri"/>
                <w:noProof/>
              </w:rPr>
            </w:pPr>
            <w:r>
              <w:rPr>
                <w:noProof/>
              </w:rPr>
              <w:t>6 декември 2017 г.</w:t>
            </w:r>
          </w:p>
        </w:tc>
      </w:tr>
      <w:tr>
        <w:tc>
          <w:tcPr>
            <w:tcW w:w="4908" w:type="dxa"/>
            <w:shd w:val="clear" w:color="auto" w:fill="auto"/>
          </w:tcPr>
          <w:p>
            <w:pPr>
              <w:spacing w:before="60" w:after="60"/>
              <w:jc w:val="left"/>
              <w:rPr>
                <w:rFonts w:eastAsia="Calibri"/>
                <w:noProof/>
              </w:rPr>
            </w:pPr>
            <w:r>
              <w:rPr>
                <w:noProof/>
              </w:rPr>
              <w:t>Критерий за намеса</w:t>
            </w:r>
          </w:p>
        </w:tc>
        <w:tc>
          <w:tcPr>
            <w:tcW w:w="4379" w:type="dxa"/>
            <w:gridSpan w:val="2"/>
            <w:shd w:val="clear" w:color="auto" w:fill="auto"/>
          </w:tcPr>
          <w:p>
            <w:pPr>
              <w:spacing w:before="60" w:after="60"/>
              <w:ind w:rightChars="192" w:right="461"/>
              <w:jc w:val="left"/>
              <w:rPr>
                <w:rFonts w:eastAsia="Calibri"/>
                <w:noProof/>
              </w:rPr>
            </w:pPr>
            <w:r>
              <w:rPr>
                <w:noProof/>
              </w:rPr>
              <w:t>Член 4, параграф 2 от Регламента за ЕФПГ за дерогация от критериите, посочени в член 4, параграф 1, буква б)</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Брой на засегнатите предприятия</w:t>
            </w:r>
          </w:p>
        </w:tc>
        <w:tc>
          <w:tcPr>
            <w:tcW w:w="4379" w:type="dxa"/>
            <w:gridSpan w:val="2"/>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5</w:t>
            </w:r>
          </w:p>
        </w:tc>
      </w:tr>
      <w:tr>
        <w:tc>
          <w:tcPr>
            <w:tcW w:w="4908" w:type="dxa"/>
            <w:shd w:val="clear" w:color="auto" w:fill="auto"/>
          </w:tcPr>
          <w:p>
            <w:pPr>
              <w:spacing w:before="60" w:after="60"/>
              <w:jc w:val="left"/>
              <w:rPr>
                <w:rFonts w:eastAsia="Calibri"/>
                <w:noProof/>
              </w:rPr>
            </w:pPr>
            <w:r>
              <w:rPr>
                <w:noProof/>
              </w:rPr>
              <w:t>Сектор(и) на икономическа дейност</w:t>
            </w:r>
          </w:p>
          <w:p>
            <w:pPr>
              <w:spacing w:before="60" w:after="60"/>
              <w:jc w:val="left"/>
              <w:rPr>
                <w:rFonts w:eastAsia="Calibri"/>
                <w:noProof/>
              </w:rPr>
            </w:pPr>
            <w:r>
              <w:rPr>
                <w:noProof/>
              </w:rPr>
              <w:lastRenderedPageBreak/>
              <w:t>(на равнище разделения по NACE Rev. 2)</w:t>
            </w:r>
            <w:r>
              <w:rPr>
                <w:rStyle w:val="FootnoteReference"/>
                <w:noProof/>
              </w:rPr>
              <w:footnoteReference w:id="4"/>
            </w:r>
          </w:p>
        </w:tc>
        <w:tc>
          <w:tcPr>
            <w:tcW w:w="4379" w:type="dxa"/>
            <w:gridSpan w:val="2"/>
            <w:shd w:val="clear" w:color="auto" w:fill="auto"/>
          </w:tcPr>
          <w:p>
            <w:pPr>
              <w:spacing w:before="60" w:after="60"/>
              <w:ind w:rightChars="192" w:right="461"/>
              <w:jc w:val="left"/>
              <w:rPr>
                <w:noProof/>
                <w:szCs w:val="24"/>
              </w:rPr>
            </w:pPr>
            <w:r>
              <w:rPr>
                <w:noProof/>
              </w:rPr>
              <w:lastRenderedPageBreak/>
              <w:t>Разделение 14</w:t>
            </w:r>
            <w:r>
              <w:rPr>
                <w:noProof/>
              </w:rPr>
              <w:br/>
            </w:r>
            <w:r>
              <w:rPr>
                <w:noProof/>
              </w:rPr>
              <w:lastRenderedPageBreak/>
              <w:t>(Производство на облекло)</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lastRenderedPageBreak/>
              <w:t>Референтен период (девет месеца):</w:t>
            </w:r>
          </w:p>
        </w:tc>
        <w:tc>
          <w:tcPr>
            <w:tcW w:w="4379" w:type="dxa"/>
            <w:gridSpan w:val="2"/>
            <w:tcBorders>
              <w:bottom w:val="single" w:sz="4" w:space="0" w:color="auto"/>
            </w:tcBorders>
            <w:shd w:val="clear" w:color="auto" w:fill="auto"/>
          </w:tcPr>
          <w:p>
            <w:pPr>
              <w:spacing w:before="60" w:after="60"/>
              <w:ind w:rightChars="192" w:right="461"/>
              <w:jc w:val="left"/>
              <w:rPr>
                <w:rFonts w:eastAsia="Calibri"/>
                <w:noProof/>
              </w:rPr>
            </w:pPr>
            <w:r>
              <w:rPr>
                <w:noProof/>
              </w:rPr>
              <w:t>30 юли 2016 г. — 30 април 2017 г.</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Общ брой на съкращенията</w:t>
            </w:r>
          </w:p>
        </w:tc>
        <w:tc>
          <w:tcPr>
            <w:tcW w:w="4379"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303</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Общ брой на бенефициерите, отговарящи на критериите</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303</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Общ брой на бенефициерите от целевата група</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303</w:t>
            </w:r>
          </w:p>
        </w:tc>
      </w:tr>
      <w:tr>
        <w:tc>
          <w:tcPr>
            <w:tcW w:w="4908" w:type="dxa"/>
            <w:tcBorders>
              <w:bottom w:val="dotted" w:sz="4" w:space="0" w:color="auto"/>
            </w:tcBorders>
            <w:shd w:val="clear" w:color="auto" w:fill="auto"/>
            <w:vAlign w:val="center"/>
          </w:tcPr>
          <w:p>
            <w:pPr>
              <w:spacing w:before="0" w:after="0"/>
              <w:jc w:val="left"/>
              <w:rPr>
                <w:noProof/>
              </w:rPr>
            </w:pPr>
            <w:r>
              <w:rPr>
                <w:noProof/>
              </w:rPr>
              <w:t>Бюджет за персонализирани услуги (EUR)</w:t>
            </w:r>
          </w:p>
        </w:tc>
        <w:tc>
          <w:tcPr>
            <w:tcW w:w="1680" w:type="dxa"/>
            <w:tcBorders>
              <w:bottom w:val="dotted" w:sz="4" w:space="0" w:color="auto"/>
              <w:right w:val="nil"/>
            </w:tcBorders>
            <w:shd w:val="clear" w:color="auto" w:fill="auto"/>
            <w:vAlign w:val="center"/>
          </w:tcPr>
          <w:p>
            <w:pPr>
              <w:spacing w:before="0" w:after="0"/>
              <w:ind w:rightChars="192" w:right="461"/>
              <w:jc w:val="right"/>
              <w:rPr>
                <w:noProof/>
              </w:rPr>
            </w:pPr>
            <w:r>
              <w:rPr>
                <w:noProof/>
              </w:rPr>
              <w:t>1 140 000</w:t>
            </w:r>
          </w:p>
        </w:tc>
        <w:tc>
          <w:tcPr>
            <w:tcW w:w="2699" w:type="dxa"/>
            <w:tcBorders>
              <w:left w:val="nil"/>
              <w:bottom w:val="dotted" w:sz="4" w:space="0" w:color="auto"/>
            </w:tcBorders>
            <w:shd w:val="clear" w:color="auto" w:fill="auto"/>
            <w:vAlign w:val="center"/>
          </w:tcPr>
          <w:p>
            <w:pPr>
              <w:spacing w:before="0" w:after="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Бюджет за прилагането на ЕФПГ</w:t>
            </w:r>
            <w:r>
              <w:rPr>
                <w:rStyle w:val="FootnoteReference"/>
                <w:noProof/>
              </w:rPr>
              <w:footnoteReference w:id="5"/>
            </w:r>
            <w:r>
              <w:rPr>
                <w:noProof/>
              </w:rPr>
              <w:t xml:space="preserve"> (EUR)</w:t>
            </w:r>
          </w:p>
        </w:tc>
        <w:tc>
          <w:tcPr>
            <w:tcW w:w="1680" w:type="dxa"/>
            <w:tcBorders>
              <w:top w:val="dotted" w:sz="4" w:space="0" w:color="auto"/>
              <w:bottom w:val="dotted" w:sz="4" w:space="0" w:color="auto"/>
              <w:right w:val="nil"/>
            </w:tcBorders>
            <w:shd w:val="clear" w:color="auto" w:fill="auto"/>
            <w:vAlign w:val="center"/>
          </w:tcPr>
          <w:p>
            <w:pPr>
              <w:spacing w:before="0" w:after="0"/>
              <w:ind w:rightChars="192" w:right="461"/>
              <w:jc w:val="right"/>
              <w:rPr>
                <w:noProof/>
              </w:rPr>
            </w:pPr>
            <w:r>
              <w:rPr>
                <w:noProof/>
              </w:rPr>
              <w:t>60 000</w:t>
            </w:r>
          </w:p>
        </w:tc>
        <w:tc>
          <w:tcPr>
            <w:tcW w:w="2699" w:type="dxa"/>
            <w:tcBorders>
              <w:top w:val="dotted" w:sz="4" w:space="0" w:color="auto"/>
              <w:left w:val="nil"/>
              <w:bottom w:val="dotted" w:sz="4" w:space="0" w:color="auto"/>
            </w:tcBorders>
            <w:shd w:val="clear" w:color="auto" w:fill="auto"/>
            <w:vAlign w:val="center"/>
          </w:tcPr>
          <w:p>
            <w:pPr>
              <w:spacing w:before="0" w:after="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Общ бюджет (EUR)</w:t>
            </w:r>
          </w:p>
        </w:tc>
        <w:tc>
          <w:tcPr>
            <w:tcW w:w="1680" w:type="dxa"/>
            <w:tcBorders>
              <w:top w:val="dotted" w:sz="4" w:space="0" w:color="auto"/>
              <w:bottom w:val="dotted" w:sz="4" w:space="0" w:color="auto"/>
              <w:right w:val="nil"/>
            </w:tcBorders>
            <w:shd w:val="clear" w:color="auto" w:fill="auto"/>
            <w:vAlign w:val="center"/>
          </w:tcPr>
          <w:p>
            <w:pPr>
              <w:spacing w:before="0" w:after="0"/>
              <w:ind w:rightChars="192" w:right="461"/>
              <w:jc w:val="right"/>
              <w:rPr>
                <w:noProof/>
              </w:rPr>
            </w:pPr>
            <w:r>
              <w:rPr>
                <w:noProof/>
              </w:rPr>
              <w:t>1 200 000</w:t>
            </w:r>
          </w:p>
        </w:tc>
        <w:tc>
          <w:tcPr>
            <w:tcW w:w="2699" w:type="dxa"/>
            <w:tcBorders>
              <w:top w:val="dotted" w:sz="4" w:space="0" w:color="auto"/>
              <w:left w:val="nil"/>
              <w:bottom w:val="dotted" w:sz="4" w:space="0" w:color="auto"/>
            </w:tcBorders>
            <w:shd w:val="clear" w:color="auto" w:fill="auto"/>
            <w:vAlign w:val="center"/>
          </w:tcPr>
          <w:p>
            <w:pPr>
              <w:spacing w:before="0" w:after="0"/>
              <w:ind w:rightChars="192" w:right="461"/>
              <w:jc w:val="left"/>
              <w:rPr>
                <w:noProof/>
              </w:rPr>
            </w:pPr>
          </w:p>
        </w:tc>
      </w:tr>
      <w:tr>
        <w:tc>
          <w:tcPr>
            <w:tcW w:w="4908" w:type="dxa"/>
            <w:tcBorders>
              <w:top w:val="dotted" w:sz="4" w:space="0" w:color="auto"/>
            </w:tcBorders>
            <w:shd w:val="clear" w:color="auto" w:fill="auto"/>
            <w:vAlign w:val="center"/>
          </w:tcPr>
          <w:p>
            <w:pPr>
              <w:spacing w:before="0" w:after="0"/>
              <w:jc w:val="left"/>
              <w:rPr>
                <w:noProof/>
              </w:rPr>
            </w:pPr>
            <w:r>
              <w:rPr>
                <w:noProof/>
              </w:rPr>
              <w:t>Финансово участие от ЕФПГ (60 %) (EUR)</w:t>
            </w:r>
          </w:p>
        </w:tc>
        <w:tc>
          <w:tcPr>
            <w:tcW w:w="1680" w:type="dxa"/>
            <w:tcBorders>
              <w:top w:val="dotted" w:sz="4" w:space="0" w:color="auto"/>
              <w:right w:val="nil"/>
            </w:tcBorders>
            <w:shd w:val="clear" w:color="auto" w:fill="auto"/>
            <w:vAlign w:val="center"/>
          </w:tcPr>
          <w:p>
            <w:pPr>
              <w:spacing w:before="0" w:after="0"/>
              <w:ind w:rightChars="192" w:right="461"/>
              <w:jc w:val="right"/>
              <w:rPr>
                <w:noProof/>
              </w:rPr>
            </w:pPr>
            <w:r>
              <w:rPr>
                <w:noProof/>
              </w:rPr>
              <w:t>720 000</w:t>
            </w:r>
          </w:p>
        </w:tc>
        <w:tc>
          <w:tcPr>
            <w:tcW w:w="2699" w:type="dxa"/>
            <w:tcBorders>
              <w:top w:val="dotted" w:sz="4" w:space="0" w:color="auto"/>
              <w:left w:val="nil"/>
            </w:tcBorders>
            <w:shd w:val="clear" w:color="auto" w:fill="auto"/>
            <w:vAlign w:val="center"/>
          </w:tcPr>
          <w:p>
            <w:pPr>
              <w:spacing w:before="0" w:after="0"/>
              <w:ind w:rightChars="192" w:right="461"/>
              <w:jc w:val="left"/>
              <w:rPr>
                <w:noProof/>
              </w:rPr>
            </w:pPr>
          </w:p>
        </w:tc>
      </w:tr>
    </w:tbl>
    <w:p>
      <w:pPr>
        <w:pStyle w:val="ManualHeading1"/>
        <w:rPr>
          <w:noProof/>
        </w:rPr>
      </w:pPr>
      <w:r>
        <w:rPr>
          <w:noProof/>
        </w:rPr>
        <w:t>ОЦЕНКА НА ЗАЯВЛЕНИЕТО</w:t>
      </w:r>
    </w:p>
    <w:p>
      <w:pPr>
        <w:pStyle w:val="ManualHeading2"/>
        <w:rPr>
          <w:noProof/>
        </w:rPr>
      </w:pPr>
      <w:r>
        <w:rPr>
          <w:noProof/>
        </w:rPr>
        <w:t>Процедура</w:t>
      </w:r>
    </w:p>
    <w:p>
      <w:pPr>
        <w:pStyle w:val="ManualNumPar1"/>
        <w:rPr>
          <w:noProof/>
        </w:rPr>
      </w:pPr>
      <w:r>
        <w:t>4.</w:t>
      </w:r>
      <w:r>
        <w:tab/>
      </w:r>
      <w:r>
        <w:rPr>
          <w:noProof/>
        </w:rPr>
        <w:t>Испания подаде заявление EGF/2017/006 ES/Galicia apparel на 19 юли 2017 г. в срок от 12 седмици от датата, на която бяха изпълнени критериите за намеса, определени в член 4 от Регламента за ЕФПГ. Комисията потвърди в същия ден получаването на заявлението, а на 2 август 2017 г. поиска допълнителна информация от Испания. Допълнителната информация бе предоставена в шестседмичен срок от датата на искането. Предвиденият 12-седмичен срок от датата на получаване на пълното заявление, в който Комисията следва да приключи оценката си за това дали то отговаря на условията за предоставяне на финансово участие, изтича на 6 декември 2017 г.</w:t>
      </w:r>
    </w:p>
    <w:p>
      <w:pPr>
        <w:pStyle w:val="ManualHeading2"/>
        <w:rPr>
          <w:noProof/>
        </w:rPr>
      </w:pPr>
      <w:r>
        <w:rPr>
          <w:noProof/>
        </w:rPr>
        <w:t>Допустимост на заявлението</w:t>
      </w:r>
    </w:p>
    <w:p>
      <w:pPr>
        <w:pStyle w:val="ManualHeading3"/>
        <w:rPr>
          <w:noProof/>
        </w:rPr>
      </w:pPr>
      <w:r>
        <w:rPr>
          <w:noProof/>
        </w:rPr>
        <w:t>Засегнати предприятия и бенефициери</w:t>
      </w:r>
    </w:p>
    <w:p>
      <w:pPr>
        <w:pStyle w:val="ManualNumPar1"/>
        <w:rPr>
          <w:noProof/>
          <w:szCs w:val="24"/>
        </w:rPr>
      </w:pPr>
      <w:r>
        <w:t>5.</w:t>
      </w:r>
      <w:r>
        <w:tab/>
      </w:r>
      <w:r>
        <w:rPr>
          <w:noProof/>
        </w:rPr>
        <w:t>Заявлението се отнася до 303 работници, съкратени в икономически отрасъл от разделение 14 на NACE Rev. 2 („Производство на облекло“). Направените от предприятието съкращения са в региона на ниво 2 по NUTS Galicia (ES11).</w:t>
      </w:r>
    </w:p>
    <w:tbl>
      <w:tblPr>
        <w:tblW w:w="83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480"/>
        <w:gridCol w:w="360"/>
        <w:gridCol w:w="2940"/>
        <w:gridCol w:w="600"/>
        <w:gridCol w:w="600"/>
      </w:tblGrid>
      <w:tr>
        <w:trPr>
          <w:trHeight w:val="284"/>
          <w:tblHeader/>
        </w:trPr>
        <w:tc>
          <w:tcPr>
            <w:tcW w:w="8340" w:type="dxa"/>
            <w:gridSpan w:val="6"/>
            <w:shd w:val="clear" w:color="auto" w:fill="D9D9D9" w:themeFill="background1" w:themeFillShade="D9"/>
          </w:tcPr>
          <w:p>
            <w:pPr>
              <w:spacing w:beforeLines="20" w:before="48" w:afterLines="20" w:after="48" w:line="276" w:lineRule="auto"/>
              <w:ind w:left="57"/>
              <w:jc w:val="center"/>
              <w:rPr>
                <w:rFonts w:eastAsia="Calibri"/>
                <w:noProof/>
                <w:szCs w:val="24"/>
              </w:rPr>
            </w:pPr>
            <w:r>
              <w:rPr>
                <w:b/>
                <w:noProof/>
              </w:rPr>
              <w:t>Предприятия и брой на съкратените лица през референтния период</w:t>
            </w:r>
          </w:p>
        </w:tc>
      </w:tr>
      <w:tr>
        <w:tc>
          <w:tcPr>
            <w:tcW w:w="3360" w:type="dxa"/>
            <w:tcBorders>
              <w:bottom w:val="nil"/>
              <w:right w:val="nil"/>
            </w:tcBorders>
            <w:shd w:val="clear" w:color="auto" w:fill="auto"/>
            <w:vAlign w:val="center"/>
          </w:tcPr>
          <w:p>
            <w:pPr>
              <w:spacing w:before="0" w:after="0"/>
              <w:ind w:right="252"/>
              <w:jc w:val="left"/>
              <w:rPr>
                <w:noProof/>
                <w:szCs w:val="24"/>
              </w:rPr>
            </w:pPr>
            <w:r>
              <w:rPr>
                <w:noProof/>
              </w:rPr>
              <w:t>Caramelo S.A.</w:t>
            </w:r>
          </w:p>
        </w:tc>
        <w:tc>
          <w:tcPr>
            <w:tcW w:w="840" w:type="dxa"/>
            <w:gridSpan w:val="2"/>
            <w:tcBorders>
              <w:left w:val="nil"/>
              <w:bottom w:val="nil"/>
            </w:tcBorders>
            <w:shd w:val="clear" w:color="auto" w:fill="auto"/>
            <w:vAlign w:val="center"/>
          </w:tcPr>
          <w:p>
            <w:pPr>
              <w:spacing w:before="0" w:after="0"/>
              <w:ind w:left="-828"/>
              <w:jc w:val="right"/>
              <w:rPr>
                <w:noProof/>
                <w:szCs w:val="24"/>
              </w:rPr>
            </w:pPr>
            <w:r>
              <w:rPr>
                <w:noProof/>
              </w:rPr>
              <w:t>97</w:t>
            </w:r>
          </w:p>
        </w:tc>
        <w:tc>
          <w:tcPr>
            <w:tcW w:w="3540" w:type="dxa"/>
            <w:gridSpan w:val="2"/>
            <w:tcBorders>
              <w:bottom w:val="nil"/>
              <w:right w:val="nil"/>
            </w:tcBorders>
            <w:shd w:val="clear" w:color="auto" w:fill="auto"/>
            <w:vAlign w:val="center"/>
          </w:tcPr>
          <w:p>
            <w:pPr>
              <w:spacing w:before="0" w:after="0"/>
              <w:jc w:val="left"/>
              <w:rPr>
                <w:noProof/>
                <w:szCs w:val="24"/>
              </w:rPr>
            </w:pPr>
            <w:r>
              <w:rPr>
                <w:noProof/>
              </w:rPr>
              <w:t>Shivshi S.L.</w:t>
            </w:r>
          </w:p>
        </w:tc>
        <w:tc>
          <w:tcPr>
            <w:tcW w:w="600" w:type="dxa"/>
            <w:tcBorders>
              <w:left w:val="nil"/>
              <w:bottom w:val="nil"/>
            </w:tcBorders>
            <w:shd w:val="clear" w:color="auto" w:fill="auto"/>
            <w:vAlign w:val="center"/>
          </w:tcPr>
          <w:p>
            <w:pPr>
              <w:spacing w:before="0" w:after="0"/>
              <w:ind w:left="-828"/>
              <w:jc w:val="right"/>
              <w:rPr>
                <w:noProof/>
                <w:szCs w:val="24"/>
              </w:rPr>
            </w:pPr>
            <w:r>
              <w:rPr>
                <w:noProof/>
              </w:rPr>
              <w:t>41</w:t>
            </w:r>
          </w:p>
        </w:tc>
      </w:tr>
      <w:tr>
        <w:trPr>
          <w:trHeight w:val="138"/>
        </w:trPr>
        <w:tc>
          <w:tcPr>
            <w:tcW w:w="3360" w:type="dxa"/>
            <w:tcBorders>
              <w:top w:val="nil"/>
              <w:bottom w:val="nil"/>
              <w:right w:val="nil"/>
            </w:tcBorders>
            <w:shd w:val="clear" w:color="auto" w:fill="auto"/>
            <w:vAlign w:val="center"/>
          </w:tcPr>
          <w:p>
            <w:pPr>
              <w:spacing w:before="0" w:after="0"/>
              <w:jc w:val="left"/>
              <w:rPr>
                <w:noProof/>
                <w:szCs w:val="24"/>
              </w:rPr>
            </w:pPr>
            <w:r>
              <w:rPr>
                <w:noProof/>
              </w:rPr>
              <w:t>Confecciones Deus S.L.</w:t>
            </w:r>
          </w:p>
        </w:tc>
        <w:tc>
          <w:tcPr>
            <w:tcW w:w="840" w:type="dxa"/>
            <w:gridSpan w:val="2"/>
            <w:tcBorders>
              <w:top w:val="nil"/>
              <w:left w:val="nil"/>
              <w:bottom w:val="nil"/>
            </w:tcBorders>
            <w:shd w:val="clear" w:color="auto" w:fill="auto"/>
            <w:vAlign w:val="center"/>
          </w:tcPr>
          <w:p>
            <w:pPr>
              <w:spacing w:before="0" w:after="0"/>
              <w:ind w:left="-828"/>
              <w:jc w:val="right"/>
              <w:rPr>
                <w:noProof/>
                <w:szCs w:val="24"/>
              </w:rPr>
            </w:pPr>
            <w:r>
              <w:rPr>
                <w:noProof/>
              </w:rPr>
              <w:t>20</w:t>
            </w:r>
          </w:p>
        </w:tc>
        <w:tc>
          <w:tcPr>
            <w:tcW w:w="3540" w:type="dxa"/>
            <w:gridSpan w:val="2"/>
            <w:tcBorders>
              <w:top w:val="nil"/>
              <w:bottom w:val="nil"/>
              <w:right w:val="nil"/>
            </w:tcBorders>
            <w:shd w:val="clear" w:color="auto" w:fill="auto"/>
            <w:vAlign w:val="center"/>
          </w:tcPr>
          <w:p>
            <w:pPr>
              <w:spacing w:before="0" w:after="0"/>
              <w:jc w:val="left"/>
              <w:rPr>
                <w:noProof/>
                <w:szCs w:val="24"/>
              </w:rPr>
            </w:pPr>
            <w:r>
              <w:rPr>
                <w:noProof/>
              </w:rPr>
              <w:t>Viriato</w:t>
            </w:r>
          </w:p>
        </w:tc>
        <w:tc>
          <w:tcPr>
            <w:tcW w:w="600" w:type="dxa"/>
            <w:tcBorders>
              <w:top w:val="nil"/>
              <w:left w:val="nil"/>
              <w:bottom w:val="nil"/>
            </w:tcBorders>
            <w:shd w:val="clear" w:color="auto" w:fill="auto"/>
            <w:vAlign w:val="center"/>
          </w:tcPr>
          <w:p>
            <w:pPr>
              <w:spacing w:before="0" w:after="0"/>
              <w:ind w:left="-828"/>
              <w:jc w:val="right"/>
              <w:rPr>
                <w:noProof/>
                <w:szCs w:val="24"/>
              </w:rPr>
            </w:pPr>
            <w:r>
              <w:rPr>
                <w:noProof/>
              </w:rPr>
              <w:t>106</w:t>
            </w:r>
          </w:p>
        </w:tc>
      </w:tr>
      <w:tr>
        <w:tc>
          <w:tcPr>
            <w:tcW w:w="3360" w:type="dxa"/>
            <w:tcBorders>
              <w:top w:val="nil"/>
              <w:bottom w:val="nil"/>
              <w:right w:val="nil"/>
            </w:tcBorders>
            <w:shd w:val="clear" w:color="auto" w:fill="auto"/>
            <w:vAlign w:val="center"/>
          </w:tcPr>
          <w:p>
            <w:pPr>
              <w:spacing w:before="0" w:after="0"/>
              <w:jc w:val="left"/>
              <w:rPr>
                <w:noProof/>
                <w:szCs w:val="24"/>
              </w:rPr>
            </w:pPr>
            <w:r>
              <w:rPr>
                <w:noProof/>
              </w:rPr>
              <w:t>Deus Creaciones S.L.</w:t>
            </w:r>
          </w:p>
        </w:tc>
        <w:tc>
          <w:tcPr>
            <w:tcW w:w="840" w:type="dxa"/>
            <w:gridSpan w:val="2"/>
            <w:tcBorders>
              <w:top w:val="nil"/>
              <w:left w:val="nil"/>
              <w:bottom w:val="nil"/>
            </w:tcBorders>
            <w:shd w:val="clear" w:color="auto" w:fill="auto"/>
            <w:vAlign w:val="center"/>
          </w:tcPr>
          <w:p>
            <w:pPr>
              <w:spacing w:before="0" w:after="0"/>
              <w:ind w:left="-828"/>
              <w:jc w:val="right"/>
              <w:rPr>
                <w:noProof/>
                <w:szCs w:val="24"/>
              </w:rPr>
            </w:pPr>
            <w:r>
              <w:rPr>
                <w:noProof/>
              </w:rPr>
              <w:t>39</w:t>
            </w:r>
          </w:p>
        </w:tc>
        <w:tc>
          <w:tcPr>
            <w:tcW w:w="3540" w:type="dxa"/>
            <w:gridSpan w:val="2"/>
            <w:tcBorders>
              <w:top w:val="nil"/>
              <w:bottom w:val="nil"/>
              <w:right w:val="nil"/>
            </w:tcBorders>
            <w:shd w:val="clear" w:color="auto" w:fill="auto"/>
            <w:vAlign w:val="center"/>
          </w:tcPr>
          <w:p>
            <w:pPr>
              <w:spacing w:before="0" w:after="0"/>
              <w:jc w:val="left"/>
              <w:rPr>
                <w:noProof/>
                <w:szCs w:val="24"/>
              </w:rPr>
            </w:pPr>
          </w:p>
        </w:tc>
        <w:tc>
          <w:tcPr>
            <w:tcW w:w="600" w:type="dxa"/>
            <w:tcBorders>
              <w:top w:val="nil"/>
              <w:left w:val="nil"/>
              <w:bottom w:val="nil"/>
            </w:tcBorders>
            <w:shd w:val="clear" w:color="auto" w:fill="auto"/>
            <w:vAlign w:val="center"/>
          </w:tcPr>
          <w:p>
            <w:pPr>
              <w:spacing w:before="0" w:after="0"/>
              <w:ind w:left="-828"/>
              <w:jc w:val="right"/>
              <w:rPr>
                <w:noProof/>
                <w:szCs w:val="24"/>
              </w:rPr>
            </w:pPr>
          </w:p>
        </w:tc>
      </w:tr>
      <w:tr>
        <w:trPr>
          <w:trHeight w:val="284"/>
        </w:trPr>
        <w:tc>
          <w:tcPr>
            <w:tcW w:w="3840" w:type="dxa"/>
            <w:gridSpan w:val="2"/>
            <w:tcBorders>
              <w:bottom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noProof/>
              </w:rPr>
              <w:br w:type="page"/>
            </w:r>
            <w:r>
              <w:rPr>
                <w:b/>
                <w:noProof/>
              </w:rPr>
              <w:t>Общ брой на предприятията:</w:t>
            </w:r>
            <w:r>
              <w:rPr>
                <w:b/>
                <w:noProof/>
                <w:sz w:val="22"/>
              </w:rPr>
              <w:t xml:space="preserve"> </w:t>
            </w:r>
            <w:r>
              <w:rPr>
                <w:b/>
                <w:noProof/>
              </w:rPr>
              <w:t>5</w:t>
            </w:r>
          </w:p>
        </w:tc>
        <w:tc>
          <w:tcPr>
            <w:tcW w:w="3300" w:type="dxa"/>
            <w:gridSpan w:val="2"/>
            <w:tcBorders>
              <w:left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Общ брой на съкратените лица:</w:t>
            </w:r>
            <w:r>
              <w:rPr>
                <w:b/>
                <w:noProof/>
                <w:sz w:val="22"/>
              </w:rPr>
              <w:t xml:space="preserve"> </w:t>
            </w:r>
          </w:p>
        </w:tc>
        <w:tc>
          <w:tcPr>
            <w:tcW w:w="1200" w:type="dxa"/>
            <w:gridSpan w:val="2"/>
            <w:tcBorders>
              <w:left w:val="nil"/>
              <w:bottom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303</w:t>
            </w:r>
          </w:p>
        </w:tc>
      </w:tr>
      <w:tr>
        <w:trPr>
          <w:trHeight w:val="284"/>
        </w:trPr>
        <w:tc>
          <w:tcPr>
            <w:tcW w:w="7140" w:type="dxa"/>
            <w:gridSpan w:val="4"/>
            <w:tcBorders>
              <w:top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Общ брой на самостоятелно заетите лица, чиято дейност е прекратена:</w:t>
            </w:r>
            <w:r>
              <w:rPr>
                <w:noProof/>
              </w:rPr>
              <w:t xml:space="preserve"> </w:t>
            </w:r>
          </w:p>
        </w:tc>
        <w:tc>
          <w:tcPr>
            <w:tcW w:w="1200" w:type="dxa"/>
            <w:gridSpan w:val="2"/>
            <w:tcBorders>
              <w:top w:val="nil"/>
              <w:left w:val="nil"/>
              <w:bottom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0</w:t>
            </w:r>
          </w:p>
        </w:tc>
      </w:tr>
      <w:tr>
        <w:trPr>
          <w:trHeight w:val="284"/>
        </w:trPr>
        <w:tc>
          <w:tcPr>
            <w:tcW w:w="7140" w:type="dxa"/>
            <w:gridSpan w:val="4"/>
            <w:tcBorders>
              <w:top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b/>
                <w:noProof/>
              </w:rPr>
              <w:t xml:space="preserve">Общ брой на отговарящите на критериите работници и самостоятелно заети лица: </w:t>
            </w:r>
          </w:p>
        </w:tc>
        <w:tc>
          <w:tcPr>
            <w:tcW w:w="1200" w:type="dxa"/>
            <w:gridSpan w:val="2"/>
            <w:tcBorders>
              <w:top w:val="nil"/>
              <w:left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303</w:t>
            </w:r>
          </w:p>
        </w:tc>
      </w:tr>
    </w:tbl>
    <w:p>
      <w:pPr>
        <w:pStyle w:val="ManualHeading3"/>
        <w:rPr>
          <w:noProof/>
        </w:rPr>
      </w:pPr>
      <w:r>
        <w:rPr>
          <w:noProof/>
        </w:rPr>
        <w:lastRenderedPageBreak/>
        <w:t>Критерии за намеса</w:t>
      </w:r>
    </w:p>
    <w:p>
      <w:pPr>
        <w:pStyle w:val="ManualNumPar1"/>
        <w:rPr>
          <w:noProof/>
        </w:rPr>
      </w:pPr>
      <w:r>
        <w:t>6.</w:t>
      </w:r>
      <w:r>
        <w:tab/>
      </w:r>
      <w:r>
        <w:rPr>
          <w:noProof/>
        </w:rPr>
        <w:t>Испания подаде заявлението в съответствие с критериите за намеса, посочени в член 4, параграф 2 от Регламента за ЕФПГ, чрез който се въвежда дерогация от критериите по член 4, параграф 1, буква б), съгласно които е необходимо за референтен период от девет месеца в предприятия, извършващи дейност в един и същ икономически сектор, определен на равнището на разделенията на NACE Rev. 2, и разположени в един или два съседни региона на ниво 2 по NUTS, намиращи се в дадена държава членка, да са били съкратени най-малко 500 работници. Налице бяха 303 съкращения в региона на ниво 2 по NUTS Galicia (ES11).</w:t>
      </w:r>
    </w:p>
    <w:p>
      <w:pPr>
        <w:pStyle w:val="ManualNumPar1"/>
        <w:rPr>
          <w:noProof/>
        </w:rPr>
      </w:pPr>
      <w:bookmarkStart w:id="7" w:name="_Ref372189348"/>
      <w:r>
        <w:t>7.</w:t>
      </w:r>
      <w:r>
        <w:tab/>
      </w:r>
      <w:r>
        <w:rPr>
          <w:noProof/>
        </w:rPr>
        <w:t xml:space="preserve">Деветмесечният референтен период за заявлението започва на 30 юли 2016 г. и приключва на </w:t>
      </w:r>
      <w:bookmarkEnd w:id="7"/>
      <w:r>
        <w:rPr>
          <w:noProof/>
        </w:rPr>
        <w:t>30 април 2017 г.</w:t>
      </w:r>
    </w:p>
    <w:p>
      <w:pPr>
        <w:pStyle w:val="ManualHeading3"/>
        <w:rPr>
          <w:noProof/>
        </w:rPr>
      </w:pPr>
      <w:r>
        <w:rPr>
          <w:noProof/>
        </w:rPr>
        <w:t>Изчисляване на броя на съкращенията и на случаите на прекратяване на дейност</w:t>
      </w:r>
    </w:p>
    <w:p>
      <w:pPr>
        <w:pStyle w:val="ManualNumPar1"/>
        <w:rPr>
          <w:noProof/>
        </w:rPr>
      </w:pPr>
      <w:r>
        <w:t>8.</w:t>
      </w:r>
      <w:r>
        <w:tab/>
      </w:r>
      <w:r>
        <w:rPr>
          <w:noProof/>
        </w:rPr>
        <w:t>Всички съкращения по време на референтния период са изчислени от датата на действителното приключване на трудовия договор или на изтичането на срока му.</w:t>
      </w:r>
    </w:p>
    <w:p>
      <w:pPr>
        <w:pStyle w:val="ManualHeading3"/>
        <w:rPr>
          <w:noProof/>
        </w:rPr>
      </w:pPr>
      <w:r>
        <w:rPr>
          <w:noProof/>
        </w:rPr>
        <w:t>Бенефициери, отговарящи на критериите</w:t>
      </w:r>
    </w:p>
    <w:p>
      <w:pPr>
        <w:pStyle w:val="ManualNumPar1"/>
        <w:rPr>
          <w:noProof/>
        </w:rPr>
      </w:pPr>
      <w:r>
        <w:t>9.</w:t>
      </w:r>
      <w:r>
        <w:tab/>
      </w:r>
      <w:r>
        <w:rPr>
          <w:noProof/>
        </w:rPr>
        <w:t>Общият брой на отговарящите на критериите бенефициери е 303 души.</w:t>
      </w:r>
    </w:p>
    <w:p>
      <w:pPr>
        <w:pStyle w:val="ManualHeading3"/>
        <w:tabs>
          <w:tab w:val="clear" w:pos="850"/>
          <w:tab w:val="left" w:pos="0"/>
        </w:tabs>
        <w:ind w:left="0" w:firstLine="0"/>
        <w:rPr>
          <w:noProof/>
        </w:rPr>
      </w:pPr>
      <w:r>
        <w:rPr>
          <w:noProof/>
        </w:rPr>
        <w:t>Връзка между съкращенията и големите структурни промени в моделите на световната търговия, произтичащи от глобализацията</w:t>
      </w:r>
    </w:p>
    <w:p>
      <w:pPr>
        <w:pStyle w:val="ManualNumPar1"/>
        <w:rPr>
          <w:noProof/>
        </w:rPr>
      </w:pPr>
      <w:r>
        <w:t>10.</w:t>
      </w:r>
      <w:r>
        <w:tab/>
      </w:r>
      <w:r>
        <w:rPr>
          <w:noProof/>
        </w:rPr>
        <w:t>С цел установяване на връзката между съкращенията и големите структурни промени в моделите на световната търговия, произтичащи от глобализацията, Испания твърди, че либерализацията на търговията на текстилни изделия и облекла, след изтичането на срока на действие на споразумението за мултифибрите на Световната търговска организация в края на 2004 г., е довела до коренни промени в структурата на световната търговия. Съгласно данните на EUROSTAT-Comext през 2016 г. вносът на облекла в ЕС-28 се е увеличил с 37,9 % спрямо 2008 г. и с 83,2 % спрямо 2004 г.</w:t>
      </w:r>
    </w:p>
    <w:p>
      <w:pPr>
        <w:pStyle w:val="Text1"/>
        <w:jc w:val="center"/>
        <w:rPr>
          <w:b/>
          <w:noProof/>
        </w:rPr>
      </w:pPr>
      <w:r>
        <w:rPr>
          <w:b/>
          <w:noProof/>
        </w:rPr>
        <w:t>Внос и износ на облекла в ЕС-28 (в млн. EUR)</w:t>
      </w:r>
    </w:p>
    <w:tbl>
      <w:tblPr>
        <w:tblStyle w:val="TableGrid"/>
        <w:tblW w:w="0" w:type="auto"/>
        <w:tblInd w:w="925" w:type="dxa"/>
        <w:tblLook w:val="04A0" w:firstRow="1" w:lastRow="0" w:firstColumn="1" w:lastColumn="0" w:noHBand="0" w:noVBand="1"/>
      </w:tblPr>
      <w:tblGrid>
        <w:gridCol w:w="897"/>
        <w:gridCol w:w="1066"/>
        <w:gridCol w:w="1066"/>
        <w:gridCol w:w="1067"/>
        <w:gridCol w:w="1067"/>
        <w:gridCol w:w="1067"/>
        <w:gridCol w:w="1067"/>
        <w:gridCol w:w="1067"/>
      </w:tblGrid>
      <w:tr>
        <w:tc>
          <w:tcPr>
            <w:tcW w:w="236" w:type="dxa"/>
            <w:tcBorders>
              <w:top w:val="nil"/>
              <w:left w:val="nil"/>
            </w:tcBorders>
            <w:vAlign w:val="bottom"/>
          </w:tcPr>
          <w:p>
            <w:pPr>
              <w:jc w:val="center"/>
              <w:rPr>
                <w:b/>
                <w:noProof/>
                <w:color w:val="000000"/>
                <w:sz w:val="20"/>
                <w:szCs w:val="20"/>
              </w:rPr>
            </w:pPr>
          </w:p>
        </w:tc>
        <w:tc>
          <w:tcPr>
            <w:tcW w:w="1161" w:type="dxa"/>
            <w:vAlign w:val="bottom"/>
          </w:tcPr>
          <w:p>
            <w:pPr>
              <w:jc w:val="center"/>
              <w:rPr>
                <w:b/>
                <w:noProof/>
                <w:color w:val="000000"/>
                <w:sz w:val="20"/>
                <w:szCs w:val="20"/>
              </w:rPr>
            </w:pPr>
            <w:r>
              <w:rPr>
                <w:b/>
                <w:noProof/>
                <w:color w:val="000000"/>
                <w:sz w:val="20"/>
              </w:rPr>
              <w:t>2004 г.</w:t>
            </w:r>
          </w:p>
        </w:tc>
        <w:tc>
          <w:tcPr>
            <w:tcW w:w="1161" w:type="dxa"/>
            <w:vAlign w:val="bottom"/>
          </w:tcPr>
          <w:p>
            <w:pPr>
              <w:jc w:val="center"/>
              <w:rPr>
                <w:b/>
                <w:noProof/>
                <w:color w:val="000000"/>
                <w:sz w:val="20"/>
                <w:szCs w:val="20"/>
              </w:rPr>
            </w:pPr>
            <w:r>
              <w:rPr>
                <w:b/>
                <w:noProof/>
                <w:color w:val="000000"/>
                <w:sz w:val="20"/>
              </w:rPr>
              <w:t>2005 г.</w:t>
            </w:r>
          </w:p>
        </w:tc>
        <w:tc>
          <w:tcPr>
            <w:tcW w:w="1161" w:type="dxa"/>
            <w:vAlign w:val="bottom"/>
          </w:tcPr>
          <w:p>
            <w:pPr>
              <w:jc w:val="center"/>
              <w:rPr>
                <w:b/>
                <w:noProof/>
                <w:color w:val="000000"/>
                <w:sz w:val="20"/>
                <w:szCs w:val="20"/>
              </w:rPr>
            </w:pPr>
            <w:r>
              <w:rPr>
                <w:b/>
                <w:noProof/>
                <w:color w:val="000000"/>
                <w:sz w:val="20"/>
              </w:rPr>
              <w:t>2006 г.</w:t>
            </w:r>
          </w:p>
        </w:tc>
        <w:tc>
          <w:tcPr>
            <w:tcW w:w="1161" w:type="dxa"/>
            <w:vAlign w:val="bottom"/>
          </w:tcPr>
          <w:p>
            <w:pPr>
              <w:jc w:val="center"/>
              <w:rPr>
                <w:b/>
                <w:noProof/>
                <w:color w:val="000000"/>
                <w:sz w:val="20"/>
                <w:szCs w:val="20"/>
              </w:rPr>
            </w:pPr>
            <w:r>
              <w:rPr>
                <w:b/>
                <w:noProof/>
                <w:color w:val="000000"/>
                <w:sz w:val="20"/>
              </w:rPr>
              <w:t>2007 г.</w:t>
            </w:r>
          </w:p>
        </w:tc>
        <w:tc>
          <w:tcPr>
            <w:tcW w:w="1161" w:type="dxa"/>
            <w:vAlign w:val="bottom"/>
          </w:tcPr>
          <w:p>
            <w:pPr>
              <w:jc w:val="center"/>
              <w:rPr>
                <w:b/>
                <w:noProof/>
                <w:color w:val="000000"/>
                <w:sz w:val="20"/>
                <w:szCs w:val="20"/>
              </w:rPr>
            </w:pPr>
            <w:r>
              <w:rPr>
                <w:b/>
                <w:noProof/>
                <w:color w:val="000000"/>
                <w:sz w:val="20"/>
              </w:rPr>
              <w:t>2008 г.</w:t>
            </w:r>
          </w:p>
        </w:tc>
        <w:tc>
          <w:tcPr>
            <w:tcW w:w="1161" w:type="dxa"/>
            <w:vAlign w:val="bottom"/>
          </w:tcPr>
          <w:p>
            <w:pPr>
              <w:jc w:val="center"/>
              <w:rPr>
                <w:b/>
                <w:noProof/>
                <w:color w:val="000000"/>
                <w:sz w:val="20"/>
                <w:szCs w:val="20"/>
              </w:rPr>
            </w:pPr>
            <w:r>
              <w:rPr>
                <w:b/>
                <w:noProof/>
                <w:color w:val="000000"/>
                <w:sz w:val="20"/>
              </w:rPr>
              <w:t>2009 г.</w:t>
            </w:r>
          </w:p>
        </w:tc>
        <w:tc>
          <w:tcPr>
            <w:tcW w:w="1161" w:type="dxa"/>
            <w:vAlign w:val="bottom"/>
          </w:tcPr>
          <w:p>
            <w:pPr>
              <w:jc w:val="center"/>
              <w:rPr>
                <w:b/>
                <w:noProof/>
                <w:color w:val="000000"/>
                <w:sz w:val="20"/>
                <w:szCs w:val="20"/>
              </w:rPr>
            </w:pPr>
            <w:r>
              <w:rPr>
                <w:b/>
                <w:noProof/>
                <w:color w:val="000000"/>
                <w:sz w:val="20"/>
              </w:rPr>
              <w:t>2010 г.</w:t>
            </w:r>
          </w:p>
        </w:tc>
      </w:tr>
      <w:tr>
        <w:tc>
          <w:tcPr>
            <w:tcW w:w="236" w:type="dxa"/>
            <w:vAlign w:val="bottom"/>
          </w:tcPr>
          <w:p>
            <w:pPr>
              <w:rPr>
                <w:b/>
                <w:noProof/>
                <w:color w:val="000000"/>
                <w:sz w:val="19"/>
                <w:szCs w:val="19"/>
              </w:rPr>
            </w:pPr>
            <w:r>
              <w:rPr>
                <w:b/>
                <w:noProof/>
                <w:color w:val="000000"/>
                <w:sz w:val="19"/>
              </w:rPr>
              <w:t>ВНОС</w:t>
            </w:r>
          </w:p>
        </w:tc>
        <w:tc>
          <w:tcPr>
            <w:tcW w:w="1161" w:type="dxa"/>
            <w:vAlign w:val="bottom"/>
          </w:tcPr>
          <w:p>
            <w:pPr>
              <w:jc w:val="right"/>
              <w:rPr>
                <w:noProof/>
                <w:color w:val="000000"/>
                <w:sz w:val="20"/>
                <w:szCs w:val="20"/>
              </w:rPr>
            </w:pPr>
            <w:r>
              <w:rPr>
                <w:noProof/>
                <w:color w:val="000000"/>
                <w:sz w:val="20"/>
              </w:rPr>
              <w:t>49 674,5</w:t>
            </w:r>
          </w:p>
        </w:tc>
        <w:tc>
          <w:tcPr>
            <w:tcW w:w="1161" w:type="dxa"/>
            <w:vAlign w:val="bottom"/>
          </w:tcPr>
          <w:p>
            <w:pPr>
              <w:jc w:val="right"/>
              <w:rPr>
                <w:noProof/>
                <w:color w:val="000000"/>
                <w:sz w:val="20"/>
                <w:szCs w:val="20"/>
              </w:rPr>
            </w:pPr>
            <w:r>
              <w:rPr>
                <w:noProof/>
                <w:color w:val="000000"/>
                <w:sz w:val="20"/>
              </w:rPr>
              <w:t>54 379,5</w:t>
            </w:r>
          </w:p>
        </w:tc>
        <w:tc>
          <w:tcPr>
            <w:tcW w:w="1161" w:type="dxa"/>
            <w:vAlign w:val="bottom"/>
          </w:tcPr>
          <w:p>
            <w:pPr>
              <w:jc w:val="right"/>
              <w:rPr>
                <w:noProof/>
                <w:color w:val="000000"/>
                <w:sz w:val="20"/>
                <w:szCs w:val="20"/>
              </w:rPr>
            </w:pPr>
            <w:r>
              <w:rPr>
                <w:noProof/>
                <w:color w:val="000000"/>
                <w:sz w:val="20"/>
              </w:rPr>
              <w:t>61 409,9</w:t>
            </w:r>
          </w:p>
        </w:tc>
        <w:tc>
          <w:tcPr>
            <w:tcW w:w="1161" w:type="dxa"/>
            <w:vAlign w:val="bottom"/>
          </w:tcPr>
          <w:p>
            <w:pPr>
              <w:jc w:val="right"/>
              <w:rPr>
                <w:noProof/>
                <w:color w:val="000000"/>
                <w:sz w:val="20"/>
                <w:szCs w:val="20"/>
              </w:rPr>
            </w:pPr>
            <w:r>
              <w:rPr>
                <w:noProof/>
                <w:color w:val="000000"/>
                <w:sz w:val="20"/>
              </w:rPr>
              <w:t>64 479,0</w:t>
            </w:r>
          </w:p>
        </w:tc>
        <w:tc>
          <w:tcPr>
            <w:tcW w:w="1161" w:type="dxa"/>
            <w:vAlign w:val="bottom"/>
          </w:tcPr>
          <w:p>
            <w:pPr>
              <w:jc w:val="right"/>
              <w:rPr>
                <w:noProof/>
                <w:color w:val="000000"/>
                <w:sz w:val="20"/>
                <w:szCs w:val="20"/>
              </w:rPr>
            </w:pPr>
            <w:r>
              <w:rPr>
                <w:noProof/>
                <w:color w:val="000000"/>
                <w:sz w:val="20"/>
              </w:rPr>
              <w:t>65 990,0</w:t>
            </w:r>
          </w:p>
        </w:tc>
        <w:tc>
          <w:tcPr>
            <w:tcW w:w="1161" w:type="dxa"/>
            <w:vAlign w:val="bottom"/>
          </w:tcPr>
          <w:p>
            <w:pPr>
              <w:jc w:val="right"/>
              <w:rPr>
                <w:noProof/>
                <w:color w:val="000000"/>
                <w:sz w:val="20"/>
                <w:szCs w:val="20"/>
              </w:rPr>
            </w:pPr>
            <w:r>
              <w:rPr>
                <w:noProof/>
                <w:color w:val="000000"/>
                <w:sz w:val="20"/>
              </w:rPr>
              <w:t>63 735,6</w:t>
            </w:r>
          </w:p>
        </w:tc>
        <w:tc>
          <w:tcPr>
            <w:tcW w:w="1161" w:type="dxa"/>
            <w:vAlign w:val="bottom"/>
          </w:tcPr>
          <w:p>
            <w:pPr>
              <w:jc w:val="right"/>
              <w:rPr>
                <w:noProof/>
                <w:color w:val="000000"/>
                <w:sz w:val="20"/>
                <w:szCs w:val="20"/>
              </w:rPr>
            </w:pPr>
            <w:r>
              <w:rPr>
                <w:noProof/>
                <w:color w:val="000000"/>
                <w:sz w:val="20"/>
              </w:rPr>
              <w:t>71 169,7</w:t>
            </w:r>
          </w:p>
        </w:tc>
      </w:tr>
      <w:tr>
        <w:tc>
          <w:tcPr>
            <w:tcW w:w="236" w:type="dxa"/>
            <w:tcBorders>
              <w:bottom w:val="single" w:sz="4" w:space="0" w:color="auto"/>
            </w:tcBorders>
            <w:vAlign w:val="bottom"/>
          </w:tcPr>
          <w:p>
            <w:pPr>
              <w:rPr>
                <w:b/>
                <w:noProof/>
                <w:color w:val="000000"/>
                <w:sz w:val="19"/>
                <w:szCs w:val="19"/>
              </w:rPr>
            </w:pPr>
            <w:r>
              <w:rPr>
                <w:b/>
                <w:noProof/>
                <w:color w:val="000000"/>
                <w:sz w:val="19"/>
              </w:rPr>
              <w:t>ИЗНОС</w:t>
            </w:r>
          </w:p>
        </w:tc>
        <w:tc>
          <w:tcPr>
            <w:tcW w:w="1161" w:type="dxa"/>
            <w:tcBorders>
              <w:bottom w:val="single" w:sz="4" w:space="0" w:color="auto"/>
            </w:tcBorders>
            <w:vAlign w:val="bottom"/>
          </w:tcPr>
          <w:p>
            <w:pPr>
              <w:jc w:val="right"/>
              <w:rPr>
                <w:noProof/>
                <w:color w:val="000000"/>
                <w:sz w:val="20"/>
                <w:szCs w:val="20"/>
              </w:rPr>
            </w:pPr>
            <w:r>
              <w:rPr>
                <w:noProof/>
                <w:color w:val="000000"/>
                <w:sz w:val="20"/>
              </w:rPr>
              <w:t>14 929,5</w:t>
            </w:r>
          </w:p>
        </w:tc>
        <w:tc>
          <w:tcPr>
            <w:tcW w:w="1161" w:type="dxa"/>
            <w:tcBorders>
              <w:bottom w:val="single" w:sz="4" w:space="0" w:color="auto"/>
            </w:tcBorders>
            <w:vAlign w:val="bottom"/>
          </w:tcPr>
          <w:p>
            <w:pPr>
              <w:jc w:val="right"/>
              <w:rPr>
                <w:noProof/>
                <w:color w:val="000000"/>
                <w:sz w:val="20"/>
                <w:szCs w:val="20"/>
              </w:rPr>
            </w:pPr>
            <w:r>
              <w:rPr>
                <w:noProof/>
                <w:color w:val="000000"/>
                <w:sz w:val="20"/>
              </w:rPr>
              <w:t>15 684,1</w:t>
            </w:r>
          </w:p>
        </w:tc>
        <w:tc>
          <w:tcPr>
            <w:tcW w:w="1161" w:type="dxa"/>
            <w:tcBorders>
              <w:bottom w:val="single" w:sz="4" w:space="0" w:color="auto"/>
            </w:tcBorders>
            <w:vAlign w:val="bottom"/>
          </w:tcPr>
          <w:p>
            <w:pPr>
              <w:jc w:val="right"/>
              <w:rPr>
                <w:noProof/>
                <w:color w:val="000000"/>
                <w:sz w:val="20"/>
                <w:szCs w:val="20"/>
              </w:rPr>
            </w:pPr>
            <w:r>
              <w:rPr>
                <w:noProof/>
                <w:color w:val="000000"/>
                <w:sz w:val="20"/>
              </w:rPr>
              <w:t>17 095,7</w:t>
            </w:r>
          </w:p>
        </w:tc>
        <w:tc>
          <w:tcPr>
            <w:tcW w:w="1161" w:type="dxa"/>
            <w:tcBorders>
              <w:bottom w:val="single" w:sz="4" w:space="0" w:color="auto"/>
            </w:tcBorders>
            <w:vAlign w:val="bottom"/>
          </w:tcPr>
          <w:p>
            <w:pPr>
              <w:jc w:val="right"/>
              <w:rPr>
                <w:noProof/>
                <w:color w:val="000000"/>
                <w:sz w:val="20"/>
                <w:szCs w:val="20"/>
              </w:rPr>
            </w:pPr>
            <w:r>
              <w:rPr>
                <w:noProof/>
                <w:color w:val="000000"/>
                <w:sz w:val="20"/>
              </w:rPr>
              <w:t>18 368,8</w:t>
            </w:r>
          </w:p>
        </w:tc>
        <w:tc>
          <w:tcPr>
            <w:tcW w:w="1161" w:type="dxa"/>
            <w:tcBorders>
              <w:bottom w:val="single" w:sz="4" w:space="0" w:color="auto"/>
            </w:tcBorders>
            <w:vAlign w:val="bottom"/>
          </w:tcPr>
          <w:p>
            <w:pPr>
              <w:jc w:val="right"/>
              <w:rPr>
                <w:noProof/>
                <w:color w:val="000000"/>
                <w:sz w:val="20"/>
                <w:szCs w:val="20"/>
              </w:rPr>
            </w:pPr>
            <w:r>
              <w:rPr>
                <w:noProof/>
                <w:color w:val="000000"/>
                <w:sz w:val="20"/>
              </w:rPr>
              <w:t>19 159,5</w:t>
            </w:r>
          </w:p>
        </w:tc>
        <w:tc>
          <w:tcPr>
            <w:tcW w:w="1161" w:type="dxa"/>
            <w:tcBorders>
              <w:bottom w:val="single" w:sz="4" w:space="0" w:color="auto"/>
            </w:tcBorders>
            <w:vAlign w:val="bottom"/>
          </w:tcPr>
          <w:p>
            <w:pPr>
              <w:jc w:val="right"/>
              <w:rPr>
                <w:noProof/>
                <w:color w:val="000000"/>
                <w:sz w:val="20"/>
                <w:szCs w:val="20"/>
              </w:rPr>
            </w:pPr>
            <w:r>
              <w:rPr>
                <w:noProof/>
                <w:color w:val="000000"/>
                <w:sz w:val="20"/>
              </w:rPr>
              <w:t>16 218,6</w:t>
            </w:r>
          </w:p>
        </w:tc>
        <w:tc>
          <w:tcPr>
            <w:tcW w:w="1161" w:type="dxa"/>
            <w:tcBorders>
              <w:bottom w:val="single" w:sz="4" w:space="0" w:color="auto"/>
            </w:tcBorders>
            <w:vAlign w:val="bottom"/>
          </w:tcPr>
          <w:p>
            <w:pPr>
              <w:jc w:val="right"/>
              <w:rPr>
                <w:noProof/>
                <w:color w:val="000000"/>
                <w:sz w:val="20"/>
                <w:szCs w:val="20"/>
              </w:rPr>
            </w:pPr>
            <w:r>
              <w:rPr>
                <w:noProof/>
                <w:color w:val="000000"/>
                <w:sz w:val="20"/>
              </w:rPr>
              <w:t>17 346,2</w:t>
            </w:r>
          </w:p>
        </w:tc>
      </w:tr>
      <w:tr>
        <w:tc>
          <w:tcPr>
            <w:tcW w:w="236" w:type="dxa"/>
            <w:tcBorders>
              <w:left w:val="nil"/>
              <w:bottom w:val="nil"/>
              <w:right w:val="nil"/>
            </w:tcBorders>
          </w:tcPr>
          <w:p>
            <w:pPr>
              <w:autoSpaceDE w:val="0"/>
              <w:autoSpaceDN w:val="0"/>
              <w:adjustRightInd w:val="0"/>
              <w:spacing w:after="0"/>
              <w:rPr>
                <w:noProof/>
                <w:sz w:val="20"/>
                <w:szCs w:val="20"/>
              </w:rPr>
            </w:pPr>
          </w:p>
        </w:tc>
        <w:tc>
          <w:tcPr>
            <w:tcW w:w="1161" w:type="dxa"/>
            <w:tcBorders>
              <w:left w:val="nil"/>
              <w:bottom w:val="nil"/>
              <w:right w:val="nil"/>
            </w:tcBorders>
          </w:tcPr>
          <w:p>
            <w:pPr>
              <w:autoSpaceDE w:val="0"/>
              <w:autoSpaceDN w:val="0"/>
              <w:adjustRightInd w:val="0"/>
              <w:spacing w:after="0"/>
              <w:rPr>
                <w:noProof/>
                <w:sz w:val="20"/>
                <w:szCs w:val="20"/>
              </w:rPr>
            </w:pPr>
          </w:p>
        </w:tc>
        <w:tc>
          <w:tcPr>
            <w:tcW w:w="1161" w:type="dxa"/>
            <w:tcBorders>
              <w:left w:val="nil"/>
              <w:bottom w:val="nil"/>
              <w:right w:val="nil"/>
            </w:tcBorders>
          </w:tcPr>
          <w:p>
            <w:pPr>
              <w:autoSpaceDE w:val="0"/>
              <w:autoSpaceDN w:val="0"/>
              <w:adjustRightInd w:val="0"/>
              <w:spacing w:after="0"/>
              <w:rPr>
                <w:noProof/>
                <w:sz w:val="20"/>
                <w:szCs w:val="20"/>
              </w:rPr>
            </w:pPr>
          </w:p>
        </w:tc>
        <w:tc>
          <w:tcPr>
            <w:tcW w:w="1161" w:type="dxa"/>
            <w:tcBorders>
              <w:left w:val="nil"/>
              <w:bottom w:val="nil"/>
              <w:right w:val="nil"/>
            </w:tcBorders>
          </w:tcPr>
          <w:p>
            <w:pPr>
              <w:autoSpaceDE w:val="0"/>
              <w:autoSpaceDN w:val="0"/>
              <w:adjustRightInd w:val="0"/>
              <w:spacing w:after="0"/>
              <w:rPr>
                <w:noProof/>
                <w:sz w:val="20"/>
                <w:szCs w:val="20"/>
              </w:rPr>
            </w:pPr>
          </w:p>
        </w:tc>
        <w:tc>
          <w:tcPr>
            <w:tcW w:w="1161" w:type="dxa"/>
            <w:tcBorders>
              <w:left w:val="nil"/>
              <w:bottom w:val="nil"/>
              <w:right w:val="nil"/>
            </w:tcBorders>
          </w:tcPr>
          <w:p>
            <w:pPr>
              <w:autoSpaceDE w:val="0"/>
              <w:autoSpaceDN w:val="0"/>
              <w:adjustRightInd w:val="0"/>
              <w:spacing w:after="0"/>
              <w:rPr>
                <w:noProof/>
                <w:sz w:val="20"/>
                <w:szCs w:val="20"/>
              </w:rPr>
            </w:pPr>
          </w:p>
        </w:tc>
        <w:tc>
          <w:tcPr>
            <w:tcW w:w="1161" w:type="dxa"/>
            <w:tcBorders>
              <w:left w:val="nil"/>
              <w:bottom w:val="nil"/>
              <w:right w:val="nil"/>
            </w:tcBorders>
          </w:tcPr>
          <w:p>
            <w:pPr>
              <w:autoSpaceDE w:val="0"/>
              <w:autoSpaceDN w:val="0"/>
              <w:adjustRightInd w:val="0"/>
              <w:spacing w:after="0"/>
              <w:rPr>
                <w:noProof/>
                <w:sz w:val="20"/>
                <w:szCs w:val="20"/>
              </w:rPr>
            </w:pPr>
          </w:p>
        </w:tc>
        <w:tc>
          <w:tcPr>
            <w:tcW w:w="1161" w:type="dxa"/>
            <w:tcBorders>
              <w:left w:val="nil"/>
              <w:bottom w:val="nil"/>
              <w:right w:val="nil"/>
            </w:tcBorders>
          </w:tcPr>
          <w:p>
            <w:pPr>
              <w:autoSpaceDE w:val="0"/>
              <w:autoSpaceDN w:val="0"/>
              <w:adjustRightInd w:val="0"/>
              <w:spacing w:after="0"/>
              <w:rPr>
                <w:noProof/>
                <w:sz w:val="20"/>
                <w:szCs w:val="20"/>
              </w:rPr>
            </w:pPr>
          </w:p>
        </w:tc>
        <w:tc>
          <w:tcPr>
            <w:tcW w:w="1161" w:type="dxa"/>
            <w:tcBorders>
              <w:left w:val="nil"/>
              <w:bottom w:val="nil"/>
              <w:right w:val="nil"/>
            </w:tcBorders>
          </w:tcPr>
          <w:p>
            <w:pPr>
              <w:autoSpaceDE w:val="0"/>
              <w:autoSpaceDN w:val="0"/>
              <w:adjustRightInd w:val="0"/>
              <w:spacing w:after="0"/>
              <w:rPr>
                <w:noProof/>
                <w:sz w:val="20"/>
                <w:szCs w:val="20"/>
              </w:rPr>
            </w:pPr>
          </w:p>
        </w:tc>
      </w:tr>
      <w:tr>
        <w:tc>
          <w:tcPr>
            <w:tcW w:w="236" w:type="dxa"/>
            <w:tcBorders>
              <w:top w:val="nil"/>
              <w:left w:val="nil"/>
              <w:bottom w:val="nil"/>
              <w:right w:val="nil"/>
            </w:tcBorders>
          </w:tcPr>
          <w:p>
            <w:pPr>
              <w:autoSpaceDE w:val="0"/>
              <w:autoSpaceDN w:val="0"/>
              <w:adjustRightInd w:val="0"/>
              <w:spacing w:after="0"/>
              <w:rPr>
                <w:noProof/>
                <w:sz w:val="20"/>
                <w:szCs w:val="20"/>
              </w:rPr>
            </w:pPr>
          </w:p>
        </w:tc>
        <w:tc>
          <w:tcPr>
            <w:tcW w:w="1161" w:type="dxa"/>
            <w:tcBorders>
              <w:top w:val="nil"/>
              <w:left w:val="nil"/>
              <w:right w:val="nil"/>
            </w:tcBorders>
          </w:tcPr>
          <w:p>
            <w:pPr>
              <w:autoSpaceDE w:val="0"/>
              <w:autoSpaceDN w:val="0"/>
              <w:adjustRightInd w:val="0"/>
              <w:spacing w:after="0"/>
              <w:rPr>
                <w:noProof/>
                <w:sz w:val="20"/>
                <w:szCs w:val="20"/>
              </w:rPr>
            </w:pPr>
          </w:p>
        </w:tc>
        <w:tc>
          <w:tcPr>
            <w:tcW w:w="1161" w:type="dxa"/>
            <w:tcBorders>
              <w:top w:val="nil"/>
              <w:left w:val="nil"/>
              <w:right w:val="nil"/>
            </w:tcBorders>
          </w:tcPr>
          <w:p>
            <w:pPr>
              <w:autoSpaceDE w:val="0"/>
              <w:autoSpaceDN w:val="0"/>
              <w:adjustRightInd w:val="0"/>
              <w:spacing w:after="0"/>
              <w:rPr>
                <w:noProof/>
                <w:sz w:val="20"/>
                <w:szCs w:val="20"/>
              </w:rPr>
            </w:pPr>
          </w:p>
        </w:tc>
        <w:tc>
          <w:tcPr>
            <w:tcW w:w="1161" w:type="dxa"/>
            <w:tcBorders>
              <w:top w:val="nil"/>
              <w:left w:val="nil"/>
              <w:right w:val="nil"/>
            </w:tcBorders>
          </w:tcPr>
          <w:p>
            <w:pPr>
              <w:autoSpaceDE w:val="0"/>
              <w:autoSpaceDN w:val="0"/>
              <w:adjustRightInd w:val="0"/>
              <w:spacing w:after="0"/>
              <w:rPr>
                <w:noProof/>
                <w:sz w:val="20"/>
                <w:szCs w:val="20"/>
              </w:rPr>
            </w:pPr>
          </w:p>
        </w:tc>
        <w:tc>
          <w:tcPr>
            <w:tcW w:w="1161" w:type="dxa"/>
            <w:tcBorders>
              <w:top w:val="nil"/>
              <w:left w:val="nil"/>
              <w:right w:val="nil"/>
            </w:tcBorders>
          </w:tcPr>
          <w:p>
            <w:pPr>
              <w:autoSpaceDE w:val="0"/>
              <w:autoSpaceDN w:val="0"/>
              <w:adjustRightInd w:val="0"/>
              <w:spacing w:after="0"/>
              <w:rPr>
                <w:noProof/>
                <w:sz w:val="20"/>
                <w:szCs w:val="20"/>
              </w:rPr>
            </w:pPr>
          </w:p>
        </w:tc>
        <w:tc>
          <w:tcPr>
            <w:tcW w:w="1161" w:type="dxa"/>
            <w:tcBorders>
              <w:top w:val="nil"/>
              <w:left w:val="nil"/>
              <w:right w:val="nil"/>
            </w:tcBorders>
          </w:tcPr>
          <w:p>
            <w:pPr>
              <w:autoSpaceDE w:val="0"/>
              <w:autoSpaceDN w:val="0"/>
              <w:adjustRightInd w:val="0"/>
              <w:spacing w:after="0"/>
              <w:rPr>
                <w:noProof/>
                <w:sz w:val="20"/>
                <w:szCs w:val="20"/>
              </w:rPr>
            </w:pPr>
          </w:p>
        </w:tc>
        <w:tc>
          <w:tcPr>
            <w:tcW w:w="1161" w:type="dxa"/>
            <w:tcBorders>
              <w:top w:val="nil"/>
              <w:left w:val="nil"/>
              <w:right w:val="nil"/>
            </w:tcBorders>
          </w:tcPr>
          <w:p>
            <w:pPr>
              <w:autoSpaceDE w:val="0"/>
              <w:autoSpaceDN w:val="0"/>
              <w:adjustRightInd w:val="0"/>
              <w:spacing w:after="0"/>
              <w:rPr>
                <w:noProof/>
                <w:sz w:val="20"/>
                <w:szCs w:val="20"/>
              </w:rPr>
            </w:pPr>
          </w:p>
        </w:tc>
        <w:tc>
          <w:tcPr>
            <w:tcW w:w="1161" w:type="dxa"/>
            <w:tcBorders>
              <w:top w:val="nil"/>
              <w:left w:val="nil"/>
              <w:bottom w:val="nil"/>
              <w:right w:val="nil"/>
            </w:tcBorders>
          </w:tcPr>
          <w:p>
            <w:pPr>
              <w:autoSpaceDE w:val="0"/>
              <w:autoSpaceDN w:val="0"/>
              <w:adjustRightInd w:val="0"/>
              <w:spacing w:after="0"/>
              <w:rPr>
                <w:noProof/>
                <w:sz w:val="20"/>
                <w:szCs w:val="20"/>
              </w:rPr>
            </w:pPr>
          </w:p>
        </w:tc>
      </w:tr>
      <w:tr>
        <w:tc>
          <w:tcPr>
            <w:tcW w:w="236" w:type="dxa"/>
            <w:tcBorders>
              <w:top w:val="nil"/>
              <w:left w:val="nil"/>
            </w:tcBorders>
          </w:tcPr>
          <w:p>
            <w:pPr>
              <w:autoSpaceDE w:val="0"/>
              <w:autoSpaceDN w:val="0"/>
              <w:adjustRightInd w:val="0"/>
              <w:spacing w:after="0"/>
              <w:jc w:val="center"/>
              <w:rPr>
                <w:b/>
                <w:noProof/>
                <w:sz w:val="20"/>
                <w:szCs w:val="20"/>
              </w:rPr>
            </w:pPr>
          </w:p>
        </w:tc>
        <w:tc>
          <w:tcPr>
            <w:tcW w:w="1161" w:type="dxa"/>
            <w:vAlign w:val="bottom"/>
          </w:tcPr>
          <w:p>
            <w:pPr>
              <w:jc w:val="center"/>
              <w:rPr>
                <w:b/>
                <w:noProof/>
                <w:color w:val="000000"/>
                <w:sz w:val="20"/>
                <w:szCs w:val="20"/>
              </w:rPr>
            </w:pPr>
            <w:r>
              <w:rPr>
                <w:b/>
                <w:noProof/>
                <w:color w:val="000000"/>
                <w:sz w:val="20"/>
              </w:rPr>
              <w:t>2011 г.</w:t>
            </w:r>
          </w:p>
        </w:tc>
        <w:tc>
          <w:tcPr>
            <w:tcW w:w="1161" w:type="dxa"/>
            <w:vAlign w:val="bottom"/>
          </w:tcPr>
          <w:p>
            <w:pPr>
              <w:jc w:val="center"/>
              <w:rPr>
                <w:b/>
                <w:noProof/>
                <w:color w:val="000000"/>
                <w:sz w:val="20"/>
                <w:szCs w:val="20"/>
              </w:rPr>
            </w:pPr>
            <w:r>
              <w:rPr>
                <w:b/>
                <w:noProof/>
                <w:color w:val="000000"/>
                <w:sz w:val="20"/>
              </w:rPr>
              <w:t>2012 г.</w:t>
            </w:r>
          </w:p>
        </w:tc>
        <w:tc>
          <w:tcPr>
            <w:tcW w:w="1161" w:type="dxa"/>
            <w:vAlign w:val="bottom"/>
          </w:tcPr>
          <w:p>
            <w:pPr>
              <w:jc w:val="center"/>
              <w:rPr>
                <w:b/>
                <w:noProof/>
                <w:color w:val="000000"/>
                <w:sz w:val="20"/>
                <w:szCs w:val="20"/>
              </w:rPr>
            </w:pPr>
            <w:r>
              <w:rPr>
                <w:b/>
                <w:noProof/>
                <w:color w:val="000000"/>
                <w:sz w:val="20"/>
              </w:rPr>
              <w:t>2013 г.</w:t>
            </w:r>
          </w:p>
        </w:tc>
        <w:tc>
          <w:tcPr>
            <w:tcW w:w="1161" w:type="dxa"/>
            <w:vAlign w:val="bottom"/>
          </w:tcPr>
          <w:p>
            <w:pPr>
              <w:jc w:val="center"/>
              <w:rPr>
                <w:b/>
                <w:noProof/>
                <w:color w:val="000000"/>
                <w:sz w:val="20"/>
                <w:szCs w:val="20"/>
              </w:rPr>
            </w:pPr>
            <w:r>
              <w:rPr>
                <w:b/>
                <w:noProof/>
                <w:color w:val="000000"/>
                <w:sz w:val="20"/>
              </w:rPr>
              <w:t>2014 г.</w:t>
            </w:r>
          </w:p>
        </w:tc>
        <w:tc>
          <w:tcPr>
            <w:tcW w:w="1161" w:type="dxa"/>
            <w:vAlign w:val="bottom"/>
          </w:tcPr>
          <w:p>
            <w:pPr>
              <w:jc w:val="center"/>
              <w:rPr>
                <w:b/>
                <w:noProof/>
                <w:color w:val="000000"/>
                <w:sz w:val="20"/>
                <w:szCs w:val="20"/>
              </w:rPr>
            </w:pPr>
            <w:r>
              <w:rPr>
                <w:b/>
                <w:noProof/>
                <w:color w:val="000000"/>
                <w:sz w:val="20"/>
              </w:rPr>
              <w:t>2015 г.</w:t>
            </w:r>
          </w:p>
        </w:tc>
        <w:tc>
          <w:tcPr>
            <w:tcW w:w="1161" w:type="dxa"/>
            <w:vAlign w:val="bottom"/>
          </w:tcPr>
          <w:p>
            <w:pPr>
              <w:jc w:val="center"/>
              <w:rPr>
                <w:b/>
                <w:noProof/>
                <w:color w:val="000000"/>
                <w:sz w:val="20"/>
                <w:szCs w:val="20"/>
              </w:rPr>
            </w:pPr>
            <w:r>
              <w:rPr>
                <w:b/>
                <w:noProof/>
                <w:color w:val="000000"/>
                <w:sz w:val="20"/>
              </w:rPr>
              <w:t>2016 г.</w:t>
            </w:r>
          </w:p>
        </w:tc>
        <w:tc>
          <w:tcPr>
            <w:tcW w:w="1161" w:type="dxa"/>
            <w:tcBorders>
              <w:top w:val="nil"/>
              <w:bottom w:val="nil"/>
              <w:right w:val="nil"/>
            </w:tcBorders>
          </w:tcPr>
          <w:p>
            <w:pPr>
              <w:autoSpaceDE w:val="0"/>
              <w:autoSpaceDN w:val="0"/>
              <w:adjustRightInd w:val="0"/>
              <w:spacing w:after="0"/>
              <w:jc w:val="center"/>
              <w:rPr>
                <w:b/>
                <w:noProof/>
                <w:sz w:val="20"/>
                <w:szCs w:val="20"/>
              </w:rPr>
            </w:pPr>
          </w:p>
        </w:tc>
      </w:tr>
      <w:tr>
        <w:tc>
          <w:tcPr>
            <w:tcW w:w="236" w:type="dxa"/>
            <w:vAlign w:val="bottom"/>
          </w:tcPr>
          <w:p>
            <w:pPr>
              <w:rPr>
                <w:b/>
                <w:noProof/>
                <w:color w:val="000000"/>
                <w:sz w:val="19"/>
                <w:szCs w:val="19"/>
              </w:rPr>
            </w:pPr>
            <w:r>
              <w:rPr>
                <w:b/>
                <w:noProof/>
                <w:color w:val="000000"/>
                <w:sz w:val="19"/>
              </w:rPr>
              <w:t>ВНОС</w:t>
            </w:r>
          </w:p>
        </w:tc>
        <w:tc>
          <w:tcPr>
            <w:tcW w:w="1161" w:type="dxa"/>
            <w:vAlign w:val="bottom"/>
          </w:tcPr>
          <w:p>
            <w:pPr>
              <w:jc w:val="right"/>
              <w:rPr>
                <w:noProof/>
                <w:color w:val="000000"/>
                <w:sz w:val="20"/>
                <w:szCs w:val="20"/>
              </w:rPr>
            </w:pPr>
            <w:r>
              <w:rPr>
                <w:noProof/>
                <w:color w:val="000000"/>
                <w:sz w:val="20"/>
              </w:rPr>
              <w:t>77 866,3</w:t>
            </w:r>
          </w:p>
        </w:tc>
        <w:tc>
          <w:tcPr>
            <w:tcW w:w="1161" w:type="dxa"/>
            <w:vAlign w:val="bottom"/>
          </w:tcPr>
          <w:p>
            <w:pPr>
              <w:jc w:val="right"/>
              <w:rPr>
                <w:noProof/>
                <w:color w:val="000000"/>
                <w:sz w:val="20"/>
                <w:szCs w:val="20"/>
              </w:rPr>
            </w:pPr>
            <w:r>
              <w:rPr>
                <w:noProof/>
                <w:color w:val="000000"/>
                <w:sz w:val="20"/>
              </w:rPr>
              <w:t>75 008,4</w:t>
            </w:r>
          </w:p>
        </w:tc>
        <w:tc>
          <w:tcPr>
            <w:tcW w:w="1161" w:type="dxa"/>
            <w:vAlign w:val="bottom"/>
          </w:tcPr>
          <w:p>
            <w:pPr>
              <w:jc w:val="right"/>
              <w:rPr>
                <w:noProof/>
                <w:color w:val="000000"/>
                <w:sz w:val="20"/>
                <w:szCs w:val="20"/>
              </w:rPr>
            </w:pPr>
            <w:r>
              <w:rPr>
                <w:noProof/>
                <w:color w:val="000000"/>
                <w:sz w:val="20"/>
              </w:rPr>
              <w:t>74 830,4</w:t>
            </w:r>
          </w:p>
        </w:tc>
        <w:tc>
          <w:tcPr>
            <w:tcW w:w="1161" w:type="dxa"/>
            <w:vAlign w:val="bottom"/>
          </w:tcPr>
          <w:p>
            <w:pPr>
              <w:jc w:val="right"/>
              <w:rPr>
                <w:noProof/>
                <w:color w:val="000000"/>
                <w:sz w:val="20"/>
                <w:szCs w:val="20"/>
              </w:rPr>
            </w:pPr>
            <w:r>
              <w:rPr>
                <w:noProof/>
                <w:color w:val="000000"/>
                <w:sz w:val="20"/>
              </w:rPr>
              <w:t>82 016,8</w:t>
            </w:r>
          </w:p>
        </w:tc>
        <w:tc>
          <w:tcPr>
            <w:tcW w:w="1161" w:type="dxa"/>
            <w:vAlign w:val="bottom"/>
          </w:tcPr>
          <w:p>
            <w:pPr>
              <w:jc w:val="right"/>
              <w:rPr>
                <w:noProof/>
                <w:color w:val="000000"/>
                <w:sz w:val="20"/>
                <w:szCs w:val="20"/>
              </w:rPr>
            </w:pPr>
            <w:r>
              <w:rPr>
                <w:noProof/>
                <w:color w:val="000000"/>
                <w:sz w:val="20"/>
              </w:rPr>
              <w:t>90 256,8</w:t>
            </w:r>
          </w:p>
        </w:tc>
        <w:tc>
          <w:tcPr>
            <w:tcW w:w="1161" w:type="dxa"/>
            <w:vAlign w:val="bottom"/>
          </w:tcPr>
          <w:p>
            <w:pPr>
              <w:jc w:val="right"/>
              <w:rPr>
                <w:noProof/>
                <w:color w:val="000000"/>
                <w:sz w:val="20"/>
                <w:szCs w:val="20"/>
              </w:rPr>
            </w:pPr>
            <w:r>
              <w:rPr>
                <w:noProof/>
                <w:color w:val="000000"/>
                <w:sz w:val="20"/>
              </w:rPr>
              <w:t>91 002,5</w:t>
            </w:r>
          </w:p>
        </w:tc>
        <w:tc>
          <w:tcPr>
            <w:tcW w:w="1161" w:type="dxa"/>
            <w:tcBorders>
              <w:top w:val="nil"/>
              <w:bottom w:val="nil"/>
              <w:right w:val="nil"/>
            </w:tcBorders>
          </w:tcPr>
          <w:p>
            <w:pPr>
              <w:autoSpaceDE w:val="0"/>
              <w:autoSpaceDN w:val="0"/>
              <w:adjustRightInd w:val="0"/>
              <w:spacing w:after="0"/>
              <w:rPr>
                <w:noProof/>
                <w:sz w:val="20"/>
                <w:szCs w:val="20"/>
              </w:rPr>
            </w:pPr>
          </w:p>
        </w:tc>
      </w:tr>
      <w:tr>
        <w:tc>
          <w:tcPr>
            <w:tcW w:w="236" w:type="dxa"/>
            <w:vAlign w:val="bottom"/>
          </w:tcPr>
          <w:p>
            <w:pPr>
              <w:rPr>
                <w:b/>
                <w:noProof/>
                <w:color w:val="000000"/>
                <w:sz w:val="19"/>
                <w:szCs w:val="19"/>
              </w:rPr>
            </w:pPr>
            <w:r>
              <w:rPr>
                <w:b/>
                <w:noProof/>
                <w:color w:val="000000"/>
                <w:sz w:val="19"/>
              </w:rPr>
              <w:t>ИЗНОС</w:t>
            </w:r>
          </w:p>
        </w:tc>
        <w:tc>
          <w:tcPr>
            <w:tcW w:w="1161" w:type="dxa"/>
            <w:vAlign w:val="bottom"/>
          </w:tcPr>
          <w:p>
            <w:pPr>
              <w:jc w:val="right"/>
              <w:rPr>
                <w:noProof/>
                <w:color w:val="000000"/>
                <w:sz w:val="20"/>
                <w:szCs w:val="20"/>
              </w:rPr>
            </w:pPr>
            <w:r>
              <w:rPr>
                <w:noProof/>
                <w:color w:val="000000"/>
                <w:sz w:val="20"/>
              </w:rPr>
              <w:t>20 555,7</w:t>
            </w:r>
          </w:p>
        </w:tc>
        <w:tc>
          <w:tcPr>
            <w:tcW w:w="1161" w:type="dxa"/>
            <w:vAlign w:val="bottom"/>
          </w:tcPr>
          <w:p>
            <w:pPr>
              <w:jc w:val="right"/>
              <w:rPr>
                <w:noProof/>
                <w:color w:val="000000"/>
                <w:sz w:val="20"/>
                <w:szCs w:val="20"/>
              </w:rPr>
            </w:pPr>
            <w:r>
              <w:rPr>
                <w:noProof/>
                <w:color w:val="000000"/>
                <w:sz w:val="20"/>
              </w:rPr>
              <w:t>22 857,5</w:t>
            </w:r>
          </w:p>
        </w:tc>
        <w:tc>
          <w:tcPr>
            <w:tcW w:w="1161" w:type="dxa"/>
            <w:vAlign w:val="bottom"/>
          </w:tcPr>
          <w:p>
            <w:pPr>
              <w:jc w:val="right"/>
              <w:rPr>
                <w:noProof/>
                <w:color w:val="000000"/>
                <w:sz w:val="20"/>
                <w:szCs w:val="20"/>
              </w:rPr>
            </w:pPr>
            <w:r>
              <w:rPr>
                <w:noProof/>
                <w:color w:val="000000"/>
                <w:sz w:val="20"/>
              </w:rPr>
              <w:t>23 888,9</w:t>
            </w:r>
          </w:p>
        </w:tc>
        <w:tc>
          <w:tcPr>
            <w:tcW w:w="1161" w:type="dxa"/>
            <w:vAlign w:val="bottom"/>
          </w:tcPr>
          <w:p>
            <w:pPr>
              <w:jc w:val="right"/>
              <w:rPr>
                <w:noProof/>
                <w:color w:val="000000"/>
                <w:sz w:val="20"/>
                <w:szCs w:val="20"/>
              </w:rPr>
            </w:pPr>
            <w:r>
              <w:rPr>
                <w:noProof/>
                <w:color w:val="000000"/>
                <w:sz w:val="20"/>
              </w:rPr>
              <w:t>24 990,4</w:t>
            </w:r>
          </w:p>
        </w:tc>
        <w:tc>
          <w:tcPr>
            <w:tcW w:w="1161" w:type="dxa"/>
            <w:vAlign w:val="bottom"/>
          </w:tcPr>
          <w:p>
            <w:pPr>
              <w:jc w:val="right"/>
              <w:rPr>
                <w:noProof/>
                <w:color w:val="000000"/>
                <w:sz w:val="20"/>
                <w:szCs w:val="20"/>
              </w:rPr>
            </w:pPr>
            <w:r>
              <w:rPr>
                <w:noProof/>
                <w:color w:val="000000"/>
                <w:sz w:val="20"/>
              </w:rPr>
              <w:t>25 944,7</w:t>
            </w:r>
          </w:p>
        </w:tc>
        <w:tc>
          <w:tcPr>
            <w:tcW w:w="1161" w:type="dxa"/>
            <w:vAlign w:val="bottom"/>
          </w:tcPr>
          <w:p>
            <w:pPr>
              <w:jc w:val="right"/>
              <w:rPr>
                <w:noProof/>
                <w:color w:val="000000"/>
                <w:sz w:val="20"/>
                <w:szCs w:val="20"/>
              </w:rPr>
            </w:pPr>
            <w:r>
              <w:rPr>
                <w:noProof/>
                <w:color w:val="000000"/>
                <w:sz w:val="20"/>
              </w:rPr>
              <w:t>26 149,1</w:t>
            </w:r>
          </w:p>
        </w:tc>
        <w:tc>
          <w:tcPr>
            <w:tcW w:w="1161" w:type="dxa"/>
            <w:tcBorders>
              <w:top w:val="nil"/>
              <w:bottom w:val="nil"/>
              <w:right w:val="nil"/>
            </w:tcBorders>
          </w:tcPr>
          <w:p>
            <w:pPr>
              <w:autoSpaceDE w:val="0"/>
              <w:autoSpaceDN w:val="0"/>
              <w:adjustRightInd w:val="0"/>
              <w:spacing w:after="0"/>
              <w:rPr>
                <w:noProof/>
                <w:sz w:val="20"/>
                <w:szCs w:val="20"/>
              </w:rPr>
            </w:pPr>
          </w:p>
        </w:tc>
      </w:tr>
    </w:tbl>
    <w:p>
      <w:pPr>
        <w:pStyle w:val="Text1"/>
        <w:rPr>
          <w:i/>
          <w:noProof/>
        </w:rPr>
      </w:pPr>
      <w:r>
        <w:rPr>
          <w:i/>
          <w:noProof/>
        </w:rPr>
        <w:t>Източник: Eurostat-Comext</w:t>
      </w:r>
    </w:p>
    <w:p>
      <w:pPr>
        <w:pStyle w:val="ManualNumPar1"/>
        <w:rPr>
          <w:noProof/>
        </w:rPr>
      </w:pPr>
      <w:r>
        <w:t>11.</w:t>
      </w:r>
      <w:r>
        <w:tab/>
      </w:r>
      <w:r>
        <w:rPr>
          <w:noProof/>
        </w:rPr>
        <w:t xml:space="preserve">Основният доставчик е Китай, чийто внос в ЕС-28 е нараснал с 245 % през 2016 г. спрямо 2004 г. (от 13 милиарда евро на 31,8 милиарда евро), последван </w:t>
      </w:r>
      <w:r>
        <w:rPr>
          <w:noProof/>
        </w:rPr>
        <w:lastRenderedPageBreak/>
        <w:t>от Бангладеш, чийто внос в ЕС се е увеличил четирикратно (от 3,8 милиарда евро на 15,3 милиарда евро).</w:t>
      </w:r>
    </w:p>
    <w:p>
      <w:pPr>
        <w:pStyle w:val="ManualNumPar1"/>
        <w:rPr>
          <w:noProof/>
        </w:rPr>
      </w:pPr>
      <w:r>
        <w:t>12.</w:t>
      </w:r>
      <w:r>
        <w:tab/>
      </w:r>
      <w:r>
        <w:rPr>
          <w:noProof/>
        </w:rPr>
        <w:t>През същия период износът на ЕС-28 се е увеличил също, но в по-малка степен. Износът на облекла се е увеличил с 28,3 % през 2016 г. спрямо 2008 г. и с 75,1 % спрямо 2004 г. Това е довело до увеличаване на отрицателния търговски баланс на ЕС в сектора на облеклото.</w:t>
      </w:r>
    </w:p>
    <w:p>
      <w:pPr>
        <w:pStyle w:val="Text1"/>
        <w:jc w:val="center"/>
        <w:rPr>
          <w:b/>
          <w:noProof/>
        </w:rPr>
      </w:pPr>
      <w:r>
        <w:rPr>
          <w:b/>
          <w:noProof/>
        </w:rPr>
        <w:t>Търговският баланс на ЕС в сектора на облеклото</w:t>
      </w:r>
    </w:p>
    <w:p>
      <w:pPr>
        <w:pStyle w:val="Text1"/>
        <w:rPr>
          <w:noProof/>
        </w:rPr>
      </w:pPr>
      <w:r>
        <w:rPr>
          <w:noProof/>
          <w:lang w:val="en-US" w:eastAsia="en-US" w:bidi="ar-SA"/>
        </w:rPr>
        <w:drawing>
          <wp:inline distT="0" distB="0" distL="0" distR="0">
            <wp:extent cx="5191125" cy="23526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Text1"/>
        <w:rPr>
          <w:i/>
          <w:noProof/>
        </w:rPr>
      </w:pPr>
      <w:r>
        <w:rPr>
          <w:i/>
          <w:noProof/>
        </w:rPr>
        <w:t>Източник: Eurostat-Comext</w:t>
      </w:r>
    </w:p>
    <w:p>
      <w:pPr>
        <w:pStyle w:val="ManualNumPar1"/>
        <w:rPr>
          <w:noProof/>
        </w:rPr>
      </w:pPr>
      <w:r>
        <w:t>13.</w:t>
      </w:r>
      <w:r>
        <w:tab/>
      </w:r>
      <w:r>
        <w:rPr>
          <w:noProof/>
        </w:rPr>
        <w:t>Към днешна дата за сектора „Производство на облекло“ са подадени пет заявления за помощ по линия на ЕФПГ, три от които са свързани с глобализацията на търговията, а две — със световната финансова и икономическа криза</w:t>
      </w:r>
      <w:r>
        <w:rPr>
          <w:rStyle w:val="FootnoteReference"/>
          <w:noProof/>
        </w:rPr>
        <w:footnoteReference w:id="6"/>
      </w:r>
      <w:r>
        <w:rPr>
          <w:noProof/>
        </w:rPr>
        <w:t>. Това е второто заявление във връзка със съкратени работници в МСП с дейности в сектора на облеклото в Галисия.</w:t>
      </w:r>
    </w:p>
    <w:p>
      <w:pPr>
        <w:pStyle w:val="ManualHeading3"/>
        <w:rPr>
          <w:noProof/>
        </w:rPr>
      </w:pPr>
      <w:r>
        <w:rPr>
          <w:noProof/>
        </w:rPr>
        <w:t>Събития, довели до съкращенията и до прекратяването на дейността</w:t>
      </w:r>
    </w:p>
    <w:p>
      <w:pPr>
        <w:pStyle w:val="ManualNumPar1"/>
        <w:rPr>
          <w:noProof/>
        </w:rPr>
      </w:pPr>
      <w:r>
        <w:t>14.</w:t>
      </w:r>
      <w:r>
        <w:tab/>
      </w:r>
      <w:r>
        <w:rPr>
          <w:noProof/>
        </w:rPr>
        <w:t>Нарастването на вноса в ЕС е оказало натиск, който е довел до понижаване на цените, имащо отрицателен ефект върху финансовото положение на предприятията в текстилния сектор в ЕС, и е предизвикало цялостна тенденция в сектора на текстила и облеклото за изнасяне на производството в държави извън ЕС с по-ниски разходи като Мароко, Тунис, Китай и други азиатски държави</w:t>
      </w:r>
      <w:r>
        <w:rPr>
          <w:rStyle w:val="FootnoteReference"/>
          <w:noProof/>
        </w:rPr>
        <w:footnoteReference w:id="7"/>
      </w:r>
      <w:r>
        <w:rPr>
          <w:noProof/>
        </w:rPr>
        <w:t>. В Галисия това е довело до постоянен спад в броя на шивашките предприятия (-26 % през периода 2010—2016 г.) и съответно до съкращения.</w:t>
      </w:r>
    </w:p>
    <w:p>
      <w:pPr>
        <w:spacing w:before="0" w:after="200" w:line="276" w:lineRule="auto"/>
        <w:jc w:val="left"/>
        <w:rPr>
          <w:b/>
          <w:noProof/>
        </w:rPr>
      </w:pPr>
      <w:r>
        <w:rPr>
          <w:noProof/>
        </w:rPr>
        <w:br w:type="page"/>
      </w:r>
    </w:p>
    <w:p>
      <w:pPr>
        <w:pStyle w:val="Text1"/>
        <w:spacing w:before="360"/>
        <w:jc w:val="center"/>
        <w:rPr>
          <w:b/>
          <w:noProof/>
        </w:rPr>
      </w:pPr>
      <w:r>
        <w:rPr>
          <w:b/>
          <w:noProof/>
        </w:rPr>
        <w:lastRenderedPageBreak/>
        <w:t xml:space="preserve">Шивашки предприятия (NACE 14) в Галисия </w:t>
      </w:r>
    </w:p>
    <w:p>
      <w:pPr>
        <w:pStyle w:val="Text1"/>
        <w:rPr>
          <w:noProof/>
        </w:rPr>
      </w:pPr>
      <w:r>
        <w:rPr>
          <w:noProof/>
          <w:lang w:val="en-US" w:eastAsia="en-US" w:bidi="ar-SA"/>
        </w:rPr>
        <w:drawing>
          <wp:inline distT="0" distB="0" distL="0" distR="0">
            <wp:extent cx="4933950" cy="2181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icia nace 14.png"/>
                    <pic:cNvPicPr/>
                  </pic:nvPicPr>
                  <pic:blipFill>
                    <a:blip r:embed="rId17">
                      <a:extLst>
                        <a:ext uri="{28A0092B-C50C-407E-A947-70E740481C1C}">
                          <a14:useLocalDpi xmlns:a14="http://schemas.microsoft.com/office/drawing/2010/main" val="0"/>
                        </a:ext>
                      </a:extLst>
                    </a:blip>
                    <a:stretch>
                      <a:fillRect/>
                    </a:stretch>
                  </pic:blipFill>
                  <pic:spPr>
                    <a:xfrm>
                      <a:off x="0" y="0"/>
                      <a:ext cx="4934639" cy="2181530"/>
                    </a:xfrm>
                    <a:prstGeom prst="rect">
                      <a:avLst/>
                    </a:prstGeom>
                  </pic:spPr>
                </pic:pic>
              </a:graphicData>
            </a:graphic>
          </wp:inline>
        </w:drawing>
      </w:r>
    </w:p>
    <w:p>
      <w:pPr>
        <w:pStyle w:val="Text1"/>
        <w:spacing w:after="360"/>
        <w:rPr>
          <w:noProof/>
        </w:rPr>
      </w:pPr>
      <w:r>
        <w:rPr>
          <w:i/>
          <w:noProof/>
        </w:rPr>
        <w:t>Източник: Instituto Gallego de Estadística (IGE).</w:t>
      </w:r>
    </w:p>
    <w:p>
      <w:pPr>
        <w:pStyle w:val="ManualHeading3"/>
        <w:tabs>
          <w:tab w:val="clear" w:pos="850"/>
          <w:tab w:val="left" w:pos="0"/>
        </w:tabs>
        <w:ind w:left="0" w:firstLine="0"/>
        <w:rPr>
          <w:noProof/>
        </w:rPr>
      </w:pPr>
      <w:r>
        <w:rPr>
          <w:noProof/>
        </w:rPr>
        <w:t>Обяснение за изключителните обстоятелства, оправдаващи допустимостта на заявлението, и очакваното отражение на съкращенията върху местната икономика и заетост.</w:t>
      </w:r>
    </w:p>
    <w:p>
      <w:pPr>
        <w:pStyle w:val="ManualNumPar1"/>
        <w:rPr>
          <w:noProof/>
        </w:rPr>
      </w:pPr>
      <w:r>
        <w:t>15.</w:t>
      </w:r>
      <w:r>
        <w:tab/>
      </w:r>
      <w:r>
        <w:rPr>
          <w:noProof/>
        </w:rPr>
        <w:t xml:space="preserve">Испания твърди, че макар в рамките на деветмесечния референтен период да са направени по-малко от 500 съкращения, това заявление следва да бъде приравнено на заявление съгласно член 4, параграф 1, буква б) от Регламента за ЕФПГ поради извънредните обстоятелства, които влияят сериозно на заетостта и на местната, регионалната или националната икономика. </w:t>
      </w:r>
    </w:p>
    <w:p>
      <w:pPr>
        <w:pStyle w:val="ManualNumPar1"/>
        <w:rPr>
          <w:noProof/>
        </w:rPr>
      </w:pPr>
      <w:r>
        <w:t>16.</w:t>
      </w:r>
      <w:r>
        <w:tab/>
      </w:r>
      <w:r>
        <w:rPr>
          <w:noProof/>
        </w:rPr>
        <w:t>Населението в Галисия е съсредоточено основно в големите икономически центрове на региона, бреговите зони между Ферол и А Коруна (в северозападната част) и между Вилагарсия, Понтеведра и Виго (в югозападната част); докато вътрешната част на региона е изправена пред обезлюдяване и липса на работни места. През 2016 г. населението на Галисия бе с 13 375 души по-малко спрямо 2000 г., като броят на празните, т.е. напуснатите зони (градове или други населени места) бе с 1 260 повече спрямо 2000 г., тъй като хората се местят и се настаняват в близост до икономическите центрове. Освен това от 2010 г. насам демографското развитие в Галисия бе отрицателно (с годишен спад от около 2,3 %) вследствие на емиграцията на младите хора и нарастващия брой на смъртните случай спрямо ражданията.</w:t>
      </w:r>
    </w:p>
    <w:p>
      <w:pPr>
        <w:pStyle w:val="ManualNumPar1"/>
        <w:rPr>
          <w:noProof/>
        </w:rPr>
      </w:pPr>
      <w:r>
        <w:t>17.</w:t>
      </w:r>
      <w:r>
        <w:tab/>
      </w:r>
      <w:r>
        <w:rPr>
          <w:noProof/>
        </w:rPr>
        <w:t>Засегнатата от съкращенията зона е Ордес/Орденес</w:t>
      </w:r>
      <w:r>
        <w:rPr>
          <w:rStyle w:val="FootnoteReference"/>
          <w:noProof/>
        </w:rPr>
        <w:footnoteReference w:id="8"/>
      </w:r>
      <w:r>
        <w:rPr>
          <w:noProof/>
        </w:rPr>
        <w:t xml:space="preserve">, която е във вътрешната част на региона и в която шивашките предприятия (повечето от които са МСП и кооперативи) играят ролята на икономически двигател. </w:t>
      </w:r>
    </w:p>
    <w:p>
      <w:pPr>
        <w:spacing w:before="0" w:after="200" w:line="276" w:lineRule="auto"/>
        <w:jc w:val="left"/>
        <w:rPr>
          <w:b/>
          <w:noProof/>
        </w:rPr>
      </w:pPr>
      <w:r>
        <w:rPr>
          <w:b/>
          <w:noProof/>
        </w:rPr>
        <w:br w:type="page"/>
      </w:r>
    </w:p>
    <w:p>
      <w:pPr>
        <w:pStyle w:val="Text1"/>
        <w:jc w:val="center"/>
        <w:rPr>
          <w:b/>
          <w:noProof/>
        </w:rPr>
      </w:pPr>
      <w:r>
        <w:rPr>
          <w:b/>
          <w:noProof/>
        </w:rPr>
        <w:lastRenderedPageBreak/>
        <w:t>Географското местоположение на Ордес/Орденес</w:t>
      </w:r>
    </w:p>
    <w:p>
      <w:pPr>
        <w:pStyle w:val="Text1"/>
        <w:jc w:val="center"/>
        <w:rPr>
          <w:b/>
          <w:noProof/>
        </w:rPr>
      </w:pPr>
      <w:r>
        <w:rPr>
          <w:rFonts w:ascii="Arial" w:hAnsi="Arial" w:cs="Arial"/>
          <w:b/>
          <w:noProof/>
          <w:color w:val="4F81BD" w:themeColor="accent1"/>
          <w:lang w:val="en-US" w:eastAsia="en-US" w:bidi="ar-SA"/>
        </w:rPr>
        <w:drawing>
          <wp:inline distT="0" distB="0" distL="0" distR="0">
            <wp:extent cx="1711757" cy="1767590"/>
            <wp:effectExtent l="0" t="0" r="3175"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6032" cy="1772004"/>
                    </a:xfrm>
                    <a:prstGeom prst="rect">
                      <a:avLst/>
                    </a:prstGeom>
                    <a:noFill/>
                    <a:ln>
                      <a:noFill/>
                    </a:ln>
                  </pic:spPr>
                </pic:pic>
              </a:graphicData>
            </a:graphic>
          </wp:inline>
        </w:drawing>
      </w:r>
    </w:p>
    <w:p>
      <w:pPr>
        <w:pStyle w:val="ManualNumPar1"/>
        <w:rPr>
          <w:noProof/>
        </w:rPr>
      </w:pPr>
      <w:r>
        <w:t>18.</w:t>
      </w:r>
      <w:r>
        <w:tab/>
      </w:r>
      <w:r>
        <w:rPr>
          <w:noProof/>
        </w:rPr>
        <w:t>Зависещият в голяма степен от шивашката промишленост Ордес бе засегнат от намаляване на броя на шивашките предприятия в резултат на прекратяване на дейността или на изнасяне на производството в държави извън ЕС вследствие на нарастването на вноса на облекла в ЕС. През периода 2008—2014 г. броят на предприятията с повече от 6 работници е намалял с 40 %. Заедно с намаляването на броя на шивашките предприятия БВП на глава от населението на Ордес е спаднал от 17 057 евро през 2010 г. на 15 883 евро през 2014 г. Безработицата в производствения сектор в Oрдес се е увеличила с 40 % през периода декември 2016 г. — април 2017 г., когато са били направени повечето от съкращенията, които са предмет на настоящото заявление.</w:t>
      </w:r>
    </w:p>
    <w:p>
      <w:pPr>
        <w:pStyle w:val="ManualNumPar1"/>
        <w:rPr>
          <w:noProof/>
        </w:rPr>
      </w:pPr>
      <w:r>
        <w:t>19.</w:t>
      </w:r>
      <w:r>
        <w:tab/>
      </w:r>
      <w:r>
        <w:rPr>
          <w:noProof/>
        </w:rPr>
        <w:t>Очаква се съкращенията да окажат огромен натиск върху тази зона. Ефектът от съкращенията е свързан и с трудностите при преквалификацията, които се дължат на липсата на работни места, тъй като зоната е отдалечена от основните промишлени центрове; с ниското равнище на образованост на уволнените работници; с професионалните им умения, развити в рамките на този вече упадащ сектор; и с високия брой на търсещите работа лица. Делът на безработицата в производствения сектор възлиза на 34,6 % (43,7 %, ако говорим за безработицата сред жените) от общата безработица в Ордес.</w:t>
      </w:r>
    </w:p>
    <w:p>
      <w:pPr>
        <w:pStyle w:val="ManualHeading2"/>
        <w:rPr>
          <w:noProof/>
        </w:rPr>
      </w:pPr>
      <w:r>
        <w:rPr>
          <w:noProof/>
        </w:rPr>
        <w:t>Бенефициери от целевата група и предложени действия</w:t>
      </w:r>
    </w:p>
    <w:p>
      <w:pPr>
        <w:pStyle w:val="ManualHeading3"/>
        <w:rPr>
          <w:noProof/>
        </w:rPr>
      </w:pPr>
      <w:r>
        <w:rPr>
          <w:noProof/>
        </w:rPr>
        <w:t>Бенефициери от целевата група</w:t>
      </w:r>
    </w:p>
    <w:p>
      <w:pPr>
        <w:pStyle w:val="ManualNumPar1"/>
        <w:rPr>
          <w:noProof/>
        </w:rPr>
      </w:pPr>
      <w:r>
        <w:t>20.</w:t>
      </w:r>
      <w:r>
        <w:tab/>
      </w:r>
      <w:r>
        <w:rPr>
          <w:noProof/>
        </w:rPr>
        <w:t>Очаква се всички 303 съкратени работници да вземат участие в мерките. По-долу е представена разбивка на тези работници по пол, гражданство и възрастова група:</w:t>
      </w:r>
    </w:p>
    <w:tbl>
      <w:tblPr>
        <w:tblW w:w="0" w:type="auto"/>
        <w:jc w:val="center"/>
        <w:tblLook w:val="04A0" w:firstRow="1" w:lastRow="0" w:firstColumn="1" w:lastColumn="0" w:noHBand="0" w:noVBand="1"/>
      </w:tblPr>
      <w:tblGrid>
        <w:gridCol w:w="161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Категория</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Брой на </w:t>
            </w:r>
            <w:r>
              <w:rPr>
                <w:noProof/>
              </w:rPr>
              <w:br/>
              <w:t>бенефициерите от целевата група</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Пол:</w:t>
            </w:r>
          </w:p>
        </w:tc>
        <w:tc>
          <w:tcPr>
            <w:tcW w:w="2063" w:type="dxa"/>
            <w:tcBorders>
              <w:top w:val="single" w:sz="4" w:space="0" w:color="auto"/>
              <w:left w:val="nil"/>
              <w:right w:val="nil"/>
            </w:tcBorders>
            <w:hideMark/>
          </w:tcPr>
          <w:p>
            <w:pPr>
              <w:spacing w:before="60" w:after="60"/>
              <w:rPr>
                <w:noProof/>
              </w:rPr>
            </w:pPr>
            <w:r>
              <w:rPr>
                <w:noProof/>
              </w:rPr>
              <w:t>Мъже:</w:t>
            </w:r>
          </w:p>
        </w:tc>
        <w:tc>
          <w:tcPr>
            <w:tcW w:w="1176" w:type="dxa"/>
            <w:tcBorders>
              <w:top w:val="single" w:sz="4" w:space="0" w:color="auto"/>
              <w:left w:val="nil"/>
              <w:right w:val="nil"/>
            </w:tcBorders>
            <w:hideMark/>
          </w:tcPr>
          <w:p>
            <w:pPr>
              <w:spacing w:before="60" w:after="60"/>
              <w:jc w:val="right"/>
              <w:rPr>
                <w:noProof/>
              </w:rPr>
            </w:pPr>
            <w:r>
              <w:rPr>
                <w:noProof/>
              </w:rPr>
              <w:t>50</w:t>
            </w:r>
          </w:p>
        </w:tc>
        <w:tc>
          <w:tcPr>
            <w:tcW w:w="1176" w:type="dxa"/>
            <w:tcBorders>
              <w:top w:val="single" w:sz="4" w:space="0" w:color="auto"/>
              <w:left w:val="nil"/>
              <w:right w:val="nil"/>
            </w:tcBorders>
            <w:hideMark/>
          </w:tcPr>
          <w:p>
            <w:pPr>
              <w:spacing w:before="60" w:after="60"/>
              <w:jc w:val="right"/>
              <w:rPr>
                <w:noProof/>
              </w:rPr>
            </w:pPr>
            <w:r>
              <w:rPr>
                <w:noProof/>
              </w:rPr>
              <w:t>(16,50 %)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Жени:</w:t>
            </w:r>
          </w:p>
        </w:tc>
        <w:tc>
          <w:tcPr>
            <w:tcW w:w="1176" w:type="dxa"/>
            <w:tcBorders>
              <w:bottom w:val="single" w:sz="4" w:space="0" w:color="auto"/>
            </w:tcBorders>
            <w:hideMark/>
          </w:tcPr>
          <w:p>
            <w:pPr>
              <w:spacing w:before="60" w:after="60"/>
              <w:jc w:val="right"/>
              <w:rPr>
                <w:noProof/>
              </w:rPr>
            </w:pPr>
            <w:r>
              <w:rPr>
                <w:noProof/>
              </w:rPr>
              <w:t>253</w:t>
            </w:r>
          </w:p>
        </w:tc>
        <w:tc>
          <w:tcPr>
            <w:tcW w:w="1176" w:type="dxa"/>
            <w:tcBorders>
              <w:bottom w:val="single" w:sz="4" w:space="0" w:color="auto"/>
            </w:tcBorders>
            <w:hideMark/>
          </w:tcPr>
          <w:p>
            <w:pPr>
              <w:spacing w:before="60" w:after="60"/>
              <w:jc w:val="right"/>
              <w:rPr>
                <w:noProof/>
              </w:rPr>
            </w:pPr>
            <w:r>
              <w:rPr>
                <w:noProof/>
              </w:rPr>
              <w:t>(83,50 %)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Гражданство:</w:t>
            </w:r>
          </w:p>
        </w:tc>
        <w:tc>
          <w:tcPr>
            <w:tcW w:w="2063" w:type="dxa"/>
            <w:tcBorders>
              <w:top w:val="single" w:sz="4" w:space="0" w:color="auto"/>
              <w:left w:val="nil"/>
              <w:bottom w:val="nil"/>
              <w:right w:val="nil"/>
            </w:tcBorders>
            <w:hideMark/>
          </w:tcPr>
          <w:p>
            <w:pPr>
              <w:spacing w:before="60" w:after="60"/>
              <w:rPr>
                <w:noProof/>
              </w:rPr>
            </w:pPr>
            <w:r>
              <w:rPr>
                <w:noProof/>
              </w:rPr>
              <w:t>Граждани на държави — членки на ЕС:</w:t>
            </w:r>
          </w:p>
        </w:tc>
        <w:tc>
          <w:tcPr>
            <w:tcW w:w="1176" w:type="dxa"/>
            <w:tcBorders>
              <w:top w:val="single" w:sz="4" w:space="0" w:color="auto"/>
            </w:tcBorders>
            <w:hideMark/>
          </w:tcPr>
          <w:p>
            <w:pPr>
              <w:spacing w:before="60" w:after="60"/>
              <w:jc w:val="right"/>
              <w:rPr>
                <w:noProof/>
              </w:rPr>
            </w:pPr>
            <w:r>
              <w:rPr>
                <w:noProof/>
              </w:rPr>
              <w:t>298</w:t>
            </w:r>
          </w:p>
        </w:tc>
        <w:tc>
          <w:tcPr>
            <w:tcW w:w="1176" w:type="dxa"/>
            <w:tcBorders>
              <w:top w:val="single" w:sz="4" w:space="0" w:color="auto"/>
            </w:tcBorders>
            <w:hideMark/>
          </w:tcPr>
          <w:p>
            <w:pPr>
              <w:spacing w:before="60" w:after="60"/>
              <w:jc w:val="right"/>
              <w:rPr>
                <w:noProof/>
              </w:rPr>
            </w:pPr>
            <w:r>
              <w:rPr>
                <w:noProof/>
              </w:rPr>
              <w:t>(98,35 %)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Граждани на държави извън ЕС:</w:t>
            </w:r>
          </w:p>
        </w:tc>
        <w:tc>
          <w:tcPr>
            <w:tcW w:w="1176" w:type="dxa"/>
            <w:tcBorders>
              <w:bottom w:val="single" w:sz="4" w:space="0" w:color="auto"/>
            </w:tcBorders>
            <w:hideMark/>
          </w:tcPr>
          <w:p>
            <w:pPr>
              <w:spacing w:before="60" w:after="60"/>
              <w:jc w:val="right"/>
              <w:rPr>
                <w:noProof/>
              </w:rPr>
            </w:pPr>
            <w:r>
              <w:rPr>
                <w:noProof/>
              </w:rPr>
              <w:t>5</w:t>
            </w:r>
          </w:p>
        </w:tc>
        <w:tc>
          <w:tcPr>
            <w:tcW w:w="1176" w:type="dxa"/>
            <w:tcBorders>
              <w:bottom w:val="single" w:sz="4" w:space="0" w:color="auto"/>
            </w:tcBorders>
            <w:hideMark/>
          </w:tcPr>
          <w:p>
            <w:pPr>
              <w:spacing w:before="60" w:after="60"/>
              <w:jc w:val="right"/>
              <w:rPr>
                <w:noProof/>
              </w:rPr>
            </w:pPr>
            <w:r>
              <w:rPr>
                <w:noProof/>
              </w:rPr>
              <w:t>(1,65 %)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lastRenderedPageBreak/>
              <w:t>Възрастова група:</w:t>
            </w:r>
          </w:p>
        </w:tc>
        <w:tc>
          <w:tcPr>
            <w:tcW w:w="2063" w:type="dxa"/>
            <w:tcBorders>
              <w:top w:val="single" w:sz="4" w:space="0" w:color="auto"/>
              <w:left w:val="nil"/>
              <w:bottom w:val="nil"/>
              <w:right w:val="nil"/>
            </w:tcBorders>
            <w:hideMark/>
          </w:tcPr>
          <w:p>
            <w:pPr>
              <w:spacing w:before="60" w:after="60"/>
              <w:rPr>
                <w:noProof/>
              </w:rPr>
            </w:pPr>
            <w:r>
              <w:rPr>
                <w:noProof/>
              </w:rPr>
              <w:t>15—24 години:</w:t>
            </w:r>
          </w:p>
        </w:tc>
        <w:tc>
          <w:tcPr>
            <w:tcW w:w="1176" w:type="dxa"/>
            <w:tcBorders>
              <w:top w:val="single" w:sz="4" w:space="0" w:color="auto"/>
            </w:tcBorders>
            <w:hideMark/>
          </w:tcPr>
          <w:p>
            <w:pPr>
              <w:spacing w:before="60" w:after="60"/>
              <w:jc w:val="right"/>
              <w:rPr>
                <w:noProof/>
              </w:rPr>
            </w:pPr>
            <w:r>
              <w:rPr>
                <w:noProof/>
              </w:rPr>
              <w:t>2</w:t>
            </w:r>
          </w:p>
        </w:tc>
        <w:tc>
          <w:tcPr>
            <w:tcW w:w="1176" w:type="dxa"/>
            <w:tcBorders>
              <w:top w:val="single" w:sz="4" w:space="0" w:color="auto"/>
            </w:tcBorders>
            <w:hideMark/>
          </w:tcPr>
          <w:p>
            <w:pPr>
              <w:spacing w:before="60" w:after="60"/>
              <w:jc w:val="right"/>
              <w:rPr>
                <w:noProof/>
              </w:rPr>
            </w:pPr>
            <w:r>
              <w:rPr>
                <w:noProof/>
              </w:rPr>
              <w:t>(0,66 %)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години:</w:t>
            </w:r>
          </w:p>
        </w:tc>
        <w:tc>
          <w:tcPr>
            <w:tcW w:w="1176" w:type="dxa"/>
            <w:hideMark/>
          </w:tcPr>
          <w:p>
            <w:pPr>
              <w:spacing w:before="60" w:after="60"/>
              <w:jc w:val="right"/>
              <w:rPr>
                <w:noProof/>
              </w:rPr>
            </w:pPr>
            <w:r>
              <w:rPr>
                <w:noProof/>
              </w:rPr>
              <w:t>13</w:t>
            </w:r>
          </w:p>
        </w:tc>
        <w:tc>
          <w:tcPr>
            <w:tcW w:w="1176" w:type="dxa"/>
            <w:hideMark/>
          </w:tcPr>
          <w:p>
            <w:pPr>
              <w:spacing w:before="60" w:after="60"/>
              <w:jc w:val="right"/>
              <w:rPr>
                <w:noProof/>
              </w:rPr>
            </w:pPr>
            <w:r>
              <w:rPr>
                <w:noProof/>
              </w:rPr>
              <w:t>(4,29 %)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години:</w:t>
            </w:r>
          </w:p>
        </w:tc>
        <w:tc>
          <w:tcPr>
            <w:tcW w:w="1176" w:type="dxa"/>
            <w:hideMark/>
          </w:tcPr>
          <w:p>
            <w:pPr>
              <w:spacing w:before="60" w:after="60"/>
              <w:jc w:val="right"/>
              <w:rPr>
                <w:noProof/>
              </w:rPr>
            </w:pPr>
            <w:r>
              <w:rPr>
                <w:noProof/>
              </w:rPr>
              <w:t>217</w:t>
            </w:r>
          </w:p>
        </w:tc>
        <w:tc>
          <w:tcPr>
            <w:tcW w:w="1176" w:type="dxa"/>
            <w:hideMark/>
          </w:tcPr>
          <w:p>
            <w:pPr>
              <w:spacing w:before="60" w:after="60"/>
              <w:jc w:val="right"/>
              <w:rPr>
                <w:noProof/>
              </w:rPr>
            </w:pPr>
            <w:r>
              <w:rPr>
                <w:noProof/>
              </w:rPr>
              <w:t>(71,62 %)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години:</w:t>
            </w:r>
          </w:p>
        </w:tc>
        <w:tc>
          <w:tcPr>
            <w:tcW w:w="1176" w:type="dxa"/>
            <w:hideMark/>
          </w:tcPr>
          <w:p>
            <w:pPr>
              <w:spacing w:before="60" w:after="60"/>
              <w:jc w:val="right"/>
              <w:rPr>
                <w:noProof/>
              </w:rPr>
            </w:pPr>
            <w:r>
              <w:rPr>
                <w:noProof/>
              </w:rPr>
              <w:t>71</w:t>
            </w:r>
          </w:p>
        </w:tc>
        <w:tc>
          <w:tcPr>
            <w:tcW w:w="1176" w:type="dxa"/>
            <w:hideMark/>
          </w:tcPr>
          <w:p>
            <w:pPr>
              <w:spacing w:before="60" w:after="60"/>
              <w:jc w:val="right"/>
              <w:rPr>
                <w:noProof/>
              </w:rPr>
            </w:pPr>
            <w:r>
              <w:rPr>
                <w:noProof/>
              </w:rPr>
              <w:t>(23,43 %)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над 64 години:</w:t>
            </w:r>
          </w:p>
        </w:tc>
        <w:tc>
          <w:tcPr>
            <w:tcW w:w="1176" w:type="dxa"/>
            <w:tcBorders>
              <w:top w:val="nil"/>
              <w:left w:val="nil"/>
              <w:bottom w:val="single" w:sz="4" w:space="0" w:color="auto"/>
              <w:right w:val="nil"/>
            </w:tcBorders>
            <w:hideMark/>
          </w:tcPr>
          <w:p>
            <w:pPr>
              <w:spacing w:before="60" w:after="60"/>
              <w:jc w:val="right"/>
              <w:rPr>
                <w:noProof/>
              </w:rPr>
            </w:pPr>
            <w:r>
              <w:rPr>
                <w:noProof/>
              </w:rPr>
              <w:t>0</w:t>
            </w:r>
          </w:p>
        </w:tc>
        <w:tc>
          <w:tcPr>
            <w:tcW w:w="1176" w:type="dxa"/>
            <w:tcBorders>
              <w:top w:val="nil"/>
              <w:left w:val="nil"/>
              <w:bottom w:val="single" w:sz="4" w:space="0" w:color="auto"/>
              <w:right w:val="nil"/>
            </w:tcBorders>
            <w:hideMark/>
          </w:tcPr>
          <w:p>
            <w:pPr>
              <w:spacing w:before="60" w:after="60"/>
              <w:jc w:val="right"/>
              <w:rPr>
                <w:noProof/>
              </w:rPr>
            </w:pPr>
            <w:r>
              <w:rPr>
                <w:noProof/>
              </w:rPr>
              <w:t>(00,0 %)</w:t>
            </w:r>
          </w:p>
        </w:tc>
      </w:tr>
    </w:tbl>
    <w:p>
      <w:pPr>
        <w:pStyle w:val="ManualHeading3"/>
        <w:rPr>
          <w:noProof/>
          <w:u w:val="single"/>
        </w:rPr>
      </w:pPr>
      <w:r>
        <w:rPr>
          <w:noProof/>
        </w:rPr>
        <w:t>Допустимост на предложените действия</w:t>
      </w:r>
    </w:p>
    <w:p>
      <w:pPr>
        <w:pStyle w:val="ManualNumPar1"/>
        <w:rPr>
          <w:noProof/>
        </w:rPr>
      </w:pPr>
      <w:bookmarkStart w:id="8" w:name="_Ref372214239"/>
      <w:r>
        <w:t>21.</w:t>
      </w:r>
      <w:r>
        <w:tab/>
      </w:r>
      <w:r>
        <w:rPr>
          <w:noProof/>
        </w:rPr>
        <w:t xml:space="preserve">Персонализираните услуги, които се предвижда да бъдат предоставени на съкратените работници, включват следните действия: </w:t>
      </w:r>
      <w:bookmarkEnd w:id="8"/>
    </w:p>
    <w:p>
      <w:pPr>
        <w:pStyle w:val="Tiret1"/>
        <w:numPr>
          <w:ilvl w:val="0"/>
          <w:numId w:val="13"/>
        </w:numPr>
        <w:rPr>
          <w:noProof/>
        </w:rPr>
      </w:pPr>
      <w:r>
        <w:rPr>
          <w:noProof/>
          <w:u w:val="single"/>
        </w:rPr>
        <w:t>Сесии за информиране и подготвителни семинари</w:t>
      </w:r>
      <w:r>
        <w:rPr>
          <w:noProof/>
        </w:rPr>
        <w:t>: Сесиите за информиране са първата стъпка, която ще бъде предложена на всички бенефициери, и включва обща информация относно наличните програми за консултации и обучение; и относно помощите и стимулите. Това включва изготвянето на профил на уменията на участващите работници. На подготвителните семинари ще бъде предоставена по-подробна информация относно преквалификацията, секторите, за които са необходими разрешения или удостоверения за професионална квалификация, удостоверяване на компетенциите и на „меките“ (социалните) умения, необходими в професионална среда; както и начините за завършване на задължителното образование.</w:t>
      </w:r>
    </w:p>
    <w:p>
      <w:pPr>
        <w:pStyle w:val="Tiret1"/>
        <w:rPr>
          <w:noProof/>
        </w:rPr>
      </w:pPr>
      <w:r>
        <w:rPr>
          <w:noProof/>
        </w:rPr>
        <w:t xml:space="preserve">През периода на изпълнение ще бъде осигурено </w:t>
      </w:r>
      <w:r>
        <w:rPr>
          <w:noProof/>
          <w:u w:val="single"/>
        </w:rPr>
        <w:t>професионално ориентиране</w:t>
      </w:r>
      <w:r>
        <w:rPr>
          <w:noProof/>
        </w:rPr>
        <w:t xml:space="preserve"> за зависима заетост или за самостоятелна заетост.</w:t>
      </w:r>
    </w:p>
    <w:p>
      <w:pPr>
        <w:pStyle w:val="Tiret1"/>
        <w:rPr>
          <w:noProof/>
        </w:rPr>
      </w:pPr>
      <w:r>
        <w:rPr>
          <w:noProof/>
          <w:u w:val="single"/>
        </w:rPr>
        <w:t>Обучение:</w:t>
      </w:r>
      <w:r>
        <w:rPr>
          <w:noProof/>
        </w:rPr>
        <w:t xml:space="preserve"> Това включва обучение по основни компетенции, хоризонтални компетенции, професионално обучение като обучение за професии с по-голяма добавена стойност в рамките на шивашкия сектор (за разлика от производството други области като дизайн, дистрибуция, управление на марката и логистика не бяха изнесени в държави извън ЕС), гериатрични грижи и социални и здравни грижи за лица на издръжка, работа в склад, аниматори на места за отдих и развлечения, както и подготовка за тестове за признаване на уменията, натрупани при работата/признаване на професионалния опит преди ученето, както и обучение в сферата на предприемачеството.</w:t>
      </w:r>
    </w:p>
    <w:p>
      <w:pPr>
        <w:pStyle w:val="Tiret1"/>
        <w:rPr>
          <w:noProof/>
        </w:rPr>
      </w:pPr>
      <w:r>
        <w:rPr>
          <w:noProof/>
          <w:u w:val="single"/>
        </w:rPr>
        <w:t>Помощ за интензивно търсене на работа</w:t>
      </w:r>
      <w:r>
        <w:rPr>
          <w:noProof/>
        </w:rPr>
        <w:t>, включително активно търсене на работа на местно и регионално ниво (също и за самостоятелно заети лица) и за намиране на подходяща работа.</w:t>
      </w:r>
    </w:p>
    <w:p>
      <w:pPr>
        <w:pStyle w:val="Tiret1"/>
        <w:rPr>
          <w:noProof/>
        </w:rPr>
      </w:pPr>
      <w:r>
        <w:rPr>
          <w:noProof/>
          <w:u w:val="single"/>
        </w:rPr>
        <w:t>Наставничество след реинтеграция на пазара на труда</w:t>
      </w:r>
      <w:r>
        <w:rPr>
          <w:noProof/>
        </w:rPr>
        <w:t>. Реинтегрираните работници ще бъдат насочвани през първите месеци, за да се избегнат възможни проблеми, които могат да възникват при упражняване на новата професионална дейност.</w:t>
      </w:r>
    </w:p>
    <w:p>
      <w:pPr>
        <w:pStyle w:val="Tiret1"/>
        <w:rPr>
          <w:noProof/>
        </w:rPr>
      </w:pPr>
      <w:r>
        <w:rPr>
          <w:noProof/>
          <w:u w:val="single"/>
        </w:rPr>
        <w:t>Стимули</w:t>
      </w:r>
      <w:r>
        <w:rPr>
          <w:noProof/>
        </w:rPr>
        <w:t xml:space="preserve">. Ще има най-различни стимули. </w:t>
      </w:r>
      <w:r>
        <w:rPr>
          <w:b/>
          <w:noProof/>
        </w:rPr>
        <w:t>(1) Стимули за участие</w:t>
      </w:r>
      <w:r>
        <w:rPr>
          <w:noProof/>
        </w:rPr>
        <w:t xml:space="preserve">. Работниците, които вземат участие в мерките и преминат целия курс за реинтеграция ще получат 400 евро (еднократно плащане или изплащане на няколко вноски). </w:t>
      </w:r>
      <w:r>
        <w:rPr>
          <w:b/>
          <w:noProof/>
        </w:rPr>
        <w:t>(2) Финансово участие в пътните разходи.</w:t>
      </w:r>
      <w:r>
        <w:rPr>
          <w:noProof/>
        </w:rPr>
        <w:t xml:space="preserve"> 3 евро на ден за пътните разходи в рамките на един и същ град и 0,19 евро на километър за пътните разходи между различни градове. </w:t>
      </w:r>
      <w:r>
        <w:rPr>
          <w:b/>
          <w:noProof/>
        </w:rPr>
        <w:t xml:space="preserve">(3) Помощ за </w:t>
      </w:r>
      <w:r>
        <w:rPr>
          <w:b/>
          <w:noProof/>
        </w:rPr>
        <w:lastRenderedPageBreak/>
        <w:t>покриване на част от разходите на лицата, полагащи грижи за зависими лица</w:t>
      </w:r>
      <w:r>
        <w:rPr>
          <w:noProof/>
        </w:rPr>
        <w:t>. Работници, полагащи грижи за други лица (деца, възрастни хора или лица с увреждания), ще получат 15 евро</w:t>
      </w:r>
      <w:r>
        <w:rPr>
          <w:rStyle w:val="FootnoteReference"/>
          <w:noProof/>
        </w:rPr>
        <w:footnoteReference w:id="9"/>
      </w:r>
      <w:r>
        <w:rPr>
          <w:noProof/>
        </w:rPr>
        <w:t xml:space="preserve"> на ден за участие в мерките. Целта е да се покрият допълнителните разходи, възникнали за работниците, полагащи грижи за зависими лица, при участието им в обучения или други мерки. </w:t>
      </w:r>
      <w:r>
        <w:rPr>
          <w:b/>
          <w:noProof/>
        </w:rPr>
        <w:t>(4) Компенсация за доходи</w:t>
      </w:r>
      <w:r>
        <w:rPr>
          <w:noProof/>
        </w:rPr>
        <w:t>. Реинтегрираните лица, както и самостоятелно заетите лица ще получат компенсация за доходи от 200 евро на месец в продължение на шест месеца.</w:t>
      </w:r>
    </w:p>
    <w:p>
      <w:pPr>
        <w:pStyle w:val="ManualNumPar1"/>
        <w:rPr>
          <w:noProof/>
        </w:rPr>
      </w:pPr>
      <w:bookmarkStart w:id="9" w:name="_Ref372214242"/>
      <w:r>
        <w:t>22.</w:t>
      </w:r>
      <w:r>
        <w:tab/>
      </w:r>
      <w:r>
        <w:rPr>
          <w:noProof/>
        </w:rPr>
        <w:t>Предложените действия, описани в настоящия документ, представляват активни мерки за пазара на труда в рамките на допустимите действия, посочени в член 7 от Регламента за ЕФПГ. Тези действия не заместват пасивните мерки за социална закрила.</w:t>
      </w:r>
    </w:p>
    <w:p>
      <w:pPr>
        <w:pStyle w:val="ManualNumPar1"/>
        <w:rPr>
          <w:noProof/>
        </w:rPr>
      </w:pPr>
      <w:r>
        <w:t>23.</w:t>
      </w:r>
      <w:r>
        <w:tab/>
      </w:r>
      <w:r>
        <w:rPr>
          <w:noProof/>
        </w:rPr>
        <w:t>Испания предостави поисканата информация относно действията, които са задължителни за засегнатото предприятие по силата на националното законодателство или съгласно колективните споразумения. Потвърдено беше, че финансовото участие от страна на ЕФПГ няма да замени тези действия.</w:t>
      </w:r>
      <w:bookmarkEnd w:id="9"/>
    </w:p>
    <w:p>
      <w:pPr>
        <w:pStyle w:val="ManualHeading3"/>
        <w:rPr>
          <w:noProof/>
        </w:rPr>
      </w:pPr>
      <w:r>
        <w:rPr>
          <w:noProof/>
        </w:rPr>
        <w:t>Прогнозен бюджет</w:t>
      </w:r>
    </w:p>
    <w:p>
      <w:pPr>
        <w:pStyle w:val="ManualNumPar1"/>
        <w:rPr>
          <w:noProof/>
        </w:rPr>
      </w:pPr>
      <w:r>
        <w:t>24.</w:t>
      </w:r>
      <w:r>
        <w:tab/>
      </w:r>
      <w:r>
        <w:rPr>
          <w:noProof/>
        </w:rPr>
        <w:t>Общите прогнозни разходи са в размер на 1 200 000 евро, като в тях се включват разходи за персонализирани услуги в размер на 1 140 000 евро и разходи за дейности по подготовка, управление, информиране и популяризиране, контрол и докладване в размер на 60 000 евро.</w:t>
      </w:r>
    </w:p>
    <w:p>
      <w:pPr>
        <w:pStyle w:val="ManualNumPar1"/>
        <w:rPr>
          <w:noProof/>
        </w:rPr>
      </w:pPr>
      <w:bookmarkStart w:id="10" w:name="_Ref372550770"/>
      <w:r>
        <w:t>25.</w:t>
      </w:r>
      <w:r>
        <w:tab/>
      </w:r>
      <w:r>
        <w:rPr>
          <w:noProof/>
        </w:rPr>
        <w:t>Общият размер на заявеното финансово участие от ЕФПГ възлиза на 720 000 евро (60 % от общия размер на разходите).</w:t>
      </w:r>
      <w:bookmarkEnd w:id="10"/>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rFonts w:eastAsia="Times New Roman"/>
                <w:noProof/>
                <w:szCs w:val="24"/>
              </w:rPr>
            </w:pPr>
            <w:r>
              <w:rPr>
                <w:noProof/>
              </w:rPr>
              <w:t>Действия</w:t>
            </w:r>
          </w:p>
        </w:tc>
        <w:tc>
          <w:tcPr>
            <w:tcW w:w="1548" w:type="dxa"/>
            <w:shd w:val="clear" w:color="auto" w:fill="auto"/>
            <w:vAlign w:val="center"/>
          </w:tcPr>
          <w:p>
            <w:pPr>
              <w:spacing w:before="60" w:after="60"/>
              <w:jc w:val="center"/>
              <w:rPr>
                <w:rFonts w:eastAsia="Times New Roman"/>
                <w:noProof/>
                <w:szCs w:val="24"/>
              </w:rPr>
            </w:pPr>
            <w:r>
              <w:rPr>
                <w:noProof/>
              </w:rPr>
              <w:t>Прогнозен брой участници</w:t>
            </w:r>
          </w:p>
        </w:tc>
        <w:tc>
          <w:tcPr>
            <w:tcW w:w="1548" w:type="dxa"/>
            <w:shd w:val="clear" w:color="auto" w:fill="auto"/>
            <w:vAlign w:val="center"/>
          </w:tcPr>
          <w:p>
            <w:pPr>
              <w:spacing w:before="60" w:after="60"/>
              <w:jc w:val="center"/>
              <w:rPr>
                <w:rFonts w:eastAsia="Times New Roman"/>
                <w:noProof/>
                <w:szCs w:val="24"/>
              </w:rPr>
            </w:pPr>
            <w:r>
              <w:rPr>
                <w:noProof/>
              </w:rPr>
              <w:t>Прогнозни разходи за един участник</w:t>
            </w:r>
            <w:r>
              <w:rPr>
                <w:noProof/>
              </w:rPr>
              <w:br/>
            </w:r>
            <w:r>
              <w:rPr>
                <w:i/>
                <w:noProof/>
              </w:rPr>
              <w:t>(в евро)</w:t>
            </w:r>
            <w:r>
              <w:rPr>
                <w:rStyle w:val="FootnoteReference"/>
                <w:i/>
                <w:noProof/>
              </w:rPr>
              <w:footnoteReference w:id="10"/>
            </w:r>
          </w:p>
        </w:tc>
        <w:tc>
          <w:tcPr>
            <w:tcW w:w="1548" w:type="dxa"/>
            <w:shd w:val="clear" w:color="auto" w:fill="auto"/>
            <w:vAlign w:val="center"/>
          </w:tcPr>
          <w:p>
            <w:pPr>
              <w:spacing w:before="60" w:after="60"/>
              <w:jc w:val="center"/>
              <w:rPr>
                <w:rFonts w:eastAsia="Times New Roman"/>
                <w:noProof/>
                <w:szCs w:val="24"/>
              </w:rPr>
            </w:pPr>
            <w:r>
              <w:rPr>
                <w:noProof/>
              </w:rPr>
              <w:t>Общо прогнозни разходи</w:t>
            </w:r>
          </w:p>
          <w:p>
            <w:pPr>
              <w:spacing w:before="60" w:after="60"/>
              <w:jc w:val="center"/>
              <w:rPr>
                <w:rFonts w:eastAsia="Times New Roman"/>
                <w:noProof/>
                <w:szCs w:val="24"/>
              </w:rPr>
            </w:pPr>
            <w:r>
              <w:rPr>
                <w:i/>
                <w:noProof/>
              </w:rPr>
              <w:t>(в евро)</w:t>
            </w:r>
            <w:r>
              <w:rPr>
                <w:rStyle w:val="FootnoteReference"/>
                <w:i/>
                <w:noProof/>
              </w:rPr>
              <w:footnoteReference w:id="11"/>
            </w:r>
            <w:r>
              <w:rPr>
                <w:i/>
                <w:noProof/>
              </w:rPr>
              <w:t xml:space="preserve"> </w:t>
            </w:r>
          </w:p>
        </w:tc>
      </w:tr>
      <w:tr>
        <w:tc>
          <w:tcPr>
            <w:tcW w:w="9288" w:type="dxa"/>
            <w:gridSpan w:val="4"/>
            <w:shd w:val="clear" w:color="auto" w:fill="auto"/>
          </w:tcPr>
          <w:p>
            <w:pPr>
              <w:spacing w:before="60" w:after="60"/>
              <w:jc w:val="left"/>
              <w:rPr>
                <w:rFonts w:eastAsia="Times New Roman"/>
                <w:noProof/>
                <w:szCs w:val="24"/>
              </w:rPr>
            </w:pPr>
            <w:r>
              <w:rPr>
                <w:noProof/>
              </w:rPr>
              <w:t>Персонализирани услуги (действия по член 7, параграф 1, букви а) и в) от Регламента за ЕФПГ)</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szCs w:val="24"/>
              </w:rPr>
            </w:pPr>
            <w:r>
              <w:rPr>
                <w:noProof/>
              </w:rPr>
              <w:t>Сесии за информиране и подготвителни семинари:</w:t>
            </w:r>
            <w:r>
              <w:rPr>
                <w:noProof/>
              </w:rPr>
              <w:br/>
              <w:t>(</w:t>
            </w:r>
            <w:r>
              <w:rPr>
                <w:i/>
                <w:noProof/>
              </w:rPr>
              <w:t>Acogida y medidas de sensibilización)</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rPr>
              <w:t>303</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rPr>
              <w:t>187</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szCs w:val="24"/>
              </w:rPr>
            </w:pPr>
            <w:r>
              <w:rPr>
                <w:noProof/>
              </w:rPr>
              <w:t>56 628</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szCs w:val="24"/>
              </w:rPr>
            </w:pPr>
            <w:r>
              <w:rPr>
                <w:noProof/>
              </w:rPr>
              <w:t>Професионално ориентиране</w:t>
            </w:r>
            <w:r>
              <w:rPr>
                <w:noProof/>
              </w:rPr>
              <w:br/>
              <w:t>(</w:t>
            </w:r>
            <w:r>
              <w:rPr>
                <w:i/>
                <w:noProof/>
              </w:rPr>
              <w:t>Programa de orientación)</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rPr>
              <w:t>212</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rPr>
              <w:t>583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szCs w:val="24"/>
              </w:rPr>
            </w:pPr>
            <w:r>
              <w:rPr>
                <w:noProof/>
              </w:rPr>
              <w:t>123 598</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szCs w:val="24"/>
              </w:rPr>
            </w:pPr>
            <w:r>
              <w:rPr>
                <w:noProof/>
              </w:rPr>
              <w:t>Обучение</w:t>
            </w:r>
            <w:r>
              <w:rPr>
                <w:noProof/>
              </w:rPr>
              <w:br/>
              <w:t>(</w:t>
            </w:r>
            <w:r>
              <w:rPr>
                <w:i/>
                <w:noProof/>
              </w:rPr>
              <w:t>Programa de formación)</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rPr>
              <w:t>212</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rPr>
              <w:t>2 514</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szCs w:val="24"/>
              </w:rPr>
            </w:pPr>
            <w:r>
              <w:rPr>
                <w:noProof/>
              </w:rPr>
              <w:t>533 030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szCs w:val="24"/>
              </w:rPr>
            </w:pPr>
            <w:r>
              <w:rPr>
                <w:noProof/>
              </w:rPr>
              <w:lastRenderedPageBreak/>
              <w:t>Съдействие при активно търсене на работа</w:t>
            </w:r>
            <w:r>
              <w:rPr>
                <w:noProof/>
              </w:rPr>
              <w:br/>
              <w:t>(</w:t>
            </w:r>
            <w:r>
              <w:rPr>
                <w:i/>
                <w:noProof/>
              </w:rPr>
              <w:t>Apoyo a la recolocación)</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rPr>
              <w:t>100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rPr>
              <w:t>1 978</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szCs w:val="24"/>
              </w:rPr>
            </w:pPr>
            <w:r>
              <w:rPr>
                <w:noProof/>
              </w:rPr>
              <w:t>197 836</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szCs w:val="24"/>
              </w:rPr>
            </w:pPr>
            <w:r>
              <w:rPr>
                <w:noProof/>
              </w:rPr>
              <w:t>Наставничество след завръщане на работа</w:t>
            </w:r>
            <w:r>
              <w:rPr>
                <w:noProof/>
              </w:rPr>
              <w:br/>
              <w:t>(</w:t>
            </w:r>
            <w:r>
              <w:rPr>
                <w:i/>
                <w:noProof/>
              </w:rPr>
              <w:t>Seguimiento en el empleo)</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rPr>
              <w:t>95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rPr>
              <w:t>224</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szCs w:val="24"/>
              </w:rPr>
            </w:pPr>
            <w:r>
              <w:rPr>
                <w:noProof/>
              </w:rPr>
              <w:t>21 308</w:t>
            </w:r>
          </w:p>
        </w:tc>
      </w:tr>
      <w:tr>
        <w:trPr>
          <w:trHeight w:val="398"/>
        </w:trPr>
        <w:tc>
          <w:tcPr>
            <w:tcW w:w="4644" w:type="dxa"/>
            <w:vMerge w:val="restart"/>
            <w:shd w:val="clear" w:color="auto" w:fill="auto"/>
            <w:vAlign w:val="center"/>
          </w:tcPr>
          <w:p>
            <w:pPr>
              <w:spacing w:before="60" w:after="60"/>
              <w:jc w:val="right"/>
              <w:rPr>
                <w:rFonts w:eastAsia="Times New Roman"/>
                <w:noProof/>
                <w:szCs w:val="24"/>
              </w:rPr>
            </w:pPr>
            <w:r>
              <w:rPr>
                <w:noProof/>
              </w:rPr>
              <w:t>Междинен сбор (a):</w:t>
            </w:r>
          </w:p>
          <w:p>
            <w:pPr>
              <w:spacing w:before="60" w:after="60"/>
              <w:jc w:val="right"/>
              <w:rPr>
                <w:rFonts w:eastAsia="Times New Roman"/>
                <w:noProof/>
                <w:szCs w:val="24"/>
              </w:rPr>
            </w:pPr>
            <w:r>
              <w:rPr>
                <w:noProof/>
              </w:rPr>
              <w:t xml:space="preserve">Процент от пакета от персонализирани услуги </w:t>
            </w:r>
          </w:p>
        </w:tc>
        <w:tc>
          <w:tcPr>
            <w:tcW w:w="3096" w:type="dxa"/>
            <w:gridSpan w:val="2"/>
            <w:vMerge w:val="restart"/>
            <w:shd w:val="clear" w:color="auto" w:fill="D9D9D9"/>
            <w:vAlign w:val="center"/>
          </w:tcPr>
          <w:p>
            <w:pPr>
              <w:spacing w:before="60" w:after="60"/>
              <w:jc w:val="center"/>
              <w:rPr>
                <w:rFonts w:eastAsia="Times New Roman"/>
                <w:noProof/>
                <w:szCs w:val="24"/>
              </w:rPr>
            </w:pPr>
            <w:r>
              <w:rPr>
                <w:noProof/>
              </w:rPr>
              <w:t>–</w:t>
            </w:r>
          </w:p>
        </w:tc>
        <w:tc>
          <w:tcPr>
            <w:tcW w:w="1548" w:type="dxa"/>
            <w:tcBorders>
              <w:bottom w:val="nil"/>
            </w:tcBorders>
            <w:shd w:val="clear" w:color="auto" w:fill="auto"/>
            <w:vAlign w:val="center"/>
          </w:tcPr>
          <w:p>
            <w:pPr>
              <w:spacing w:before="60" w:after="60"/>
              <w:jc w:val="right"/>
              <w:rPr>
                <w:rFonts w:eastAsia="Times New Roman"/>
                <w:noProof/>
                <w:szCs w:val="24"/>
              </w:rPr>
            </w:pPr>
            <w:r>
              <w:rPr>
                <w:noProof/>
              </w:rPr>
              <w:t>932 400</w:t>
            </w:r>
          </w:p>
        </w:tc>
      </w:tr>
      <w:tr>
        <w:trPr>
          <w:trHeight w:val="397"/>
        </w:trPr>
        <w:tc>
          <w:tcPr>
            <w:tcW w:w="4644" w:type="dxa"/>
            <w:vMerge/>
            <w:shd w:val="clear" w:color="auto" w:fill="auto"/>
            <w:vAlign w:val="center"/>
          </w:tcPr>
          <w:p>
            <w:pPr>
              <w:spacing w:before="60" w:after="60"/>
              <w:jc w:val="right"/>
              <w:rPr>
                <w:rFonts w:eastAsia="Times New Roman"/>
                <w:noProof/>
                <w:szCs w:val="24"/>
              </w:rPr>
            </w:pPr>
          </w:p>
        </w:tc>
        <w:tc>
          <w:tcPr>
            <w:tcW w:w="3096" w:type="dxa"/>
            <w:gridSpan w:val="2"/>
            <w:vMerge/>
            <w:shd w:val="clear" w:color="auto" w:fill="D9D9D9"/>
            <w:vAlign w:val="center"/>
          </w:tcPr>
          <w:p>
            <w:pPr>
              <w:spacing w:before="60" w:after="60"/>
              <w:jc w:val="center"/>
              <w:rPr>
                <w:rFonts w:eastAsia="Times New Roman"/>
                <w:noProof/>
                <w:szCs w:val="24"/>
              </w:rPr>
            </w:pPr>
          </w:p>
        </w:tc>
        <w:tc>
          <w:tcPr>
            <w:tcW w:w="1548" w:type="dxa"/>
            <w:tcBorders>
              <w:top w:val="nil"/>
            </w:tcBorders>
            <w:shd w:val="clear" w:color="auto" w:fill="auto"/>
            <w:vAlign w:val="center"/>
          </w:tcPr>
          <w:p>
            <w:pPr>
              <w:spacing w:before="60" w:after="60"/>
              <w:jc w:val="right"/>
              <w:rPr>
                <w:rFonts w:eastAsia="Times New Roman"/>
                <w:noProof/>
                <w:szCs w:val="24"/>
              </w:rPr>
            </w:pPr>
            <w:r>
              <w:rPr>
                <w:noProof/>
              </w:rPr>
              <w:t>(81,79 %)</w:t>
            </w:r>
          </w:p>
        </w:tc>
      </w:tr>
      <w:tr>
        <w:tc>
          <w:tcPr>
            <w:tcW w:w="9288" w:type="dxa"/>
            <w:gridSpan w:val="4"/>
            <w:shd w:val="clear" w:color="auto" w:fill="auto"/>
            <w:vAlign w:val="center"/>
          </w:tcPr>
          <w:p>
            <w:pPr>
              <w:spacing w:before="60" w:after="60"/>
              <w:jc w:val="left"/>
              <w:rPr>
                <w:noProof/>
                <w:szCs w:val="24"/>
              </w:rPr>
            </w:pPr>
            <w:r>
              <w:rPr>
                <w:noProof/>
              </w:rPr>
              <w:t>Помощи и стимули (действия по член 7, параграф 1, буква б) от Регламента за ЕФПГ)</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szCs w:val="24"/>
              </w:rPr>
            </w:pPr>
            <w:r>
              <w:rPr>
                <w:noProof/>
              </w:rPr>
              <w:t>Стимули</w:t>
            </w:r>
            <w:r>
              <w:rPr>
                <w:noProof/>
              </w:rPr>
              <w:br/>
              <w:t>(</w:t>
            </w:r>
            <w:r>
              <w:rPr>
                <w:i/>
                <w:noProof/>
              </w:rPr>
              <w:t>Programa de incentivos)</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rPr>
              <w:t>212</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rPr>
              <w:t>979</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szCs w:val="24"/>
              </w:rPr>
            </w:pPr>
            <w:r>
              <w:rPr>
                <w:noProof/>
              </w:rPr>
              <w:t>207 600</w:t>
            </w:r>
          </w:p>
        </w:tc>
      </w:tr>
      <w:tr>
        <w:trPr>
          <w:trHeight w:val="203"/>
        </w:trPr>
        <w:tc>
          <w:tcPr>
            <w:tcW w:w="4644" w:type="dxa"/>
            <w:vMerge w:val="restart"/>
            <w:shd w:val="clear" w:color="auto" w:fill="auto"/>
            <w:vAlign w:val="center"/>
          </w:tcPr>
          <w:p>
            <w:pPr>
              <w:spacing w:before="60" w:after="60"/>
              <w:jc w:val="right"/>
              <w:rPr>
                <w:rFonts w:eastAsia="Times New Roman"/>
                <w:noProof/>
                <w:szCs w:val="24"/>
              </w:rPr>
            </w:pPr>
            <w:r>
              <w:rPr>
                <w:noProof/>
              </w:rPr>
              <w:t>Междинен сбор (б):</w:t>
            </w:r>
          </w:p>
          <w:p>
            <w:pPr>
              <w:spacing w:before="60" w:after="60"/>
              <w:jc w:val="right"/>
              <w:rPr>
                <w:rFonts w:eastAsia="Times New Roman"/>
                <w:noProof/>
                <w:szCs w:val="24"/>
              </w:rPr>
            </w:pPr>
            <w:r>
              <w:rPr>
                <w:noProof/>
              </w:rPr>
              <w:t>Процент от пакета от персонализирани услуги:</w:t>
            </w:r>
          </w:p>
        </w:tc>
        <w:tc>
          <w:tcPr>
            <w:tcW w:w="3096" w:type="dxa"/>
            <w:gridSpan w:val="2"/>
            <w:vMerge w:val="restart"/>
            <w:shd w:val="clear" w:color="auto" w:fill="D9D9D9"/>
            <w:vAlign w:val="center"/>
          </w:tcPr>
          <w:p>
            <w:pPr>
              <w:spacing w:before="60" w:after="60"/>
              <w:jc w:val="center"/>
              <w:rPr>
                <w:rFonts w:eastAsia="Times New Roman"/>
                <w:noProof/>
                <w:szCs w:val="24"/>
              </w:rPr>
            </w:pPr>
            <w:r>
              <w:rPr>
                <w:noProof/>
              </w:rPr>
              <w:t>–</w:t>
            </w:r>
          </w:p>
        </w:tc>
        <w:tc>
          <w:tcPr>
            <w:tcW w:w="1548" w:type="dxa"/>
            <w:tcBorders>
              <w:bottom w:val="nil"/>
            </w:tcBorders>
            <w:shd w:val="clear" w:color="auto" w:fill="auto"/>
            <w:vAlign w:val="center"/>
          </w:tcPr>
          <w:p>
            <w:pPr>
              <w:spacing w:before="60" w:after="60"/>
              <w:jc w:val="right"/>
              <w:rPr>
                <w:rFonts w:eastAsia="Times New Roman"/>
                <w:noProof/>
                <w:szCs w:val="24"/>
              </w:rPr>
            </w:pPr>
            <w:r>
              <w:rPr>
                <w:noProof/>
              </w:rPr>
              <w:t>207 600</w:t>
            </w:r>
          </w:p>
        </w:tc>
      </w:tr>
      <w:tr>
        <w:trPr>
          <w:trHeight w:val="202"/>
        </w:trPr>
        <w:tc>
          <w:tcPr>
            <w:tcW w:w="4644" w:type="dxa"/>
            <w:vMerge/>
            <w:shd w:val="clear" w:color="auto" w:fill="auto"/>
            <w:vAlign w:val="center"/>
          </w:tcPr>
          <w:p>
            <w:pPr>
              <w:spacing w:before="60" w:after="60"/>
              <w:jc w:val="right"/>
              <w:rPr>
                <w:rFonts w:eastAsia="Times New Roman"/>
                <w:noProof/>
                <w:szCs w:val="24"/>
              </w:rPr>
            </w:pPr>
          </w:p>
        </w:tc>
        <w:tc>
          <w:tcPr>
            <w:tcW w:w="3096" w:type="dxa"/>
            <w:gridSpan w:val="2"/>
            <w:vMerge/>
            <w:shd w:val="clear" w:color="auto" w:fill="D9D9D9"/>
            <w:vAlign w:val="center"/>
          </w:tcPr>
          <w:p>
            <w:pPr>
              <w:spacing w:before="60" w:after="60"/>
              <w:jc w:val="center"/>
              <w:rPr>
                <w:rFonts w:eastAsia="Times New Roman"/>
                <w:noProof/>
                <w:szCs w:val="24"/>
              </w:rPr>
            </w:pPr>
          </w:p>
        </w:tc>
        <w:tc>
          <w:tcPr>
            <w:tcW w:w="1548" w:type="dxa"/>
            <w:tcBorders>
              <w:top w:val="nil"/>
            </w:tcBorders>
            <w:shd w:val="clear" w:color="auto" w:fill="auto"/>
            <w:vAlign w:val="center"/>
          </w:tcPr>
          <w:p>
            <w:pPr>
              <w:spacing w:before="60" w:after="60"/>
              <w:jc w:val="right"/>
              <w:rPr>
                <w:rFonts w:eastAsia="Times New Roman"/>
                <w:noProof/>
                <w:szCs w:val="24"/>
              </w:rPr>
            </w:pPr>
            <w:r>
              <w:rPr>
                <w:noProof/>
              </w:rPr>
              <w:t>(18,21 %)</w:t>
            </w:r>
          </w:p>
        </w:tc>
      </w:tr>
      <w:tr>
        <w:tc>
          <w:tcPr>
            <w:tcW w:w="9288" w:type="dxa"/>
            <w:gridSpan w:val="4"/>
            <w:shd w:val="clear" w:color="auto" w:fill="auto"/>
            <w:vAlign w:val="center"/>
          </w:tcPr>
          <w:p>
            <w:pPr>
              <w:spacing w:before="60" w:after="60"/>
              <w:jc w:val="left"/>
              <w:rPr>
                <w:rFonts w:eastAsia="Times New Roman"/>
                <w:noProof/>
                <w:szCs w:val="24"/>
              </w:rPr>
            </w:pPr>
            <w:r>
              <w:rPr>
                <w:noProof/>
              </w:rPr>
              <w:t xml:space="preserve"> Действия по член 7, параграф 4 от Регламента за ЕФПГ</w:t>
            </w:r>
          </w:p>
        </w:tc>
      </w:tr>
      <w:tr>
        <w:tc>
          <w:tcPr>
            <w:tcW w:w="4644" w:type="dxa"/>
            <w:shd w:val="clear" w:color="auto" w:fill="auto"/>
          </w:tcPr>
          <w:p>
            <w:pPr>
              <w:spacing w:before="60" w:after="60"/>
              <w:ind w:left="284"/>
              <w:jc w:val="left"/>
              <w:rPr>
                <w:rFonts w:eastAsia="Times New Roman"/>
                <w:noProof/>
                <w:szCs w:val="24"/>
              </w:rPr>
            </w:pPr>
            <w:r>
              <w:rPr>
                <w:noProof/>
              </w:rPr>
              <w:t>1. Подготвителни дейности</w:t>
            </w:r>
          </w:p>
        </w:tc>
        <w:tc>
          <w:tcPr>
            <w:tcW w:w="3096" w:type="dxa"/>
            <w:gridSpan w:val="2"/>
            <w:shd w:val="clear" w:color="auto" w:fill="D9D9D9"/>
            <w:vAlign w:val="center"/>
          </w:tcPr>
          <w:p>
            <w:pPr>
              <w:spacing w:before="60" w:after="60"/>
              <w:jc w:val="center"/>
              <w:rPr>
                <w:rFonts w:eastAsia="Times New Roman"/>
                <w:noProof/>
                <w:szCs w:val="24"/>
              </w:rPr>
            </w:pPr>
            <w:r>
              <w:rPr>
                <w:noProof/>
              </w:rPr>
              <w:t>–</w:t>
            </w:r>
          </w:p>
        </w:tc>
        <w:tc>
          <w:tcPr>
            <w:tcW w:w="1548" w:type="dxa"/>
            <w:shd w:val="clear" w:color="auto" w:fill="auto"/>
          </w:tcPr>
          <w:p>
            <w:pPr>
              <w:spacing w:before="60" w:after="60"/>
              <w:jc w:val="right"/>
              <w:rPr>
                <w:rFonts w:eastAsia="Times New Roman"/>
                <w:noProof/>
                <w:szCs w:val="24"/>
              </w:rPr>
            </w:pPr>
            <w:r>
              <w:rPr>
                <w:noProof/>
              </w:rPr>
              <w:t>0</w:t>
            </w:r>
          </w:p>
        </w:tc>
      </w:tr>
      <w:tr>
        <w:tc>
          <w:tcPr>
            <w:tcW w:w="4644" w:type="dxa"/>
            <w:shd w:val="clear" w:color="auto" w:fill="auto"/>
          </w:tcPr>
          <w:p>
            <w:pPr>
              <w:spacing w:before="60" w:after="60"/>
              <w:ind w:left="284"/>
              <w:jc w:val="left"/>
              <w:rPr>
                <w:rFonts w:eastAsia="Times New Roman"/>
                <w:noProof/>
                <w:szCs w:val="24"/>
              </w:rPr>
            </w:pPr>
            <w:r>
              <w:rPr>
                <w:noProof/>
              </w:rPr>
              <w:t>2. Управление</w:t>
            </w:r>
          </w:p>
        </w:tc>
        <w:tc>
          <w:tcPr>
            <w:tcW w:w="3096" w:type="dxa"/>
            <w:gridSpan w:val="2"/>
            <w:shd w:val="clear" w:color="auto" w:fill="D9D9D9"/>
            <w:vAlign w:val="center"/>
          </w:tcPr>
          <w:p>
            <w:pPr>
              <w:spacing w:before="60" w:after="60"/>
              <w:jc w:val="center"/>
              <w:rPr>
                <w:rFonts w:eastAsia="Times New Roman"/>
                <w:noProof/>
                <w:szCs w:val="24"/>
              </w:rPr>
            </w:pPr>
            <w:r>
              <w:rPr>
                <w:noProof/>
              </w:rPr>
              <w:t>–</w:t>
            </w:r>
          </w:p>
        </w:tc>
        <w:tc>
          <w:tcPr>
            <w:tcW w:w="1548" w:type="dxa"/>
            <w:shd w:val="clear" w:color="auto" w:fill="auto"/>
          </w:tcPr>
          <w:p>
            <w:pPr>
              <w:spacing w:before="60" w:after="60"/>
              <w:jc w:val="right"/>
              <w:rPr>
                <w:rFonts w:eastAsia="Times New Roman"/>
                <w:noProof/>
                <w:szCs w:val="24"/>
              </w:rPr>
            </w:pPr>
            <w:r>
              <w:rPr>
                <w:noProof/>
              </w:rPr>
              <w:t>48 000</w:t>
            </w:r>
          </w:p>
        </w:tc>
      </w:tr>
      <w:tr>
        <w:tc>
          <w:tcPr>
            <w:tcW w:w="4644" w:type="dxa"/>
            <w:shd w:val="clear" w:color="auto" w:fill="auto"/>
          </w:tcPr>
          <w:p>
            <w:pPr>
              <w:spacing w:before="60" w:after="60"/>
              <w:ind w:left="284"/>
              <w:jc w:val="left"/>
              <w:rPr>
                <w:rFonts w:eastAsia="Times New Roman"/>
                <w:noProof/>
                <w:szCs w:val="24"/>
              </w:rPr>
            </w:pPr>
            <w:r>
              <w:rPr>
                <w:noProof/>
              </w:rPr>
              <w:t>3. Информиране и публичност</w:t>
            </w:r>
          </w:p>
        </w:tc>
        <w:tc>
          <w:tcPr>
            <w:tcW w:w="3096" w:type="dxa"/>
            <w:gridSpan w:val="2"/>
            <w:shd w:val="clear" w:color="auto" w:fill="D9D9D9"/>
            <w:vAlign w:val="center"/>
          </w:tcPr>
          <w:p>
            <w:pPr>
              <w:spacing w:before="60" w:after="60"/>
              <w:jc w:val="center"/>
              <w:rPr>
                <w:rFonts w:eastAsia="Times New Roman"/>
                <w:noProof/>
                <w:szCs w:val="24"/>
              </w:rPr>
            </w:pPr>
            <w:r>
              <w:rPr>
                <w:noProof/>
              </w:rPr>
              <w:t>–</w:t>
            </w:r>
          </w:p>
        </w:tc>
        <w:tc>
          <w:tcPr>
            <w:tcW w:w="1548" w:type="dxa"/>
            <w:shd w:val="clear" w:color="auto" w:fill="auto"/>
          </w:tcPr>
          <w:p>
            <w:pPr>
              <w:spacing w:before="60" w:after="60"/>
              <w:jc w:val="right"/>
              <w:rPr>
                <w:rFonts w:eastAsia="Times New Roman"/>
                <w:noProof/>
                <w:szCs w:val="24"/>
              </w:rPr>
            </w:pPr>
            <w:r>
              <w:rPr>
                <w:noProof/>
              </w:rPr>
              <w:t>3 000</w:t>
            </w:r>
          </w:p>
        </w:tc>
      </w:tr>
      <w:tr>
        <w:tc>
          <w:tcPr>
            <w:tcW w:w="4644" w:type="dxa"/>
            <w:shd w:val="clear" w:color="auto" w:fill="auto"/>
          </w:tcPr>
          <w:p>
            <w:pPr>
              <w:spacing w:before="60" w:after="60"/>
              <w:ind w:left="284"/>
              <w:jc w:val="left"/>
              <w:rPr>
                <w:rFonts w:eastAsia="Times New Roman"/>
                <w:noProof/>
                <w:szCs w:val="24"/>
              </w:rPr>
            </w:pPr>
            <w:r>
              <w:rPr>
                <w:noProof/>
              </w:rPr>
              <w:t>4. Контрол и докладване</w:t>
            </w:r>
          </w:p>
        </w:tc>
        <w:tc>
          <w:tcPr>
            <w:tcW w:w="3096" w:type="dxa"/>
            <w:gridSpan w:val="2"/>
            <w:shd w:val="clear" w:color="auto" w:fill="D9D9D9"/>
            <w:vAlign w:val="center"/>
          </w:tcPr>
          <w:p>
            <w:pPr>
              <w:spacing w:before="60" w:after="60"/>
              <w:jc w:val="center"/>
              <w:rPr>
                <w:rFonts w:eastAsia="Times New Roman"/>
                <w:noProof/>
                <w:szCs w:val="24"/>
              </w:rPr>
            </w:pPr>
            <w:r>
              <w:rPr>
                <w:noProof/>
              </w:rPr>
              <w:t>–</w:t>
            </w:r>
          </w:p>
        </w:tc>
        <w:tc>
          <w:tcPr>
            <w:tcW w:w="1548" w:type="dxa"/>
            <w:tcBorders>
              <w:bottom w:val="single" w:sz="4" w:space="0" w:color="auto"/>
            </w:tcBorders>
            <w:shd w:val="clear" w:color="auto" w:fill="auto"/>
          </w:tcPr>
          <w:p>
            <w:pPr>
              <w:spacing w:before="60" w:after="60"/>
              <w:jc w:val="right"/>
              <w:rPr>
                <w:rFonts w:eastAsia="Times New Roman"/>
                <w:noProof/>
                <w:szCs w:val="24"/>
              </w:rPr>
            </w:pPr>
            <w:r>
              <w:rPr>
                <w:noProof/>
              </w:rPr>
              <w:t>9 000</w:t>
            </w:r>
          </w:p>
        </w:tc>
      </w:tr>
      <w:tr>
        <w:trPr>
          <w:trHeight w:val="203"/>
        </w:trPr>
        <w:tc>
          <w:tcPr>
            <w:tcW w:w="4644" w:type="dxa"/>
            <w:vMerge w:val="restart"/>
            <w:shd w:val="clear" w:color="auto" w:fill="auto"/>
            <w:vAlign w:val="center"/>
          </w:tcPr>
          <w:p>
            <w:pPr>
              <w:spacing w:before="60" w:after="60"/>
              <w:jc w:val="right"/>
              <w:rPr>
                <w:rFonts w:eastAsia="Times New Roman"/>
                <w:noProof/>
                <w:szCs w:val="24"/>
              </w:rPr>
            </w:pPr>
            <w:r>
              <w:rPr>
                <w:noProof/>
              </w:rPr>
              <w:t>Междинен сбор (в):</w:t>
            </w:r>
          </w:p>
          <w:p>
            <w:pPr>
              <w:spacing w:before="60" w:after="60"/>
              <w:jc w:val="right"/>
              <w:rPr>
                <w:rFonts w:eastAsia="Times New Roman"/>
                <w:noProof/>
                <w:szCs w:val="24"/>
              </w:rPr>
            </w:pPr>
            <w:r>
              <w:rPr>
                <w:noProof/>
              </w:rPr>
              <w:t>Процент от общите разходи:</w:t>
            </w:r>
          </w:p>
        </w:tc>
        <w:tc>
          <w:tcPr>
            <w:tcW w:w="3096" w:type="dxa"/>
            <w:gridSpan w:val="2"/>
            <w:vMerge w:val="restart"/>
            <w:shd w:val="clear" w:color="auto" w:fill="D9D9D9"/>
            <w:vAlign w:val="center"/>
          </w:tcPr>
          <w:p>
            <w:pPr>
              <w:spacing w:before="0" w:after="0"/>
              <w:jc w:val="center"/>
              <w:rPr>
                <w:rFonts w:eastAsia="Times New Roman"/>
                <w:noProof/>
                <w:szCs w:val="24"/>
              </w:rPr>
            </w:pPr>
            <w:r>
              <w:rPr>
                <w:noProof/>
              </w:rPr>
              <w:t>–</w:t>
            </w:r>
          </w:p>
        </w:tc>
        <w:tc>
          <w:tcPr>
            <w:tcW w:w="1548" w:type="dxa"/>
            <w:tcBorders>
              <w:bottom w:val="nil"/>
            </w:tcBorders>
            <w:shd w:val="clear" w:color="auto" w:fill="auto"/>
            <w:vAlign w:val="center"/>
          </w:tcPr>
          <w:p>
            <w:pPr>
              <w:spacing w:before="60" w:after="60"/>
              <w:jc w:val="right"/>
              <w:rPr>
                <w:rFonts w:eastAsia="Times New Roman"/>
                <w:noProof/>
                <w:szCs w:val="24"/>
              </w:rPr>
            </w:pPr>
            <w:r>
              <w:rPr>
                <w:noProof/>
              </w:rPr>
              <w:t>60 000</w:t>
            </w:r>
          </w:p>
        </w:tc>
      </w:tr>
      <w:tr>
        <w:trPr>
          <w:trHeight w:val="202"/>
        </w:trPr>
        <w:tc>
          <w:tcPr>
            <w:tcW w:w="4644" w:type="dxa"/>
            <w:vMerge/>
            <w:shd w:val="clear" w:color="auto" w:fill="auto"/>
          </w:tcPr>
          <w:p>
            <w:pPr>
              <w:spacing w:before="0" w:after="0"/>
              <w:jc w:val="right"/>
              <w:rPr>
                <w:rFonts w:eastAsia="Times New Roman"/>
                <w:noProof/>
                <w:szCs w:val="24"/>
              </w:rPr>
            </w:pPr>
          </w:p>
        </w:tc>
        <w:tc>
          <w:tcPr>
            <w:tcW w:w="3096" w:type="dxa"/>
            <w:gridSpan w:val="2"/>
            <w:vMerge/>
            <w:shd w:val="clear" w:color="auto" w:fill="D9D9D9"/>
            <w:vAlign w:val="center"/>
          </w:tcPr>
          <w:p>
            <w:pPr>
              <w:spacing w:before="0" w:after="0"/>
              <w:jc w:val="center"/>
              <w:rPr>
                <w:rFonts w:eastAsia="Times New Roman"/>
                <w:noProof/>
                <w:szCs w:val="24"/>
              </w:rPr>
            </w:pPr>
          </w:p>
        </w:tc>
        <w:tc>
          <w:tcPr>
            <w:tcW w:w="1548" w:type="dxa"/>
            <w:tcBorders>
              <w:top w:val="nil"/>
            </w:tcBorders>
            <w:shd w:val="clear" w:color="auto" w:fill="auto"/>
            <w:vAlign w:val="center"/>
          </w:tcPr>
          <w:p>
            <w:pPr>
              <w:spacing w:before="60" w:after="60"/>
              <w:jc w:val="right"/>
              <w:rPr>
                <w:rFonts w:eastAsia="Times New Roman"/>
                <w:noProof/>
                <w:szCs w:val="24"/>
              </w:rPr>
            </w:pPr>
            <w:r>
              <w:rPr>
                <w:noProof/>
              </w:rPr>
              <w:t>(5,00 %)</w:t>
            </w:r>
          </w:p>
        </w:tc>
      </w:tr>
      <w:tr>
        <w:tc>
          <w:tcPr>
            <w:tcW w:w="4644" w:type="dxa"/>
            <w:shd w:val="clear" w:color="auto" w:fill="auto"/>
          </w:tcPr>
          <w:p>
            <w:pPr>
              <w:spacing w:before="60" w:after="60"/>
              <w:jc w:val="left"/>
              <w:rPr>
                <w:rFonts w:eastAsia="Times New Roman"/>
                <w:noProof/>
                <w:szCs w:val="24"/>
              </w:rPr>
            </w:pPr>
            <w:r>
              <w:rPr>
                <w:noProof/>
              </w:rPr>
              <w:t>Общо разходи (а + б + в):</w:t>
            </w:r>
          </w:p>
        </w:tc>
        <w:tc>
          <w:tcPr>
            <w:tcW w:w="3096" w:type="dxa"/>
            <w:gridSpan w:val="2"/>
            <w:shd w:val="clear" w:color="auto" w:fill="D9D9D9"/>
            <w:vAlign w:val="center"/>
          </w:tcPr>
          <w:p>
            <w:pPr>
              <w:spacing w:before="60" w:after="60"/>
              <w:jc w:val="center"/>
              <w:rPr>
                <w:rFonts w:eastAsia="Times New Roman"/>
                <w:noProof/>
                <w:szCs w:val="24"/>
              </w:rPr>
            </w:pPr>
            <w:r>
              <w:rPr>
                <w:noProof/>
              </w:rPr>
              <w:t>–</w:t>
            </w:r>
          </w:p>
        </w:tc>
        <w:tc>
          <w:tcPr>
            <w:tcW w:w="1548" w:type="dxa"/>
            <w:shd w:val="clear" w:color="auto" w:fill="auto"/>
          </w:tcPr>
          <w:p>
            <w:pPr>
              <w:spacing w:before="60" w:after="60"/>
              <w:jc w:val="right"/>
              <w:rPr>
                <w:noProof/>
                <w:szCs w:val="24"/>
              </w:rPr>
            </w:pPr>
            <w:r>
              <w:rPr>
                <w:noProof/>
              </w:rPr>
              <w:t>1 200 000</w:t>
            </w:r>
          </w:p>
        </w:tc>
      </w:tr>
      <w:tr>
        <w:tc>
          <w:tcPr>
            <w:tcW w:w="4644" w:type="dxa"/>
            <w:shd w:val="clear" w:color="auto" w:fill="auto"/>
          </w:tcPr>
          <w:p>
            <w:pPr>
              <w:spacing w:before="60" w:after="60"/>
              <w:jc w:val="left"/>
              <w:rPr>
                <w:rFonts w:eastAsia="Times New Roman"/>
                <w:noProof/>
                <w:szCs w:val="24"/>
              </w:rPr>
            </w:pPr>
            <w:r>
              <w:rPr>
                <w:noProof/>
              </w:rPr>
              <w:t>Финансово участие от ЕФПГ (60 % от общия размер на разходите)</w:t>
            </w:r>
          </w:p>
        </w:tc>
        <w:tc>
          <w:tcPr>
            <w:tcW w:w="3096" w:type="dxa"/>
            <w:gridSpan w:val="2"/>
            <w:shd w:val="clear" w:color="auto" w:fill="D9D9D9"/>
            <w:vAlign w:val="center"/>
          </w:tcPr>
          <w:p>
            <w:pPr>
              <w:spacing w:before="60" w:after="60"/>
              <w:jc w:val="center"/>
              <w:rPr>
                <w:rFonts w:eastAsia="Times New Roman"/>
                <w:noProof/>
                <w:szCs w:val="24"/>
              </w:rPr>
            </w:pPr>
            <w:r>
              <w:rPr>
                <w:noProof/>
              </w:rPr>
              <w:t>–</w:t>
            </w:r>
          </w:p>
        </w:tc>
        <w:tc>
          <w:tcPr>
            <w:tcW w:w="1548" w:type="dxa"/>
            <w:shd w:val="clear" w:color="auto" w:fill="auto"/>
          </w:tcPr>
          <w:p>
            <w:pPr>
              <w:spacing w:before="60" w:after="60"/>
              <w:jc w:val="right"/>
              <w:rPr>
                <w:rFonts w:eastAsia="Times New Roman"/>
                <w:noProof/>
                <w:szCs w:val="24"/>
              </w:rPr>
            </w:pPr>
            <w:r>
              <w:rPr>
                <w:noProof/>
              </w:rPr>
              <w:t>720 000</w:t>
            </w:r>
          </w:p>
        </w:tc>
      </w:tr>
    </w:tbl>
    <w:p>
      <w:pPr>
        <w:pStyle w:val="ManualNumPar1"/>
        <w:rPr>
          <w:noProof/>
          <w:szCs w:val="20"/>
        </w:rPr>
      </w:pPr>
      <w:r>
        <w:t>26.</w:t>
      </w:r>
      <w:r>
        <w:tab/>
      </w:r>
      <w:r>
        <w:rPr>
          <w:noProof/>
        </w:rPr>
        <w:t>Разходите за дейностите, определени в горната таблица като дейности по член 7, параграф 1, буква б) от Регламента за ЕФПГ, не надвишават 35 % от общия размер на разходите за съгласувания пакет от персонализирани услуги. Испания потвърди, че тези действия са обвързани с условието за активно участие на бенефициерите от целевата група в дейности по търсене на работа или обучение.</w:t>
      </w:r>
    </w:p>
    <w:p>
      <w:pPr>
        <w:pStyle w:val="ManualHeading3"/>
        <w:rPr>
          <w:noProof/>
        </w:rPr>
      </w:pPr>
      <w:r>
        <w:rPr>
          <w:noProof/>
        </w:rPr>
        <w:t>Период на допустимост на разходите</w:t>
      </w:r>
    </w:p>
    <w:p>
      <w:pPr>
        <w:pStyle w:val="ManualNumPar1"/>
        <w:rPr>
          <w:noProof/>
        </w:rPr>
      </w:pPr>
      <w:r>
        <w:t>27.</w:t>
      </w:r>
      <w:r>
        <w:tab/>
      </w:r>
      <w:r>
        <w:rPr>
          <w:noProof/>
        </w:rPr>
        <w:t>Испания е започнала да предоставя персонализираните услуги на бенефициерите от целевата група на 04 септември 2017 г. По тази причина разходите за действията са допустими за предоставяне на финансово участие от ЕФПГ в периода от 4 септември 2017 г. до 4 септември 2019 г.</w:t>
      </w:r>
    </w:p>
    <w:p>
      <w:pPr>
        <w:pStyle w:val="ManualNumPar1"/>
        <w:rPr>
          <w:noProof/>
        </w:rPr>
      </w:pPr>
      <w:r>
        <w:t>28.</w:t>
      </w:r>
      <w:r>
        <w:tab/>
      </w:r>
      <w:r>
        <w:rPr>
          <w:noProof/>
        </w:rPr>
        <w:t xml:space="preserve">Испания е започнала да извършва административни разходи по прилагането на ЕФПГ на 21 август 2017 г. По тази причина разходите за дейности по подготовка, управление, информация, публичност, контрол и докладване ще бъдат допустими за финансово участие от ЕФПГ в периода от 21 август 2017 г. до 4 март 2020 г. </w:t>
      </w:r>
    </w:p>
    <w:p>
      <w:pPr>
        <w:pStyle w:val="ManualHeading3"/>
        <w:rPr>
          <w:noProof/>
        </w:rPr>
      </w:pPr>
      <w:r>
        <w:rPr>
          <w:noProof/>
        </w:rPr>
        <w:lastRenderedPageBreak/>
        <w:t>Допълване с действия, финансирани с национални средства или със средства от Съюза</w:t>
      </w:r>
    </w:p>
    <w:p>
      <w:pPr>
        <w:pStyle w:val="ManualNumPar1"/>
        <w:rPr>
          <w:noProof/>
        </w:rPr>
      </w:pPr>
      <w:r>
        <w:t>29.</w:t>
      </w:r>
      <w:r>
        <w:tab/>
      </w:r>
      <w:r>
        <w:rPr>
          <w:noProof/>
        </w:rPr>
        <w:t>Средствата за национално предварително финансиране или съфинансиране се отпускат от автономния регион Галисия.</w:t>
      </w:r>
    </w:p>
    <w:p>
      <w:pPr>
        <w:pStyle w:val="ManualNumPar1"/>
        <w:rPr>
          <w:noProof/>
        </w:rPr>
      </w:pPr>
      <w:r>
        <w:t>30.</w:t>
      </w:r>
      <w:r>
        <w:tab/>
      </w:r>
      <w:r>
        <w:rPr>
          <w:noProof/>
        </w:rPr>
        <w:t>Испания потвърди, че описаните по-горе мерки, за които се предоставя финансово участие от ЕФПГ, няма да получат финансова подкрепа от други финансови инструменти на Съюза.</w:t>
      </w:r>
    </w:p>
    <w:p>
      <w:pPr>
        <w:pStyle w:val="ManualHeading3"/>
        <w:tabs>
          <w:tab w:val="clear" w:pos="850"/>
          <w:tab w:val="left" w:pos="0"/>
        </w:tabs>
        <w:ind w:left="0" w:firstLine="0"/>
        <w:rPr>
          <w:noProof/>
          <w:u w:val="single"/>
        </w:rPr>
      </w:pPr>
      <w:r>
        <w:rPr>
          <w:noProof/>
        </w:rPr>
        <w:t>Процедури за провеждане на консултации с избраните бенефициери, с техни представители или със социалните партньори, както и със съответните органи на местно и регионално равнище</w:t>
      </w:r>
    </w:p>
    <w:p>
      <w:pPr>
        <w:pStyle w:val="ManualNumPar1"/>
        <w:rPr>
          <w:noProof/>
        </w:rPr>
      </w:pPr>
      <w:r>
        <w:t>31.</w:t>
      </w:r>
      <w:r>
        <w:tab/>
      </w:r>
      <w:r>
        <w:rPr>
          <w:noProof/>
        </w:rPr>
        <w:t xml:space="preserve">Испания посочи, че координираният пакет от персонализирани услуги е бил изготвен в консултация със социалните партньори. На първата среща, проведена на 28 септември 2017 г., те бяха информирани относно подаденото заявление за съфинансиране по линия на ЕФПГ в подкрепа на съкратените работници в сектора на облеклата в Галисия. По този повод те бяха приканени също така да участват в кръгли маси, в рамките на които бяха обсъдени мерките, които ще бъдат предоставени. Кръглите маси се проведоха на различни дати в Ордес. Тъй като социалните партньори участваха активно в предишни подобни случаи, внесени от органите на Галиция, като изпълнителни органи, те познават добре добавената стойност на съфинансираните по линия на ЕФПГ мерки и са ангажирани със случая. </w:t>
      </w:r>
    </w:p>
    <w:p>
      <w:pPr>
        <w:pStyle w:val="ManualHeading2"/>
        <w:rPr>
          <w:noProof/>
        </w:rPr>
      </w:pPr>
      <w:r>
        <w:rPr>
          <w:noProof/>
        </w:rPr>
        <w:t>Системи за управление и контрол</w:t>
      </w:r>
    </w:p>
    <w:p>
      <w:pPr>
        <w:pStyle w:val="ManualNumPar1"/>
        <w:rPr>
          <w:noProof/>
        </w:rPr>
      </w:pPr>
      <w:r>
        <w:t>32.</w:t>
      </w:r>
      <w:r>
        <w:tab/>
      </w:r>
      <w:r>
        <w:rPr>
          <w:noProof/>
        </w:rPr>
        <w:t>В заявлението е описана системата за управление и контрол, в която са определени отговорностите на съответните органи. Испания уведоми Комисията, че финансовото участие ще бъде управлявано и контролирано от същите органи, които управляват и контролират ЕСФ. Xunta de Galicia ще бъде междинното звено на управляващия орган</w:t>
      </w:r>
      <w:r>
        <w:rPr>
          <w:rStyle w:val="FootnoteReference"/>
          <w:noProof/>
        </w:rPr>
        <w:footnoteReference w:id="12"/>
      </w:r>
      <w:r>
        <w:rPr>
          <w:noProof/>
        </w:rPr>
        <w:t>.</w:t>
      </w:r>
    </w:p>
    <w:p>
      <w:pPr>
        <w:pStyle w:val="ManualHeading2"/>
        <w:rPr>
          <w:noProof/>
        </w:rPr>
      </w:pPr>
      <w:r>
        <w:rPr>
          <w:noProof/>
        </w:rPr>
        <w:t>Ангажименти, поети от засегнатата държава членка</w:t>
      </w:r>
    </w:p>
    <w:p>
      <w:pPr>
        <w:pStyle w:val="ManualNumPar1"/>
        <w:rPr>
          <w:noProof/>
        </w:rPr>
      </w:pPr>
      <w:r>
        <w:t>33.</w:t>
      </w:r>
      <w:r>
        <w:tab/>
      </w:r>
      <w:r>
        <w:rPr>
          <w:noProof/>
        </w:rPr>
        <w:t xml:space="preserve">Испания е предоставила всички необходими гаранции за това, че: </w:t>
      </w:r>
    </w:p>
    <w:p>
      <w:pPr>
        <w:pStyle w:val="Tiret1"/>
        <w:numPr>
          <w:ilvl w:val="0"/>
          <w:numId w:val="12"/>
        </w:numPr>
        <w:rPr>
          <w:noProof/>
        </w:rPr>
      </w:pPr>
      <w:r>
        <w:rPr>
          <w:noProof/>
        </w:rPr>
        <w:t>при достъпа до предложените действия и тяхното изпълнение ще се спазват принципите на равнопоставеност и недискриминация;</w:t>
      </w:r>
    </w:p>
    <w:p>
      <w:pPr>
        <w:pStyle w:val="Tiret1"/>
        <w:numPr>
          <w:ilvl w:val="0"/>
          <w:numId w:val="12"/>
        </w:numPr>
        <w:rPr>
          <w:noProof/>
        </w:rPr>
      </w:pPr>
      <w:r>
        <w:rPr>
          <w:noProof/>
        </w:rPr>
        <w:t>са спазени изискванията, определени в националното законодателство и в законодателството на ЕС относно колективните съкращения;</w:t>
      </w:r>
    </w:p>
    <w:p>
      <w:pPr>
        <w:pStyle w:val="Tiret1"/>
        <w:numPr>
          <w:ilvl w:val="0"/>
          <w:numId w:val="12"/>
        </w:numPr>
        <w:rPr>
          <w:noProof/>
        </w:rPr>
      </w:pPr>
      <w:r>
        <w:rPr>
          <w:noProof/>
        </w:rPr>
        <w:t>когато дружеството, извършило съкращенията, е продължило дейността си след освобождаването на работниците, то е спазило своите правни задължения във връзка със съкращенията и е предприело съответните действия във връзка с работниците си;</w:t>
      </w:r>
    </w:p>
    <w:p>
      <w:pPr>
        <w:pStyle w:val="Tiret1"/>
        <w:numPr>
          <w:ilvl w:val="0"/>
          <w:numId w:val="12"/>
        </w:numPr>
        <w:rPr>
          <w:noProof/>
        </w:rPr>
      </w:pPr>
      <w:r>
        <w:rPr>
          <w:noProof/>
        </w:rPr>
        <w:t>за предложените действия няма да бъде получена финансова помощ от други фондове или финансови инструменти на Съюза и няма да бъде допуснато дублиране на финансирането;</w:t>
      </w:r>
    </w:p>
    <w:p>
      <w:pPr>
        <w:pStyle w:val="Tiret1"/>
        <w:numPr>
          <w:ilvl w:val="0"/>
          <w:numId w:val="12"/>
        </w:numPr>
        <w:rPr>
          <w:noProof/>
        </w:rPr>
      </w:pPr>
      <w:r>
        <w:rPr>
          <w:noProof/>
        </w:rPr>
        <w:t>предложените действия ще допълват действия, финансирани от структурните фондове;</w:t>
      </w:r>
    </w:p>
    <w:p>
      <w:pPr>
        <w:pStyle w:val="Tiret1"/>
        <w:numPr>
          <w:ilvl w:val="0"/>
          <w:numId w:val="12"/>
        </w:numPr>
        <w:rPr>
          <w:noProof/>
        </w:rPr>
      </w:pPr>
      <w:r>
        <w:rPr>
          <w:noProof/>
        </w:rPr>
        <w:lastRenderedPageBreak/>
        <w:t>финансовото участие от ЕФПГ ще бъде съобразено с процедурните и материалноправните разпоредби на Съюза относно държавните помощи.</w:t>
      </w:r>
    </w:p>
    <w:p>
      <w:pPr>
        <w:pStyle w:val="ManualHeading1"/>
        <w:rPr>
          <w:noProof/>
        </w:rPr>
      </w:pPr>
      <w:r>
        <w:rPr>
          <w:noProof/>
        </w:rPr>
        <w:t>ОТРАЖЕНИЕ ВЪРХУ БЮДЖЕТА</w:t>
      </w:r>
    </w:p>
    <w:p>
      <w:pPr>
        <w:pStyle w:val="ManualHeading2"/>
        <w:rPr>
          <w:noProof/>
        </w:rPr>
      </w:pPr>
      <w:r>
        <w:rPr>
          <w:noProof/>
        </w:rPr>
        <w:t>Бюджетно предложение</w:t>
      </w:r>
    </w:p>
    <w:p>
      <w:pPr>
        <w:pStyle w:val="ManualNumPar1"/>
        <w:rPr>
          <w:noProof/>
        </w:rPr>
      </w:pPr>
      <w:r>
        <w:t>34.</w:t>
      </w:r>
      <w:r>
        <w:tab/>
      </w:r>
      <w:r>
        <w:rPr>
          <w:noProof/>
        </w:rPr>
        <w:t>В съответствие с предвиденото в член 12 от Регламент (ЕС, Евратом) № 1311/2013 на Съвета от 2 декември 2013 г. за определяне на многогодишната финансова рамка за годините 2014—2020 ЕФПГ не може да надхвърля максимален годишен размер от 150 милиона евро (по цени от 2011 г.)</w:t>
      </w:r>
      <w:r>
        <w:rPr>
          <w:rStyle w:val="FootnoteReference"/>
          <w:noProof/>
        </w:rPr>
        <w:footnoteReference w:id="13"/>
      </w:r>
      <w:r>
        <w:rPr>
          <w:noProof/>
        </w:rPr>
        <w:t>.</w:t>
      </w:r>
    </w:p>
    <w:p>
      <w:pPr>
        <w:pStyle w:val="ManualNumPar1"/>
        <w:rPr>
          <w:rFonts w:eastAsia="Calibri"/>
          <w:noProof/>
        </w:rPr>
      </w:pPr>
      <w:r>
        <w:t>35.</w:t>
      </w:r>
      <w:r>
        <w:tab/>
      </w:r>
      <w:r>
        <w:rPr>
          <w:noProof/>
        </w:rPr>
        <w:t>След като проучи заявлението с оглед на условията, определени в член 13, параграф 1 от Регламента за ЕФПГ, и като отчете броя на бенефициерите от целевата група, предложените действия и прогнозните разходи, Комисията предлага да бъдат мобилизирани средства от ЕФПГ в размер на 720 000 EUR, което представлява 60 % от общите разходи за предложените действия, за предоставяне на финансово участие по заявлението.</w:t>
      </w:r>
    </w:p>
    <w:p>
      <w:pPr>
        <w:pStyle w:val="ManualNumPar1"/>
        <w:rPr>
          <w:rFonts w:eastAsia="Times New Roman"/>
          <w:noProof/>
        </w:rPr>
      </w:pPr>
      <w:r>
        <w:t>36.</w:t>
      </w:r>
      <w:r>
        <w:tab/>
      </w:r>
      <w:r>
        <w:rPr>
          <w:noProof/>
        </w:rPr>
        <w:t>Предложеното решение за мобилизиране на средства от ЕФПГ ще бъде взето съвместно от Европейския парламент и Съвета в съответствие с предвиденото в точка 13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14"/>
      </w:r>
      <w:r>
        <w:rPr>
          <w:noProof/>
        </w:rPr>
        <w:t>.</w:t>
      </w:r>
    </w:p>
    <w:p>
      <w:pPr>
        <w:pStyle w:val="ManualHeading2"/>
        <w:rPr>
          <w:noProof/>
        </w:rPr>
      </w:pPr>
      <w:r>
        <w:rPr>
          <w:noProof/>
        </w:rPr>
        <w:t>Свързани актове</w:t>
      </w:r>
    </w:p>
    <w:p>
      <w:pPr>
        <w:pStyle w:val="ManualNumPar1"/>
        <w:rPr>
          <w:noProof/>
        </w:rPr>
      </w:pPr>
      <w:r>
        <w:t>37.</w:t>
      </w:r>
      <w:r>
        <w:tab/>
      </w:r>
      <w:r>
        <w:rPr>
          <w:noProof/>
        </w:rPr>
        <w:t>Едновременно с представянето на настоящото предложение за решение за мобилизиране на средства от ЕФПГ Комисията ще представи на Европейския парламент и на Съвета предложение за прехвърляне към съответния бюджетен ред на сумата от 720 000 EUR.</w:t>
      </w:r>
    </w:p>
    <w:p>
      <w:pPr>
        <w:pStyle w:val="ManualNumPar1"/>
        <w:rPr>
          <w:noProof/>
        </w:rPr>
      </w:pPr>
      <w:r>
        <w:t>38.</w:t>
      </w:r>
      <w:r>
        <w:tab/>
      </w:r>
      <w:r>
        <w:rPr>
          <w:noProof/>
        </w:rPr>
        <w:t>Едновременно с приемането на настоящото предложение за решение за мобилизиране на средства от ЕФПГ Комисията ще приеме решение за предоставяне на финансово участие посредством акт за изпълнение, който ще влезе в сила на датата, на която Европейският парламент и Съветът приемат предложеното решение за мобилизиране на средства от ЕФПГ.</w:t>
      </w:r>
    </w:p>
    <w:p>
      <w:pPr>
        <w:rPr>
          <w:noProof/>
        </w:rPr>
        <w:sectPr>
          <w:footerReference w:type="default" r:id="rId19"/>
          <w:footerReference w:type="first" r:id="rId20"/>
          <w:pgSz w:w="11907" w:h="16839"/>
          <w:pgMar w:top="1134" w:right="1417" w:bottom="1080" w:left="1417" w:header="709" w:footer="709" w:gutter="0"/>
          <w:pgNumType w:start="1"/>
          <w:cols w:space="708"/>
          <w:docGrid w:linePitch="360"/>
        </w:sectPr>
      </w:pPr>
    </w:p>
    <w:p>
      <w:pPr>
        <w:pStyle w:val="Statut"/>
        <w:rPr>
          <w:noProof/>
        </w:rPr>
      </w:pPr>
      <w:r>
        <w:rPr>
          <w:noProof/>
        </w:rPr>
        <w:lastRenderedPageBreak/>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мобилизиране на средства от Европейския фонд за приспособяване към глобализацията във връзка със</w:t>
      </w:r>
      <w:r>
        <w:rPr>
          <w:noProof/>
        </w:rPr>
        <w:br/>
        <w:t>заявление от Испания — EGF/2017/006 ES/Galicia apparel</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Регламент (EС)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15"/>
      </w:r>
      <w:r>
        <w:rPr>
          <w:noProof/>
        </w:rPr>
        <w:t>, и по-специално член 15, параграф 4 от него,</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16"/>
      </w:r>
      <w:r>
        <w:rPr>
          <w:noProof/>
        </w:rPr>
        <w:t>, и по-специално точка 13 от него,</w:t>
      </w:r>
    </w:p>
    <w:p>
      <w:pPr>
        <w:rPr>
          <w:noProof/>
        </w:rPr>
      </w:pPr>
      <w:r>
        <w:rPr>
          <w:noProof/>
        </w:rPr>
        <w:t>като взеха предвид предложението на Европейската комисия,</w:t>
      </w:r>
    </w:p>
    <w:p>
      <w:pPr>
        <w:rPr>
          <w:noProof/>
        </w:rPr>
      </w:pPr>
      <w:r>
        <w:rPr>
          <w:noProof/>
        </w:rPr>
        <w:t>като имат предвид, че:</w:t>
      </w:r>
    </w:p>
    <w:p>
      <w:pPr>
        <w:pStyle w:val="ManualConsidrant"/>
        <w:rPr>
          <w:noProof/>
        </w:rPr>
      </w:pPr>
      <w:r>
        <w:t>(1)</w:t>
      </w:r>
      <w:r>
        <w:tab/>
      </w:r>
      <w:r>
        <w:rPr>
          <w:noProof/>
        </w:rPr>
        <w:t>Европейският фонд за приспособяване към глобализацията (ЕФПГ) е създаден с цел оказване на подкрепа на съкратени работници и самостоятелно заети лица, чиято дейност е прекратена в резултат на големи структурни промени в моделите на световната търговия вследствие на глобализацията, в резултат на продължаване на световната финансова и икономическа криза или в резултат на нова световна финансова и икономическа криза, както и с цел подпомагане на тяхната реинтеграция на пазара на труда.</w:t>
      </w:r>
    </w:p>
    <w:p>
      <w:pPr>
        <w:pStyle w:val="ManualConsidrant"/>
        <w:rPr>
          <w:noProof/>
        </w:rPr>
      </w:pPr>
      <w:r>
        <w:t>(2)</w:t>
      </w:r>
      <w:r>
        <w:tab/>
      </w:r>
      <w:r>
        <w:rPr>
          <w:noProof/>
        </w:rPr>
        <w:t>В съответствие с предвиденото в член 12 от Регламент (ЕС, Евратом) № 1311/2013 на Съвета ЕФПГ не може да надхвърля максимален годишен размер от 150 милиона евро (по цени от 2011 г.)</w:t>
      </w:r>
      <w:r>
        <w:rPr>
          <w:rStyle w:val="FootnoteReference"/>
          <w:noProof/>
        </w:rPr>
        <w:footnoteReference w:id="17"/>
      </w:r>
      <w:r>
        <w:rPr>
          <w:noProof/>
        </w:rPr>
        <w:t>.</w:t>
      </w:r>
    </w:p>
    <w:p>
      <w:pPr>
        <w:pStyle w:val="ManualConsidrant"/>
        <w:rPr>
          <w:noProof/>
        </w:rPr>
      </w:pPr>
      <w:r>
        <w:t>(3)</w:t>
      </w:r>
      <w:r>
        <w:tab/>
      </w:r>
      <w:r>
        <w:rPr>
          <w:noProof/>
        </w:rPr>
        <w:t>На 19 юли 2017 г. Испания подаде заявление за мобилизиране на средства от ЕФПГ във връзка с извършени съкращения в икономическия отрасъл от разделение 14 по статистическата класификация на икономическите дейности в Европейската общност (NACE) Rev. 2 („Производство на облекло“) в региона на ниво 2 по общата класификация на териториалните единици за статистически цели (NUTS)</w:t>
      </w:r>
      <w:r>
        <w:rPr>
          <w:rStyle w:val="FootnoteReference"/>
          <w:noProof/>
        </w:rPr>
        <w:footnoteReference w:id="18"/>
      </w:r>
      <w:r>
        <w:rPr>
          <w:noProof/>
        </w:rPr>
        <w:t xml:space="preserve"> Galicia (ES11) в Испания. Към него беше предоставена допълнителна информация съгласно член 8, параграф 3 от Регламент (ЕС) </w:t>
      </w:r>
      <w:r>
        <w:rPr>
          <w:noProof/>
        </w:rPr>
        <w:lastRenderedPageBreak/>
        <w:t>№ 1309/2013. Заявлението отговаря на изискванията за определяне на финансово участие от ЕФПГ, установени в член 13 от Регламент (ЕС) № 1309/2013.</w:t>
      </w:r>
    </w:p>
    <w:p>
      <w:pPr>
        <w:pStyle w:val="ManualConsidrant"/>
        <w:rPr>
          <w:noProof/>
        </w:rPr>
      </w:pPr>
      <w:r>
        <w:t>(4)</w:t>
      </w:r>
      <w:r>
        <w:tab/>
      </w:r>
      <w:r>
        <w:rPr>
          <w:noProof/>
        </w:rPr>
        <w:t>В съответствие с член 4, параграф 2 от Регламент (ЕС) № 1309/2013 заявлението на Испания се счита за допустимо, тъй като съкращенията имат сериозно отражение върху заетостта и местната икономика.</w:t>
      </w:r>
    </w:p>
    <w:p>
      <w:pPr>
        <w:pStyle w:val="ManualConsidrant"/>
        <w:rPr>
          <w:noProof/>
        </w:rPr>
      </w:pPr>
      <w:r>
        <w:t>(5)</w:t>
      </w:r>
      <w:r>
        <w:tab/>
      </w:r>
      <w:r>
        <w:rPr>
          <w:noProof/>
        </w:rPr>
        <w:t>Поради това следва да бъдат мобилизирани средства за предоставяне на финансово участие от ЕФПГ в размер на 720 000 EUR по подаденото от Испания заявление.</w:t>
      </w:r>
    </w:p>
    <w:p>
      <w:pPr>
        <w:pStyle w:val="ManualConsidrant"/>
        <w:rPr>
          <w:noProof/>
        </w:rPr>
      </w:pPr>
      <w:r>
        <w:t>(6)</w:t>
      </w:r>
      <w:r>
        <w:tab/>
      </w:r>
      <w:r>
        <w:rPr>
          <w:noProof/>
        </w:rPr>
        <w:t>За да се сведе до минимум времето, необходимо за мобилизиране на средства от ЕФПГ, настоящото решение следва да се прилага от датата на приемането му,</w:t>
      </w:r>
    </w:p>
    <w:p>
      <w:pPr>
        <w:pStyle w:val="Formuledadoption"/>
        <w:rPr>
          <w:noProof/>
        </w:rPr>
      </w:pPr>
      <w:r>
        <w:rPr>
          <w:noProof/>
        </w:rPr>
        <w:t xml:space="preserve">ПРИЕХА НАСТОЯЩОТО РЕШЕНИЕ: </w:t>
      </w:r>
    </w:p>
    <w:p>
      <w:pPr>
        <w:pStyle w:val="Titrearticle"/>
        <w:rPr>
          <w:noProof/>
        </w:rPr>
      </w:pPr>
      <w:r>
        <w:rPr>
          <w:noProof/>
        </w:rPr>
        <w:t>Член 1</w:t>
      </w:r>
    </w:p>
    <w:p>
      <w:pPr>
        <w:rPr>
          <w:noProof/>
        </w:rPr>
      </w:pPr>
      <w:r>
        <w:rPr>
          <w:noProof/>
        </w:rPr>
        <w:t>В рамките на общия бюджет на Европейския съюз за финансовата 2018 година от Европейския фонд за приспособяване към глобализацията се мобилизират средства за предоставяне на сумата от 720 000 EUR под формата на бюджетни кредити за поети задължения и бюджетни кредити за плащания.</w:t>
      </w:r>
    </w:p>
    <w:p>
      <w:pPr>
        <w:pStyle w:val="Titrearticle"/>
        <w:rPr>
          <w:noProof/>
        </w:rPr>
      </w:pPr>
      <w:r>
        <w:rPr>
          <w:noProof/>
        </w:rPr>
        <w:t>Член 2</w:t>
      </w:r>
    </w:p>
    <w:p>
      <w:pPr>
        <w:keepNext/>
        <w:keepLines/>
        <w:rPr>
          <w:noProof/>
        </w:rPr>
      </w:pPr>
      <w:r>
        <w:rPr>
          <w:noProof/>
        </w:rPr>
        <w:t xml:space="preserve">Настоящото решение влиза в сила в деня на публикуването му в </w:t>
      </w:r>
      <w:r>
        <w:rPr>
          <w:i/>
          <w:noProof/>
        </w:rPr>
        <w:t>Официален вестник на Европейския съюз</w:t>
      </w:r>
      <w:r>
        <w:rPr>
          <w:noProof/>
        </w:rPr>
        <w:t xml:space="preserve">. Прилага се от </w:t>
      </w:r>
      <w:r>
        <w:rPr>
          <w:noProof/>
          <w:color w:val="FF0000"/>
        </w:rPr>
        <w:t>[</w:t>
      </w:r>
      <w:r>
        <w:rPr>
          <w:i/>
          <w:noProof/>
          <w:color w:val="FF0000"/>
        </w:rPr>
        <w:t>датата на приемането му</w:t>
      </w:r>
      <w:r>
        <w:rPr>
          <w:noProof/>
          <w:color w:val="FF0000"/>
        </w:rPr>
        <w:t>]</w:t>
      </w:r>
      <w:r>
        <w:rPr>
          <w:rStyle w:val="FootnoteReference"/>
          <w:noProof/>
          <w:color w:val="FF0000"/>
        </w:rPr>
        <w:footnoteReference w:customMarkFollows="1" w:id="19"/>
        <w:sym w:font="Symbol" w:char="F02A"/>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20.12.2013 г., стр. 855.</w:t>
      </w:r>
    </w:p>
  </w:footnote>
  <w:footnote w:id="2">
    <w:p>
      <w:pPr>
        <w:pStyle w:val="FootnoteText"/>
      </w:pPr>
      <w:r>
        <w:rPr>
          <w:rStyle w:val="FootnoteReference"/>
        </w:rPr>
        <w:footnoteRef/>
      </w:r>
      <w:r>
        <w:tab/>
        <w:t>По смисъла на член 3 от Регламента за ЕФПГ.</w:t>
      </w:r>
    </w:p>
  </w:footnote>
  <w:footnote w:id="3">
    <w:p>
      <w:pPr>
        <w:pStyle w:val="FootnoteText"/>
      </w:pPr>
      <w:r>
        <w:rPr>
          <w:rStyle w:val="FootnoteReference"/>
        </w:rPr>
        <w:footnoteRef/>
      </w:r>
      <w:r>
        <w:tab/>
        <w:t>Регламент (ЕС) № 1046/2012 на Комисията от 8 ноември 2012 г. за прилагане на Регламент (ЕО) № 1059/2003 на Европейския парламент и на Съвета за установяване на обща класификация на териториалните единици за статистически цели (NUTS) по отношение на предоставянето на динамичните редове според новото регионално деление (ОВ L 310, 9.11.2012 г., стр. 34).</w:t>
      </w:r>
    </w:p>
  </w:footnote>
  <w:footnote w:id="4">
    <w:p>
      <w:pPr>
        <w:pStyle w:val="FootnoteText"/>
      </w:pPr>
      <w:r>
        <w:rPr>
          <w:rStyle w:val="FootnoteReference"/>
        </w:rPr>
        <w:footnoteRef/>
      </w:r>
      <w:r>
        <w:tab/>
        <w:t>ОВ L 393, 30.12.2006 г., стр. 1.</w:t>
      </w:r>
    </w:p>
  </w:footnote>
  <w:footnote w:id="5">
    <w:p>
      <w:pPr>
        <w:pStyle w:val="FootnoteText"/>
      </w:pPr>
      <w:r>
        <w:rPr>
          <w:rStyle w:val="FootnoteReference"/>
        </w:rPr>
        <w:footnoteRef/>
      </w:r>
      <w:r>
        <w:tab/>
        <w:t>Съгласно член 7, параграф 4 от Регламент (EС) № 1309/2013.</w:t>
      </w:r>
    </w:p>
  </w:footnote>
  <w:footnote w:id="6">
    <w:p>
      <w:pPr>
        <w:pStyle w:val="FootnoteText"/>
      </w:pPr>
      <w:r>
        <w:rPr>
          <w:rStyle w:val="FootnoteReference"/>
        </w:rPr>
        <w:footnoteRef/>
      </w:r>
      <w:r>
        <w:tab/>
        <w:t>Основани на глобализация при търговията: EGF/2017/006 ES Galicia apparel (предмет на настоящото предложение за решение), както и EGF/2007/008 MT Textiles, COM(2008) 94 и EGF/2010/003 ES Galicia textile, COM(2010) 437. Основани на световната финансова и икономическа криза: EGF/2009/018 LT Wearing apparel, COM(2010) 56 и EGF/2010/014 SI Mura, COM(2010) 582.</w:t>
      </w:r>
    </w:p>
  </w:footnote>
  <w:footnote w:id="7">
    <w:p>
      <w:pPr>
        <w:pStyle w:val="FootnoteText"/>
      </w:pPr>
      <w:r>
        <w:rPr>
          <w:rStyle w:val="FootnoteReference"/>
        </w:rPr>
        <w:footnoteRef/>
      </w:r>
      <w:r>
        <w:tab/>
        <w:t>Източник: Cointega, клъстерът за модни текстилни изделия в Галисия (www.cointega.com).</w:t>
      </w:r>
    </w:p>
  </w:footnote>
  <w:footnote w:id="8">
    <w:p>
      <w:pPr>
        <w:pStyle w:val="FootnoteText"/>
      </w:pPr>
      <w:r>
        <w:rPr>
          <w:rStyle w:val="FootnoteReference"/>
        </w:rPr>
        <w:footnoteRef/>
      </w:r>
      <w:r>
        <w:tab/>
        <w:t>Наименованието на зоната на галицийски и испански език.</w:t>
      </w:r>
    </w:p>
  </w:footnote>
  <w:footnote w:id="9">
    <w:p>
      <w:pPr>
        <w:pStyle w:val="FootnoteText"/>
      </w:pPr>
      <w:r>
        <w:rPr>
          <w:rStyle w:val="FootnoteReference"/>
        </w:rPr>
        <w:footnoteRef/>
      </w:r>
      <w:r>
        <w:tab/>
        <w:t>20 евро на ден, когато броят на лицата на тяхна издръжка е две или повече.</w:t>
      </w:r>
    </w:p>
  </w:footnote>
  <w:footnote w:id="10">
    <w:p>
      <w:pPr>
        <w:pStyle w:val="FootnoteText"/>
      </w:pPr>
      <w:r>
        <w:rPr>
          <w:rStyle w:val="FootnoteReference"/>
        </w:rPr>
        <w:footnoteRef/>
      </w:r>
      <w:r>
        <w:tab/>
        <w:t>За да се избегне използването на десетични запетаи, прогнозните разходи за един работник са закръглени. Закръгляването няма отражение върху общите разходи за всяка мярка, които остават същите като в заявлението, подадено от Испания.</w:t>
      </w:r>
    </w:p>
  </w:footnote>
  <w:footnote w:id="11">
    <w:p>
      <w:pPr>
        <w:pStyle w:val="FootnoteText"/>
      </w:pPr>
      <w:r>
        <w:rPr>
          <w:rStyle w:val="FootnoteReference"/>
        </w:rPr>
        <w:footnoteRef/>
      </w:r>
      <w:r>
        <w:tab/>
        <w:t>Общата сума не съвпада напълно поради закръгляването.</w:t>
      </w:r>
    </w:p>
  </w:footnote>
  <w:footnote w:id="12">
    <w:p>
      <w:pPr>
        <w:pStyle w:val="FootnoteText"/>
      </w:pPr>
      <w:r>
        <w:rPr>
          <w:rStyle w:val="FootnoteReference"/>
        </w:rPr>
        <w:footnoteRef/>
      </w:r>
      <w:r>
        <w:tab/>
        <w:t>Xunta de Galicia, и по-специално Consellería de Facenda – Dirección General de política financiera, tesoro y fondos europeos / Servicio de inspección y control de fondos comunitarios в сътрудничество с Consellería de Economía, Emprego e Industria – Secretaría Xeral de Emprego / Subdirección Xeral de Relacións Laborais. ще бъде междинното звено за управляващия орган.</w:t>
      </w:r>
    </w:p>
  </w:footnote>
  <w:footnote w:id="13">
    <w:p>
      <w:pPr>
        <w:pStyle w:val="FootnoteText"/>
      </w:pPr>
      <w:r>
        <w:rPr>
          <w:rStyle w:val="FootnoteReference"/>
        </w:rPr>
        <w:footnoteRef/>
      </w:r>
      <w:r>
        <w:tab/>
        <w:t>ОВ L 347, 20.12.2013 г., стр. 884.</w:t>
      </w:r>
    </w:p>
  </w:footnote>
  <w:footnote w:id="14">
    <w:p>
      <w:pPr>
        <w:pStyle w:val="FootnoteText"/>
      </w:pPr>
      <w:r>
        <w:rPr>
          <w:rStyle w:val="FootnoteReference"/>
        </w:rPr>
        <w:footnoteRef/>
      </w:r>
      <w:r>
        <w:tab/>
        <w:t>ОВ С 373, 20.12.2013 г., стр. 1.</w:t>
      </w:r>
    </w:p>
  </w:footnote>
  <w:footnote w:id="15">
    <w:p>
      <w:pPr>
        <w:pStyle w:val="FootnoteText"/>
      </w:pPr>
      <w:r>
        <w:rPr>
          <w:rStyle w:val="FootnoteReference"/>
        </w:rPr>
        <w:footnoteRef/>
      </w:r>
      <w:r>
        <w:tab/>
        <w:t>ОВ L 347, 20.12.2013 г., стр. 855.</w:t>
      </w:r>
    </w:p>
  </w:footnote>
  <w:footnote w:id="16">
    <w:p>
      <w:pPr>
        <w:pStyle w:val="FootnoteText"/>
      </w:pPr>
      <w:r>
        <w:rPr>
          <w:rStyle w:val="FootnoteReference"/>
        </w:rPr>
        <w:footnoteRef/>
      </w:r>
      <w:r>
        <w:tab/>
        <w:t>ОВ С 373, 20.12.2013 г., стр. 1.</w:t>
      </w:r>
    </w:p>
  </w:footnote>
  <w:footnote w:id="17">
    <w:p>
      <w:pPr>
        <w:pStyle w:val="FootnoteText"/>
      </w:pPr>
      <w:r>
        <w:rPr>
          <w:rStyle w:val="FootnoteReference"/>
        </w:rPr>
        <w:footnoteRef/>
      </w:r>
      <w:r>
        <w:tab/>
        <w:t>Регламент (EC, Евратом) № 1311/2013 на Съвета от 2 декември 2013 г. за определяне на многогодишната финансова рамка за годините 2014—2020 (ОВ L 347, 20.12.2013 г., стр. 884).</w:t>
      </w:r>
    </w:p>
  </w:footnote>
  <w:footnote w:id="18">
    <w:p>
      <w:pPr>
        <w:pStyle w:val="FootnoteText"/>
      </w:pPr>
      <w:r>
        <w:rPr>
          <w:rStyle w:val="FootnoteReference"/>
        </w:rPr>
        <w:footnoteRef/>
      </w:r>
      <w:r>
        <w:tab/>
        <w:t>Регламент (ЕС) № 1046/2012 на Комисията от 8 ноември 2012 г. за прилагане на Регламент (ЕО) № 1059/2003 на Европейския парламент и на Съвета за установяване на обща класификация на териториалните единици за статистически цели (NUTS) по отношение на предоставянето на динамичните редове според новото регионално деление (ОВ L 310, 9.11.2012 г., стр. 34).</w:t>
      </w:r>
    </w:p>
  </w:footnote>
  <w:footnote w:id="19">
    <w:p>
      <w:pPr>
        <w:pStyle w:val="FootnoteText"/>
        <w:rPr>
          <w:color w:val="FF0000"/>
        </w:rPr>
      </w:pPr>
      <w:r>
        <w:rPr>
          <w:rStyle w:val="FootnoteReference"/>
          <w:color w:val="FF0000"/>
        </w:rPr>
        <w:sym w:font="Symbol" w:char="F02A"/>
      </w:r>
      <w:r>
        <w:rPr>
          <w:color w:val="FF0000"/>
        </w:rPr>
        <w:t xml:space="preserve"> </w:t>
      </w:r>
      <w:r>
        <w:rPr>
          <w:color w:val="FF0000"/>
        </w:rPr>
        <w:tab/>
        <w:t>Датата да се попълни от Парламента преди публикуването в 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2"/>
  </w:num>
  <w:num w:numId="13">
    <w:abstractNumId w:val="12"/>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ocumentProtection w:edit="forms" w:enforcement="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1 15:29:11"/>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8A31154-A8FC-4078-BD9E-ADE51037B656"/>
    <w:docVar w:name="LW_COVERPAGE_TYPE" w:val="1"/>
    <w:docVar w:name="LW_CROSSREFERENCE" w:val="&lt;UNUSED&gt;"/>
    <w:docVar w:name="LW_DocType" w:val="COM"/>
    <w:docVar w:name="LW_EMISSION" w:val="28.11.2017"/>
    <w:docVar w:name="LW_EMISSION_ISODATE" w:val="2017-11-28"/>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STATUT" w:val="SJ-02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4?\u1086?\u1073?\u1080?\u1083?\u1080?\u1079?\u1080?\u1088?\u1072?\u1085?\u1077? \u1085?\u1072? \u1089?\u1088?\u1077?\u1076?\u1089?\u1090?\u1074?\u1072? \u1086?\u1090? \u1045?\u1074?\u1088?\u1086?\u1087?\u1077?\u1081?\u1089?\u1082?\u1080?\u1103? \u1092?\u1086?\u1085?\u1076? \u1079?\u1072? \u1087?\u1088?\u1080?\u1089?\u1087?\u1086?\u1089?\u1086?\u1073?\u1103?\u1074?\u1072?\u1085?\u1077? \u1082?\u1098?\u1084? \u1075?\u1083?\u1086?\u1073?\u1072?\u1083?\u1080?\u1079?\u1072?\u1094?\u1080?\u1103?\u1090?\u1072? \u1074?\u1098?\u1074? \u1074?\u1088?\u1098?\u1079?\u1082?\u1072? \u1089?\u1098?\u1089?_x000b_\u1079?\u1072?\u1103?\u1074?\u1083?\u1077?\u1085?\u1080?\u1077? \u1086?\u1090? \u1048?\u1089?\u1087?\u1072?\u1085?\u1080?\u1103? \u8212? EGF/2017/006 ES/Galicia apparel"/>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varmu\AppData\Local\Microsoft\Windows\Temporary%20Internet%20Files\Content.Outlook\QX24QI0J\EU%20trade%20clothing%20NACE14%20(2004-May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Sheet1!$A$11</c:f>
              <c:strCache>
                <c:ptCount val="1"/>
              </c:strCache>
            </c:strRef>
          </c:tx>
          <c:marker>
            <c:symbol val="none"/>
          </c:marker>
          <c:cat>
            <c:strRef>
              <c:f>Sheet1!$B$10:$N$10</c:f>
              <c:strCach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strCache>
            </c:strRef>
          </c:cat>
          <c:val>
            <c:numRef>
              <c:f>Sheet1!$B$11:$N$11</c:f>
              <c:numCache>
                <c:formatCode>General</c:formatCode>
                <c:ptCount val="13"/>
                <c:pt idx="0">
                  <c:v>-34744.991530000007</c:v>
                </c:pt>
                <c:pt idx="1">
                  <c:v>-38695.413310000004</c:v>
                </c:pt>
                <c:pt idx="2">
                  <c:v>-44314.179340000002</c:v>
                </c:pt>
                <c:pt idx="3">
                  <c:v>-46110.275630000004</c:v>
                </c:pt>
                <c:pt idx="4">
                  <c:v>-46830.566709999999</c:v>
                </c:pt>
                <c:pt idx="5">
                  <c:v>-47517.060049999993</c:v>
                </c:pt>
                <c:pt idx="6">
                  <c:v>-53823.508969999995</c:v>
                </c:pt>
                <c:pt idx="7">
                  <c:v>-57310.604359999998</c:v>
                </c:pt>
                <c:pt idx="8">
                  <c:v>-52150.96807000001</c:v>
                </c:pt>
                <c:pt idx="9">
                  <c:v>-50941.495569999999</c:v>
                </c:pt>
                <c:pt idx="10">
                  <c:v>-57026.392670000001</c:v>
                </c:pt>
                <c:pt idx="11">
                  <c:v>-64312.07316</c:v>
                </c:pt>
                <c:pt idx="12">
                  <c:v>-64853.38493</c:v>
                </c:pt>
              </c:numCache>
            </c:numRef>
          </c:val>
          <c:smooth val="0"/>
        </c:ser>
        <c:dLbls>
          <c:showLegendKey val="0"/>
          <c:showVal val="0"/>
          <c:showCatName val="0"/>
          <c:showSerName val="0"/>
          <c:showPercent val="0"/>
          <c:showBubbleSize val="0"/>
        </c:dLbls>
        <c:marker val="1"/>
        <c:smooth val="0"/>
        <c:axId val="78836480"/>
        <c:axId val="78971648"/>
      </c:lineChart>
      <c:catAx>
        <c:axId val="78836480"/>
        <c:scaling>
          <c:orientation val="minMax"/>
        </c:scaling>
        <c:delete val="0"/>
        <c:axPos val="b"/>
        <c:majorTickMark val="out"/>
        <c:minorTickMark val="none"/>
        <c:tickLblPos val="nextTo"/>
        <c:crossAx val="78971648"/>
        <c:crosses val="autoZero"/>
        <c:auto val="1"/>
        <c:lblAlgn val="ctr"/>
        <c:lblOffset val="100"/>
        <c:noMultiLvlLbl val="0"/>
      </c:catAx>
      <c:valAx>
        <c:axId val="78971648"/>
        <c:scaling>
          <c:orientation val="minMax"/>
        </c:scaling>
        <c:delete val="0"/>
        <c:axPos val="l"/>
        <c:majorGridlines/>
        <c:numFmt formatCode="General" sourceLinked="1"/>
        <c:majorTickMark val="out"/>
        <c:minorTickMark val="none"/>
        <c:tickLblPos val="nextTo"/>
        <c:crossAx val="788364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2A904-8469-4EB4-9FF7-99960731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14</Pages>
  <Words>3814</Words>
  <Characters>20825</Characters>
  <Application>Microsoft Office Word</Application>
  <DocSecurity>0</DocSecurity>
  <Lines>631</Lines>
  <Paragraphs>347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2017-10-06T09:26:00Z</cp:lastPrinted>
  <dcterms:created xsi:type="dcterms:W3CDTF">2017-11-17T13:27:00Z</dcterms:created>
  <dcterms:modified xsi:type="dcterms:W3CDTF">2017-11-21T14:29:00Z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5.8.3, Build 20140113</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SJ-026</vt:lpwstr>
  </property>
  <property fmtid="{D5CDD505-2E9C-101B-9397-08002B2CF9AE}" pid="9" name="Level of sensitivity">
    <vt:lpwstr>Standard treatment</vt:lpwstr>
  </property>
  <property fmtid="{D5CDD505-2E9C-101B-9397-08002B2CF9AE}" pid="10" name="DQCStatus">
    <vt:lpwstr>Green (DQC version 03)</vt:lpwstr>
  </property>
</Properties>
</file>