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8DBC20C-C146-42EB-8326-749CA3EB403E" style="width:451.5pt;height:333.75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4"/>
          <w:szCs w:val="24"/>
          <w:lang w:val="bg-BG"/>
        </w:rPr>
      </w:pPr>
      <w:bookmarkStart w:id="1" w:name="_GoBack"/>
      <w:bookmarkEnd w:id="1"/>
      <w:r>
        <w:rPr>
          <w:rFonts w:ascii="Times New Roman" w:hAnsi="Times New Roman"/>
          <w:b/>
          <w:noProof/>
          <w:sz w:val="24"/>
          <w:lang w:val="bg-BG"/>
        </w:rPr>
        <w:lastRenderedPageBreak/>
        <w:t>I.</w:t>
      </w:r>
      <w:r>
        <w:rPr>
          <w:noProof/>
          <w:lang w:val="bg-BG"/>
        </w:rPr>
        <w:tab/>
      </w:r>
      <w:r>
        <w:rPr>
          <w:rFonts w:ascii="Times New Roman" w:hAnsi="Times New Roman"/>
          <w:b/>
          <w:noProof/>
          <w:sz w:val="24"/>
          <w:lang w:val="bg-BG"/>
        </w:rPr>
        <w:t>ВЪВЕДЕНИЕ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Настоящият документ е дванадесетият месечен доклад за напредъка по изграждането на ефективен и истински Съюз на сигурност и обхваща развитието в две основни насоки: борбата с тероризма, организираната престъпност и средствата за тяхното подпомагане, от една страна, и укрепването на нашите защитни механизми и изграждането на устойчивост по отношение на тези заплахи, от друга страна. </w:t>
      </w:r>
    </w:p>
    <w:p>
      <w:pPr>
        <w:spacing w:after="240" w:line="240" w:lineRule="auto"/>
        <w:jc w:val="both"/>
        <w:rPr>
          <w:rFonts w:ascii="Times New Roman" w:hAnsi="Times New Roman" w:cs="Times New Roman"/>
          <w:noProof/>
          <w:spacing w:val="-2"/>
          <w:sz w:val="24"/>
          <w:szCs w:val="24"/>
          <w:lang w:val="bg-BG"/>
        </w:rPr>
      </w:pPr>
      <w:r>
        <w:rPr>
          <w:rFonts w:ascii="Times New Roman" w:hAnsi="Times New Roman"/>
          <w:noProof/>
          <w:spacing w:val="-2"/>
          <w:sz w:val="24"/>
          <w:lang w:val="bg-BG"/>
        </w:rPr>
        <w:t>Измина почти година от нападението на коледния пазар в Берлин на 19 декември 2016 г., при което загинаха дванадесет души, а петдесет и шест бяха ранени, и което бе извършено от човек, използвал множество самоличности, за да се изплъзне на граничните и правоприлагащите органи. Този случай, както и други терористични нападения, извършени от лица, използвали множество самоличности, като например намушкването с нож в Марсилия през октомври 2017 г., подчертаха не само значението на ефективния обмен на информация между органите на държавите членки, но и жизненоважното значение на работата, започната от Комисията през пролетта на 2016 г.</w:t>
      </w:r>
      <w:r>
        <w:rPr>
          <w:rStyle w:val="FootnoteReference"/>
          <w:rFonts w:ascii="Times New Roman" w:hAnsi="Times New Roman"/>
          <w:noProof/>
          <w:spacing w:val="-2"/>
          <w:sz w:val="24"/>
          <w:lang w:val="bg-BG"/>
        </w:rPr>
        <w:footnoteReference w:id="2"/>
      </w:r>
      <w:r>
        <w:rPr>
          <w:rFonts w:ascii="Times New Roman" w:hAnsi="Times New Roman"/>
          <w:noProof/>
          <w:spacing w:val="-2"/>
          <w:sz w:val="24"/>
          <w:lang w:val="bg-BG"/>
        </w:rPr>
        <w:t>, с цел преодоляване на съществуващите недостатъци в управлението на информацията в ЕС, които дават възможност физически лица да фигурират в различни бази данни на ЕС, използвайки различни самоличности. Законодателните предложения за регламенти</w:t>
      </w:r>
      <w:r>
        <w:rPr>
          <w:rStyle w:val="FootnoteReference"/>
          <w:rFonts w:ascii="Times New Roman" w:hAnsi="Times New Roman"/>
          <w:noProof/>
          <w:spacing w:val="-2"/>
          <w:sz w:val="24"/>
          <w:lang w:val="bg-BG"/>
        </w:rPr>
        <w:footnoteReference w:id="3"/>
      </w:r>
      <w:r>
        <w:rPr>
          <w:rFonts w:ascii="Times New Roman" w:hAnsi="Times New Roman"/>
          <w:noProof/>
          <w:spacing w:val="-2"/>
          <w:sz w:val="24"/>
          <w:lang w:val="bg-BG"/>
        </w:rPr>
        <w:t xml:space="preserve"> относно оперативната съвместимост на информационните системи, внесени като част от един пакет заедно с настоящия доклад, имат за цел да премахнат възможността терористите и престъпниците да се възползват от съществуващите понастоящем пропуски, за да използват фалшива самоличност, с което ще се осигури по-добра защита на външната граница на ЕС, ще се засили вътрешната сигурност и ще се подобри управлението на миграцията</w:t>
      </w:r>
      <w:r>
        <w:rPr>
          <w:rStyle w:val="FootnoteReference"/>
          <w:rFonts w:ascii="Times New Roman" w:hAnsi="Times New Roman"/>
          <w:noProof/>
          <w:spacing w:val="-2"/>
          <w:sz w:val="24"/>
          <w:lang w:val="bg-BG"/>
        </w:rPr>
        <w:footnoteReference w:id="4"/>
      </w:r>
      <w:r>
        <w:rPr>
          <w:rFonts w:ascii="Times New Roman" w:hAnsi="Times New Roman"/>
          <w:noProof/>
          <w:spacing w:val="-2"/>
          <w:sz w:val="24"/>
          <w:lang w:val="bg-BG"/>
        </w:rPr>
        <w:t xml:space="preserve">. Предложенията представляват радикална промяна, тъй като, от една страна, променят начина, по който ЕС управлява информацията в областта на управлението на сигурността, границите и миграцията, а от друга страна, уреждат предоставянето на тези данни на разположение на националните органи, за да се гарантира, че те разполагат с нужната им информация, когато и където се нуждаят от нея. Като се има предвид, че тези предложения са от основно значение за повишаването на ефективността на граничните и правоприлагащите органи, Комисията призовава съзаконодателите да работят по законодателните предложения относно оперативната съвместимост, като им отдават най-висок приоритет, както и бързо да постигнат съгласие по оставащите внесени законодателни предложения, отнасящи се до отделните информационни системи и целящи на работещите на първа линия да се предоставя информацията, от която се нуждаят за изпълнение на работата си по осигуряване на безопасността на нашите граждани. </w:t>
      </w:r>
    </w:p>
    <w:p>
      <w:pPr>
        <w:spacing w:after="240" w:line="240" w:lineRule="auto"/>
        <w:jc w:val="both"/>
        <w:rPr>
          <w:rFonts w:ascii="Times New Roman" w:hAnsi="Times New Roman" w:cs="Times New Roman"/>
          <w:noProof/>
          <w:spacing w:val="-2"/>
          <w:sz w:val="24"/>
          <w:szCs w:val="24"/>
          <w:lang w:val="bg-BG"/>
        </w:rPr>
      </w:pPr>
      <w:r>
        <w:rPr>
          <w:rFonts w:ascii="Times New Roman" w:hAnsi="Times New Roman"/>
          <w:noProof/>
          <w:spacing w:val="-2"/>
          <w:sz w:val="24"/>
          <w:lang w:val="bg-BG"/>
        </w:rPr>
        <w:t xml:space="preserve">Ето защо в настоящия доклад се поставя акцент върху следващите стъпки, насочени към изграждане на по-надеждни и по-интелигентни информационни системи за целите на управлението на сигурността, границите и миграцията, с оглед повишаване на ефективността и ефикасността на архитектурата на данните на информационните системи на ЕС при гарантиране на пълно спазване на изискванията за защита на данните.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доклада се прави също така преглед на редица действия, насочени към оптимизиране на ползите от съществуващите информационни системи, като са обхванати както </w:t>
      </w:r>
      <w:r>
        <w:rPr>
          <w:rFonts w:ascii="Times New Roman" w:hAnsi="Times New Roman"/>
          <w:noProof/>
          <w:sz w:val="24"/>
          <w:lang w:val="bg-BG"/>
        </w:rPr>
        <w:lastRenderedPageBreak/>
        <w:t>законодателните мерки, така и текущата работа за осигуряване на цялостното изпълнение на тези действия и по-доброто прилагане на информационните системи на ЕС. На заседанието си през октомври 2017 г. Европейският съвет извърши преглед на изпълнението на Пътната карта от Братислава</w:t>
      </w:r>
      <w:r>
        <w:rPr>
          <w:rStyle w:val="FootnoteReference"/>
          <w:rFonts w:ascii="Times New Roman" w:hAnsi="Times New Roman"/>
          <w:noProof/>
          <w:sz w:val="24"/>
          <w:lang w:val="bg-BG"/>
        </w:rPr>
        <w:footnoteReference w:id="5"/>
      </w:r>
      <w:r>
        <w:rPr>
          <w:rFonts w:ascii="Times New Roman" w:hAnsi="Times New Roman"/>
          <w:noProof/>
          <w:sz w:val="24"/>
          <w:lang w:val="bg-BG"/>
        </w:rPr>
        <w:t xml:space="preserve"> и отбеляза значителния напредък, постигнат от ЕС, що се отнася по-специално до вътрешната сигурност, в четири области: активизиране на сътрудничеството и обмена на информация, увеличаване на проверките и свързване на базите данни, разработване на система на ЕС за информация за пътуванията и разрешаването им (ETIAS) и системни усилия за борба с радикализацията. Настоящият доклад показва, че през последните два месеца във всички тези области е постигнат допълнителен напредък.</w:t>
      </w:r>
    </w:p>
    <w:p>
      <w:pPr>
        <w:spacing w:after="240"/>
        <w:jc w:val="both"/>
        <w:rPr>
          <w:rFonts w:ascii="Times New Roman" w:hAnsi="Times New Roman" w:cs="Times New Roman"/>
          <w:b/>
          <w:noProof/>
          <w:sz w:val="24"/>
          <w:szCs w:val="24"/>
          <w:lang w:val="bg-BG"/>
        </w:rPr>
      </w:pPr>
      <w:r>
        <w:rPr>
          <w:rFonts w:ascii="Times New Roman" w:hAnsi="Times New Roman"/>
          <w:b/>
          <w:noProof/>
          <w:sz w:val="24"/>
          <w:lang w:val="bg-BG"/>
        </w:rPr>
        <w:t>II.</w:t>
      </w:r>
      <w:r>
        <w:rPr>
          <w:noProof/>
          <w:lang w:val="bg-BG"/>
        </w:rPr>
        <w:tab/>
      </w:r>
      <w:r>
        <w:rPr>
          <w:rFonts w:ascii="Times New Roman" w:hAnsi="Times New Roman"/>
          <w:b/>
          <w:noProof/>
          <w:sz w:val="24"/>
          <w:lang w:val="bg-BG"/>
        </w:rPr>
        <w:t>ПО-НАДЕЖДНИ И ПО-ИНТЕЛИГЕНТНИ ИНФОРМАЦИОННИ СИСТЕМИ ЗА ЦЕЛИТЕ НА УПРАВЛЕНИЕТО НА СИГУРНОСТТА, ГРАНИЦИТЕ И МИГРАЦИЯТА</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Извършени наскоро проучвания показват, че гражданите на ЕС изразяват решителна подкрепа за засилване на обмена на информация в рамките на ЕС в борбата с тероризма и организираната престъпност</w:t>
      </w:r>
      <w:r>
        <w:rPr>
          <w:rStyle w:val="FootnoteReference"/>
          <w:rFonts w:ascii="Times New Roman" w:hAnsi="Times New Roman"/>
          <w:noProof/>
          <w:sz w:val="24"/>
          <w:lang w:val="bg-BG"/>
        </w:rPr>
        <w:footnoteReference w:id="6"/>
      </w:r>
      <w:r>
        <w:rPr>
          <w:rFonts w:ascii="Times New Roman" w:hAnsi="Times New Roman"/>
          <w:noProof/>
          <w:sz w:val="24"/>
          <w:lang w:val="bg-BG"/>
        </w:rPr>
        <w:t xml:space="preserve">. Информацията, предоставяна от системите на ЕС, има особено важна роля за подпомагане на националните органи при управлението на външните граници, при борбата с престъпността и тероризма и при ограничаването на незаконната миграция. За да се увеличи тази добавена стойност от ЕС, информацията, предоставяна от системите на ЕС, трябва да бъде пълна, точна и надеждна. Понастоящем обаче тя е фрагментирана, комплексна и трудна за ползване. </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За преодоляване на тези недостатъци</w:t>
      </w:r>
      <w:r>
        <w:rPr>
          <w:rStyle w:val="FootnoteReference"/>
          <w:rFonts w:ascii="Times New Roman" w:hAnsi="Times New Roman"/>
          <w:noProof/>
          <w:sz w:val="24"/>
          <w:lang w:val="bg-BG"/>
        </w:rPr>
        <w:footnoteReference w:id="7"/>
      </w:r>
      <w:r>
        <w:rPr>
          <w:rFonts w:ascii="Times New Roman" w:hAnsi="Times New Roman"/>
          <w:noProof/>
          <w:sz w:val="24"/>
          <w:lang w:val="bg-BG"/>
        </w:rPr>
        <w:t>, съобразно съобщението на Комисията от април 2016 г. работата бе съсредоточена в три области: извличане на максимална полза от наличните информационни системи, разработване на нови и допълващи системи за отстраняване на пропуските и подобряване на оперативната съвместимост на информационните системи.</w:t>
      </w:r>
    </w:p>
    <w:p>
      <w:pPr>
        <w:pStyle w:val="ListParagraph"/>
        <w:numPr>
          <w:ilvl w:val="0"/>
          <w:numId w:val="19"/>
        </w:numPr>
        <w:spacing w:after="120" w:line="240" w:lineRule="auto"/>
        <w:jc w:val="both"/>
        <w:rPr>
          <w:rFonts w:ascii="Times New Roman" w:hAnsi="Times New Roman" w:cs="Times New Roman"/>
          <w:i/>
          <w:noProof/>
          <w:sz w:val="24"/>
          <w:szCs w:val="24"/>
          <w:lang w:val="bg-BG"/>
        </w:rPr>
      </w:pPr>
      <w:r>
        <w:rPr>
          <w:rFonts w:ascii="Times New Roman" w:hAnsi="Times New Roman"/>
          <w:i/>
          <w:noProof/>
          <w:sz w:val="24"/>
          <w:lang w:val="bg-BG"/>
        </w:rPr>
        <w:t xml:space="preserve">Към оперативна съвместимост на информационните системи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На първо място, предложените мерки ще спомогнат за </w:t>
      </w:r>
      <w:r>
        <w:rPr>
          <w:rFonts w:ascii="Times New Roman" w:hAnsi="Times New Roman"/>
          <w:b/>
          <w:noProof/>
          <w:sz w:val="24"/>
          <w:lang w:val="bg-BG"/>
        </w:rPr>
        <w:t>оптималното използване на съществуващите данни</w:t>
      </w:r>
      <w:r>
        <w:rPr>
          <w:rFonts w:ascii="Times New Roman" w:hAnsi="Times New Roman"/>
          <w:noProof/>
          <w:sz w:val="24"/>
          <w:lang w:val="bg-BG"/>
        </w:rPr>
        <w:t xml:space="preserve"> от служителите по места. </w:t>
      </w:r>
      <w:r>
        <w:rPr>
          <w:rFonts w:ascii="Times New Roman" w:hAnsi="Times New Roman"/>
          <w:i/>
          <w:noProof/>
          <w:sz w:val="24"/>
          <w:lang w:val="bg-BG"/>
        </w:rPr>
        <w:t>Европейски портал за търсене</w:t>
      </w:r>
      <w:r>
        <w:rPr>
          <w:rFonts w:ascii="Times New Roman" w:hAnsi="Times New Roman"/>
          <w:noProof/>
          <w:sz w:val="24"/>
          <w:lang w:val="bg-BG"/>
        </w:rPr>
        <w:t xml:space="preserve"> ще осигурява „обслужване на едно гише“, предоставяйки възможност за едновременно търсене в множество информационни системи на ЕС</w:t>
      </w:r>
      <w:r>
        <w:rPr>
          <w:rStyle w:val="FootnoteReference"/>
          <w:rFonts w:ascii="Times New Roman" w:hAnsi="Times New Roman"/>
          <w:noProof/>
          <w:sz w:val="24"/>
          <w:lang w:val="bg-BG"/>
        </w:rPr>
        <w:footnoteReference w:id="8"/>
      </w:r>
      <w:r>
        <w:rPr>
          <w:rFonts w:ascii="Times New Roman" w:hAnsi="Times New Roman"/>
          <w:noProof/>
          <w:sz w:val="24"/>
          <w:lang w:val="bg-BG"/>
        </w:rPr>
        <w:t>, както и в съответните данни на Европол и в системите на Интерпол, в съответствие с правата на достъп на потребителите. По този начин на служителите по места ще бъде предоставен ефикасен, бърз и безпрепятствен достъп до данните, от които се нуждаят в работата си, и ще се премахне сегашната сложност при вземането на решение в коя база данни трябва да се извърши проверката в определена ситуация.</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На второ място, посредством използването на биометрични данни предложените мерки ще позволят на националните органи да </w:t>
      </w:r>
      <w:r>
        <w:rPr>
          <w:rFonts w:ascii="Times New Roman" w:hAnsi="Times New Roman"/>
          <w:b/>
          <w:noProof/>
          <w:sz w:val="24"/>
          <w:lang w:val="bg-BG"/>
        </w:rPr>
        <w:t>разкриват използването на няколко самоличности и да се борят с измамите с фалшива самоличност</w:t>
      </w:r>
      <w:r>
        <w:rPr>
          <w:rFonts w:ascii="Times New Roman" w:hAnsi="Times New Roman"/>
          <w:noProof/>
          <w:sz w:val="24"/>
          <w:lang w:val="bg-BG"/>
        </w:rPr>
        <w:t xml:space="preserve">. </w:t>
      </w:r>
      <w:r>
        <w:rPr>
          <w:rFonts w:ascii="Times New Roman" w:hAnsi="Times New Roman"/>
          <w:i/>
          <w:noProof/>
          <w:sz w:val="24"/>
          <w:lang w:val="bg-BG"/>
        </w:rPr>
        <w:t>Обща услуга за биометрично съпоставяне</w:t>
      </w:r>
      <w:r>
        <w:rPr>
          <w:rFonts w:ascii="Times New Roman" w:hAnsi="Times New Roman"/>
          <w:noProof/>
          <w:sz w:val="24"/>
          <w:lang w:val="bg-BG"/>
        </w:rPr>
        <w:t xml:space="preserve"> ще даде възможност за търсене и сравняване на биометрични данни от няколко централни системи</w:t>
      </w:r>
      <w:r>
        <w:rPr>
          <w:rStyle w:val="FootnoteReference"/>
          <w:rFonts w:ascii="Times New Roman" w:hAnsi="Times New Roman"/>
          <w:noProof/>
          <w:sz w:val="24"/>
          <w:lang w:val="bg-BG"/>
        </w:rPr>
        <w:footnoteReference w:id="9"/>
      </w:r>
      <w:r>
        <w:rPr>
          <w:rFonts w:ascii="Times New Roman" w:hAnsi="Times New Roman"/>
          <w:noProof/>
          <w:sz w:val="24"/>
          <w:lang w:val="bg-BG"/>
        </w:rPr>
        <w:t xml:space="preserve">, а </w:t>
      </w:r>
      <w:r>
        <w:rPr>
          <w:rFonts w:ascii="Times New Roman" w:hAnsi="Times New Roman"/>
          <w:i/>
          <w:noProof/>
          <w:sz w:val="24"/>
          <w:lang w:val="bg-BG"/>
        </w:rPr>
        <w:t>общо хранилище на данни за самоличност</w:t>
      </w:r>
      <w:r>
        <w:rPr>
          <w:rFonts w:ascii="Times New Roman" w:hAnsi="Times New Roman"/>
          <w:noProof/>
          <w:sz w:val="24"/>
          <w:lang w:val="bg-BG"/>
        </w:rPr>
        <w:t xml:space="preserve"> ще съдържа споделените биографични и биометрични данни за самоличност на гражданите на трети държави, които са налични в информационните системи на ЕС</w:t>
      </w:r>
      <w:r>
        <w:rPr>
          <w:rStyle w:val="FootnoteReference"/>
          <w:rFonts w:ascii="Times New Roman" w:hAnsi="Times New Roman"/>
          <w:noProof/>
          <w:sz w:val="24"/>
          <w:lang w:val="bg-BG"/>
        </w:rPr>
        <w:footnoteReference w:id="10"/>
      </w:r>
      <w:r>
        <w:rPr>
          <w:noProof/>
          <w:lang w:val="bg-BG"/>
        </w:rPr>
        <w:t>.</w:t>
      </w:r>
      <w:r>
        <w:rPr>
          <w:rFonts w:ascii="Times New Roman" w:hAnsi="Times New Roman"/>
          <w:noProof/>
          <w:sz w:val="24"/>
          <w:lang w:val="bg-BG"/>
        </w:rPr>
        <w:t xml:space="preserve"> Въз основа на тези два компонента на оперативната съвместимост </w:t>
      </w:r>
      <w:r>
        <w:rPr>
          <w:rFonts w:ascii="Times New Roman" w:hAnsi="Times New Roman"/>
          <w:i/>
          <w:noProof/>
          <w:sz w:val="24"/>
          <w:lang w:val="bg-BG"/>
        </w:rPr>
        <w:t>детектор за откриване на случаи с използване на множество самоличности</w:t>
      </w:r>
      <w:r>
        <w:rPr>
          <w:rFonts w:ascii="Times New Roman" w:hAnsi="Times New Roman"/>
          <w:noProof/>
          <w:sz w:val="24"/>
          <w:lang w:val="bg-BG"/>
        </w:rPr>
        <w:t xml:space="preserve"> ще проверява дали данните за самоличност, за която се прави справка, съществуват в повече от една от системите, свързани към детектора</w:t>
      </w:r>
      <w:r>
        <w:rPr>
          <w:rStyle w:val="FootnoteReference"/>
          <w:rFonts w:ascii="Times New Roman" w:hAnsi="Times New Roman"/>
          <w:noProof/>
          <w:sz w:val="24"/>
          <w:lang w:val="bg-BG"/>
        </w:rPr>
        <w:footnoteReference w:id="11"/>
      </w:r>
      <w:r>
        <w:rPr>
          <w:rFonts w:ascii="Times New Roman" w:hAnsi="Times New Roman"/>
          <w:noProof/>
          <w:sz w:val="24"/>
          <w:lang w:val="bg-BG"/>
        </w:rPr>
        <w:t>. Когато длъжностните лица по имиграционните въпроси и по въпросите на убежището регистрират дадено лице в информационните системи на ЕС или когато полицейските и граничните служители извършват проверка за дадено лице в тези системи, те ще бъдат информирани, ако лицето е вече известно под друга самоличност или ако използва множество самоличности. По този начин ще се преодолеят съществуващите пропуски и слаби места, които терористите и другите престъпници се стремят да използват като се крият зад фалшива самоличност или множество самоличности.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На трето място, предложените мерки ще дадат възможност на полицейските служители да извършват </w:t>
      </w:r>
      <w:r>
        <w:rPr>
          <w:rFonts w:ascii="Times New Roman" w:hAnsi="Times New Roman"/>
          <w:b/>
          <w:noProof/>
          <w:sz w:val="24"/>
          <w:lang w:val="bg-BG"/>
        </w:rPr>
        <w:t>бързи и ефективни проверки на самоличността в рамките на своята териториална компетентност</w:t>
      </w:r>
      <w:r>
        <w:rPr>
          <w:rFonts w:ascii="Times New Roman" w:hAnsi="Times New Roman"/>
          <w:noProof/>
          <w:sz w:val="24"/>
          <w:lang w:val="bg-BG"/>
        </w:rPr>
        <w:t>. При тези проверки полицейските служители ще имат достъп до данните за самоличност на гражданите на трети държави, чиито данни са регистрирани в информационните системи на ЕС, което ще даде възможност за правилно идентифициране и разкриване на използването на множество самоличности. Това ще увеличи значително ефективността на проверките на територията на държавите членки, което е в съответствие и с Препоръката на Комисията относно пропорционалните полицейски проверки и полицейското сътрудничество в Шенгенското пространство</w:t>
      </w:r>
      <w:r>
        <w:rPr>
          <w:rStyle w:val="FootnoteReference"/>
          <w:rFonts w:ascii="Times New Roman" w:hAnsi="Times New Roman"/>
          <w:noProof/>
          <w:sz w:val="24"/>
          <w:lang w:val="bg-BG"/>
        </w:rPr>
        <w:footnoteReference w:id="12"/>
      </w:r>
      <w:r>
        <w:rPr>
          <w:rFonts w:ascii="Times New Roman" w:hAnsi="Times New Roman"/>
          <w:noProof/>
          <w:sz w:val="24"/>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допълнение към тези компоненти на оперативната съвместимост, Комисията предлага също така да се </w:t>
      </w:r>
      <w:r>
        <w:rPr>
          <w:rFonts w:ascii="Times New Roman" w:hAnsi="Times New Roman"/>
          <w:b/>
          <w:noProof/>
          <w:sz w:val="24"/>
          <w:lang w:val="bg-BG"/>
        </w:rPr>
        <w:t>улесни и рационализира достъпа на правоприлагащите органи</w:t>
      </w:r>
      <w:r>
        <w:rPr>
          <w:rFonts w:ascii="Times New Roman" w:hAnsi="Times New Roman"/>
          <w:noProof/>
          <w:sz w:val="24"/>
          <w:lang w:val="bg-BG"/>
        </w:rPr>
        <w:t xml:space="preserve"> до информационни системи извън областта на правоприлагането чрез въвеждане на нов двуетапен подход за извършване на справка в данните. Дори съгласно настоящите правила правоприлагащите органи могат да извършват справки в информационните системи извън областта на правоприлагането с цел предотвратяване, разследване, разкриване или наказателно преследване на терористични действия и други тежки престъпления. По отношение на въпросните системи обаче се прилагат различни условия за достъп и предпазни мерки, а някои от настоящите правила намаляват ефикасността на законното използване на системите от посочените органи. Съгласно новия двуетапен подход за извършване на справки в данните правоприлагащият служител първо ще извършва проверка едновременно във всички системи, съхраняващи данни в </w:t>
      </w:r>
      <w:r>
        <w:rPr>
          <w:rFonts w:ascii="Times New Roman" w:hAnsi="Times New Roman"/>
          <w:i/>
          <w:noProof/>
          <w:sz w:val="24"/>
          <w:lang w:val="bg-BG"/>
        </w:rPr>
        <w:t>общото хранилище на данни за самоличност</w:t>
      </w:r>
      <w:r>
        <w:rPr>
          <w:rFonts w:ascii="Times New Roman" w:hAnsi="Times New Roman"/>
          <w:noProof/>
          <w:sz w:val="24"/>
          <w:lang w:val="bg-BG"/>
        </w:rPr>
        <w:t xml:space="preserve">, за да установи дали в някоя от системите има информация за търсеното лице. За да се гарантира защитата на данните, ще се предоставя само отговор за </w:t>
      </w:r>
      <w:r>
        <w:rPr>
          <w:rFonts w:ascii="Times New Roman" w:hAnsi="Times New Roman"/>
          <w:i/>
          <w:noProof/>
          <w:sz w:val="24"/>
          <w:lang w:val="bg-BG"/>
        </w:rPr>
        <w:t>наличие/липса на съвпадение</w:t>
      </w:r>
      <w:r>
        <w:rPr>
          <w:rFonts w:ascii="Times New Roman" w:hAnsi="Times New Roman"/>
          <w:noProof/>
          <w:sz w:val="24"/>
          <w:lang w:val="bg-BG"/>
        </w:rPr>
        <w:t xml:space="preserve">. Служителят няма да има достъп до никои от данните в различните системи, но за сметка на това ще знае дали има такива данни и къде. Като втора стъпка, служителят ще може след това да поиска пълен достъп до информационните системи, посочили наличие на съвпадение, като подаде отделно заявление за достъп за всяка съответна система и спази съответните правила, установени от всяка от съответните системи. Както и понастоящем, служителят ще трябва да обоснове необходимостта от получаване на достъп до системата съобразно установените за тази информационна система права на достъп и принципите на ограничаване в рамките на целта, като за последващото предоставяне на пълен достъп ще продължи да се изисква получаване на предварително разрешение от оправомощен орган и за такъв достъп ще продължат да се изискват специфично потребителско име и парола. След като този двуетапен подход за извършване на справки в данните започне да се прилага, вече няма да има нужда от предварително търсене в националните бази данни и от започване на предварително търсене в автоматизираната система за дактилоскопична идентификация на други държави членки съгласно Решение 2008/615/ПВР („проверка по Договора от Прюм“).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Предложенията относно оперативната съвместимост </w:t>
      </w:r>
      <w:r>
        <w:rPr>
          <w:rFonts w:ascii="Times New Roman" w:hAnsi="Times New Roman"/>
          <w:b/>
          <w:noProof/>
          <w:sz w:val="24"/>
          <w:lang w:val="bg-BG"/>
        </w:rPr>
        <w:t>зачитат и утвърждават основните права и по-специално правото на защита на данните</w:t>
      </w:r>
      <w:r>
        <w:rPr>
          <w:rFonts w:ascii="Times New Roman" w:hAnsi="Times New Roman"/>
          <w:noProof/>
          <w:sz w:val="24"/>
          <w:lang w:val="bg-BG"/>
        </w:rPr>
        <w:t>. С въвеждането на новата всеобхватна рамка за защита на личните данни в ЕС и значителните развития в сигурността на технологиите и информационните системи принципът на ограничаване в рамките на целта може да бъде приложен по-лесно по отношение на достъпа до съхраняваните данни и използването им при пълно спазване на Хартата на основните права и неотдавнашната практика на Съда на ЕС. Предложените мерки няма да доведат до взаимосвързаност на отделните системи. Всяка система ще запази специфичните за нея ограничения в рамките на целта, правила за достъп и правила за запазване на данните. Също така предложените мерки няма да доведат до увеличаване на събирането на нови данни. Те осигуряват целенасочен и интелигентен начин за използване на наличната информация, съхранявана в системите на ЕС, за постигане на възможно най-добър резултат.</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Законодателните предложения са резултат от </w:t>
      </w:r>
      <w:r>
        <w:rPr>
          <w:rFonts w:ascii="Times New Roman" w:hAnsi="Times New Roman"/>
          <w:b/>
          <w:noProof/>
          <w:sz w:val="24"/>
          <w:lang w:val="bg-BG"/>
        </w:rPr>
        <w:t>всеобхватен и прозрачен процес</w:t>
      </w:r>
      <w:r>
        <w:rPr>
          <w:rFonts w:ascii="Times New Roman" w:hAnsi="Times New Roman"/>
          <w:noProof/>
          <w:sz w:val="24"/>
          <w:lang w:val="bg-BG"/>
        </w:rPr>
        <w:t>, чието начало бе поставено със Съобщението на Комисията „По-надеждни и по-интелигентни информационни системи в областта на границите и сигурността“ от април 2016 г., последвано от създаването на експертна група на високо равнище</w:t>
      </w:r>
      <w:r>
        <w:rPr>
          <w:rStyle w:val="FootnoteReference"/>
          <w:rFonts w:ascii="Times New Roman" w:hAnsi="Times New Roman"/>
          <w:noProof/>
          <w:sz w:val="24"/>
          <w:lang w:val="bg-BG"/>
        </w:rPr>
        <w:footnoteReference w:id="13"/>
      </w:r>
      <w:r>
        <w:rPr>
          <w:rFonts w:ascii="Times New Roman" w:hAnsi="Times New Roman"/>
          <w:noProof/>
          <w:sz w:val="24"/>
          <w:lang w:val="bg-BG"/>
        </w:rPr>
        <w:t xml:space="preserve"> с цел да се преодолеят правните, техническите и оперативните предизвикателства, свързани с различните варианти за постигане на оперативна съвместимост.</w:t>
      </w:r>
    </w:p>
    <w:p>
      <w:pPr>
        <w:spacing w:after="240" w:line="240" w:lineRule="auto"/>
        <w:jc w:val="both"/>
        <w:rPr>
          <w:rFonts w:ascii="Times New Roman" w:hAnsi="Times New Roman" w:cs="Times New Roman"/>
          <w:noProof/>
          <w:spacing w:val="-6"/>
          <w:sz w:val="24"/>
          <w:szCs w:val="24"/>
          <w:lang w:val="bg-BG"/>
        </w:rPr>
      </w:pPr>
      <w:r>
        <w:rPr>
          <w:rFonts w:ascii="Times New Roman" w:hAnsi="Times New Roman"/>
          <w:noProof/>
          <w:spacing w:val="-6"/>
          <w:sz w:val="24"/>
          <w:lang w:val="bg-BG"/>
        </w:rPr>
        <w:t xml:space="preserve">Законодателните предложения включват подробни разпоредби за </w:t>
      </w:r>
      <w:r>
        <w:rPr>
          <w:rFonts w:ascii="Times New Roman" w:hAnsi="Times New Roman"/>
          <w:b/>
          <w:noProof/>
          <w:spacing w:val="-6"/>
          <w:sz w:val="24"/>
          <w:lang w:val="bg-BG"/>
        </w:rPr>
        <w:t>внасяне на необходимите изменения в правните инструменти</w:t>
      </w:r>
      <w:r>
        <w:rPr>
          <w:rFonts w:ascii="Times New Roman" w:hAnsi="Times New Roman"/>
          <w:noProof/>
          <w:spacing w:val="-6"/>
          <w:sz w:val="24"/>
          <w:lang w:val="bg-BG"/>
        </w:rPr>
        <w:t>, които са понастоящем стабилни текстове, приети от съзаконодателите, а именно Кодекса на шенгенските граници, Регламента относно системата за влизане/излизане и правните инструменти, регламентиращи Визовата информационна система. Понастоящем по останалите инструменти</w:t>
      </w:r>
      <w:r>
        <w:rPr>
          <w:rStyle w:val="FootnoteReference"/>
          <w:rFonts w:ascii="Times New Roman" w:hAnsi="Times New Roman"/>
          <w:noProof/>
          <w:spacing w:val="-6"/>
          <w:sz w:val="24"/>
          <w:lang w:val="bg-BG"/>
        </w:rPr>
        <w:footnoteReference w:id="14"/>
      </w:r>
      <w:r>
        <w:rPr>
          <w:rFonts w:ascii="Times New Roman" w:hAnsi="Times New Roman"/>
          <w:noProof/>
          <w:spacing w:val="-6"/>
          <w:sz w:val="24"/>
          <w:lang w:val="bg-BG"/>
        </w:rPr>
        <w:t>, обхванати от законодателните предложения, се водят преговори между Европейския парламент и Съвета. По тази причина на сегашния етап е невъзможно да се определят необходимите промени в тези инструменти. Комисията ще представи такива изменения за всеки от въпросните инструменти в рамките на две седмици след постигането на политическо споразумение по съответния проект на регламент. Тя призовава съзаконодателите да постигнат бързо споразумение в текущите преговори по тези инструменти.</w:t>
      </w:r>
    </w:p>
    <w:p>
      <w:pPr>
        <w:pStyle w:val="ListParagraph"/>
        <w:numPr>
          <w:ilvl w:val="0"/>
          <w:numId w:val="19"/>
        </w:numPr>
        <w:spacing w:after="120" w:line="240" w:lineRule="auto"/>
        <w:jc w:val="both"/>
        <w:rPr>
          <w:rFonts w:ascii="Times New Roman" w:hAnsi="Times New Roman" w:cs="Times New Roman"/>
          <w:i/>
          <w:noProof/>
          <w:sz w:val="24"/>
          <w:szCs w:val="24"/>
          <w:lang w:val="bg-BG"/>
        </w:rPr>
      </w:pPr>
      <w:r>
        <w:rPr>
          <w:rFonts w:ascii="Times New Roman" w:hAnsi="Times New Roman"/>
          <w:i/>
          <w:noProof/>
          <w:sz w:val="24"/>
          <w:lang w:val="bg-BG"/>
        </w:rPr>
        <w:t>Разработване на нови и допълващи дейности за преодоляване на пропуските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допълнение към новите предложения относно оперативната съвместимост, посочени по-горе, от съществено значение е да продължи постигането на напредък във връзка с преодоляването на съществуващата понастоящем липса на информация за гражданите на трети държави, посещаващи Шенгенското пространство, която бе отбелязана от Комисията в нейното съобщение от април 2016 г. Окончателните текстове на Регламента за </w:t>
      </w:r>
      <w:r>
        <w:rPr>
          <w:rFonts w:ascii="Times New Roman" w:hAnsi="Times New Roman"/>
          <w:b/>
          <w:noProof/>
          <w:sz w:val="24"/>
          <w:lang w:val="bg-BG"/>
        </w:rPr>
        <w:t>създаване на Система за влизане/излизане</w:t>
      </w:r>
      <w:r>
        <w:rPr>
          <w:rStyle w:val="FootnoteReference"/>
          <w:rFonts w:ascii="Times New Roman" w:hAnsi="Times New Roman"/>
          <w:noProof/>
          <w:sz w:val="24"/>
          <w:lang w:val="bg-BG"/>
        </w:rPr>
        <w:footnoteReference w:id="15"/>
      </w:r>
      <w:r>
        <w:rPr>
          <w:rFonts w:ascii="Times New Roman" w:hAnsi="Times New Roman"/>
          <w:noProof/>
          <w:sz w:val="24"/>
          <w:lang w:val="bg-BG"/>
        </w:rPr>
        <w:t xml:space="preserve"> (СВИ) и на Регламента за изменение на Кодекса на шенгенските граници с цел адаптирането му спрямо СВИ</w:t>
      </w:r>
      <w:r>
        <w:rPr>
          <w:rStyle w:val="FootnoteReference"/>
          <w:rFonts w:ascii="Times New Roman" w:hAnsi="Times New Roman"/>
          <w:noProof/>
          <w:sz w:val="24"/>
          <w:lang w:val="bg-BG"/>
        </w:rPr>
        <w:footnoteReference w:id="16"/>
      </w:r>
      <w:r>
        <w:rPr>
          <w:rFonts w:ascii="Times New Roman" w:hAnsi="Times New Roman"/>
          <w:noProof/>
          <w:sz w:val="24"/>
          <w:lang w:val="bg-BG"/>
        </w:rPr>
        <w:t xml:space="preserve"> бяха приети от съзаконодателите в края на ноември и ще влязат в сила до края на 2017 г. Следващата стъпка е разработването на системата да започне през 2018 г., за да се гарантира, че до 2020 г. тя ще бъде напълно функционална. </w:t>
      </w:r>
    </w:p>
    <w:p>
      <w:pPr>
        <w:spacing w:after="240" w:line="240" w:lineRule="auto"/>
        <w:jc w:val="both"/>
        <w:rPr>
          <w:rFonts w:ascii="Times New Roman" w:hAnsi="Times New Roman" w:cs="Times New Roman"/>
          <w:noProof/>
          <w:spacing w:val="-2"/>
          <w:sz w:val="24"/>
          <w:szCs w:val="24"/>
          <w:lang w:val="bg-BG"/>
        </w:rPr>
      </w:pPr>
      <w:r>
        <w:rPr>
          <w:rFonts w:ascii="Times New Roman" w:hAnsi="Times New Roman"/>
          <w:noProof/>
          <w:spacing w:val="-2"/>
          <w:sz w:val="24"/>
          <w:lang w:val="bg-BG"/>
        </w:rPr>
        <w:t xml:space="preserve">Отстраняването на друга липса на информация — а именно информация за гражданите на трети страни, които не се нуждаят от виза — бе предмет на законодателното предложение на Комисията от ноември 2016 г. за създаване на нова широкомащабна информационна система — </w:t>
      </w:r>
      <w:r>
        <w:rPr>
          <w:rFonts w:ascii="Times New Roman" w:hAnsi="Times New Roman"/>
          <w:b/>
          <w:noProof/>
          <w:spacing w:val="-2"/>
          <w:sz w:val="24"/>
          <w:lang w:val="bg-BG"/>
        </w:rPr>
        <w:t>системата на ЕС за информация за пътуванията и разрешаването им (ETIAS)</w:t>
      </w:r>
      <w:r>
        <w:rPr>
          <w:rFonts w:ascii="Times New Roman" w:hAnsi="Times New Roman"/>
          <w:noProof/>
          <w:spacing w:val="-2"/>
          <w:sz w:val="24"/>
          <w:lang w:val="bg-BG"/>
        </w:rPr>
        <w:t>. Съветът постигна съгласие по своя общ подход през юни 2017 г. и мандатът за преговори на Европейския парламент бе потвърден на 25 октомври 2017 г. Тристранните преговори започнаха на същия ден и продължиха на 16 ноември 2017 г. и 29 ноември 2017 г. Предвижда се следващата политическа тристранна среща да се проведе на 12 декември 2017 г. Комисията призовава съзаконодателите да постигнат политическо споразумение по досието до края на 2017 г. в съответствие със заключенията на Европейския съвет от декември 2016 г. и Съвместната декларация.</w:t>
      </w:r>
    </w:p>
    <w:p>
      <w:pPr>
        <w:pStyle w:val="ListParagraph"/>
        <w:numPr>
          <w:ilvl w:val="0"/>
          <w:numId w:val="19"/>
        </w:numPr>
        <w:spacing w:after="120"/>
        <w:rPr>
          <w:rFonts w:ascii="Times New Roman" w:hAnsi="Times New Roman" w:cs="Times New Roman"/>
          <w:i/>
          <w:noProof/>
          <w:sz w:val="24"/>
          <w:szCs w:val="24"/>
          <w:lang w:val="bg-BG"/>
        </w:rPr>
      </w:pPr>
      <w:r>
        <w:rPr>
          <w:rFonts w:ascii="Times New Roman" w:hAnsi="Times New Roman"/>
          <w:i/>
          <w:noProof/>
          <w:sz w:val="24"/>
          <w:lang w:val="bg-BG"/>
        </w:rPr>
        <w:t>Извличане на максимална полза от съществуващите информационни системи</w:t>
      </w:r>
    </w:p>
    <w:p>
      <w:pPr>
        <w:spacing w:after="120" w:line="240" w:lineRule="auto"/>
        <w:jc w:val="both"/>
        <w:rPr>
          <w:rFonts w:ascii="Times New Roman" w:hAnsi="Times New Roman" w:cs="Times New Roman"/>
          <w:i/>
          <w:noProof/>
          <w:spacing w:val="-4"/>
          <w:sz w:val="24"/>
          <w:szCs w:val="24"/>
          <w:lang w:val="bg-BG"/>
        </w:rPr>
      </w:pPr>
      <w:r>
        <w:rPr>
          <w:rFonts w:ascii="Times New Roman" w:hAnsi="Times New Roman"/>
          <w:i/>
          <w:noProof/>
          <w:spacing w:val="-4"/>
          <w:sz w:val="24"/>
          <w:lang w:val="bg-BG"/>
        </w:rPr>
        <w:t xml:space="preserve">а) </w:t>
      </w:r>
      <w:r>
        <w:rPr>
          <w:noProof/>
          <w:spacing w:val="-4"/>
          <w:lang w:val="bg-BG"/>
        </w:rPr>
        <w:tab/>
      </w:r>
      <w:r>
        <w:rPr>
          <w:rFonts w:ascii="Times New Roman" w:hAnsi="Times New Roman"/>
          <w:i/>
          <w:noProof/>
          <w:spacing w:val="-4"/>
          <w:sz w:val="24"/>
          <w:lang w:val="bg-BG"/>
        </w:rPr>
        <w:t xml:space="preserve">Текуща законодателна дейност за укрепване на съществуващите информационни системи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Като част от усилията си за максимално увеличаване на потенциала на съществуващите информационни системи на ЕС, през декември 2016 г. Комисията прие три законодателни предложения, насочени към укрепване на </w:t>
      </w:r>
      <w:r>
        <w:rPr>
          <w:rFonts w:ascii="Times New Roman" w:hAnsi="Times New Roman"/>
          <w:b/>
          <w:noProof/>
          <w:sz w:val="24"/>
          <w:lang w:val="bg-BG"/>
        </w:rPr>
        <w:t>Шенгенската информационна система (ШИС)</w:t>
      </w:r>
      <w:r>
        <w:rPr>
          <w:rStyle w:val="FootnoteReference"/>
          <w:rFonts w:ascii="Times New Roman" w:hAnsi="Times New Roman"/>
          <w:noProof/>
          <w:sz w:val="24"/>
          <w:lang w:val="bg-BG"/>
        </w:rPr>
        <w:footnoteReference w:id="17"/>
      </w:r>
      <w:r>
        <w:rPr>
          <w:rFonts w:ascii="Times New Roman" w:hAnsi="Times New Roman"/>
          <w:noProof/>
          <w:sz w:val="24"/>
          <w:lang w:val="bg-BG"/>
        </w:rPr>
        <w:t>. Предложенията включват ключови мерки за засилване на борбата с тероризма, като например установяването на задължение за държавите членки да въвеждат сигнал в ШИС, в случай че дадено лице се издирва във връзка с терористично престъпление. Обсъжданията в Европейския парламент и Съвета включваха също така необходимостта от споделяне с Европол на съдържащата се в ШИС информация за терористични престъпления, като бяха предложени изменения, които да позволят на Европол и държавите членки да обменят допълнителна информация за намерените съответствия в ШИС, свързани с тероризъм, и на Европол да извършва кръстосана проверка на информацията за новосъздадените сигнали и намерените съответствия по такива сигнали, съпоставяйки ги с информацията в своите бази данни и аналитични работни досиета. Преговорите между Европейския парламент и Съвета по тези предложения започнаха на 16 ноември 2017 г. Предвид важността на предложенията, Комисията настоятелно приканва съзаконодателите да постигнат споразумение по тях до началото на 2018 г.</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Успоредно с това, както беше планирано още през 2016 г., продължава работата по укрепване на ШИС чрез въвеждане на </w:t>
      </w:r>
      <w:r>
        <w:rPr>
          <w:rFonts w:ascii="Times New Roman" w:hAnsi="Times New Roman"/>
          <w:b/>
          <w:noProof/>
          <w:sz w:val="24"/>
          <w:lang w:val="bg-BG"/>
        </w:rPr>
        <w:t>автоматизирана система за дактилоскопична идентификация (AFIS)</w:t>
      </w:r>
      <w:r>
        <w:rPr>
          <w:rFonts w:ascii="Times New Roman" w:hAnsi="Times New Roman"/>
          <w:noProof/>
          <w:sz w:val="24"/>
          <w:lang w:val="bg-BG"/>
        </w:rPr>
        <w:t>. Това ще позволи на крайните потребители на ШИС (като полицейските и граничните служители) да търсят в ШИС въз основа на дактилоскопични данни, което ще даде възможност за надеждно идентифициране на лицата, включително на онези, които пътуват под фалшива самоличност. Девет държави членки са изявили желание да участват в първия етап от въвеждането на AFIS, който се очаква да започне през март 2018 г. Пълното въвеждане във всички държави членки, използващи ШИС, се очаква да завърши по-късно същата година.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Що се отнася до законодателното предложение за укрепване на системата на </w:t>
      </w:r>
      <w:r>
        <w:rPr>
          <w:rFonts w:ascii="Times New Roman" w:hAnsi="Times New Roman"/>
          <w:b/>
          <w:noProof/>
          <w:sz w:val="24"/>
          <w:lang w:val="bg-BG"/>
        </w:rPr>
        <w:t>Евродак</w:t>
      </w:r>
      <w:r>
        <w:rPr>
          <w:rStyle w:val="FootnoteReference"/>
          <w:rFonts w:ascii="Times New Roman" w:hAnsi="Times New Roman"/>
          <w:noProof/>
          <w:sz w:val="24"/>
          <w:lang w:val="bg-BG"/>
        </w:rPr>
        <w:footnoteReference w:id="18"/>
      </w:r>
      <w:r>
        <w:rPr>
          <w:rFonts w:ascii="Times New Roman" w:hAnsi="Times New Roman"/>
          <w:noProof/>
          <w:sz w:val="24"/>
          <w:lang w:val="bg-BG"/>
        </w:rPr>
        <w:t>, понастоящем се провеждат тристранни разговори. Евродак е една от информационните системи, по отношение на които ще се прилагат компонентите за оперативна съвместимост, поради което е важно съзаконодателите да постигнат бързо споразумение по това досие. В своето съобщение относно приноса на Комисията към срещата на лидерите относно бъдещите действия във връзка с външното и вътрешното измерение на политиката в областта на миграцията</w:t>
      </w:r>
      <w:r>
        <w:rPr>
          <w:rStyle w:val="FootnoteReference"/>
          <w:rFonts w:ascii="Times New Roman" w:hAnsi="Times New Roman"/>
          <w:noProof/>
          <w:sz w:val="24"/>
          <w:lang w:val="bg-BG"/>
        </w:rPr>
        <w:footnoteReference w:id="19"/>
      </w:r>
      <w:r>
        <w:rPr>
          <w:rFonts w:ascii="Times New Roman" w:hAnsi="Times New Roman"/>
          <w:noProof/>
          <w:sz w:val="24"/>
          <w:lang w:val="bg-BG"/>
        </w:rPr>
        <w:t xml:space="preserve"> Комисията призовава предложението да бъде прието до март 2018 г.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За да се пресекат още повече възможностите за действие на терористите и престъпниците, на 29 юни 2017 г. Комисията представи допълнително предложение с цел улесняване на обмена в ЕС на информация от регистрите за съдимост, отнасяща се до гражданите на трети държави, посредством </w:t>
      </w:r>
      <w:r>
        <w:rPr>
          <w:rFonts w:ascii="Times New Roman" w:hAnsi="Times New Roman"/>
          <w:b/>
          <w:noProof/>
          <w:sz w:val="24"/>
          <w:lang w:val="bg-BG"/>
        </w:rPr>
        <w:t>Европейската информационна система за регистрите за съдимост (ECRIS)</w:t>
      </w:r>
      <w:r>
        <w:rPr>
          <w:rStyle w:val="FootnoteReference"/>
          <w:rFonts w:ascii="Times New Roman" w:hAnsi="Times New Roman"/>
          <w:noProof/>
          <w:sz w:val="24"/>
          <w:lang w:val="bg-BG"/>
        </w:rPr>
        <w:footnoteReference w:id="20"/>
      </w:r>
      <w:r>
        <w:rPr>
          <w:rFonts w:ascii="Times New Roman" w:hAnsi="Times New Roman"/>
          <w:noProof/>
          <w:sz w:val="24"/>
          <w:lang w:val="bg-BG"/>
        </w:rPr>
        <w:t>. На 8 декември 2017 г. Съветът по правосъдие и вътрешни работи прие общ подход по предложените директива</w:t>
      </w:r>
      <w:r>
        <w:rPr>
          <w:rStyle w:val="FootnoteReference"/>
          <w:rFonts w:ascii="Times New Roman" w:hAnsi="Times New Roman"/>
          <w:noProof/>
          <w:sz w:val="24"/>
          <w:lang w:val="bg-BG"/>
        </w:rPr>
        <w:footnoteReference w:id="21"/>
      </w:r>
      <w:r>
        <w:rPr>
          <w:rFonts w:ascii="Times New Roman" w:hAnsi="Times New Roman"/>
          <w:noProof/>
          <w:sz w:val="24"/>
          <w:lang w:val="bg-BG"/>
        </w:rPr>
        <w:t xml:space="preserve"> и регламент. Тристранните обсъждания между съзаконодателите могат да започнат веднага след като Европейският парламент приеме своя мандат за преговори по двете предложения относно ECRIS. Комисията призовава съзаконодателите да постигнат бързо споразумение по предложенията.</w:t>
      </w:r>
    </w:p>
    <w:p>
      <w:pPr>
        <w:spacing w:after="240" w:line="240" w:lineRule="auto"/>
        <w:jc w:val="both"/>
        <w:rPr>
          <w:rFonts w:ascii="Times New Roman" w:hAnsi="Times New Roman" w:cs="Times New Roman"/>
          <w:noProof/>
          <w:spacing w:val="-4"/>
          <w:sz w:val="24"/>
          <w:szCs w:val="24"/>
          <w:lang w:val="bg-BG"/>
        </w:rPr>
      </w:pPr>
      <w:r>
        <w:rPr>
          <w:rFonts w:ascii="Times New Roman" w:hAnsi="Times New Roman"/>
          <w:noProof/>
          <w:spacing w:val="-4"/>
          <w:sz w:val="24"/>
          <w:lang w:val="bg-BG"/>
        </w:rPr>
        <w:t xml:space="preserve">На 29 юни 2017 г. Комисията прие предложение с цел преразглеждане на </w:t>
      </w:r>
      <w:r>
        <w:rPr>
          <w:rFonts w:ascii="Times New Roman" w:hAnsi="Times New Roman"/>
          <w:b/>
          <w:noProof/>
          <w:spacing w:val="-4"/>
          <w:sz w:val="24"/>
          <w:lang w:val="bg-BG"/>
        </w:rPr>
        <w:t>мандата на Агенцията за оперативното управление на широкомащабни информационни системи в пространството на свобода, сигурност и правосъдие</w:t>
      </w:r>
      <w:r>
        <w:rPr>
          <w:rStyle w:val="FootnoteReference"/>
          <w:rFonts w:ascii="Times New Roman" w:hAnsi="Times New Roman"/>
          <w:noProof/>
          <w:spacing w:val="-4"/>
          <w:sz w:val="24"/>
          <w:lang w:val="bg-BG"/>
        </w:rPr>
        <w:footnoteReference w:id="22"/>
      </w:r>
      <w:r>
        <w:rPr>
          <w:rFonts w:ascii="Times New Roman" w:hAnsi="Times New Roman"/>
          <w:noProof/>
          <w:spacing w:val="-4"/>
          <w:sz w:val="24"/>
          <w:lang w:val="bg-BG"/>
        </w:rPr>
        <w:t xml:space="preserve">. На Агенцията следва да бъде възложено да допринася за развиването на оперативната съвместимост между широкомащабните информационни системи, като с оглед на това целта на предложението е да се преразгледа регламента за създаване на Агенцията, за да се вземат под внимание препоръките, произтичащи от оценката на Агенцията, нейното функциониране да бъде подобрено и да се засили и укрепи ролята ѝ, така че да се гарантира способността ѝ да отговори на настоящите предизвикателства на равнище ЕС. С предложението се цели също така да се въведат промени, произтичащи от политическото, правното или фактическото развитие, и по-специално да се отрази, че на Агенцията ще бъдат поверени нови системи. Комисията по граждански свободи, правосъдие и вътрешни работи (LIBE) на Европейския парламент прие мандат за преговори на 7 декември 2017 г., а Съветът постигна съгласие по общ подход на същия ден. </w:t>
      </w:r>
    </w:p>
    <w:p>
      <w:pPr>
        <w:spacing w:after="120" w:line="240" w:lineRule="auto"/>
        <w:jc w:val="both"/>
        <w:rPr>
          <w:rFonts w:ascii="Times New Roman" w:hAnsi="Times New Roman" w:cs="Times New Roman"/>
          <w:i/>
          <w:noProof/>
          <w:sz w:val="24"/>
          <w:szCs w:val="24"/>
          <w:lang w:val="bg-BG"/>
        </w:rPr>
      </w:pPr>
      <w:r>
        <w:rPr>
          <w:rFonts w:ascii="Times New Roman" w:hAnsi="Times New Roman"/>
          <w:i/>
          <w:noProof/>
          <w:sz w:val="24"/>
          <w:lang w:val="bg-BG"/>
        </w:rPr>
        <w:t xml:space="preserve">б) </w:t>
      </w:r>
      <w:r>
        <w:rPr>
          <w:noProof/>
          <w:lang w:val="bg-BG"/>
        </w:rPr>
        <w:tab/>
      </w:r>
      <w:r>
        <w:rPr>
          <w:rFonts w:ascii="Times New Roman" w:hAnsi="Times New Roman"/>
          <w:i/>
          <w:noProof/>
          <w:sz w:val="24"/>
          <w:lang w:val="bg-BG"/>
        </w:rPr>
        <w:t>Осигуряване на пълното привеждане в действие на съществуващите информационни системи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Ключов инструмент в борбата срещу тероризма и организираната престъпност е </w:t>
      </w:r>
      <w:r>
        <w:rPr>
          <w:rFonts w:ascii="Times New Roman" w:hAnsi="Times New Roman"/>
          <w:b/>
          <w:noProof/>
          <w:sz w:val="24"/>
          <w:lang w:val="bg-BG"/>
        </w:rPr>
        <w:t>Директивата относно резервационните данни на пътниците (PNR данни)</w:t>
      </w:r>
      <w:r>
        <w:rPr>
          <w:rStyle w:val="FootnoteReference"/>
          <w:rFonts w:ascii="Times New Roman" w:hAnsi="Times New Roman"/>
          <w:noProof/>
          <w:sz w:val="24"/>
          <w:lang w:val="bg-BG"/>
        </w:rPr>
        <w:footnoteReference w:id="23"/>
      </w:r>
      <w:r>
        <w:rPr>
          <w:rFonts w:ascii="Times New Roman" w:hAnsi="Times New Roman"/>
          <w:noProof/>
          <w:sz w:val="24"/>
          <w:lang w:val="bg-BG"/>
        </w:rPr>
        <w:t>. Въпреки че във всички държави членки продължава работата, за да се гарантира пълното транспониране на Директивата в установения срок, който е 25 май 2018 г., една година след приемането през ноември 2016 г. на Плана за транспониране на Директивата за PNR данните</w:t>
      </w:r>
      <w:r>
        <w:rPr>
          <w:rStyle w:val="FootnoteReference"/>
          <w:rFonts w:ascii="Times New Roman" w:hAnsi="Times New Roman"/>
          <w:noProof/>
          <w:sz w:val="24"/>
          <w:lang w:val="bg-BG"/>
        </w:rPr>
        <w:footnoteReference w:id="24"/>
      </w:r>
      <w:r>
        <w:rPr>
          <w:rFonts w:ascii="Times New Roman" w:hAnsi="Times New Roman"/>
          <w:noProof/>
          <w:sz w:val="24"/>
          <w:lang w:val="bg-BG"/>
        </w:rPr>
        <w:t xml:space="preserve">, все още има значителни разлики в напредъка на държавите членки при привеждането в действие на националните им системи за PNR данни. Крайният срок за транспониране бързо приближава. По тази причина е от решаващо значение усилията да бъдат увеличени, за да може до 25 май 2018 г. да бъде постигнат успешен резултат. От особено значение е въвеждането на процедурите и на каналите за комуникация, за да се даде възможност на националните звена за данни за пътниците да споделят всички относими PNR данни със звената за данни за пътниците на другите държави членки и с Европол. Този изключително важен инструмент на ЕС в областта на сигурността ще може да достигне пълния си потенциал едва когато </w:t>
      </w:r>
      <w:r>
        <w:rPr>
          <w:rFonts w:ascii="Times New Roman" w:hAnsi="Times New Roman"/>
          <w:noProof/>
          <w:sz w:val="24"/>
          <w:u w:val="single"/>
          <w:lang w:val="bg-BG"/>
        </w:rPr>
        <w:t>всички</w:t>
      </w:r>
      <w:r>
        <w:rPr>
          <w:rFonts w:ascii="Times New Roman" w:hAnsi="Times New Roman"/>
          <w:noProof/>
          <w:sz w:val="24"/>
          <w:lang w:val="bg-BG"/>
        </w:rPr>
        <w:t xml:space="preserve"> държави членки разполагат с действащи системи за PNR данни и са в състояние действително да обменят данни помежду си и с Европол. Към 15 ноември 2017 г. положението е следното: </w:t>
      </w:r>
    </w:p>
    <w:p>
      <w:pPr>
        <w:pStyle w:val="ListParagraph"/>
        <w:numPr>
          <w:ilvl w:val="0"/>
          <w:numId w:val="27"/>
        </w:numPr>
        <w:spacing w:after="0" w:line="240" w:lineRule="auto"/>
        <w:jc w:val="both"/>
        <w:rPr>
          <w:noProof/>
          <w:szCs w:val="24"/>
          <w:lang w:val="bg-BG"/>
        </w:rPr>
      </w:pPr>
      <w:r>
        <w:rPr>
          <w:rFonts w:ascii="Times New Roman" w:hAnsi="Times New Roman"/>
          <w:noProof/>
          <w:sz w:val="24"/>
          <w:lang w:val="bg-BG"/>
        </w:rPr>
        <w:t xml:space="preserve">Седем държави членки вече имат както юридическата, така и техническата способност да събират и обработват PNR данни. Повечето от тези държави членки обаче все още трябва да адаптират съответната си правна уредба, за да я приведат напълно в съответствие с изискванията на Директивата за резервационните данни на пътниците. </w:t>
      </w:r>
    </w:p>
    <w:p>
      <w:pPr>
        <w:pStyle w:val="Point0letter"/>
        <w:numPr>
          <w:ilvl w:val="0"/>
          <w:numId w:val="27"/>
        </w:numPr>
        <w:spacing w:before="0" w:after="0"/>
        <w:rPr>
          <w:noProof/>
          <w:szCs w:val="24"/>
          <w:lang w:val="bg-BG"/>
        </w:rPr>
      </w:pPr>
      <w:r>
        <w:rPr>
          <w:noProof/>
          <w:lang w:val="bg-BG"/>
        </w:rPr>
        <w:t>Тринадесет държави членки са на междинен етап на изпълнение. Четири от тях вече са създали и оборудвали своите звена за данни за пътниците (ЗДП), но те реално не събират и не обработват PNR данни поради липсата на правно основание, позволяващо събирането на лични данни. Останалите девет държави членки са на различни етапи от процеса на финализиране на разработването или инсталирането на ЗДП и на техническото решение, което ще се използва за обработването на PNR данни съгласно изискванията на Директивата за PNR данните, а установяването на взаимодействие с въздушните превозвачи е все още в процес на развитие. Някои от въпросните девет държави членки обаче вече са приели законодателство за резервационните данни на пътниците.</w:t>
      </w:r>
    </w:p>
    <w:p>
      <w:pPr>
        <w:pStyle w:val="ListParagraph"/>
        <w:numPr>
          <w:ilvl w:val="0"/>
          <w:numId w:val="27"/>
        </w:numPr>
        <w:spacing w:after="240" w:line="240" w:lineRule="auto"/>
        <w:jc w:val="both"/>
        <w:rPr>
          <w:rFonts w:ascii="Times New Roman" w:hAnsi="Times New Roman" w:cs="Times New Roman"/>
          <w:noProof/>
          <w:spacing w:val="-4"/>
          <w:sz w:val="24"/>
          <w:szCs w:val="24"/>
          <w:lang w:val="bg-BG"/>
        </w:rPr>
      </w:pPr>
      <w:r>
        <w:rPr>
          <w:rFonts w:ascii="Times New Roman" w:hAnsi="Times New Roman"/>
          <w:noProof/>
          <w:spacing w:val="-4"/>
          <w:sz w:val="24"/>
          <w:lang w:val="bg-BG"/>
        </w:rPr>
        <w:t>Седем държави членки не са постигнали достатъчен напредък в процеса на привеждане в действие и все още трябва да определят административната структура на своите ЗДП, и/или да внесат съответното законодателство в своите парламенти, и/или да започнат инсталирането на техническото решение, което ще се използва от ЗДП, и/или да започнат процеса по установяване на свързаност с въздушните превозвачи.</w:t>
      </w:r>
    </w:p>
    <w:p>
      <w:pPr>
        <w:spacing w:after="240" w:line="240" w:lineRule="auto"/>
        <w:jc w:val="both"/>
        <w:rPr>
          <w:rFonts w:ascii="Times New Roman" w:hAnsi="Times New Roman" w:cs="Times New Roman"/>
          <w:noProof/>
          <w:sz w:val="24"/>
          <w:szCs w:val="24"/>
          <w:lang w:val="bg-BG"/>
        </w:rPr>
      </w:pPr>
      <w:r>
        <w:rPr>
          <w:rStyle w:val="CommentReference"/>
          <w:rFonts w:ascii="Times New Roman" w:hAnsi="Times New Roman"/>
          <w:noProof/>
          <w:sz w:val="24"/>
          <w:lang w:val="bg-BG"/>
        </w:rPr>
        <w:t>Комисията продължава да оказва подкрепа на държавите членки в усилията им да приведат своевременно директивата в действие.</w:t>
      </w:r>
      <w:r>
        <w:rPr>
          <w:rFonts w:ascii="Times New Roman" w:hAnsi="Times New Roman"/>
          <w:noProof/>
          <w:sz w:val="24"/>
          <w:lang w:val="bg-BG"/>
        </w:rPr>
        <w:t xml:space="preserve"> Шестата среща, посветена на изпълнението на Директивата относно резервационните данни на пътниците, се проведе на 3 октомври 2017 г. и даде възможност на експертите от държавите членки да предоставят на колегите си от другите държави и на Комисията актуална информация за постигнатия напредък в процеса на привеждане в действие и да споделят извлечените поуки, добри практики и практически опит.</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Чрез националните програми и действията на ЕС по линия на фонд „Вътрешна сигурност“ — Полиция бе предоставена финансова помощ, за да се подпомогне изграждането на функционални ЗДП на национално равнище и да се създадат условия за обмен на PNR данни между тях в съответствие с Директивата за PNR данните</w:t>
      </w:r>
      <w:r>
        <w:rPr>
          <w:rStyle w:val="FootnoteReference"/>
          <w:rFonts w:ascii="Times New Roman" w:hAnsi="Times New Roman"/>
          <w:noProof/>
          <w:sz w:val="24"/>
          <w:lang w:val="bg-BG"/>
        </w:rPr>
        <w:footnoteReference w:id="25"/>
      </w:r>
      <w:r>
        <w:rPr>
          <w:rFonts w:ascii="Times New Roman" w:hAnsi="Times New Roman"/>
          <w:noProof/>
          <w:sz w:val="24"/>
          <w:lang w:val="bg-BG"/>
        </w:rPr>
        <w:t xml:space="preserve">.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Продължава също така работата за осигуряване на пълното изпълнение на </w:t>
      </w:r>
      <w:r>
        <w:rPr>
          <w:rFonts w:ascii="Times New Roman" w:hAnsi="Times New Roman"/>
          <w:b/>
          <w:noProof/>
          <w:sz w:val="24"/>
          <w:lang w:val="bg-BG"/>
        </w:rPr>
        <w:t>решенията от Прюм</w:t>
      </w:r>
      <w:r>
        <w:rPr>
          <w:rStyle w:val="FootnoteReference"/>
          <w:rFonts w:ascii="Times New Roman" w:hAnsi="Times New Roman"/>
          <w:noProof/>
          <w:sz w:val="24"/>
          <w:lang w:val="bg-BG"/>
        </w:rPr>
        <w:footnoteReference w:id="26"/>
      </w:r>
      <w:r>
        <w:rPr>
          <w:rFonts w:ascii="Times New Roman" w:hAnsi="Times New Roman"/>
          <w:noProof/>
          <w:sz w:val="24"/>
          <w:lang w:val="bg-BG"/>
        </w:rPr>
        <w:t xml:space="preserve"> за обмена на дактилоскопични данни, данни за ДНК и данни за регистрацията на превозни средства. Въпреки че по-голямата част от държавите членки са постигнали напредък в това отношение, Комисията трябваше да прибегне до упражняване на правомощията си за установяване на нарушение. Тя изпрати мотивирани становища на Хърватия, Ирландия и Италия на 18 май 2017 г. и на Гърция — на 5 октомври 2017 г. Успоредно с това Комисията продължава да оказва подкрепа на държавите членки чрез предоставяне на финансова помощ за изпълнението по линия на националните програми в рамките на фонд „Вътрешна сигурност“ — Полиция. Комисията предостави допълнителни 22 милиона евро за тези национални програми за 2017 г. и това финансиране може да бъде използвано за изпълнението на решенията от Прюм.</w:t>
      </w:r>
    </w:p>
    <w:p>
      <w:pPr>
        <w:spacing w:after="120" w:line="240" w:lineRule="auto"/>
        <w:jc w:val="both"/>
        <w:rPr>
          <w:rFonts w:ascii="Times New Roman" w:hAnsi="Times New Roman" w:cs="Times New Roman"/>
          <w:i/>
          <w:noProof/>
          <w:sz w:val="24"/>
          <w:szCs w:val="24"/>
          <w:lang w:val="bg-BG"/>
        </w:rPr>
      </w:pPr>
      <w:r>
        <w:rPr>
          <w:rFonts w:ascii="Times New Roman" w:hAnsi="Times New Roman"/>
          <w:i/>
          <w:noProof/>
          <w:sz w:val="24"/>
          <w:lang w:val="bg-BG"/>
        </w:rPr>
        <w:t xml:space="preserve">в) </w:t>
      </w:r>
      <w:r>
        <w:rPr>
          <w:noProof/>
          <w:lang w:val="bg-BG"/>
        </w:rPr>
        <w:tab/>
      </w:r>
      <w:r>
        <w:rPr>
          <w:rFonts w:ascii="Times New Roman" w:hAnsi="Times New Roman"/>
          <w:i/>
          <w:noProof/>
          <w:sz w:val="24"/>
          <w:lang w:val="bg-BG"/>
        </w:rPr>
        <w:t>Подкрепа за по-добро прилагане на съществуващите информационни системи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допълнение към укрепването на съществуващите системи и гарантирането на тяхното пълно привеждане в действие, Комисията също така работи усилено по оказването на подкрепа за по-доброто прилагане на съществуващите информационни системи. Съгласно </w:t>
      </w:r>
      <w:r>
        <w:rPr>
          <w:rFonts w:ascii="Times New Roman" w:hAnsi="Times New Roman"/>
          <w:b/>
          <w:noProof/>
          <w:sz w:val="24"/>
          <w:lang w:val="bg-BG"/>
        </w:rPr>
        <w:t>механизма за оценка по Шенген</w:t>
      </w:r>
      <w:r>
        <w:rPr>
          <w:rStyle w:val="FootnoteReference"/>
          <w:rFonts w:ascii="Times New Roman" w:hAnsi="Times New Roman"/>
          <w:b/>
          <w:noProof/>
          <w:sz w:val="24"/>
          <w:lang w:val="bg-BG"/>
        </w:rPr>
        <w:footnoteReference w:id="27"/>
      </w:r>
      <w:r>
        <w:rPr>
          <w:rFonts w:ascii="Times New Roman" w:hAnsi="Times New Roman"/>
          <w:noProof/>
          <w:sz w:val="24"/>
          <w:lang w:val="bg-BG"/>
        </w:rPr>
        <w:t xml:space="preserve"> оценките на място в държавите членки във връзка с прилагането на ШИС се извършват на всеки пет години от експерти на държавите членки и Европейската комисия в тази област. През 2017 г. бяха извършени посещения за оценка в Дания, Исландия, Швеция, Португалия, Испания, Хърватия, Норвегия и Обединеното кралство. За отстраняване на установените по време на оценките проблеми във връзка с прилагането се отправят официални препоръки на Съвета към съответната държава членка. Напредъкът по изпълнението на вече отправени препоръки също представлява част от проверките, извършвани от екипите за оценка при посещенията на място. Като се основава на констатациите от извършените до момента оценки по Шенген за използването на Шенгенската информационна система, Комисията ще изготви </w:t>
      </w:r>
      <w:r>
        <w:rPr>
          <w:rFonts w:ascii="Times New Roman" w:hAnsi="Times New Roman"/>
          <w:b/>
          <w:noProof/>
          <w:sz w:val="24"/>
          <w:lang w:val="bg-BG"/>
        </w:rPr>
        <w:t>набор от най-добри практики и извлечени поуки</w:t>
      </w:r>
      <w:r>
        <w:rPr>
          <w:rFonts w:ascii="Times New Roman" w:hAnsi="Times New Roman"/>
          <w:noProof/>
          <w:sz w:val="24"/>
          <w:lang w:val="bg-BG"/>
        </w:rPr>
        <w:t>, осигуряващ добавена стойност във всички държави членки за подобряване на прилагането на съществуващите информационни системи, и ще го представи впоследствие за обсъждане с държавите членки.</w:t>
      </w:r>
    </w:p>
    <w:p>
      <w:pPr>
        <w:spacing w:after="240" w:line="240" w:lineRule="auto"/>
        <w:jc w:val="both"/>
        <w:rPr>
          <w:noProof/>
          <w:sz w:val="24"/>
          <w:szCs w:val="24"/>
          <w:lang w:val="bg-BG"/>
        </w:rPr>
      </w:pPr>
      <w:r>
        <w:rPr>
          <w:rFonts w:ascii="Times New Roman" w:hAnsi="Times New Roman"/>
          <w:noProof/>
          <w:sz w:val="24"/>
          <w:lang w:val="bg-BG"/>
        </w:rPr>
        <w:t xml:space="preserve">С цел допълнително подобряване на информационните потоци държавите членки следва да използват пълноценно технически решения за подобряване на обмена на информация с Европол. Автоматизирането на процеса на въвеждане на данни в </w:t>
      </w:r>
      <w:r>
        <w:rPr>
          <w:rFonts w:ascii="Times New Roman" w:hAnsi="Times New Roman"/>
          <w:b/>
          <w:noProof/>
          <w:sz w:val="24"/>
          <w:lang w:val="bg-BG"/>
        </w:rPr>
        <w:t>информационната система на Европол</w:t>
      </w:r>
      <w:r>
        <w:rPr>
          <w:rFonts w:ascii="Times New Roman" w:hAnsi="Times New Roman"/>
          <w:noProof/>
          <w:sz w:val="24"/>
          <w:lang w:val="bg-BG"/>
        </w:rPr>
        <w:t xml:space="preserve"> за целите на кръстосаните проверки може значително да подобри обмена на релевантна и актуална информация с Европол и с другите държави членки. Т.нар. „системи за въвеждане на данни“ предоставят технически инструмент за такова автоматизирано въвеждане на данни. Европол е разработила такива системи за въвеждане на данни, за да даде възможност на държавите членки да постигат по-добри резултати при въвеждането, актуализирането и заличаването на данни в информационната система на Европол. Тези системи за въвеждане на данни вече се използват в няколко държави членки</w:t>
      </w:r>
      <w:r>
        <w:rPr>
          <w:rStyle w:val="FootnoteReference"/>
          <w:rFonts w:ascii="Times New Roman" w:hAnsi="Times New Roman"/>
          <w:noProof/>
          <w:sz w:val="24"/>
          <w:lang w:val="bg-BG"/>
        </w:rPr>
        <w:footnoteReference w:id="28"/>
      </w:r>
      <w:r>
        <w:rPr>
          <w:noProof/>
          <w:lang w:val="bg-BG"/>
        </w:rPr>
        <w:t>.</w:t>
      </w:r>
      <w:r>
        <w:rPr>
          <w:rFonts w:ascii="Times New Roman" w:hAnsi="Times New Roman"/>
          <w:noProof/>
          <w:sz w:val="24"/>
          <w:lang w:val="bg-BG"/>
        </w:rPr>
        <w:t xml:space="preserve"> С цел данните на Европол да бъдат предоставени на разположение на много по-широка група от полицейски служители понастоящем се изпълнява пилотен проект, в който участват пет държави членки (Испания, Естония, Финландия, Гърция и Полша), и който е фокусиран върху използването на </w:t>
      </w:r>
      <w:r>
        <w:rPr>
          <w:rFonts w:ascii="Times New Roman" w:hAnsi="Times New Roman"/>
          <w:b/>
          <w:noProof/>
          <w:sz w:val="24"/>
          <w:lang w:val="bg-BG"/>
        </w:rPr>
        <w:t>QUEST</w:t>
      </w:r>
      <w:r>
        <w:rPr>
          <w:rFonts w:ascii="Times New Roman" w:hAnsi="Times New Roman"/>
          <w:noProof/>
          <w:sz w:val="24"/>
          <w:lang w:val="bg-BG"/>
        </w:rPr>
        <w:t xml:space="preserve"> — системен интерфейс, който позволява интегриране на автоматични търсения в данните на Европол от информационните системи на националната полиция. Очаква се този интерфейс да започне да функционира в началото на 2018 г., след като бъде валидиран от Европейския надзорен орган по защита на данните и премине оперативни тестове в държавите членки.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Комисията възложи извършването на проучване за оценка на пълнотата и съответствието на мерките на държавите членки за транспониране на </w:t>
      </w:r>
      <w:r>
        <w:rPr>
          <w:rFonts w:ascii="Times New Roman" w:hAnsi="Times New Roman"/>
          <w:b/>
          <w:noProof/>
          <w:sz w:val="24"/>
          <w:lang w:val="bg-BG"/>
        </w:rPr>
        <w:t>Шведското рамково решение</w:t>
      </w:r>
      <w:r>
        <w:rPr>
          <w:rStyle w:val="FootnoteReference"/>
          <w:rFonts w:ascii="Times New Roman" w:hAnsi="Times New Roman"/>
          <w:noProof/>
          <w:sz w:val="24"/>
          <w:lang w:val="bg-BG"/>
        </w:rPr>
        <w:footnoteReference w:id="29"/>
      </w:r>
      <w:r>
        <w:rPr>
          <w:rFonts w:ascii="Times New Roman" w:hAnsi="Times New Roman"/>
          <w:noProof/>
          <w:sz w:val="24"/>
          <w:lang w:val="bg-BG"/>
        </w:rPr>
        <w:t>, предвиждащо обща правна рамка за обмен на информация между правоприлагащите органи на държавите членки. Резултатите се очакват през първото тримесечие на 2018 г. и ще бъдат анализирани, за да се види дали са необходими нови действия. На 3 октомври 2017 г. Комисията отправи мотивирано становище до Люксембург във връзка с неуведомяване за предприетите национални мерки за транспониране на това решение.</w:t>
      </w:r>
    </w:p>
    <w:p>
      <w:pPr>
        <w:spacing w:after="240" w:line="240" w:lineRule="auto"/>
        <w:rPr>
          <w:i/>
          <w:noProof/>
          <w:sz w:val="24"/>
          <w:szCs w:val="24"/>
          <w:lang w:val="bg-BG"/>
        </w:rPr>
      </w:pPr>
      <w:r>
        <w:rPr>
          <w:rFonts w:ascii="Times New Roman" w:hAnsi="Times New Roman"/>
          <w:b/>
          <w:noProof/>
          <w:sz w:val="24"/>
          <w:lang w:val="bg-BG"/>
        </w:rPr>
        <w:t>III.</w:t>
      </w:r>
      <w:r>
        <w:rPr>
          <w:noProof/>
          <w:lang w:val="bg-BG"/>
        </w:rPr>
        <w:tab/>
      </w:r>
      <w:r>
        <w:rPr>
          <w:rFonts w:ascii="Times New Roman" w:hAnsi="Times New Roman"/>
          <w:b/>
          <w:noProof/>
          <w:sz w:val="24"/>
          <w:lang w:val="bg-BG"/>
        </w:rPr>
        <w:t>ИЗПЪЛНЕНИЕ ПО ДРУГИ ПРИОРИТЕТНИ ДОСИЕТА ВЪВ ВРЪЗКА СЪС СИГУРНОСТТА</w:t>
      </w:r>
    </w:p>
    <w:p>
      <w:pPr>
        <w:spacing w:after="240" w:line="240" w:lineRule="auto"/>
        <w:jc w:val="both"/>
        <w:rPr>
          <w:noProof/>
          <w:sz w:val="24"/>
          <w:szCs w:val="24"/>
          <w:lang w:val="bg-BG"/>
        </w:rPr>
      </w:pPr>
      <w:r>
        <w:rPr>
          <w:rFonts w:ascii="Times New Roman" w:hAnsi="Times New Roman"/>
          <w:noProof/>
          <w:sz w:val="24"/>
          <w:lang w:val="bg-BG"/>
        </w:rPr>
        <w:t>Наред с работата по преодоляване на липсата на информация и укрепване на информационните системи продължи работата в редица други области от Съюза на сигурност.</w:t>
      </w:r>
    </w:p>
    <w:p>
      <w:pPr>
        <w:pStyle w:val="ListParagraph"/>
        <w:numPr>
          <w:ilvl w:val="0"/>
          <w:numId w:val="31"/>
        </w:numPr>
        <w:spacing w:after="120" w:line="240" w:lineRule="auto"/>
        <w:jc w:val="both"/>
        <w:rPr>
          <w:rFonts w:ascii="Times New Roman" w:hAnsi="Times New Roman" w:cs="Times New Roman"/>
          <w:i/>
          <w:noProof/>
          <w:sz w:val="24"/>
          <w:szCs w:val="24"/>
          <w:lang w:val="bg-BG"/>
        </w:rPr>
      </w:pPr>
      <w:r>
        <w:rPr>
          <w:rFonts w:ascii="Times New Roman" w:hAnsi="Times New Roman"/>
          <w:i/>
          <w:noProof/>
          <w:sz w:val="24"/>
          <w:lang w:val="bg-BG"/>
        </w:rPr>
        <w:t>Мерки за подобряване на защитата и устойчивостта срещу тероризма и престъпността</w:t>
      </w:r>
    </w:p>
    <w:p>
      <w:pPr>
        <w:spacing w:after="240" w:line="240" w:lineRule="auto"/>
        <w:jc w:val="both"/>
        <w:rPr>
          <w:rFonts w:ascii="Times New Roman" w:hAnsi="Times New Roman" w:cs="Times New Roman"/>
          <w:b/>
          <w:noProof/>
          <w:sz w:val="24"/>
          <w:szCs w:val="24"/>
          <w:lang w:val="bg-BG"/>
        </w:rPr>
      </w:pPr>
      <w:r>
        <w:rPr>
          <w:rFonts w:ascii="Times New Roman" w:hAnsi="Times New Roman"/>
          <w:noProof/>
          <w:sz w:val="24"/>
          <w:lang w:val="bg-BG"/>
        </w:rPr>
        <w:t xml:space="preserve">На 14 и 15 ноември 2017 г., като последващо действие във връзка с приемането от Комисията на </w:t>
      </w:r>
      <w:r>
        <w:rPr>
          <w:rFonts w:ascii="Times New Roman" w:hAnsi="Times New Roman"/>
          <w:b/>
          <w:noProof/>
          <w:sz w:val="24"/>
          <w:lang w:val="bg-BG"/>
        </w:rPr>
        <w:t>Плана за действие за защита на обществените пространства</w:t>
      </w:r>
      <w:r>
        <w:rPr>
          <w:rStyle w:val="FootnoteReference"/>
          <w:rFonts w:ascii="Times New Roman" w:hAnsi="Times New Roman"/>
          <w:noProof/>
          <w:sz w:val="24"/>
          <w:lang w:val="bg-BG"/>
        </w:rPr>
        <w:footnoteReference w:id="30"/>
      </w:r>
      <w:r>
        <w:rPr>
          <w:rFonts w:ascii="Times New Roman" w:hAnsi="Times New Roman"/>
          <w:noProof/>
          <w:sz w:val="24"/>
          <w:lang w:val="bg-BG"/>
        </w:rPr>
        <w:t>, беше проведена първата среща на Мрежата за сигурност на високорискови обществени пространства. Отделът на испанската Guardia Civil (Гражданска гвардия), който има за задача да защитава високорискови пространства, бе домакин на тази първа конференция в седалището си в Логроньо, Испания. Тази нова мрежа има за цел да подкрепя разработването на нови тактики за по-добра защита на високорискови обществени пространства. Освен това на 20 декември 2017 г. ще се проведе първата среща на Форума на частните оператори, като непосредствено след нея на 21 декември 2017 г. ще се проведе специална тематична среща относно отдаването на автомобили под наем. Започна също така подготовката във връзка със срещата с кметове на европейски градове, която ще бъде проведена съвместно с Комитета на регионите през пролетта на следващата година.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отговор на повишеното равнище на заплаха за транспортния сектор, и по-специално за железопътните мрежи, някои държави членки засилиха своите мерки за сигурност, предназначени за защита на железопътния транспорт. Тези мерки бяха осъществени по фрагментиран начин, което подчерта нуждата от подобряване на координацията в областта на сигурността на железопътния транспорт. По тази причина Комисията обяви в своята работна програма за 2018 г. намерението си да работи по допълнителни мерки за подобряване на </w:t>
      </w:r>
      <w:r>
        <w:rPr>
          <w:rFonts w:ascii="Times New Roman" w:hAnsi="Times New Roman"/>
          <w:b/>
          <w:noProof/>
          <w:sz w:val="24"/>
          <w:lang w:val="bg-BG"/>
        </w:rPr>
        <w:t>сигурността на пътническия железопътен транспорт</w:t>
      </w:r>
      <w:r>
        <w:rPr>
          <w:rFonts w:ascii="Times New Roman" w:hAnsi="Times New Roman"/>
          <w:noProof/>
          <w:sz w:val="24"/>
          <w:lang w:val="bg-BG"/>
        </w:rPr>
        <w:t>.</w:t>
      </w:r>
    </w:p>
    <w:p>
      <w:pPr>
        <w:spacing w:after="240" w:line="240" w:lineRule="auto"/>
        <w:jc w:val="both"/>
        <w:rPr>
          <w:rFonts w:ascii="Times New Roman" w:hAnsi="Times New Roman" w:cs="Times New Roman"/>
          <w:noProof/>
          <w:spacing w:val="-2"/>
          <w:sz w:val="24"/>
          <w:szCs w:val="24"/>
          <w:lang w:val="bg-BG"/>
        </w:rPr>
      </w:pPr>
      <w:r>
        <w:rPr>
          <w:rFonts w:ascii="Times New Roman" w:hAnsi="Times New Roman"/>
          <w:noProof/>
          <w:spacing w:val="-2"/>
          <w:sz w:val="24"/>
          <w:lang w:val="bg-BG"/>
        </w:rPr>
        <w:t xml:space="preserve">В областта на научните изследвания Европейската комисия и естонското председателство организираха съвместно на 14 и 15 ноември 2017 г. в Талин събитие за 2017 г., посветено на </w:t>
      </w:r>
      <w:r>
        <w:rPr>
          <w:rFonts w:ascii="Times New Roman" w:hAnsi="Times New Roman"/>
          <w:b/>
          <w:noProof/>
          <w:spacing w:val="-2"/>
          <w:sz w:val="24"/>
          <w:lang w:val="bg-BG"/>
        </w:rPr>
        <w:t>научните изследвания в областта на сигурността</w:t>
      </w:r>
      <w:r>
        <w:rPr>
          <w:rFonts w:ascii="Times New Roman" w:hAnsi="Times New Roman"/>
          <w:noProof/>
          <w:spacing w:val="-2"/>
          <w:sz w:val="24"/>
          <w:lang w:val="bg-BG"/>
        </w:rPr>
        <w:t xml:space="preserve">. Широко споделено бе заключението, че са необходими допълнителни усилия за преодоляване на разминаването между резултатите от научните изследвания и реалните продукти и услуги, които могат да се използват за противодействие на заплахите за сигурността като тероризма, киберпрестъпността и природните бедствия. Привличането на промишления сектор, академичните среди, публичните органи и специалистите за участие в съвместен съзидателен процес би спомогнало за това предлагащата страна (промишленият сектор) и търсещата страна (крайните потребители) да се обединят, за да консолидират бъдещи изисквания и да постигнат съгласие относно евентуални решения, които може да имат практическо въздействие и да улеснят работата на специалистите по сигурността в близко бъдеще. Комисията ще обмисли как да доразвие тези идеи. </w:t>
      </w:r>
    </w:p>
    <w:p>
      <w:pPr>
        <w:pStyle w:val="ListParagraph"/>
        <w:keepNext/>
        <w:numPr>
          <w:ilvl w:val="0"/>
          <w:numId w:val="31"/>
        </w:numPr>
        <w:spacing w:after="120" w:line="240" w:lineRule="auto"/>
        <w:jc w:val="both"/>
        <w:rPr>
          <w:rFonts w:ascii="Times New Roman" w:hAnsi="Times New Roman" w:cs="Times New Roman"/>
          <w:i/>
          <w:noProof/>
          <w:sz w:val="24"/>
          <w:szCs w:val="24"/>
          <w:lang w:val="bg-BG"/>
        </w:rPr>
      </w:pPr>
      <w:r>
        <w:rPr>
          <w:rFonts w:ascii="Times New Roman" w:hAnsi="Times New Roman"/>
          <w:i/>
          <w:noProof/>
          <w:sz w:val="24"/>
          <w:lang w:val="bg-BG"/>
        </w:rPr>
        <w:t>Противодействия във връзка със средствата за подпомагане на тероризма</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Продължиха обсъжданията със съзаконодателите по предложението на Комисията за изменения на </w:t>
      </w:r>
      <w:r>
        <w:rPr>
          <w:rFonts w:ascii="Times New Roman" w:hAnsi="Times New Roman"/>
          <w:b/>
          <w:noProof/>
          <w:sz w:val="24"/>
          <w:lang w:val="bg-BG"/>
        </w:rPr>
        <w:t>4-тата директива относно борбата с изпирането на пари</w:t>
      </w:r>
      <w:r>
        <w:rPr>
          <w:rFonts w:ascii="Times New Roman" w:hAnsi="Times New Roman"/>
          <w:noProof/>
          <w:sz w:val="24"/>
          <w:lang w:val="bg-BG"/>
        </w:rPr>
        <w:t xml:space="preserve">, които изменения ще подпомогнат борбата срещу финансирането на тероризма. Комисията отново призовава съзаконодателите да приключат бързо законодателните преговори по това приоритетно досие и да постигнат съгласие по компромис, който засилва съществуващия набор от правила на Съюза относно предотвратяването на изпирането на пари и финансирането на тероризма, включително чрез засилване на прозрачността на информацията относно действителните собственици.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Освен това предложението за </w:t>
      </w:r>
      <w:r>
        <w:rPr>
          <w:rFonts w:ascii="Times New Roman" w:hAnsi="Times New Roman"/>
          <w:b/>
          <w:noProof/>
          <w:sz w:val="24"/>
          <w:lang w:val="bg-BG"/>
        </w:rPr>
        <w:t>Директива за хармонизиране на определението и наказателните санкции за изпирането на пари</w:t>
      </w:r>
      <w:r>
        <w:rPr>
          <w:rStyle w:val="FootnoteReference"/>
          <w:rFonts w:ascii="Times New Roman" w:hAnsi="Times New Roman"/>
          <w:noProof/>
          <w:sz w:val="24"/>
          <w:lang w:val="bg-BG"/>
        </w:rPr>
        <w:footnoteReference w:id="31"/>
      </w:r>
      <w:r>
        <w:rPr>
          <w:rFonts w:ascii="Times New Roman" w:hAnsi="Times New Roman"/>
          <w:noProof/>
          <w:sz w:val="24"/>
          <w:lang w:val="bg-BG"/>
        </w:rPr>
        <w:t xml:space="preserve"> ще помогне за преодоляване на пречките пред трансграничното сътрудничество в борбата срещу изпирането на пари. На 8 юни 2017 г. в Съвета бе постигнат общ подход. Предвид това, че Европейският парламент прие своята позиция на 11 декември 2017 г., скоро ще започнат междуинституционалните обсъждания с цел постигане на съгласие през първата половина на 2018 г. </w:t>
      </w:r>
    </w:p>
    <w:p>
      <w:pPr>
        <w:spacing w:after="240" w:line="240" w:lineRule="auto"/>
        <w:jc w:val="both"/>
        <w:rPr>
          <w:rFonts w:ascii="Times New Roman" w:hAnsi="Times New Roman" w:cs="Times New Roman"/>
          <w:noProof/>
          <w:spacing w:val="-2"/>
          <w:sz w:val="24"/>
          <w:szCs w:val="24"/>
          <w:lang w:val="bg-BG"/>
        </w:rPr>
      </w:pPr>
      <w:r>
        <w:rPr>
          <w:rFonts w:ascii="Times New Roman" w:hAnsi="Times New Roman"/>
          <w:noProof/>
          <w:spacing w:val="-2"/>
          <w:sz w:val="24"/>
          <w:lang w:val="bg-BG"/>
        </w:rPr>
        <w:t xml:space="preserve">Както беше обявено в работната програма на Комисията за 2017 г., продължава работата по евентуални мерки за подобряване на трансграничния достъп на правоприлагащите органи до релевантни финансови данни, които могат да предоставят необходими улики за терористични дейности. На 20 ноември 2017 г. Комисията организира среща на високо равнище на заинтересованите страни с държавите членки и органите на ЕС с цел анализиране на нуждата от </w:t>
      </w:r>
      <w:r>
        <w:rPr>
          <w:rFonts w:ascii="Times New Roman" w:hAnsi="Times New Roman"/>
          <w:b/>
          <w:noProof/>
          <w:spacing w:val="-2"/>
          <w:sz w:val="24"/>
          <w:lang w:val="bg-BG"/>
        </w:rPr>
        <w:t>допълнителни мерки за улесняване на трансграничния достъп до финансова информация за целите на борбата с тероризма</w:t>
      </w:r>
      <w:r>
        <w:rPr>
          <w:rFonts w:ascii="Times New Roman" w:hAnsi="Times New Roman"/>
          <w:noProof/>
          <w:spacing w:val="-2"/>
          <w:sz w:val="24"/>
          <w:lang w:val="bg-BG"/>
        </w:rPr>
        <w:t xml:space="preserve">. По време на срещата държавите членки отбелязаха, че различните мерки, било то въведени, в процес на осъществяване или само планирани, биха могли да предоставят необходимите средства и решения. Тези мерки включват по-специално </w:t>
      </w:r>
      <w:r>
        <w:rPr>
          <w:rFonts w:ascii="Times New Roman" w:hAnsi="Times New Roman"/>
          <w:b/>
          <w:noProof/>
          <w:spacing w:val="-2"/>
          <w:sz w:val="24"/>
          <w:lang w:val="bg-BG"/>
        </w:rPr>
        <w:t>европейската заповед за разследване</w:t>
      </w:r>
      <w:r>
        <w:rPr>
          <w:rStyle w:val="FootnoteReference"/>
          <w:rFonts w:ascii="Times New Roman" w:hAnsi="Times New Roman"/>
          <w:noProof/>
          <w:spacing w:val="-2"/>
          <w:sz w:val="24"/>
          <w:lang w:val="bg-BG"/>
        </w:rPr>
        <w:footnoteReference w:id="32"/>
      </w:r>
      <w:r>
        <w:rPr>
          <w:rFonts w:ascii="Times New Roman" w:hAnsi="Times New Roman"/>
          <w:noProof/>
          <w:spacing w:val="-2"/>
          <w:sz w:val="24"/>
          <w:lang w:val="bg-BG"/>
        </w:rPr>
        <w:t xml:space="preserve">, </w:t>
      </w:r>
      <w:r>
        <w:rPr>
          <w:rFonts w:ascii="Times New Roman" w:hAnsi="Times New Roman"/>
          <w:b/>
          <w:noProof/>
          <w:spacing w:val="-2"/>
          <w:sz w:val="24"/>
          <w:lang w:val="bg-BG"/>
        </w:rPr>
        <w:t>Директивата относно борбата с изпирането на пари</w:t>
      </w:r>
      <w:r>
        <w:rPr>
          <w:rStyle w:val="FootnoteReference"/>
          <w:rFonts w:ascii="Times New Roman" w:hAnsi="Times New Roman"/>
          <w:noProof/>
          <w:spacing w:val="-2"/>
          <w:sz w:val="24"/>
          <w:lang w:val="bg-BG"/>
        </w:rPr>
        <w:footnoteReference w:id="33"/>
      </w:r>
      <w:r>
        <w:rPr>
          <w:rFonts w:ascii="Times New Roman" w:hAnsi="Times New Roman"/>
          <w:noProof/>
          <w:spacing w:val="-2"/>
          <w:sz w:val="24"/>
          <w:lang w:val="bg-BG"/>
        </w:rPr>
        <w:t xml:space="preserve"> (включително предложението за изменения</w:t>
      </w:r>
      <w:r>
        <w:rPr>
          <w:rStyle w:val="FootnoteReference"/>
          <w:rFonts w:ascii="Times New Roman" w:hAnsi="Times New Roman"/>
          <w:noProof/>
          <w:spacing w:val="-2"/>
          <w:sz w:val="24"/>
          <w:lang w:val="bg-BG"/>
        </w:rPr>
        <w:footnoteReference w:id="34"/>
      </w:r>
      <w:r>
        <w:rPr>
          <w:rFonts w:ascii="Times New Roman" w:hAnsi="Times New Roman"/>
          <w:noProof/>
          <w:spacing w:val="-2"/>
          <w:sz w:val="24"/>
          <w:lang w:val="bg-BG"/>
        </w:rPr>
        <w:t>, по което понастоящем се водят преговори) и предстоящата покана за представяне на предложения, насочена към отпускане на средства за проекти в областта на борбата срещу финансирането на тероризма</w:t>
      </w:r>
      <w:r>
        <w:rPr>
          <w:rStyle w:val="FootnoteReference"/>
          <w:rFonts w:ascii="Times New Roman" w:hAnsi="Times New Roman"/>
          <w:noProof/>
          <w:spacing w:val="-2"/>
          <w:sz w:val="24"/>
          <w:lang w:val="bg-BG"/>
        </w:rPr>
        <w:footnoteReference w:id="35"/>
      </w:r>
      <w:r>
        <w:rPr>
          <w:rFonts w:ascii="Times New Roman" w:hAnsi="Times New Roman"/>
          <w:noProof/>
          <w:spacing w:val="-2"/>
          <w:sz w:val="24"/>
          <w:lang w:val="bg-BG"/>
        </w:rPr>
        <w:t xml:space="preserve">. </w:t>
      </w:r>
    </w:p>
    <w:p>
      <w:pPr>
        <w:spacing w:after="240" w:line="240" w:lineRule="auto"/>
        <w:jc w:val="both"/>
        <w:rPr>
          <w:rFonts w:ascii="Times New Roman" w:hAnsi="Times New Roman" w:cs="Times New Roman"/>
          <w:noProof/>
          <w:lang w:val="bg-BG"/>
        </w:rPr>
      </w:pPr>
      <w:r>
        <w:rPr>
          <w:rFonts w:ascii="Times New Roman" w:hAnsi="Times New Roman"/>
          <w:noProof/>
          <w:sz w:val="24"/>
          <w:lang w:val="bg-BG"/>
        </w:rPr>
        <w:t xml:space="preserve">Предложението за изменение на 4-тата директива относно борбата с изпирането на пари предвижда задължително създаване на </w:t>
      </w:r>
      <w:r>
        <w:rPr>
          <w:rFonts w:ascii="Times New Roman" w:hAnsi="Times New Roman"/>
          <w:b/>
          <w:noProof/>
          <w:sz w:val="24"/>
          <w:lang w:val="bg-BG"/>
        </w:rPr>
        <w:t>национални централизирани регистри на банкови сметки и системи за извличане на данни</w:t>
      </w:r>
      <w:r>
        <w:rPr>
          <w:rFonts w:ascii="Times New Roman" w:hAnsi="Times New Roman"/>
          <w:noProof/>
          <w:sz w:val="24"/>
          <w:lang w:val="bg-BG"/>
        </w:rPr>
        <w:t xml:space="preserve">, до които звената за финансово разузнаване и органите за борба с изпирането на пари ще имат достъп. Понастоящем Комисията извършва оценка на въздействието на съответните варианти на политиката с цел да предложи през пролетта на 2018 г. директива за предоставяне на достъп на правоприлагащите органи и службите за възстановяване на активи до регистрите и системите за извличане на данни в тяхната собствена държава членка.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Комисията също така работи по инициативи за подобряване на </w:t>
      </w:r>
      <w:r>
        <w:rPr>
          <w:rFonts w:ascii="Times New Roman" w:hAnsi="Times New Roman"/>
          <w:b/>
          <w:noProof/>
          <w:sz w:val="24"/>
          <w:lang w:val="bg-BG"/>
        </w:rPr>
        <w:t>сътрудничеството между звената за финансово разузнаване</w:t>
      </w:r>
      <w:r>
        <w:rPr>
          <w:rFonts w:ascii="Times New Roman" w:hAnsi="Times New Roman"/>
          <w:noProof/>
          <w:sz w:val="24"/>
          <w:lang w:val="bg-BG"/>
        </w:rPr>
        <w:t>, както и на тяхното сътрудничество с правоприлагащите органи. Работата в това отношение също следва да бъде завършена през пролетта на 2018 г. Успоредно с това и с оглед подготовката на необходимите инициативи за улесняване на трансграничния достъп на правоприлагащите органи до финансови данни, Комисията ще продължи да оценява необходимостта, техническата осъществимост и пропорционалността на всякакви други допълнителни мерки.</w:t>
      </w:r>
    </w:p>
    <w:p>
      <w:pPr>
        <w:pStyle w:val="Default"/>
        <w:jc w:val="both"/>
        <w:rPr>
          <w:noProof/>
          <w:lang w:val="bg-BG"/>
        </w:rPr>
      </w:pPr>
      <w:r>
        <w:rPr>
          <w:noProof/>
          <w:lang w:val="bg-BG"/>
        </w:rPr>
        <w:t xml:space="preserve">Днес Комисията прие доклад за оценка на Регламент 258/2012 </w:t>
      </w:r>
      <w:r>
        <w:rPr>
          <w:b/>
          <w:noProof/>
          <w:lang w:val="bg-BG"/>
        </w:rPr>
        <w:t>относно разрешения за износа и мерки за вноса и транзита на огнестрелни оръжия</w:t>
      </w:r>
      <w:r>
        <w:rPr>
          <w:noProof/>
          <w:lang w:val="bg-BG"/>
        </w:rPr>
        <w:t>. Тя стига до извода, че регламентът продължава да бъде необходим, но неговата ефективност е ограничена поради липсата на прецизност на някои от разпоредбите му, както и поради сложното му взаимодействие с други инструменти от правото на ЕС. С цел обмен на становища относно тези заключения Комисията ще се срещне с национални експерти в края на януари 2018 г. Тя също така ще свика няколко срещи с цел постигане на напредък по редица предизвикателства (статистика относно изземванията, балистика и сътрудничество с държавите от Западните Балкани).</w:t>
      </w:r>
    </w:p>
    <w:p>
      <w:pPr>
        <w:pStyle w:val="Default"/>
        <w:jc w:val="both"/>
        <w:rPr>
          <w:noProof/>
          <w:lang w:val="bg-BG"/>
        </w:rPr>
      </w:pP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На 18 октомври 2017 г. Комисията публикува </w:t>
      </w:r>
      <w:r>
        <w:rPr>
          <w:rFonts w:ascii="Times New Roman" w:hAnsi="Times New Roman"/>
          <w:b/>
          <w:noProof/>
          <w:sz w:val="24"/>
          <w:lang w:val="bg-BG"/>
        </w:rPr>
        <w:t>препоръка за незабавните мерки за предотвратяване на злоупотребата с прекурсори на взривни вещества</w:t>
      </w:r>
      <w:r>
        <w:rPr>
          <w:rFonts w:ascii="Times New Roman" w:hAnsi="Times New Roman"/>
          <w:noProof/>
          <w:sz w:val="24"/>
          <w:lang w:val="bg-BG"/>
        </w:rPr>
        <w:t xml:space="preserve">, с която държавите членки се призовават спешно да предприемат редица действия, насочени към засилване на защитата срещу използването на самоделни взривни вещества за терористични цели, и се подпомага постигането на целите на Регламент № 98/2013 относно прекурсорите на взривни вещества. На заседание на Постоянния комитет по прекурсорите, което ще се проведе на 12—13 декември 2017 г., ще бъде направен преглед на напредъка, постигнат от държавите членки при изпълнението на препоръката. На 6 декември 2017 г. Комисията реши да приключи процедурата срещу Франция за установяване на нарушение във връзка с неспазване на Регламент № 98/2013 предвид факта, че Франция уведоми Комисията за пълното прилагане на Регламента. Успоредно с това Комисията извършва </w:t>
      </w:r>
      <w:r>
        <w:rPr>
          <w:rFonts w:ascii="Times New Roman" w:hAnsi="Times New Roman"/>
          <w:b/>
          <w:noProof/>
          <w:sz w:val="24"/>
          <w:lang w:val="bg-BG"/>
        </w:rPr>
        <w:t>преразглеждане на Регламент 98/2013</w:t>
      </w:r>
      <w:r>
        <w:rPr>
          <w:rFonts w:ascii="Times New Roman" w:hAnsi="Times New Roman"/>
          <w:noProof/>
          <w:sz w:val="24"/>
          <w:lang w:val="bg-BG"/>
        </w:rPr>
        <w:t xml:space="preserve"> с цел да се затегнат ограниченията и контрола върху продажбата, притежаването, въвеждането и използването на прекурсори на взривни вещества, да се подобри капацитета на икономическите оператори и на компетентните правоприлагащи органи на държавите членки за откриване и предотвратяване на случаи на злоупотреба и да се повиши степента на уеднаквяване при прилагането на Регламента в държавите членки. Оценката на въздействието на различните варианти за преразглеждане на Регламента ще бъде приключена през пролетта на 2018 г.</w:t>
      </w:r>
    </w:p>
    <w:p>
      <w:pPr>
        <w:pStyle w:val="ListParagraph"/>
        <w:numPr>
          <w:ilvl w:val="0"/>
          <w:numId w:val="31"/>
        </w:numPr>
        <w:spacing w:after="120" w:line="240" w:lineRule="auto"/>
        <w:jc w:val="both"/>
        <w:rPr>
          <w:rFonts w:ascii="Times New Roman" w:hAnsi="Times New Roman" w:cs="Times New Roman"/>
          <w:i/>
          <w:noProof/>
          <w:sz w:val="24"/>
          <w:szCs w:val="24"/>
          <w:lang w:val="bg-BG"/>
        </w:rPr>
      </w:pPr>
      <w:r>
        <w:rPr>
          <w:rFonts w:ascii="Times New Roman" w:hAnsi="Times New Roman"/>
          <w:i/>
          <w:noProof/>
          <w:sz w:val="24"/>
          <w:lang w:val="bg-BG"/>
        </w:rPr>
        <w:t>Киберсигурност и наказателно правосъдие в киберпространството</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В заключенията на Европейския съвет от 19 октомври 2017 г.</w:t>
      </w:r>
      <w:r>
        <w:rPr>
          <w:rStyle w:val="FootnoteReference"/>
          <w:rFonts w:ascii="Times New Roman" w:hAnsi="Times New Roman"/>
          <w:noProof/>
          <w:sz w:val="24"/>
          <w:lang w:val="bg-BG"/>
        </w:rPr>
        <w:footnoteReference w:id="36"/>
      </w:r>
      <w:r>
        <w:rPr>
          <w:rFonts w:ascii="Times New Roman" w:hAnsi="Times New Roman"/>
          <w:noProof/>
          <w:sz w:val="24"/>
          <w:lang w:val="bg-BG"/>
        </w:rPr>
        <w:t xml:space="preserve"> бе потвърдено значението на инициативите, включени в </w:t>
      </w:r>
      <w:r>
        <w:rPr>
          <w:rFonts w:ascii="Times New Roman" w:hAnsi="Times New Roman"/>
          <w:b/>
          <w:noProof/>
          <w:sz w:val="24"/>
          <w:lang w:val="bg-BG"/>
        </w:rPr>
        <w:t>пакета от мерки за киберсигурността</w:t>
      </w:r>
      <w:r>
        <w:rPr>
          <w:rStyle w:val="FootnoteReference"/>
          <w:rFonts w:ascii="Times New Roman" w:hAnsi="Times New Roman"/>
          <w:noProof/>
          <w:sz w:val="24"/>
          <w:lang w:val="bg-BG"/>
        </w:rPr>
        <w:footnoteReference w:id="37"/>
      </w:r>
      <w:r>
        <w:rPr>
          <w:noProof/>
          <w:lang w:val="bg-BG"/>
        </w:rPr>
        <w:t>.</w:t>
      </w:r>
      <w:r>
        <w:rPr>
          <w:rFonts w:ascii="Times New Roman" w:hAnsi="Times New Roman"/>
          <w:noProof/>
          <w:sz w:val="24"/>
          <w:lang w:val="bg-BG"/>
        </w:rPr>
        <w:t xml:space="preserve"> На 20 ноември 2017 г. Съветът прие заключения относно Съобщението на Комисията до Европейския парламент и до Съвета „</w:t>
      </w:r>
      <w:r>
        <w:rPr>
          <w:rFonts w:ascii="Times New Roman" w:hAnsi="Times New Roman"/>
          <w:i/>
          <w:noProof/>
          <w:sz w:val="24"/>
          <w:lang w:val="bg-BG"/>
        </w:rPr>
        <w:t>Устойчивост, възпиране и отбрана: изграждане на силна киберсигурност за ЕС</w:t>
      </w:r>
      <w:r>
        <w:rPr>
          <w:rFonts w:ascii="Times New Roman" w:hAnsi="Times New Roman"/>
          <w:noProof/>
          <w:sz w:val="24"/>
          <w:lang w:val="bg-BG"/>
        </w:rPr>
        <w:t>“</w:t>
      </w:r>
      <w:r>
        <w:rPr>
          <w:rStyle w:val="FootnoteReference"/>
          <w:rFonts w:ascii="Times New Roman" w:hAnsi="Times New Roman"/>
          <w:noProof/>
          <w:sz w:val="24"/>
          <w:lang w:val="bg-BG"/>
        </w:rPr>
        <w:footnoteReference w:id="38"/>
      </w:r>
      <w:r>
        <w:rPr>
          <w:noProof/>
          <w:lang w:val="bg-BG"/>
        </w:rPr>
        <w:t>.</w:t>
      </w:r>
      <w:r>
        <w:rPr>
          <w:rFonts w:ascii="Times New Roman" w:hAnsi="Times New Roman"/>
          <w:noProof/>
          <w:sz w:val="24"/>
          <w:lang w:val="bg-BG"/>
        </w:rPr>
        <w:t xml:space="preserve"> План за действие за изпълнение на тези заключения на Съвета ще бъде приет от Съвета по общи въпроси на 12 декември 2017 г.</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Започнаха дискусиите със Съвета по предложението за </w:t>
      </w:r>
      <w:r>
        <w:rPr>
          <w:rFonts w:ascii="Times New Roman" w:hAnsi="Times New Roman"/>
          <w:b/>
          <w:noProof/>
          <w:sz w:val="24"/>
          <w:lang w:val="bg-BG"/>
        </w:rPr>
        <w:t>„Акт за киберсигурността“</w:t>
      </w:r>
      <w:r>
        <w:rPr>
          <w:rFonts w:ascii="Times New Roman" w:hAnsi="Times New Roman"/>
          <w:noProof/>
          <w:sz w:val="24"/>
          <w:lang w:val="bg-BG"/>
        </w:rPr>
        <w:t xml:space="preserve"> (обхващащо новия мандат на ENISA и рамката за сертифициране)</w:t>
      </w:r>
      <w:r>
        <w:rPr>
          <w:rStyle w:val="FootnoteReference"/>
          <w:rFonts w:ascii="Times New Roman" w:hAnsi="Times New Roman"/>
          <w:noProof/>
          <w:sz w:val="24"/>
          <w:lang w:val="bg-BG"/>
        </w:rPr>
        <w:footnoteReference w:id="39"/>
      </w:r>
      <w:r>
        <w:rPr>
          <w:rFonts w:ascii="Times New Roman" w:hAnsi="Times New Roman"/>
          <w:noProof/>
          <w:sz w:val="24"/>
          <w:lang w:val="bg-BG"/>
        </w:rPr>
        <w:t xml:space="preserve">. </w:t>
      </w:r>
      <w:r>
        <w:rPr>
          <w:rFonts w:ascii="Times New Roman" w:hAnsi="Times New Roman"/>
          <w:b/>
          <w:noProof/>
          <w:sz w:val="24"/>
          <w:lang w:val="bg-BG"/>
        </w:rPr>
        <w:t>Законодателното предложение относно непаричните платежни средства</w:t>
      </w:r>
      <w:r>
        <w:rPr>
          <w:rFonts w:ascii="Times New Roman" w:hAnsi="Times New Roman"/>
          <w:noProof/>
          <w:sz w:val="24"/>
          <w:lang w:val="bg-BG"/>
        </w:rPr>
        <w:t xml:space="preserve"> бе представено на Европейския парламент и на Съвета и понастоящем се разглежда. Комисията призовава настоятелно за започване на работата в Европейския парламент, след като докладчикът бе вече назначен на 13 ноември 2017 г. На 28 ноември бе проведена среща на Групата за сътрудничество във връзка с изпълнението на Директивата за мрежова и информационна сигурност</w:t>
      </w:r>
      <w:r>
        <w:rPr>
          <w:rStyle w:val="FootnoteReference"/>
          <w:rFonts w:ascii="Times New Roman" w:hAnsi="Times New Roman"/>
          <w:noProof/>
          <w:sz w:val="24"/>
          <w:lang w:val="bg-BG"/>
        </w:rPr>
        <w:footnoteReference w:id="40"/>
      </w:r>
      <w:r>
        <w:rPr>
          <w:rFonts w:ascii="Times New Roman" w:hAnsi="Times New Roman"/>
          <w:noProof/>
          <w:sz w:val="24"/>
          <w:lang w:val="bg-BG"/>
        </w:rPr>
        <w:t>. Групата изпълни две от своите задачи, отнасящи се до ключови аспекти от Директивата: прие насоки за определянето на операторите на основни услуги</w:t>
      </w:r>
      <w:r>
        <w:rPr>
          <w:rStyle w:val="FootnoteReference"/>
          <w:rFonts w:ascii="Times New Roman" w:hAnsi="Times New Roman"/>
          <w:noProof/>
          <w:sz w:val="24"/>
          <w:lang w:val="bg-BG"/>
        </w:rPr>
        <w:footnoteReference w:id="41"/>
      </w:r>
      <w:r>
        <w:rPr>
          <w:rFonts w:ascii="Times New Roman" w:hAnsi="Times New Roman"/>
          <w:noProof/>
          <w:sz w:val="24"/>
          <w:lang w:val="bg-BG"/>
        </w:rPr>
        <w:t>, във връзка с добрите практики, свързани с критериите за определяне на критичното значение на даден оператор, както и насоки относно мерките за сигурност, в които се прави преглед на целевите показатели за мерките, които да се прилагат при осигуряването на сигурността на мрежовите и информационните системи</w:t>
      </w:r>
      <w:r>
        <w:rPr>
          <w:rStyle w:val="FootnoteReference"/>
          <w:rFonts w:ascii="Times New Roman" w:hAnsi="Times New Roman"/>
          <w:noProof/>
          <w:sz w:val="24"/>
          <w:lang w:val="bg-BG"/>
        </w:rPr>
        <w:footnoteReference w:id="42"/>
      </w:r>
      <w:r>
        <w:rPr>
          <w:rFonts w:ascii="Times New Roman" w:hAnsi="Times New Roman"/>
          <w:noProof/>
          <w:sz w:val="24"/>
          <w:lang w:val="bg-BG"/>
        </w:rPr>
        <w:t xml:space="preserve">. В изпълнение на трета задача се очаква скоро по писмена процедура да бъдат приети изисквания за уведомяване, в които се определят обстоятелствата, при които от операторите на основни услуги се изисква да уведомяват за инциденти. Групата започна разговори относно първата си работна програма (2018—2020 г.), която следва да бъде приета до февруари 2018 г.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Комисията пое ангажимент в 11-ия доклад за напредъка по създаването на Съюз на сигурност</w:t>
      </w:r>
      <w:r>
        <w:rPr>
          <w:rStyle w:val="FootnoteReference"/>
          <w:rFonts w:ascii="Times New Roman" w:hAnsi="Times New Roman"/>
          <w:noProof/>
          <w:sz w:val="24"/>
          <w:lang w:val="bg-BG"/>
        </w:rPr>
        <w:footnoteReference w:id="43"/>
      </w:r>
      <w:r>
        <w:rPr>
          <w:rFonts w:ascii="Times New Roman" w:hAnsi="Times New Roman"/>
          <w:noProof/>
          <w:sz w:val="24"/>
          <w:lang w:val="bg-BG"/>
        </w:rPr>
        <w:t xml:space="preserve"> да извърши оценка на необходимостта от допълнителни ресурси за Европол (по-специално за Европейския център за борба с киберпрестъпността, EC3) с цел да се предостави възможност на EC3 да осигурява подкрепа на държавите членки за справяне с предизвикателствата, свързани с </w:t>
      </w:r>
      <w:r>
        <w:rPr>
          <w:rFonts w:ascii="Times New Roman" w:hAnsi="Times New Roman"/>
          <w:b/>
          <w:noProof/>
          <w:sz w:val="24"/>
          <w:lang w:val="bg-BG"/>
        </w:rPr>
        <w:t>криптирането в наказателните разследвания</w:t>
      </w:r>
      <w:r>
        <w:rPr>
          <w:rFonts w:ascii="Times New Roman" w:hAnsi="Times New Roman"/>
          <w:noProof/>
          <w:sz w:val="24"/>
          <w:lang w:val="bg-BG"/>
        </w:rPr>
        <w:t>. Предвид икономиите от мащаба, постигани чрез предоставяне на капацитет на равнище ЕС (в сравнение с индивидуалните решения на равнището на държавите членки), Комисията отчете и необходимостта от допълнителна подкрепа в тази област, изтъкната от Съвета по правосъдие и вътрешни работи на 7—8 декември 2017 г. Понастоящем се извършва оценка на специфичните нужди от допълнителни ресурси и Комисията ще докладва в следващия доклад за напредъка по създаване на Съюз на сигурност какви средства са предоставени за тази цел. Осигуряването на възможност на правоприлагащите органи на държавите членки да използват инструментите, предоставени от EC3, в такава бързо променяща се област ще доведе до най-добра възвращаемост от инвестицията и ще гарантира, че европейският капацитет продължава да съответства на предизвикателствата, без да се забранява, ограничава или отслабва криптирането.</w:t>
      </w:r>
    </w:p>
    <w:p>
      <w:pPr>
        <w:spacing w:after="240" w:line="240" w:lineRule="auto"/>
        <w:jc w:val="both"/>
        <w:rPr>
          <w:rFonts w:ascii="Times New Roman" w:hAnsi="Times New Roman" w:cs="Times New Roman"/>
          <w:noProof/>
          <w:spacing w:val="-2"/>
          <w:sz w:val="24"/>
          <w:szCs w:val="24"/>
          <w:lang w:val="bg-BG"/>
        </w:rPr>
      </w:pPr>
      <w:r>
        <w:rPr>
          <w:rFonts w:ascii="Times New Roman" w:hAnsi="Times New Roman"/>
          <w:noProof/>
          <w:spacing w:val="-2"/>
          <w:sz w:val="24"/>
          <w:lang w:val="bg-BG"/>
        </w:rPr>
        <w:t xml:space="preserve">На заседанието на Съвета по правосъдие и вътрешни работи на 7—8 декември 2017 г. държавите членки решиха да продължат дискусиите на експертно равнище с цел постигане на общо разбиране относно възможните решения във връзка със </w:t>
      </w:r>
      <w:r>
        <w:rPr>
          <w:rFonts w:ascii="Times New Roman" w:hAnsi="Times New Roman"/>
          <w:b/>
          <w:noProof/>
          <w:spacing w:val="-2"/>
          <w:sz w:val="24"/>
          <w:lang w:val="bg-BG"/>
        </w:rPr>
        <w:t>запазването на данни</w:t>
      </w:r>
      <w:r>
        <w:rPr>
          <w:rFonts w:ascii="Times New Roman" w:hAnsi="Times New Roman"/>
          <w:noProof/>
          <w:spacing w:val="-2"/>
          <w:sz w:val="24"/>
          <w:lang w:val="bg-BG"/>
        </w:rPr>
        <w:t xml:space="preserve"> в съответствие с решението на Съда по делото Tele2. Комисията ще продължи да оказва подкрепа на държавите членки в този процес. Тя разглежда този процес като част от собствената си оценка относно последиците на решението и като част от текущата си работа по финализиране на насоките си за бъдещата работа в областта на запазването на данни, както бе обявено в работната програма на Комисията за 2018 г.</w:t>
      </w:r>
      <w:r>
        <w:rPr>
          <w:noProof/>
          <w:spacing w:val="-2"/>
          <w:sz w:val="23"/>
          <w:lang w:val="bg-BG"/>
        </w:rPr>
        <w:t xml:space="preserve">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Както беше обявено по-рано, Комисията възнамерява да представи в началото на 2018 г. законодателна инициатива относно </w:t>
      </w:r>
      <w:r>
        <w:rPr>
          <w:rFonts w:ascii="Times New Roman" w:hAnsi="Times New Roman"/>
          <w:b/>
          <w:noProof/>
          <w:sz w:val="24"/>
          <w:lang w:val="bg-BG"/>
        </w:rPr>
        <w:t>електронните доказателства</w:t>
      </w:r>
      <w:r>
        <w:rPr>
          <w:rFonts w:ascii="Times New Roman" w:hAnsi="Times New Roman"/>
          <w:noProof/>
          <w:sz w:val="24"/>
          <w:lang w:val="bg-BG"/>
        </w:rPr>
        <w:t xml:space="preserve">, насочена към улесняване на достъпа на правоприлагащите органи до електронни доказателства, които се намират в друга държава. </w:t>
      </w:r>
    </w:p>
    <w:p>
      <w:pPr>
        <w:pStyle w:val="ListParagraph"/>
        <w:numPr>
          <w:ilvl w:val="0"/>
          <w:numId w:val="31"/>
        </w:numPr>
        <w:spacing w:after="120" w:line="240" w:lineRule="auto"/>
        <w:jc w:val="both"/>
        <w:rPr>
          <w:rFonts w:ascii="Times New Roman" w:hAnsi="Times New Roman" w:cs="Times New Roman"/>
          <w:i/>
          <w:noProof/>
          <w:sz w:val="24"/>
          <w:szCs w:val="24"/>
          <w:lang w:val="bg-BG"/>
        </w:rPr>
      </w:pPr>
      <w:r>
        <w:rPr>
          <w:rFonts w:ascii="Times New Roman" w:hAnsi="Times New Roman"/>
          <w:i/>
          <w:noProof/>
          <w:sz w:val="24"/>
          <w:lang w:val="bg-BG"/>
        </w:rPr>
        <w:t xml:space="preserve">Противодействие на радикализацията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След публикуването на последния доклад за напредъка по създаването на Съюз на сигурност Комисията продължи да работи за справяне с радикализацията, както онлайн, така и офлайн. </w:t>
      </w:r>
    </w:p>
    <w:p>
      <w:pPr>
        <w:spacing w:after="240" w:line="240" w:lineRule="auto"/>
        <w:jc w:val="both"/>
        <w:rPr>
          <w:rFonts w:ascii="Times New Roman" w:hAnsi="Times New Roman" w:cs="Times New Roman"/>
          <w:noProof/>
          <w:spacing w:val="-2"/>
          <w:sz w:val="24"/>
          <w:szCs w:val="24"/>
          <w:lang w:val="bg-BG"/>
        </w:rPr>
      </w:pPr>
      <w:r>
        <w:rPr>
          <w:rFonts w:ascii="Times New Roman" w:hAnsi="Times New Roman"/>
          <w:b/>
          <w:noProof/>
          <w:spacing w:val="-2"/>
          <w:sz w:val="24"/>
          <w:lang w:val="bg-BG"/>
        </w:rPr>
        <w:t>Експертната група на високо равнище по въпросите на радикализацията</w:t>
      </w:r>
      <w:r>
        <w:rPr>
          <w:rFonts w:ascii="Times New Roman" w:hAnsi="Times New Roman"/>
          <w:noProof/>
          <w:spacing w:val="-2"/>
          <w:sz w:val="24"/>
          <w:lang w:val="bg-BG"/>
        </w:rPr>
        <w:t xml:space="preserve">, създадена през юли 2017 г., продължи да работи ускорено по първия си междинен доклад, по който членовете на групата постигнаха съгласие на 24 ноември 2017 г. В предварителните констатации и препоръки на групата се определят редица приоритетни теми и междусекторни въпроси, включващи радикализацията в затворите, реагирането на местно равнище в междуведомствен контекст, повишаването на знанията за начините за радикализация, механизмите и структурите за сътрудничество, образованието и социалното приобщаване, както и външното измерение на работата по превенция. Комисията ще изложи в следващия доклад за напредъка по създаването на Съюз за сигурност становището си относно тези предварителни констатации и препоръки.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Третата среща на министрите в рамките на </w:t>
      </w:r>
      <w:r>
        <w:rPr>
          <w:rFonts w:ascii="Times New Roman" w:hAnsi="Times New Roman"/>
          <w:b/>
          <w:noProof/>
          <w:sz w:val="24"/>
          <w:lang w:val="bg-BG"/>
        </w:rPr>
        <w:t xml:space="preserve">интернет форума на ЕС </w:t>
      </w:r>
      <w:r>
        <w:rPr>
          <w:rFonts w:ascii="Times New Roman" w:hAnsi="Times New Roman"/>
          <w:noProof/>
          <w:sz w:val="24"/>
          <w:lang w:val="bg-BG"/>
        </w:rPr>
        <w:t>беше проведена на 6 декември 2017 г. и събра заедно представители на държави членки, интернет дружества, Европол, както и на академичните среди и гражданското общество</w:t>
      </w:r>
      <w:r>
        <w:rPr>
          <w:rStyle w:val="FootnoteReference"/>
          <w:rFonts w:ascii="Times New Roman" w:hAnsi="Times New Roman"/>
          <w:noProof/>
          <w:sz w:val="24"/>
          <w:lang w:val="bg-BG"/>
        </w:rPr>
        <w:footnoteReference w:id="44"/>
      </w:r>
      <w:r>
        <w:rPr>
          <w:noProof/>
          <w:lang w:val="bg-BG"/>
        </w:rPr>
        <w:t>.</w:t>
      </w:r>
      <w:r>
        <w:rPr>
          <w:rFonts w:ascii="Times New Roman" w:hAnsi="Times New Roman"/>
          <w:noProof/>
          <w:sz w:val="24"/>
          <w:lang w:val="bg-BG"/>
        </w:rPr>
        <w:t xml:space="preserve"> Беше направена оценка на напредъка по изпълнението на плана за действие за борба с терористичното съдържание онлайн, като в обхвата на оценката бяха включени автоматичното откриване на терористично съдържание, подобренията в хеш-базата данни на дружествата, с които се цели да се спомогне за спирането на разпространението на терористично съдържание, засиленото сигнализиране за незаконно съдържание, както и предоставянето на гражданското общество на възможности за увеличаване на отправянето на алтернативни послания срещу терористичната пропаганда. Интернет дружествата докладваха, че базата данни на познато терористично съдържание („хеш-базата данни“), за която бе направено обявление в интернет форума на ЕС през 2016 г. и която бе създадена през пролетта на 2017 г., вече функционира и досега в нея са събрани над 40 000 хеш кода на познати терористични видеоматериали и изображения. Потенциалът на този инструмент следва да бъде изцяло оползотворен и данни за броя на премахванията на незаконно съдържание, генерирани от „хеш-базата данни“, както и за скоростта на премахванията на незаконно съдържание следва да се предоставят редовно на членовете на интернет форума на ЕС. Делът на изпратените с неавтоматични средства сигнали, като тези от страна на звеното на ЕС за сигнализиране за незаконно съдържание, също продължава да нараства и дружествата бяха приканени настоятелно да увеличат бързината на премахванията и да докладват по-редовно на интернет форума на ЕС. Интернет платформи докладваха, че те разчитат все повече на автоматични инструменти за откриване на терористично съдържание</w:t>
      </w:r>
      <w:r>
        <w:rPr>
          <w:rStyle w:val="FootnoteReference"/>
          <w:rFonts w:ascii="Times New Roman" w:hAnsi="Times New Roman"/>
          <w:noProof/>
          <w:sz w:val="24"/>
          <w:lang w:val="bg-BG"/>
        </w:rPr>
        <w:footnoteReference w:id="45"/>
      </w:r>
      <w:r>
        <w:rPr>
          <w:noProof/>
          <w:lang w:val="bg-BG"/>
        </w:rPr>
        <w:t>.</w:t>
      </w:r>
      <w:r>
        <w:rPr>
          <w:rFonts w:ascii="Times New Roman" w:hAnsi="Times New Roman"/>
          <w:noProof/>
          <w:sz w:val="24"/>
          <w:lang w:val="bg-BG"/>
        </w:rPr>
        <w:t xml:space="preserve"> Важно е също така да се повишат прозрачността, последователността и редовността на докладването на резултатите. Всички интернет дружества трябва да участват в тези общи усилия и да обменят ключова информация за премахванията на незаконно съдържание с различните платформи, като отдават приоритет на привличането на вниманието и ангажирането на нови и малки дружества, които все още не са ангажирани в този процес.</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Резултатите от интернет форума на ЕС ще представляват също така принос към по-общата работа по политиката за борба срещу незаконното съдържание онлайн, във връзка с която Комисията обяви, че ще продължи да насърчава сътрудничеството с дружествата в областта на социалните медии за откриването и премахването на материали с терористично и друго незаконно съдържание онлайн и, ако е необходимо, ще предложи законодателни мерки за премахване на терористично съдържание</w:t>
      </w:r>
      <w:r>
        <w:rPr>
          <w:rStyle w:val="FootnoteReference"/>
          <w:rFonts w:ascii="Times New Roman" w:hAnsi="Times New Roman"/>
          <w:noProof/>
          <w:sz w:val="24"/>
          <w:lang w:val="bg-BG"/>
        </w:rPr>
        <w:footnoteReference w:id="46"/>
      </w:r>
      <w:r>
        <w:rPr>
          <w:noProof/>
          <w:lang w:val="bg-BG"/>
        </w:rPr>
        <w:t>.</w:t>
      </w:r>
    </w:p>
    <w:p>
      <w:pPr>
        <w:pStyle w:val="ListParagraph"/>
        <w:numPr>
          <w:ilvl w:val="0"/>
          <w:numId w:val="31"/>
        </w:numPr>
        <w:spacing w:after="120" w:line="240" w:lineRule="auto"/>
        <w:jc w:val="both"/>
        <w:rPr>
          <w:rFonts w:ascii="Times New Roman" w:hAnsi="Times New Roman" w:cs="Times New Roman"/>
          <w:noProof/>
          <w:sz w:val="24"/>
          <w:szCs w:val="24"/>
          <w:lang w:val="bg-BG"/>
        </w:rPr>
      </w:pPr>
      <w:r>
        <w:rPr>
          <w:rFonts w:ascii="Times New Roman" w:hAnsi="Times New Roman"/>
          <w:i/>
          <w:noProof/>
          <w:sz w:val="24"/>
          <w:lang w:val="bg-BG"/>
        </w:rPr>
        <w:t>Външно измерение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На 7 декември 2017 г. Съветът по правосъдие и вътрешни работи даде зелена светлина на Комисията да започне преговори с Канада по споразумение между Европейския съюз и Канада за предаването и използването на резервационни данни на пътниците (PNR данни) с оглед съобразяване със Становище 1/15 на Съда на Европейския съюз относно предвиденото по-рано Споразумение ЕС—Канада за PNR данни. Официалните преговори ще започнат след като Канада получи своя мандат за преговори.</w:t>
      </w:r>
    </w:p>
    <w:p>
      <w:pPr>
        <w:spacing w:after="240" w:line="240" w:lineRule="auto"/>
        <w:jc w:val="both"/>
        <w:rPr>
          <w:rFonts w:ascii="Times New Roman" w:hAnsi="Times New Roman" w:cs="Times New Roman"/>
          <w:noProof/>
          <w:sz w:val="24"/>
          <w:szCs w:val="24"/>
          <w:highlight w:val="yellow"/>
          <w:lang w:val="bg-BG"/>
        </w:rPr>
      </w:pPr>
      <w:r>
        <w:rPr>
          <w:rFonts w:ascii="Times New Roman" w:hAnsi="Times New Roman"/>
          <w:noProof/>
          <w:sz w:val="24"/>
          <w:lang w:val="bg-BG"/>
        </w:rPr>
        <w:t>Както Комисията обяви в доклада от октомври за напредъка по създаването на Съюз на сигурност, Комисията ще приеме до края на годината препоръки до Съвета за разрешаване на започването на преговори за споразумения между ЕС и съответно Алжир, Египет, Израел, Йордания, Ливан, Мароко, Тунис и Турция относно</w:t>
      </w:r>
      <w:r>
        <w:rPr>
          <w:rFonts w:ascii="Times New Roman" w:hAnsi="Times New Roman"/>
          <w:b/>
          <w:noProof/>
          <w:sz w:val="24"/>
          <w:lang w:val="bg-BG"/>
        </w:rPr>
        <w:t xml:space="preserve"> обмена на лични данни между Европол и компетентните органи на тези държави</w:t>
      </w:r>
      <w:r>
        <w:rPr>
          <w:rFonts w:ascii="Times New Roman" w:hAnsi="Times New Roman"/>
          <w:noProof/>
          <w:sz w:val="24"/>
          <w:lang w:val="bg-BG"/>
        </w:rPr>
        <w:t xml:space="preserve"> с цел борба с тежките престъпления и тероризма. Тези споразумения ще укрепят допълнително капацитета на Европол да си сътрудничи с тези трети държави за целите на предотвратяването и борбата с престъпленията, попадащи в обхвата на целите на Европол.</w:t>
      </w:r>
    </w:p>
    <w:p>
      <w:pPr>
        <w:spacing w:after="240" w:line="240" w:lineRule="auto"/>
        <w:jc w:val="both"/>
        <w:rPr>
          <w:rFonts w:ascii="Times New Roman" w:hAnsi="Times New Roman" w:cs="Times New Roman"/>
          <w:noProof/>
          <w:sz w:val="24"/>
          <w:szCs w:val="24"/>
          <w:highlight w:val="yellow"/>
          <w:lang w:val="bg-BG"/>
        </w:rPr>
      </w:pPr>
      <w:r>
        <w:rPr>
          <w:rFonts w:ascii="Times New Roman" w:hAnsi="Times New Roman"/>
          <w:noProof/>
          <w:sz w:val="24"/>
          <w:lang w:val="bg-BG"/>
        </w:rPr>
        <w:t xml:space="preserve">Що се отнася до сътрудничеството с международни партньори, </w:t>
      </w:r>
      <w:r>
        <w:rPr>
          <w:rFonts w:ascii="Times New Roman" w:hAnsi="Times New Roman"/>
          <w:b/>
          <w:noProof/>
          <w:sz w:val="24"/>
          <w:lang w:val="bg-BG"/>
        </w:rPr>
        <w:t>ЕС и САЩ проведоха среща на министрите по правосъдие и вътрешни работи</w:t>
      </w:r>
      <w:r>
        <w:rPr>
          <w:rFonts w:ascii="Times New Roman" w:hAnsi="Times New Roman"/>
          <w:noProof/>
          <w:sz w:val="24"/>
          <w:lang w:val="bg-BG"/>
        </w:rPr>
        <w:t xml:space="preserve"> на 17 ноември. Срещата бе посветена на трансатлантическото сътрудничество за борба с тероризма, на преодоляването на киберзаплахите и на сътрудничеството за борба с трафика на наркотици. Обсъжданията по въпросите на борбата с тероризма се съсредоточиха по-конкретно върху значението на оперативното сътрудничество и ефективния обмен на информация. Двете страни отбелязаха значението на събирането, използването и обмена на резервационни данни на пътниците (PNR данни). Обсъжданията обхванаха също така напредъка в прилагането на съвместни мерки за преодоляване на терористичните заплахи по отношение на въздухоплаването и за повишаване на световното ниво на сигурност на въздухоплаването. ЕС и САЩ се позоваха на своите действия за борба с финансирането на тероризма и изпирането на пари, включително съвместната им работа и работата в рамките на Специалната група за финансови действия. Що се отнася до злоупотребата с интернет за терористични цели, двете страни изразиха съгласие, че трябва да се работи в сътрудничество с множество заинтересовани страни, включително представители на частния сектор и гражданското общество. Следващата среща на министрите по правосъдие и вътрешни работи на ЕС и САЩ ще се проведе в София през май 2018 г.</w:t>
      </w:r>
    </w:p>
    <w:p>
      <w:pPr>
        <w:spacing w:after="240" w:line="240" w:lineRule="auto"/>
        <w:jc w:val="both"/>
        <w:rPr>
          <w:rFonts w:ascii="Times New Roman" w:hAnsi="Times New Roman" w:cs="Times New Roman"/>
          <w:b/>
          <w:noProof/>
          <w:sz w:val="24"/>
          <w:szCs w:val="24"/>
          <w:lang w:val="bg-BG"/>
        </w:rPr>
      </w:pPr>
      <w:r>
        <w:rPr>
          <w:rFonts w:ascii="Times New Roman" w:hAnsi="Times New Roman"/>
          <w:noProof/>
          <w:sz w:val="24"/>
          <w:lang w:val="bg-BG"/>
        </w:rPr>
        <w:t xml:space="preserve">Що се отнася до сигурността на въздухоплаването, Европейската комисия и други служби на ЕС се срещат редовно с държавите членки с цел съгласуване на </w:t>
      </w:r>
      <w:r>
        <w:rPr>
          <w:rFonts w:ascii="Times New Roman" w:hAnsi="Times New Roman"/>
          <w:b/>
          <w:noProof/>
          <w:sz w:val="24"/>
          <w:lang w:val="bg-BG"/>
        </w:rPr>
        <w:t>интегриран подход за засилване на усилията за изграждане на капацитет в трети държави и за определяне на приоритета на тези усилия</w:t>
      </w:r>
      <w:r>
        <w:rPr>
          <w:rFonts w:ascii="Times New Roman" w:hAnsi="Times New Roman"/>
          <w:noProof/>
          <w:sz w:val="24"/>
          <w:lang w:val="bg-BG"/>
        </w:rPr>
        <w:t>. Предложените действия включват, наред с другото, обучения и учения в областта на културата на сигурност, контрола на достъпа, процедурите за проверка и сертифицирането на одитори. За всяка една от третите държави, които са предмет на оценка, се организират специализирани срещи с оглед разработването на подходящи действия за всяка една от тези държави.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Като последващо действие във връзка със Съвместната декларация за </w:t>
      </w:r>
      <w:r>
        <w:rPr>
          <w:rFonts w:ascii="Times New Roman" w:hAnsi="Times New Roman"/>
          <w:b/>
          <w:noProof/>
          <w:sz w:val="24"/>
          <w:lang w:val="bg-BG"/>
        </w:rPr>
        <w:t>стратегическото партньорство между НАТО и ЕС</w:t>
      </w:r>
      <w:r>
        <w:rPr>
          <w:rFonts w:ascii="Times New Roman" w:hAnsi="Times New Roman"/>
          <w:noProof/>
          <w:sz w:val="24"/>
          <w:lang w:val="bg-BG"/>
        </w:rPr>
        <w:t>,</w:t>
      </w:r>
      <w:r>
        <w:rPr>
          <w:rFonts w:ascii="Times New Roman" w:hAnsi="Times New Roman"/>
          <w:b/>
          <w:noProof/>
          <w:sz w:val="24"/>
          <w:lang w:val="bg-BG"/>
        </w:rPr>
        <w:t xml:space="preserve"> </w:t>
      </w:r>
      <w:r>
        <w:rPr>
          <w:rFonts w:ascii="Times New Roman" w:hAnsi="Times New Roman"/>
          <w:noProof/>
          <w:sz w:val="24"/>
          <w:lang w:val="bg-BG"/>
        </w:rPr>
        <w:t>Съветът прие на 5 декември втори доклад относно изпълнението</w:t>
      </w:r>
      <w:r>
        <w:rPr>
          <w:rStyle w:val="FootnoteReference"/>
          <w:rFonts w:ascii="Times New Roman" w:hAnsi="Times New Roman"/>
          <w:noProof/>
          <w:sz w:val="24"/>
          <w:lang w:val="bg-BG"/>
        </w:rPr>
        <w:footnoteReference w:id="47"/>
      </w:r>
      <w:r>
        <w:rPr>
          <w:noProof/>
          <w:lang w:val="bg-BG"/>
        </w:rPr>
        <w:t>.</w:t>
      </w:r>
      <w:r>
        <w:rPr>
          <w:rFonts w:ascii="Times New Roman" w:hAnsi="Times New Roman"/>
          <w:noProof/>
          <w:sz w:val="24"/>
          <w:lang w:val="bg-BG"/>
        </w:rPr>
        <w:t xml:space="preserve"> В доклада се очертават основните области, в които е постигнат напредък, включително киберсигурността и борбата с хибридните заплахи. През септември и октомври 2017 г. ЕС и НАТО за първи път проведоха паралелно и координирано учение (ЕС PACE17/CMX17) въз основа на сценарий за хибридна заплаха. Заедно с доклада бе приет и набор от 24 допълнителни предложения за допълнително засилване и задълбочаване на сътрудничеството между ЕС и НАТО. Новите предложения обхващат всичките седем области на сътрудничество, определени във Варшавската съвместна декларация: борба с хибридните заплахи; разширяване на оперативното сътрудничество, включително по море и във връзка с миграцията; киберсигурност и киберотбрана; отбранителни способности; отбранителна промишленост и научни изследвания; учения; изграждане на капацитет в областта на отбраната и сигурността, както и политически диалог. Няколко от предложенията са насочени към засилване на сътрудничеството в областта на борбата с тероризма. Например през първата половина на 2018 г. ще бъде организиран неофициален семинар, за да се разработи общо разбиране за начините, по които способностите в областта на отбраната могат да бъдат от полза за усилията в борбата с тероризма. Въз основа на натрупания опит и извлечените поуки от учението, проведено през 2017 г., ще бъде разработен план за осъществяване на паралелни и координирани учения между ЕС и НАТО в периода 2019—2020 г. Освен това от 2018 г. нататък ще бъде въведен поетапно набор от съвместни модули за обучения и учения.</w:t>
      </w:r>
    </w:p>
    <w:p>
      <w:pPr>
        <w:spacing w:after="240" w:line="240" w:lineRule="auto"/>
        <w:jc w:val="both"/>
        <w:rPr>
          <w:rFonts w:ascii="Times New Roman" w:hAnsi="Times New Roman" w:cs="Times New Roman"/>
          <w:b/>
          <w:noProof/>
          <w:sz w:val="24"/>
          <w:szCs w:val="24"/>
          <w:lang w:val="bg-BG"/>
        </w:rPr>
      </w:pPr>
      <w:r>
        <w:rPr>
          <w:rFonts w:ascii="Times New Roman" w:hAnsi="Times New Roman"/>
          <w:b/>
          <w:noProof/>
          <w:sz w:val="24"/>
          <w:lang w:val="bg-BG"/>
        </w:rPr>
        <w:t>IV.</w:t>
      </w:r>
      <w:r>
        <w:rPr>
          <w:noProof/>
          <w:lang w:val="bg-BG"/>
        </w:rPr>
        <w:tab/>
      </w:r>
      <w:r>
        <w:rPr>
          <w:rFonts w:ascii="Times New Roman" w:hAnsi="Times New Roman"/>
          <w:b/>
          <w:noProof/>
          <w:sz w:val="24"/>
          <w:lang w:val="bg-BG"/>
        </w:rPr>
        <w:t>ЗАКЛЮЧЕНИЕ</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В настоящия доклад са посочени редица действия, предприети на равнището на ЕС, за да се увеличи обменът на информация с цел укрепване на вътрешната сигурност и по-добро управление на външните граници. Предложението за регламент относно оперативната съвместимост предвижда целенасочен и интелигентен начин за използване на съществуващите данни за постигане на най-добри резултати и за интегриране на принципа на защита на данните на етапа на проектирането. Подпомагайки националните органи да се справят по-добре с транснационалните заплахи и да разкриват по-ефективно терористите, които действат през граница, предложението представлява радикална промяна в начина, по който ЕС управлява данните за целите на сигурността и външните граници.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Следващият доклад за напредъка по изграждането на ефективен и истински Съюз на сигурност се планира да бъде приет през януари 2018 г.</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75969471"/>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357" w:hanging="357"/>
        <w:rPr>
          <w:lang w:val="bg-BG"/>
        </w:rPr>
      </w:pPr>
      <w:r>
        <w:rPr>
          <w:rStyle w:val="FootnoteReference"/>
          <w:lang w:val="bg-BG"/>
        </w:rPr>
        <w:footnoteRef/>
      </w:r>
      <w:r>
        <w:rPr>
          <w:lang w:val="bg-BG"/>
        </w:rPr>
        <w:t xml:space="preserve"> </w:t>
      </w:r>
      <w:r>
        <w:rPr>
          <w:lang w:val="bg-BG"/>
        </w:rPr>
        <w:tab/>
        <w:t>COM(2016) 205 (6.4.2016 г.).</w:t>
      </w:r>
    </w:p>
  </w:footnote>
  <w:footnote w:id="3">
    <w:p>
      <w:pPr>
        <w:pStyle w:val="FootnoteText"/>
        <w:ind w:left="357" w:hanging="357"/>
        <w:rPr>
          <w:lang w:val="bg-BG"/>
        </w:rPr>
      </w:pPr>
      <w:r>
        <w:rPr>
          <w:rStyle w:val="FootnoteReference"/>
          <w:lang w:val="bg-BG"/>
        </w:rPr>
        <w:footnoteRef/>
      </w:r>
      <w:r>
        <w:rPr>
          <w:lang w:val="bg-BG"/>
        </w:rPr>
        <w:t xml:space="preserve"> </w:t>
      </w:r>
      <w:r>
        <w:rPr>
          <w:lang w:val="bg-BG"/>
        </w:rPr>
        <w:tab/>
        <w:t>COM(2017) 793 final и COM(2017) 794 final (12.12.2017 г.).</w:t>
      </w:r>
    </w:p>
  </w:footnote>
  <w:footnote w:id="4">
    <w:p>
      <w:pPr>
        <w:pStyle w:val="FootnoteText"/>
        <w:ind w:left="357" w:hanging="357"/>
        <w:rPr>
          <w:lang w:val="bg-BG"/>
        </w:rPr>
      </w:pPr>
      <w:r>
        <w:rPr>
          <w:rStyle w:val="FootnoteReference"/>
          <w:lang w:val="bg-BG"/>
        </w:rPr>
        <w:footnoteRef/>
      </w:r>
      <w:r>
        <w:rPr>
          <w:lang w:val="bg-BG"/>
        </w:rPr>
        <w:t xml:space="preserve"> </w:t>
      </w:r>
      <w:r>
        <w:rPr>
          <w:lang w:val="bg-BG"/>
        </w:rPr>
        <w:tab/>
        <w:t>COM(2017) 261 final (16.5.2017 г.).</w:t>
      </w:r>
    </w:p>
  </w:footnote>
  <w:footnote w:id="5">
    <w:p>
      <w:pPr>
        <w:pStyle w:val="FootnoteText"/>
        <w:ind w:left="357" w:hanging="357"/>
        <w:rPr>
          <w:lang w:val="bg-BG"/>
        </w:rPr>
      </w:pPr>
      <w:r>
        <w:rPr>
          <w:rStyle w:val="FootnoteReference"/>
          <w:lang w:val="bg-BG"/>
        </w:rPr>
        <w:footnoteRef/>
      </w:r>
      <w:r>
        <w:rPr>
          <w:lang w:val="bg-BG"/>
        </w:rPr>
        <w:t xml:space="preserve"> </w:t>
      </w:r>
      <w:r>
        <w:rPr>
          <w:lang w:val="bg-BG"/>
        </w:rPr>
        <w:tab/>
      </w:r>
      <w:hyperlink r:id="rId1">
        <w:r>
          <w:rPr>
            <w:rStyle w:val="Hyperlink"/>
            <w:lang w:val="bg-BG"/>
          </w:rPr>
          <w:t>http://www.consilium.europa.eu/media/21597/bratislava-implementation-report.pdf</w:t>
        </w:r>
      </w:hyperlink>
      <w:r>
        <w:rPr>
          <w:lang w:val="bg-BG"/>
        </w:rPr>
        <w:t xml:space="preserve"> </w:t>
      </w:r>
    </w:p>
  </w:footnote>
  <w:footnote w:id="6">
    <w:p>
      <w:pPr>
        <w:pStyle w:val="FootnoteText"/>
        <w:ind w:left="357" w:hanging="357"/>
        <w:rPr>
          <w:lang w:val="bg-BG"/>
        </w:rPr>
      </w:pPr>
      <w:r>
        <w:rPr>
          <w:rStyle w:val="FootnoteReference"/>
          <w:lang w:val="bg-BG"/>
        </w:rPr>
        <w:footnoteRef/>
      </w:r>
      <w:r>
        <w:rPr>
          <w:lang w:val="bg-BG"/>
        </w:rPr>
        <w:t xml:space="preserve"> </w:t>
      </w:r>
      <w:r>
        <w:rPr>
          <w:lang w:val="bg-BG"/>
        </w:rPr>
        <w:tab/>
        <w:t>Вж. Специално проучване 464b на Евробарометър „Общи нагласи на европейците спрямо сигурността“,</w:t>
      </w:r>
      <w:r>
        <w:rPr>
          <w:lang w:val="it-IT"/>
        </w:rPr>
        <w:t> </w:t>
      </w:r>
      <w:r>
        <w:rPr>
          <w:lang w:val="bg-BG"/>
        </w:rPr>
        <w:t>публикувано</w:t>
      </w:r>
      <w:r>
        <w:rPr>
          <w:lang w:val="it-IT"/>
        </w:rPr>
        <w:t> </w:t>
      </w:r>
      <w:r>
        <w:rPr>
          <w:lang w:val="bg-BG"/>
        </w:rPr>
        <w:t>на</w:t>
      </w:r>
      <w:r>
        <w:rPr>
          <w:lang w:val="it-IT"/>
        </w:rPr>
        <w:t> </w:t>
      </w:r>
      <w:r>
        <w:rPr>
          <w:lang w:val="bg-BG"/>
        </w:rPr>
        <w:t>12 декември</w:t>
      </w:r>
      <w:r>
        <w:rPr>
          <w:lang w:val="it-IT"/>
        </w:rPr>
        <w:t> </w:t>
      </w:r>
      <w:r>
        <w:rPr>
          <w:lang w:val="bg-BG"/>
        </w:rPr>
        <w:t xml:space="preserve">2017 г.: </w:t>
      </w:r>
      <w:r>
        <w:rPr>
          <w:lang w:val="bg-BG"/>
        </w:rPr>
        <w:br/>
      </w:r>
      <w:hyperlink r:id="rId2">
        <w:r>
          <w:rPr>
            <w:rStyle w:val="Hyperlink"/>
            <w:lang w:val="bg-BG"/>
          </w:rPr>
          <w:t>http://ec.europa.eu/commfrontoffice/publicopinion/index.cfm/Survey/getSurveyDetail/instruments/SPECIAL/surveyKy/1569</w:t>
        </w:r>
      </w:hyperlink>
      <w:r>
        <w:rPr>
          <w:lang w:val="bg-BG"/>
        </w:rPr>
        <w:t>.</w:t>
      </w:r>
    </w:p>
  </w:footnote>
  <w:footnote w:id="7">
    <w:p>
      <w:pPr>
        <w:pStyle w:val="FootnoteText"/>
        <w:ind w:left="357" w:hanging="357"/>
        <w:rPr>
          <w:lang w:val="bg-BG"/>
        </w:rPr>
      </w:pPr>
      <w:r>
        <w:rPr>
          <w:rStyle w:val="FootnoteReference"/>
          <w:lang w:val="bg-BG"/>
        </w:rPr>
        <w:footnoteRef/>
      </w:r>
      <w:r>
        <w:rPr>
          <w:lang w:val="bg-BG"/>
        </w:rPr>
        <w:t xml:space="preserve"> </w:t>
      </w:r>
      <w:r>
        <w:rPr>
          <w:lang w:val="bg-BG"/>
        </w:rPr>
        <w:tab/>
        <w:t>COM(2016) 205 final (6.4.2016 г.).</w:t>
      </w:r>
    </w:p>
  </w:footnote>
  <w:footnote w:id="8">
    <w:p>
      <w:pPr>
        <w:pStyle w:val="FootnoteText"/>
        <w:ind w:left="357" w:hanging="357"/>
        <w:rPr>
          <w:lang w:val="bg-BG"/>
        </w:rPr>
      </w:pPr>
      <w:r>
        <w:rPr>
          <w:rStyle w:val="FootnoteReference"/>
          <w:lang w:val="bg-BG"/>
        </w:rPr>
        <w:footnoteRef/>
      </w:r>
      <w:r>
        <w:rPr>
          <w:lang w:val="bg-BG"/>
        </w:rPr>
        <w:t xml:space="preserve"> </w:t>
      </w:r>
      <w:r>
        <w:rPr>
          <w:lang w:val="bg-BG"/>
        </w:rPr>
        <w:tab/>
        <w:t>Шенгенската информационна система, Евродак, Визовата информационна система, бъдещата Система за влизане/излизане, предложената Европейска система за информация за пътуванията и разрешаването им и предложената Европейска информационна система за съдимост за граждани на трети държави.</w:t>
      </w:r>
    </w:p>
  </w:footnote>
  <w:footnote w:id="9">
    <w:p>
      <w:pPr>
        <w:pStyle w:val="FootnoteText"/>
        <w:ind w:left="357" w:hanging="357"/>
        <w:rPr>
          <w:lang w:val="bg-BG"/>
        </w:rPr>
      </w:pPr>
      <w:r>
        <w:rPr>
          <w:rStyle w:val="FootnoteReference"/>
          <w:lang w:val="bg-BG"/>
        </w:rPr>
        <w:footnoteRef/>
      </w:r>
      <w:r>
        <w:rPr>
          <w:lang w:val="bg-BG"/>
        </w:rPr>
        <w:t xml:space="preserve"> </w:t>
      </w:r>
      <w:r>
        <w:rPr>
          <w:lang w:val="bg-BG"/>
        </w:rPr>
        <w:tab/>
        <w:t>Шенгенската информационна система, Евродак, Визовата информационна система, бъдещата Система за влизане/излизане и предложената Европейска информационна система за съдимост за граждани на трети държави.</w:t>
      </w:r>
    </w:p>
  </w:footnote>
  <w:footnote w:id="10">
    <w:p>
      <w:pPr>
        <w:pStyle w:val="FootnoteText"/>
        <w:ind w:left="357" w:hanging="357"/>
        <w:rPr>
          <w:lang w:val="bg-BG"/>
        </w:rPr>
      </w:pPr>
      <w:r>
        <w:rPr>
          <w:rStyle w:val="FootnoteReference"/>
          <w:lang w:val="bg-BG"/>
        </w:rPr>
        <w:footnoteRef/>
      </w:r>
      <w:r>
        <w:rPr>
          <w:lang w:val="bg-BG"/>
        </w:rPr>
        <w:t xml:space="preserve"> </w:t>
      </w:r>
      <w:r>
        <w:rPr>
          <w:lang w:val="bg-BG"/>
        </w:rPr>
        <w:tab/>
        <w:t>Евродак, Визовата информационна система, бъдещата Система за влизане/излизане, предложената Европейска система за информация за пътуванията и разрешаването им и предложената Европейска информационна система за съдимост за граждани на трети държави.</w:t>
      </w:r>
    </w:p>
  </w:footnote>
  <w:footnote w:id="11">
    <w:p>
      <w:pPr>
        <w:pStyle w:val="FootnoteText"/>
        <w:ind w:left="357" w:hanging="357"/>
        <w:rPr>
          <w:spacing w:val="-2"/>
          <w:lang w:val="bg-BG"/>
        </w:rPr>
      </w:pPr>
      <w:r>
        <w:rPr>
          <w:rStyle w:val="FootnoteReference"/>
          <w:spacing w:val="-2"/>
          <w:lang w:val="bg-BG"/>
        </w:rPr>
        <w:footnoteRef/>
      </w:r>
      <w:r>
        <w:rPr>
          <w:spacing w:val="-2"/>
          <w:lang w:val="bg-BG"/>
        </w:rPr>
        <w:t xml:space="preserve"> </w:t>
      </w:r>
      <w:r>
        <w:rPr>
          <w:spacing w:val="-2"/>
          <w:lang w:val="bg-BG"/>
        </w:rPr>
        <w:tab/>
        <w:t>Шенгенската информационна система, Евродак, Визовата информационна система, бъдещата Система за влизане/излизане, предложената Европейска система за информация за пътуванията и разрешаването им и предложената Европейска информационна система за съдимост за граждани на трети държави.</w:t>
      </w:r>
    </w:p>
  </w:footnote>
  <w:footnote w:id="12">
    <w:p>
      <w:pPr>
        <w:pStyle w:val="FootnoteText"/>
        <w:ind w:left="357" w:hanging="357"/>
        <w:rPr>
          <w:lang w:val="bg-BG"/>
        </w:rPr>
      </w:pPr>
      <w:r>
        <w:rPr>
          <w:rStyle w:val="FootnoteReference"/>
          <w:lang w:val="bg-BG"/>
        </w:rPr>
        <w:footnoteRef/>
      </w:r>
      <w:r>
        <w:rPr>
          <w:lang w:val="bg-BG"/>
        </w:rPr>
        <w:t xml:space="preserve"> </w:t>
      </w:r>
      <w:r>
        <w:rPr>
          <w:lang w:val="bg-BG"/>
        </w:rPr>
        <w:tab/>
        <w:t>C(2017) 3349 final (12.5.2017 г.).</w:t>
      </w:r>
    </w:p>
  </w:footnote>
  <w:footnote w:id="13">
    <w:p>
      <w:pPr>
        <w:pStyle w:val="FootnoteText"/>
        <w:ind w:left="357" w:hanging="357"/>
        <w:rPr>
          <w:spacing w:val="-2"/>
          <w:lang w:val="bg-BG"/>
        </w:rPr>
      </w:pPr>
      <w:r>
        <w:rPr>
          <w:rStyle w:val="FootnoteReference"/>
          <w:spacing w:val="-2"/>
          <w:lang w:val="bg-BG"/>
        </w:rPr>
        <w:footnoteRef/>
      </w:r>
      <w:r>
        <w:rPr>
          <w:spacing w:val="-2"/>
          <w:lang w:val="bg-BG"/>
        </w:rPr>
        <w:t xml:space="preserve"> </w:t>
      </w:r>
      <w:r>
        <w:rPr>
          <w:spacing w:val="-2"/>
          <w:lang w:val="bg-BG"/>
        </w:rPr>
        <w:tab/>
        <w:t xml:space="preserve">Групата беше създадена с Решение 2016/C 257/03 на Комисията от 17.6.2016 г. В групата участваха експерти от държавите членки и асоциираните държави от Шенген, както и от агенциите на ЕС eu-LISA, Европол, Европейската служба за подкрепа в областта на убежището, Европейската агенция за гранична и брегова охрана и Агенцията за основните права. Координаторът на ЕС за борба с тероризма и Европейският надзорен орган по защита на данните взеха участие като пълноправни членове. Представители на секретариата на Комисията на Европейския парламент по граждански свободи, правосъдие и вътрешни работи (LIBE) и на Генералния секретариат на Съвета присъстваха като наблюдатели. Окончателният доклад на експертната група може да бъде намерен на адрес: </w:t>
      </w:r>
      <w:hyperlink r:id="rId3">
        <w:r>
          <w:rPr>
            <w:rStyle w:val="Hyperlink"/>
            <w:spacing w:val="-2"/>
            <w:lang w:val="bg-BG"/>
          </w:rPr>
          <w:t>http://ec.europa.eu/transparency/regexpert/index.cfm?do=groupDetail.groupDetailDoc&amp;id=32600&amp;no=1</w:t>
        </w:r>
      </w:hyperlink>
      <w:r>
        <w:rPr>
          <w:spacing w:val="-2"/>
          <w:lang w:val="bg-BG"/>
        </w:rPr>
        <w:t>. Приложенията към него включват обобщение на доклад от Агенцията за основните права, както и изявления на Европейския надзорен орган по защита на данните и координатора на ЕС за борбата с тероризма.</w:t>
      </w:r>
    </w:p>
  </w:footnote>
  <w:footnote w:id="14">
    <w:p>
      <w:pPr>
        <w:pStyle w:val="FootnoteText"/>
        <w:ind w:left="357" w:hanging="357"/>
        <w:rPr>
          <w:lang w:val="bg-BG"/>
        </w:rPr>
      </w:pPr>
      <w:r>
        <w:rPr>
          <w:rStyle w:val="FootnoteReference"/>
          <w:lang w:val="bg-BG"/>
        </w:rPr>
        <w:footnoteRef/>
      </w:r>
      <w:r>
        <w:rPr>
          <w:lang w:val="bg-BG"/>
        </w:rPr>
        <w:t xml:space="preserve"> </w:t>
      </w:r>
      <w:r>
        <w:rPr>
          <w:lang w:val="bg-BG"/>
        </w:rPr>
        <w:tab/>
        <w:t>Предложените регламенти за система на ЕС за информация за пътуванията и разрешаването им и за Европейска информационна система за съдимост за граждани на трети държави, регламентите за Евродак, Шенгенската информационна система и eu-LISA, както и съответно произтичащите изменения на предложения регламент за система на ЕС за информация за пътуванията и разрешаването им, които касаят Регламента за Европейската агенция за гранична и брегова охрана.</w:t>
      </w:r>
    </w:p>
  </w:footnote>
  <w:footnote w:id="15">
    <w:p>
      <w:pPr>
        <w:pStyle w:val="FootnoteText"/>
        <w:ind w:left="357" w:hanging="357"/>
        <w:rPr>
          <w:lang w:val="bg-BG"/>
        </w:rPr>
      </w:pPr>
      <w:r>
        <w:rPr>
          <w:rStyle w:val="FootnoteReference"/>
          <w:lang w:val="bg-BG"/>
        </w:rPr>
        <w:footnoteRef/>
      </w:r>
      <w:r>
        <w:rPr>
          <w:lang w:val="bg-BG"/>
        </w:rPr>
        <w:t xml:space="preserve"> </w:t>
      </w:r>
      <w:r>
        <w:rPr>
          <w:lang w:val="bg-BG"/>
        </w:rPr>
        <w:tab/>
        <w:t>Регламент 2017/2226 (30.11.2017 г.).</w:t>
      </w:r>
    </w:p>
  </w:footnote>
  <w:footnote w:id="16">
    <w:p>
      <w:pPr>
        <w:pStyle w:val="FootnoteText"/>
        <w:ind w:left="357" w:hanging="357"/>
        <w:rPr>
          <w:lang w:val="bg-BG"/>
        </w:rPr>
      </w:pPr>
      <w:r>
        <w:rPr>
          <w:rStyle w:val="FootnoteReference"/>
          <w:lang w:val="bg-BG"/>
        </w:rPr>
        <w:footnoteRef/>
      </w:r>
      <w:r>
        <w:rPr>
          <w:lang w:val="bg-BG"/>
        </w:rPr>
        <w:t xml:space="preserve"> </w:t>
      </w:r>
      <w:r>
        <w:rPr>
          <w:lang w:val="bg-BG"/>
        </w:rPr>
        <w:tab/>
        <w:t>Регламент 2017/2225 (30.11.2017 г.).</w:t>
      </w:r>
    </w:p>
  </w:footnote>
  <w:footnote w:id="17">
    <w:p>
      <w:pPr>
        <w:pStyle w:val="FootnoteText"/>
        <w:ind w:left="357" w:hanging="357"/>
        <w:rPr>
          <w:lang w:val="bg-BG"/>
        </w:rPr>
      </w:pPr>
      <w:r>
        <w:rPr>
          <w:rStyle w:val="FootnoteReference"/>
          <w:lang w:val="bg-BG"/>
        </w:rPr>
        <w:footnoteRef/>
      </w:r>
      <w:r>
        <w:rPr>
          <w:lang w:val="bg-BG"/>
        </w:rPr>
        <w:t xml:space="preserve"> </w:t>
      </w:r>
      <w:r>
        <w:rPr>
          <w:lang w:val="bg-BG"/>
        </w:rPr>
        <w:tab/>
        <w:t>COM(2016) 881 final, COM(2016) 882 final и COM(2016) 883 final (21.12.2016 г.).</w:t>
      </w:r>
    </w:p>
  </w:footnote>
  <w:footnote w:id="18">
    <w:p>
      <w:pPr>
        <w:pStyle w:val="FootnoteText"/>
        <w:ind w:left="357" w:hanging="357"/>
        <w:rPr>
          <w:lang w:val="bg-BG"/>
        </w:rPr>
      </w:pPr>
      <w:r>
        <w:rPr>
          <w:rStyle w:val="FootnoteReference"/>
          <w:lang w:val="bg-BG"/>
        </w:rPr>
        <w:footnoteRef/>
      </w:r>
      <w:r>
        <w:rPr>
          <w:lang w:val="bg-BG"/>
        </w:rPr>
        <w:t xml:space="preserve"> </w:t>
      </w:r>
      <w:r>
        <w:rPr>
          <w:lang w:val="bg-BG"/>
        </w:rPr>
        <w:tab/>
        <w:t>COM(2016) 272 final (4.5.2016 г.).</w:t>
      </w:r>
    </w:p>
  </w:footnote>
  <w:footnote w:id="19">
    <w:p>
      <w:pPr>
        <w:pStyle w:val="FootnoteText"/>
        <w:ind w:left="357" w:hanging="357"/>
        <w:rPr>
          <w:lang w:val="bg-BG"/>
        </w:rPr>
      </w:pPr>
      <w:r>
        <w:rPr>
          <w:rStyle w:val="FootnoteReference"/>
          <w:lang w:val="bg-BG"/>
        </w:rPr>
        <w:footnoteRef/>
      </w:r>
      <w:r>
        <w:rPr>
          <w:lang w:val="bg-BG"/>
        </w:rPr>
        <w:t xml:space="preserve"> </w:t>
      </w:r>
      <w:r>
        <w:rPr>
          <w:lang w:val="bg-BG"/>
        </w:rPr>
        <w:tab/>
        <w:t>COM(2017) 820 final (7.12.2017 г.).</w:t>
      </w:r>
    </w:p>
  </w:footnote>
  <w:footnote w:id="20">
    <w:p>
      <w:pPr>
        <w:pStyle w:val="FootnoteText"/>
        <w:ind w:left="357" w:hanging="357"/>
        <w:rPr>
          <w:lang w:val="bg-BG"/>
        </w:rPr>
      </w:pPr>
      <w:r>
        <w:rPr>
          <w:rStyle w:val="FootnoteReference"/>
          <w:lang w:val="bg-BG"/>
        </w:rPr>
        <w:footnoteRef/>
      </w:r>
      <w:r>
        <w:rPr>
          <w:lang w:val="bg-BG"/>
        </w:rPr>
        <w:t xml:space="preserve"> </w:t>
      </w:r>
      <w:r>
        <w:rPr>
          <w:lang w:val="bg-BG"/>
        </w:rPr>
        <w:tab/>
        <w:t>COM(2017) 344 final (29.6.2017 г.).</w:t>
      </w:r>
    </w:p>
  </w:footnote>
  <w:footnote w:id="21">
    <w:p>
      <w:pPr>
        <w:pStyle w:val="FootnoteText"/>
        <w:ind w:left="357" w:hanging="357"/>
        <w:rPr>
          <w:lang w:val="bg-BG"/>
        </w:rPr>
      </w:pPr>
      <w:r>
        <w:rPr>
          <w:rStyle w:val="FootnoteReference"/>
          <w:lang w:val="bg-BG"/>
        </w:rPr>
        <w:footnoteRef/>
      </w:r>
      <w:r>
        <w:rPr>
          <w:lang w:val="bg-BG"/>
        </w:rPr>
        <w:t xml:space="preserve"> </w:t>
      </w:r>
      <w:r>
        <w:rPr>
          <w:lang w:val="bg-BG"/>
        </w:rPr>
        <w:tab/>
        <w:t>COM(2016) 7 final (19.1.2016 г.).</w:t>
      </w:r>
    </w:p>
  </w:footnote>
  <w:footnote w:id="22">
    <w:p>
      <w:pPr>
        <w:pStyle w:val="FootnoteText"/>
        <w:ind w:left="357" w:hanging="357"/>
        <w:rPr>
          <w:lang w:val="bg-BG"/>
        </w:rPr>
      </w:pPr>
      <w:r>
        <w:rPr>
          <w:rStyle w:val="FootnoteReference"/>
          <w:lang w:val="bg-BG"/>
        </w:rPr>
        <w:footnoteRef/>
      </w:r>
      <w:r>
        <w:rPr>
          <w:lang w:val="bg-BG"/>
        </w:rPr>
        <w:t xml:space="preserve"> </w:t>
      </w:r>
      <w:r>
        <w:rPr>
          <w:lang w:val="bg-BG"/>
        </w:rPr>
        <w:tab/>
        <w:t>COM(2017) 352 final (29.6.2017 г.).</w:t>
      </w:r>
    </w:p>
  </w:footnote>
  <w:footnote w:id="23">
    <w:p>
      <w:pPr>
        <w:pStyle w:val="FootnoteText"/>
        <w:ind w:left="357" w:hanging="357"/>
        <w:rPr>
          <w:lang w:val="bg-BG"/>
        </w:rPr>
      </w:pPr>
      <w:r>
        <w:rPr>
          <w:rStyle w:val="FootnoteReference"/>
          <w:lang w:val="bg-BG"/>
        </w:rPr>
        <w:footnoteRef/>
      </w:r>
      <w:r>
        <w:rPr>
          <w:lang w:val="bg-BG"/>
        </w:rPr>
        <w:t xml:space="preserve"> </w:t>
      </w:r>
      <w:r>
        <w:rPr>
          <w:lang w:val="bg-BG"/>
        </w:rPr>
        <w:tab/>
        <w:t>Директива 2016/681 (27.4.2016 г.).</w:t>
      </w:r>
    </w:p>
  </w:footnote>
  <w:footnote w:id="24">
    <w:p>
      <w:pPr>
        <w:pStyle w:val="FootnoteText"/>
        <w:ind w:left="357" w:hanging="357"/>
        <w:rPr>
          <w:lang w:val="bg-BG"/>
        </w:rPr>
      </w:pPr>
      <w:r>
        <w:rPr>
          <w:rStyle w:val="FootnoteReference"/>
          <w:lang w:val="bg-BG"/>
        </w:rPr>
        <w:footnoteRef/>
      </w:r>
      <w:r>
        <w:rPr>
          <w:lang w:val="bg-BG"/>
        </w:rPr>
        <w:t xml:space="preserve"> </w:t>
      </w:r>
      <w:r>
        <w:rPr>
          <w:lang w:val="bg-BG"/>
        </w:rPr>
        <w:tab/>
        <w:t>SWD(2016) 426 final, (28.11.2016 г.).</w:t>
      </w:r>
    </w:p>
  </w:footnote>
  <w:footnote w:id="25">
    <w:p>
      <w:pPr>
        <w:pStyle w:val="FootnoteText"/>
        <w:ind w:left="357" w:hanging="357"/>
        <w:rPr>
          <w:spacing w:val="-2"/>
          <w:lang w:val="bg-BG"/>
        </w:rPr>
      </w:pPr>
      <w:r>
        <w:rPr>
          <w:rStyle w:val="FootnoteReference"/>
          <w:spacing w:val="-2"/>
          <w:lang w:val="bg-BG"/>
        </w:rPr>
        <w:footnoteRef/>
      </w:r>
      <w:r>
        <w:rPr>
          <w:spacing w:val="-2"/>
          <w:lang w:val="bg-BG"/>
        </w:rPr>
        <w:t xml:space="preserve"> </w:t>
      </w:r>
      <w:r>
        <w:rPr>
          <w:spacing w:val="-2"/>
          <w:lang w:val="bg-BG"/>
        </w:rPr>
        <w:tab/>
        <w:t>Както бе обявено в Петия доклад за напредъка по създаването на ефективен и истински Съюз на сигурност, Бюджетният орган увеличи бюджета на Съюза за 2017 г. със 70 милиона евро по линия на фонд „Вътрешна сигурност“ — Полиция с цел оказване на подкрепа на действия, свързани с PNR данните, през периода 2017 – 2020 г. Тези допълнителни средства бяха разпределени като добавка към националните програми на държавите членки чрез прилагане на метода за разпределение на фонда. Що се отнася до действията на Съюза, текущият проект „PIU.net“, избран вследствие на покана за представяне на предложения, публикувана по линия на Фонд „Вътрешна сигурност“ — Полиция през 2016 г. (с размер на отпусканите безвъзмездни средства, възлизащ най-много на 3,78 милиона евро), има за цел да осигури техническо решение за улесняване на обмена на PNR данни между ЗДП на държавите членки. През ноември 2017 г. Комисията публикува допълнителна покана за представяне на предложения, с общ бюджет от 1,5 милиона евро, за обучение, повишаване на осведомеността и други дейности по изграждане на капацитет, насочени към персонала, работещ за ЗДП.</w:t>
      </w:r>
    </w:p>
  </w:footnote>
  <w:footnote w:id="26">
    <w:p>
      <w:pPr>
        <w:pStyle w:val="FootnoteText"/>
        <w:ind w:left="357" w:hanging="357"/>
        <w:rPr>
          <w:lang w:val="bg-BG"/>
        </w:rPr>
      </w:pPr>
      <w:r>
        <w:rPr>
          <w:rStyle w:val="FootnoteReference"/>
          <w:lang w:val="bg-BG"/>
        </w:rPr>
        <w:footnoteRef/>
      </w:r>
      <w:r>
        <w:rPr>
          <w:lang w:val="bg-BG"/>
        </w:rPr>
        <w:t xml:space="preserve"> </w:t>
      </w:r>
      <w:r>
        <w:rPr>
          <w:lang w:val="bg-BG"/>
        </w:rPr>
        <w:tab/>
        <w:t>Решения на Съвета 2008/615/ПВР и 2008/616/ПВР (23.6.2008 г.).</w:t>
      </w:r>
    </w:p>
  </w:footnote>
  <w:footnote w:id="27">
    <w:p>
      <w:pPr>
        <w:pStyle w:val="FootnoteText"/>
        <w:ind w:left="357" w:hanging="357"/>
        <w:rPr>
          <w:lang w:val="bg-BG"/>
        </w:rPr>
      </w:pPr>
      <w:r>
        <w:rPr>
          <w:rStyle w:val="FootnoteReference"/>
          <w:lang w:val="bg-BG"/>
        </w:rPr>
        <w:footnoteRef/>
      </w:r>
      <w:r>
        <w:rPr>
          <w:lang w:val="bg-BG"/>
        </w:rPr>
        <w:t xml:space="preserve"> </w:t>
      </w:r>
      <w:r>
        <w:rPr>
          <w:lang w:val="bg-BG"/>
        </w:rPr>
        <w:tab/>
        <w:t>Регламент № 1053/2013 на Съвета (7.10.2013 г.).</w:t>
      </w:r>
    </w:p>
  </w:footnote>
  <w:footnote w:id="28">
    <w:p>
      <w:pPr>
        <w:pStyle w:val="FootnoteText"/>
        <w:ind w:left="357" w:hanging="357"/>
        <w:rPr>
          <w:lang w:val="bg-BG"/>
        </w:rPr>
      </w:pPr>
      <w:r>
        <w:rPr>
          <w:rStyle w:val="FootnoteReference"/>
          <w:lang w:val="bg-BG"/>
        </w:rPr>
        <w:footnoteRef/>
      </w:r>
      <w:r>
        <w:rPr>
          <w:lang w:val="bg-BG"/>
        </w:rPr>
        <w:t xml:space="preserve"> </w:t>
      </w:r>
      <w:r>
        <w:rPr>
          <w:lang w:val="bg-BG"/>
        </w:rPr>
        <w:tab/>
        <w:t>Например: Белгия, Финландия, Полша, Обединеното кралство, както и напоследък от Чешката република и Хърватия.</w:t>
      </w:r>
    </w:p>
  </w:footnote>
  <w:footnote w:id="29">
    <w:p>
      <w:pPr>
        <w:pStyle w:val="FootnoteText"/>
        <w:ind w:left="357" w:hanging="357"/>
        <w:rPr>
          <w:lang w:val="bg-BG"/>
        </w:rPr>
      </w:pPr>
      <w:r>
        <w:rPr>
          <w:rStyle w:val="FootnoteReference"/>
          <w:lang w:val="bg-BG"/>
        </w:rPr>
        <w:footnoteRef/>
      </w:r>
      <w:r>
        <w:rPr>
          <w:lang w:val="bg-BG"/>
        </w:rPr>
        <w:t xml:space="preserve"> </w:t>
      </w:r>
      <w:r>
        <w:rPr>
          <w:lang w:val="bg-BG"/>
        </w:rPr>
        <w:tab/>
        <w:t>Рамково решение 2006/960 на Съвета (18.12.2006 г.).</w:t>
      </w:r>
    </w:p>
  </w:footnote>
  <w:footnote w:id="30">
    <w:p>
      <w:pPr>
        <w:pStyle w:val="FootnoteText"/>
        <w:ind w:left="357" w:hanging="357"/>
        <w:rPr>
          <w:lang w:val="bg-BG"/>
        </w:rPr>
      </w:pPr>
      <w:r>
        <w:rPr>
          <w:rStyle w:val="FootnoteReference"/>
          <w:lang w:val="bg-BG"/>
        </w:rPr>
        <w:footnoteRef/>
      </w:r>
      <w:r>
        <w:rPr>
          <w:lang w:val="bg-BG"/>
        </w:rPr>
        <w:t xml:space="preserve"> </w:t>
      </w:r>
      <w:r>
        <w:rPr>
          <w:lang w:val="bg-BG"/>
        </w:rPr>
        <w:tab/>
        <w:t>COM(2017) 612 final (18.10.2017 г.).</w:t>
      </w:r>
    </w:p>
  </w:footnote>
  <w:footnote w:id="31">
    <w:p>
      <w:pPr>
        <w:pStyle w:val="FootnoteText"/>
        <w:ind w:left="357" w:hanging="357"/>
        <w:rPr>
          <w:lang w:val="bg-BG"/>
        </w:rPr>
      </w:pPr>
      <w:r>
        <w:rPr>
          <w:rStyle w:val="FootnoteReference"/>
          <w:lang w:val="bg-BG"/>
        </w:rPr>
        <w:footnoteRef/>
      </w:r>
      <w:r>
        <w:rPr>
          <w:lang w:val="bg-BG"/>
        </w:rPr>
        <w:t xml:space="preserve"> </w:t>
      </w:r>
      <w:r>
        <w:rPr>
          <w:lang w:val="bg-BG"/>
        </w:rPr>
        <w:tab/>
        <w:t>COM(2016) 826 final (21.12.2016 г.).</w:t>
      </w:r>
    </w:p>
  </w:footnote>
  <w:footnote w:id="32">
    <w:p>
      <w:pPr>
        <w:pStyle w:val="FootnoteText"/>
        <w:ind w:left="357" w:hanging="357"/>
        <w:rPr>
          <w:lang w:val="bg-BG"/>
        </w:rPr>
      </w:pPr>
      <w:r>
        <w:rPr>
          <w:rStyle w:val="FootnoteReference"/>
          <w:lang w:val="bg-BG"/>
        </w:rPr>
        <w:footnoteRef/>
      </w:r>
      <w:r>
        <w:rPr>
          <w:lang w:val="bg-BG"/>
        </w:rPr>
        <w:t xml:space="preserve"> </w:t>
      </w:r>
      <w:r>
        <w:rPr>
          <w:lang w:val="bg-BG"/>
        </w:rPr>
        <w:tab/>
        <w:t>Директива 2014/41 (3.4. 2014 г.).</w:t>
      </w:r>
    </w:p>
  </w:footnote>
  <w:footnote w:id="33">
    <w:p>
      <w:pPr>
        <w:pStyle w:val="FootnoteText"/>
        <w:ind w:left="357" w:hanging="357"/>
        <w:rPr>
          <w:lang w:val="it-IT"/>
        </w:rPr>
      </w:pPr>
      <w:r>
        <w:rPr>
          <w:rStyle w:val="FootnoteReference"/>
          <w:lang w:val="bg-BG"/>
        </w:rPr>
        <w:footnoteRef/>
      </w:r>
      <w:r>
        <w:rPr>
          <w:lang w:val="bg-BG"/>
        </w:rPr>
        <w:t xml:space="preserve"> </w:t>
      </w:r>
      <w:r>
        <w:rPr>
          <w:lang w:val="bg-BG"/>
        </w:rPr>
        <w:tab/>
        <w:t>Директива 2015/849 (20.5.2015 г</w:t>
      </w:r>
      <w:r>
        <w:rPr>
          <w:lang w:val="it-IT"/>
        </w:rPr>
        <w:t>.</w:t>
      </w:r>
      <w:r>
        <w:rPr>
          <w:lang w:val="bg-BG"/>
        </w:rPr>
        <w:t>)</w:t>
      </w:r>
      <w:r>
        <w:rPr>
          <w:lang w:val="it-IT"/>
        </w:rPr>
        <w:t>.</w:t>
      </w:r>
    </w:p>
  </w:footnote>
  <w:footnote w:id="34">
    <w:p>
      <w:pPr>
        <w:pStyle w:val="FootnoteText"/>
        <w:ind w:left="357" w:hanging="357"/>
        <w:rPr>
          <w:lang w:val="bg-BG"/>
        </w:rPr>
      </w:pPr>
      <w:r>
        <w:rPr>
          <w:rStyle w:val="FootnoteReference"/>
          <w:lang w:val="bg-BG"/>
        </w:rPr>
        <w:footnoteRef/>
      </w:r>
      <w:r>
        <w:rPr>
          <w:lang w:val="bg-BG"/>
        </w:rPr>
        <w:t xml:space="preserve"> </w:t>
      </w:r>
      <w:r>
        <w:rPr>
          <w:lang w:val="bg-BG"/>
        </w:rPr>
        <w:tab/>
        <w:t>COM(2016) 450 final (5.7.2016 г.).</w:t>
      </w:r>
    </w:p>
  </w:footnote>
  <w:footnote w:id="35">
    <w:p>
      <w:pPr>
        <w:pStyle w:val="FootnoteText"/>
        <w:ind w:left="357" w:hanging="357"/>
        <w:rPr>
          <w:lang w:val="bg-BG"/>
        </w:rPr>
      </w:pPr>
      <w:r>
        <w:rPr>
          <w:rStyle w:val="FootnoteReference"/>
          <w:lang w:val="bg-BG"/>
        </w:rPr>
        <w:footnoteRef/>
      </w:r>
      <w:r>
        <w:rPr>
          <w:lang w:val="bg-BG"/>
        </w:rPr>
        <w:t xml:space="preserve"> </w:t>
      </w:r>
      <w:r>
        <w:rPr>
          <w:lang w:val="bg-BG"/>
        </w:rPr>
        <w:tab/>
      </w:r>
      <w:hyperlink r:id="rId4">
        <w:r>
          <w:rPr>
            <w:rStyle w:val="Hyperlink"/>
            <w:lang w:val="bg-BG"/>
          </w:rPr>
          <w:t>http://ec.europa.eu/research/participants/data/ref/other_eu_prog/other/home/call-fiche/isfp-call-fiche-2017-ag-terfin_en.pdf</w:t>
        </w:r>
      </w:hyperlink>
    </w:p>
  </w:footnote>
  <w:footnote w:id="36">
    <w:p>
      <w:pPr>
        <w:pStyle w:val="FootnoteText"/>
        <w:ind w:left="357" w:hanging="357"/>
        <w:rPr>
          <w:lang w:val="bg-BG"/>
        </w:rPr>
      </w:pPr>
      <w:r>
        <w:rPr>
          <w:rStyle w:val="FootnoteReference"/>
          <w:lang w:val="bg-BG"/>
        </w:rPr>
        <w:footnoteRef/>
      </w:r>
      <w:r>
        <w:rPr>
          <w:lang w:val="bg-BG"/>
        </w:rPr>
        <w:t xml:space="preserve"> </w:t>
      </w:r>
      <w:r>
        <w:rPr>
          <w:lang w:val="bg-BG"/>
        </w:rPr>
        <w:tab/>
      </w:r>
      <w:hyperlink r:id="rId5">
        <w:r>
          <w:rPr>
            <w:rStyle w:val="Hyperlink"/>
            <w:lang w:val="bg-BG"/>
          </w:rPr>
          <w:t>http://data.consilium.europa.eu/doc/document/ST-14-2017-INIT/bg/pdf</w:t>
        </w:r>
      </w:hyperlink>
    </w:p>
  </w:footnote>
  <w:footnote w:id="37">
    <w:p>
      <w:pPr>
        <w:pStyle w:val="FootnoteText"/>
        <w:ind w:left="357" w:hanging="357"/>
        <w:rPr>
          <w:lang w:val="bg-BG"/>
        </w:rPr>
      </w:pPr>
      <w:r>
        <w:rPr>
          <w:rStyle w:val="FootnoteReference"/>
          <w:lang w:val="bg-BG"/>
        </w:rPr>
        <w:footnoteRef/>
      </w:r>
      <w:r>
        <w:rPr>
          <w:lang w:val="bg-BG"/>
        </w:rPr>
        <w:t xml:space="preserve"> </w:t>
      </w:r>
      <w:r>
        <w:rPr>
          <w:lang w:val="bg-BG"/>
        </w:rPr>
        <w:tab/>
      </w:r>
      <w:hyperlink r:id="rId6">
        <w:r>
          <w:rPr>
            <w:rStyle w:val="Hyperlink"/>
            <w:lang w:val="bg-BG"/>
          </w:rPr>
          <w:t>https://ec.europa.eu/digital-single-market/en/policies/cybersecurity</w:t>
        </w:r>
      </w:hyperlink>
      <w:r>
        <w:rPr>
          <w:lang w:val="bg-BG"/>
        </w:rPr>
        <w:t xml:space="preserve"> </w:t>
      </w:r>
    </w:p>
  </w:footnote>
  <w:footnote w:id="38">
    <w:p>
      <w:pPr>
        <w:pStyle w:val="FootnoteText"/>
        <w:ind w:left="357" w:hanging="357"/>
        <w:rPr>
          <w:lang w:val="bg-BG"/>
        </w:rPr>
      </w:pPr>
      <w:r>
        <w:rPr>
          <w:rStyle w:val="FootnoteReference"/>
          <w:lang w:val="bg-BG"/>
        </w:rPr>
        <w:footnoteRef/>
      </w:r>
      <w:r>
        <w:rPr>
          <w:lang w:val="bg-BG"/>
        </w:rPr>
        <w:t xml:space="preserve"> </w:t>
      </w:r>
      <w:r>
        <w:rPr>
          <w:lang w:val="bg-BG"/>
        </w:rPr>
        <w:tab/>
        <w:t>JOIN (2017) 450 final, 13.9.2017 г.</w:t>
      </w:r>
    </w:p>
  </w:footnote>
  <w:footnote w:id="39">
    <w:p>
      <w:pPr>
        <w:pStyle w:val="FootnoteText"/>
        <w:ind w:left="357" w:hanging="357"/>
        <w:rPr>
          <w:lang w:val="bg-BG"/>
        </w:rPr>
      </w:pPr>
      <w:r>
        <w:rPr>
          <w:rStyle w:val="FootnoteReference"/>
          <w:lang w:val="bg-BG"/>
        </w:rPr>
        <w:footnoteRef/>
      </w:r>
      <w:r>
        <w:rPr>
          <w:lang w:val="bg-BG"/>
        </w:rPr>
        <w:t xml:space="preserve"> </w:t>
      </w:r>
      <w:r>
        <w:rPr>
          <w:lang w:val="bg-BG"/>
        </w:rPr>
        <w:tab/>
        <w:t>COM(2017) 477 final/2, (4.10.2017 г.).</w:t>
      </w:r>
    </w:p>
  </w:footnote>
  <w:footnote w:id="40">
    <w:p>
      <w:pPr>
        <w:pStyle w:val="FootnoteText"/>
        <w:ind w:left="357" w:hanging="357"/>
        <w:rPr>
          <w:lang w:val="bg-BG"/>
        </w:rPr>
      </w:pPr>
      <w:r>
        <w:rPr>
          <w:rStyle w:val="FootnoteReference"/>
          <w:lang w:val="bg-BG"/>
        </w:rPr>
        <w:footnoteRef/>
      </w:r>
      <w:r>
        <w:rPr>
          <w:lang w:val="bg-BG"/>
        </w:rPr>
        <w:t xml:space="preserve"> </w:t>
      </w:r>
      <w:r>
        <w:rPr>
          <w:lang w:val="bg-BG"/>
        </w:rPr>
        <w:tab/>
        <w:t>Директива (ЕС) 2016/1148 (6.7.2016 г.).</w:t>
      </w:r>
    </w:p>
  </w:footnote>
  <w:footnote w:id="41">
    <w:p>
      <w:pPr>
        <w:pStyle w:val="FootnoteText"/>
        <w:ind w:left="357" w:hanging="357"/>
        <w:rPr>
          <w:lang w:val="bg-BG"/>
        </w:rPr>
      </w:pPr>
      <w:r>
        <w:rPr>
          <w:rStyle w:val="FootnoteReference"/>
          <w:lang w:val="bg-BG"/>
        </w:rPr>
        <w:footnoteRef/>
      </w:r>
      <w:r>
        <w:rPr>
          <w:lang w:val="bg-BG"/>
        </w:rPr>
        <w:t xml:space="preserve"> </w:t>
      </w:r>
      <w:r>
        <w:rPr>
          <w:lang w:val="bg-BG"/>
        </w:rPr>
        <w:tab/>
        <w:t>„Обмен на добри практики, свързани с критериите за определяне на критичното значение на даден оператор съгласно член 5, параграф 2 на Директивата, посредством насоки“.</w:t>
      </w:r>
    </w:p>
  </w:footnote>
  <w:footnote w:id="42">
    <w:p>
      <w:pPr>
        <w:pStyle w:val="FootnoteText"/>
        <w:ind w:left="357" w:hanging="357"/>
        <w:rPr>
          <w:spacing w:val="-6"/>
          <w:lang w:val="bg-BG"/>
        </w:rPr>
      </w:pPr>
      <w:r>
        <w:rPr>
          <w:rStyle w:val="FootnoteReference"/>
          <w:spacing w:val="-6"/>
          <w:lang w:val="bg-BG"/>
        </w:rPr>
        <w:footnoteRef/>
      </w:r>
      <w:r>
        <w:rPr>
          <w:spacing w:val="-6"/>
          <w:lang w:val="bg-BG"/>
        </w:rPr>
        <w:t xml:space="preserve"> </w:t>
      </w:r>
      <w:r>
        <w:rPr>
          <w:spacing w:val="-6"/>
          <w:lang w:val="bg-BG"/>
        </w:rPr>
        <w:tab/>
        <w:t>„Референтен документ относно мерките за сигурност, предназначен за операторите на основни услуги“.</w:t>
      </w:r>
    </w:p>
  </w:footnote>
  <w:footnote w:id="43">
    <w:p>
      <w:pPr>
        <w:pStyle w:val="FootnoteText"/>
        <w:ind w:left="357" w:hanging="357"/>
        <w:rPr>
          <w:lang w:val="bg-BG"/>
        </w:rPr>
      </w:pPr>
      <w:r>
        <w:rPr>
          <w:rStyle w:val="FootnoteReference"/>
          <w:lang w:val="bg-BG"/>
        </w:rPr>
        <w:footnoteRef/>
      </w:r>
      <w:r>
        <w:rPr>
          <w:lang w:val="bg-BG"/>
        </w:rPr>
        <w:t xml:space="preserve"> </w:t>
      </w:r>
      <w:r>
        <w:rPr>
          <w:lang w:val="bg-BG"/>
        </w:rPr>
        <w:tab/>
        <w:t>COM(2017) 608 final (18.10.2017 г.).</w:t>
      </w:r>
    </w:p>
  </w:footnote>
  <w:footnote w:id="44">
    <w:p>
      <w:pPr>
        <w:pStyle w:val="FootnoteText"/>
        <w:ind w:left="357" w:hanging="357"/>
        <w:rPr>
          <w:lang w:val="bg-BG"/>
        </w:rPr>
      </w:pPr>
      <w:r>
        <w:rPr>
          <w:rStyle w:val="FootnoteReference"/>
          <w:lang w:val="bg-BG"/>
        </w:rPr>
        <w:footnoteRef/>
      </w:r>
      <w:r>
        <w:rPr>
          <w:lang w:val="bg-BG"/>
        </w:rPr>
        <w:t xml:space="preserve"> </w:t>
      </w:r>
      <w:r>
        <w:rPr>
          <w:lang w:val="bg-BG"/>
        </w:rPr>
        <w:tab/>
      </w:r>
      <w:hyperlink r:id="rId7">
        <w:r>
          <w:rPr>
            <w:rStyle w:val="Hyperlink"/>
            <w:lang w:val="bg-BG"/>
          </w:rPr>
          <w:t>http://europa.eu/rapid/press-release_IP-17-5105_en.htm</w:t>
        </w:r>
      </w:hyperlink>
      <w:r>
        <w:rPr>
          <w:lang w:val="bg-BG"/>
        </w:rPr>
        <w:t xml:space="preserve"> </w:t>
      </w:r>
    </w:p>
  </w:footnote>
  <w:footnote w:id="45">
    <w:p>
      <w:pPr>
        <w:pStyle w:val="FootnoteText"/>
        <w:ind w:left="357" w:hanging="357"/>
        <w:rPr>
          <w:lang w:val="bg-BG"/>
        </w:rPr>
      </w:pPr>
      <w:r>
        <w:rPr>
          <w:rStyle w:val="FootnoteReference"/>
          <w:lang w:val="bg-BG"/>
        </w:rPr>
        <w:footnoteRef/>
      </w:r>
      <w:r>
        <w:rPr>
          <w:lang w:val="bg-BG"/>
        </w:rPr>
        <w:t xml:space="preserve"> </w:t>
      </w:r>
      <w:r>
        <w:rPr>
          <w:lang w:val="bg-BG"/>
        </w:rPr>
        <w:tab/>
        <w:t>Twitter докладва, че три четвърти от 300 000 профила, премахнати през периода между януари и юни 2017 г., са били заличени преди публикуването на съдържание за първи път. YouTube съобщи, че е премахнал повече от 150 000 видеоклипа от юни 2017 г. насам. След откриването на дадено терористично съдържание Facebook премахва 83% от качените впоследствие копия в рамките на един час от тяхното качване.</w:t>
      </w:r>
    </w:p>
  </w:footnote>
  <w:footnote w:id="46">
    <w:p>
      <w:pPr>
        <w:pStyle w:val="FootnoteText"/>
        <w:ind w:left="357" w:hanging="357"/>
        <w:rPr>
          <w:lang w:val="bg-BG"/>
        </w:rPr>
      </w:pPr>
      <w:r>
        <w:rPr>
          <w:rStyle w:val="FootnoteReference"/>
          <w:lang w:val="bg-BG"/>
        </w:rPr>
        <w:footnoteRef/>
      </w:r>
      <w:r>
        <w:rPr>
          <w:lang w:val="bg-BG"/>
        </w:rPr>
        <w:t xml:space="preserve"> </w:t>
      </w:r>
      <w:r>
        <w:rPr>
          <w:lang w:val="bg-BG"/>
        </w:rPr>
        <w:tab/>
        <w:t>COM(2017) 650 final (24.10.2017 г.).</w:t>
      </w:r>
    </w:p>
  </w:footnote>
  <w:footnote w:id="47">
    <w:p>
      <w:pPr>
        <w:spacing w:after="0" w:line="240" w:lineRule="auto"/>
        <w:ind w:hanging="357"/>
        <w:jc w:val="both"/>
        <w:rPr>
          <w:rFonts w:ascii="Times New Roman" w:hAnsi="Times New Roman" w:cs="Times New Roman"/>
          <w:sz w:val="20"/>
          <w:szCs w:val="20"/>
          <w:lang w:val="bg-BG"/>
        </w:rPr>
      </w:pPr>
      <w:r>
        <w:rPr>
          <w:rStyle w:val="FootnoteReference"/>
          <w:rFonts w:ascii="Times New Roman" w:hAnsi="Times New Roman"/>
          <w:sz w:val="20"/>
          <w:lang w:val="bg-BG"/>
        </w:rPr>
        <w:footnoteRef/>
      </w:r>
      <w:r>
        <w:rPr>
          <w:rFonts w:ascii="Times New Roman" w:hAnsi="Times New Roman"/>
          <w:sz w:val="20"/>
          <w:lang w:val="bg-BG"/>
        </w:rPr>
        <w:t xml:space="preserve"> </w:t>
      </w:r>
      <w:r>
        <w:rPr>
          <w:lang w:val="bg-BG"/>
        </w:rPr>
        <w:tab/>
      </w:r>
      <w:r>
        <w:rPr>
          <w:rFonts w:ascii="Times New Roman" w:hAnsi="Times New Roman"/>
          <w:sz w:val="20"/>
          <w:lang w:val="bg-BG"/>
        </w:rPr>
        <w:t>В изпълнение на възложената от министрите на двете организации задача за докладване два пъти в годината, първият доклад за напредъка по осъществяването на предложенията беше представен на съответните съвети през юни 2017 г. Вторият доклад за напредъка обхваща периода от юли до декември 2017 г.</w:t>
      </w:r>
    </w:p>
    <w:p>
      <w:pPr>
        <w:pStyle w:val="FootnoteText"/>
        <w:rPr>
          <w:lang w:val="bg-B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1DA"/>
    <w:multiLevelType w:val="hybridMultilevel"/>
    <w:tmpl w:val="2A4298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96D4686"/>
    <w:multiLevelType w:val="hybridMultilevel"/>
    <w:tmpl w:val="A4DE73C6"/>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BE0621"/>
    <w:multiLevelType w:val="hybridMultilevel"/>
    <w:tmpl w:val="A266CD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D6B67F8"/>
    <w:multiLevelType w:val="hybridMultilevel"/>
    <w:tmpl w:val="D1BA7B34"/>
    <w:lvl w:ilvl="0" w:tplc="402EA07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E0C1316"/>
    <w:multiLevelType w:val="hybridMultilevel"/>
    <w:tmpl w:val="B1101FFE"/>
    <w:lvl w:ilvl="0" w:tplc="08090005">
      <w:start w:val="1"/>
      <w:numFmt w:val="bullet"/>
      <w:lvlText w:val=""/>
      <w:lvlJc w:val="left"/>
      <w:pPr>
        <w:ind w:left="-2136" w:hanging="360"/>
      </w:pPr>
      <w:rPr>
        <w:rFonts w:ascii="Wingdings" w:hAnsi="Wingdings"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696" w:hanging="360"/>
      </w:pPr>
      <w:rPr>
        <w:rFonts w:ascii="Wingdings" w:hAnsi="Wingdings" w:hint="default"/>
      </w:rPr>
    </w:lvl>
    <w:lvl w:ilvl="3" w:tplc="08090001" w:tentative="1">
      <w:start w:val="1"/>
      <w:numFmt w:val="bullet"/>
      <w:lvlText w:val=""/>
      <w:lvlJc w:val="left"/>
      <w:pPr>
        <w:ind w:left="24" w:hanging="360"/>
      </w:pPr>
      <w:rPr>
        <w:rFonts w:ascii="Symbol" w:hAnsi="Symbol" w:hint="default"/>
      </w:rPr>
    </w:lvl>
    <w:lvl w:ilvl="4" w:tplc="08090003" w:tentative="1">
      <w:start w:val="1"/>
      <w:numFmt w:val="bullet"/>
      <w:lvlText w:val="o"/>
      <w:lvlJc w:val="left"/>
      <w:pPr>
        <w:ind w:left="744" w:hanging="360"/>
      </w:pPr>
      <w:rPr>
        <w:rFonts w:ascii="Courier New" w:hAnsi="Courier New" w:cs="Courier New" w:hint="default"/>
      </w:rPr>
    </w:lvl>
    <w:lvl w:ilvl="5" w:tplc="08090005" w:tentative="1">
      <w:start w:val="1"/>
      <w:numFmt w:val="bullet"/>
      <w:lvlText w:val=""/>
      <w:lvlJc w:val="left"/>
      <w:pPr>
        <w:ind w:left="1464" w:hanging="360"/>
      </w:pPr>
      <w:rPr>
        <w:rFonts w:ascii="Wingdings" w:hAnsi="Wingdings" w:hint="default"/>
      </w:rPr>
    </w:lvl>
    <w:lvl w:ilvl="6" w:tplc="08090001" w:tentative="1">
      <w:start w:val="1"/>
      <w:numFmt w:val="bullet"/>
      <w:lvlText w:val=""/>
      <w:lvlJc w:val="left"/>
      <w:pPr>
        <w:ind w:left="2184" w:hanging="360"/>
      </w:pPr>
      <w:rPr>
        <w:rFonts w:ascii="Symbol" w:hAnsi="Symbol" w:hint="default"/>
      </w:rPr>
    </w:lvl>
    <w:lvl w:ilvl="7" w:tplc="08090003" w:tentative="1">
      <w:start w:val="1"/>
      <w:numFmt w:val="bullet"/>
      <w:lvlText w:val="o"/>
      <w:lvlJc w:val="left"/>
      <w:pPr>
        <w:ind w:left="2904" w:hanging="360"/>
      </w:pPr>
      <w:rPr>
        <w:rFonts w:ascii="Courier New" w:hAnsi="Courier New" w:cs="Courier New" w:hint="default"/>
      </w:rPr>
    </w:lvl>
    <w:lvl w:ilvl="8" w:tplc="08090005" w:tentative="1">
      <w:start w:val="1"/>
      <w:numFmt w:val="bullet"/>
      <w:lvlText w:val=""/>
      <w:lvlJc w:val="left"/>
      <w:pPr>
        <w:ind w:left="3624" w:hanging="360"/>
      </w:pPr>
      <w:rPr>
        <w:rFonts w:ascii="Wingdings" w:hAnsi="Wingdings" w:hint="default"/>
      </w:rPr>
    </w:lvl>
  </w:abstractNum>
  <w:abstractNum w:abstractNumId="5">
    <w:nsid w:val="0E237974"/>
    <w:multiLevelType w:val="hybridMultilevel"/>
    <w:tmpl w:val="454604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5C16DB"/>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1825784"/>
    <w:multiLevelType w:val="hybridMultilevel"/>
    <w:tmpl w:val="3DE020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AE45F1D"/>
    <w:multiLevelType w:val="hybridMultilevel"/>
    <w:tmpl w:val="1CDC88B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BB821B2"/>
    <w:multiLevelType w:val="hybridMultilevel"/>
    <w:tmpl w:val="A316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672271"/>
    <w:multiLevelType w:val="hybridMultilevel"/>
    <w:tmpl w:val="EBEC46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4A638EF"/>
    <w:multiLevelType w:val="hybridMultilevel"/>
    <w:tmpl w:val="D5269E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53F0E5B"/>
    <w:multiLevelType w:val="hybridMultilevel"/>
    <w:tmpl w:val="ECDA0EE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DE02EA6"/>
    <w:multiLevelType w:val="hybridMultilevel"/>
    <w:tmpl w:val="A8E02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1BB1686"/>
    <w:multiLevelType w:val="hybridMultilevel"/>
    <w:tmpl w:val="948C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FA720F"/>
    <w:multiLevelType w:val="hybridMultilevel"/>
    <w:tmpl w:val="E4A88B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1A80529"/>
    <w:multiLevelType w:val="hybridMultilevel"/>
    <w:tmpl w:val="BFF6BC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81E65BC"/>
    <w:multiLevelType w:val="hybridMultilevel"/>
    <w:tmpl w:val="59CEC28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8511FDC"/>
    <w:multiLevelType w:val="hybridMultilevel"/>
    <w:tmpl w:val="CBC0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7D0EFC"/>
    <w:multiLevelType w:val="hybridMultilevel"/>
    <w:tmpl w:val="0AFC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CB3143"/>
    <w:multiLevelType w:val="hybridMultilevel"/>
    <w:tmpl w:val="49F46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DA842DD"/>
    <w:multiLevelType w:val="hybridMultilevel"/>
    <w:tmpl w:val="A4CCBC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EE96287"/>
    <w:multiLevelType w:val="hybridMultilevel"/>
    <w:tmpl w:val="409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4B30FA"/>
    <w:multiLevelType w:val="hybridMultilevel"/>
    <w:tmpl w:val="9552DC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2FD4507"/>
    <w:multiLevelType w:val="hybridMultilevel"/>
    <w:tmpl w:val="D14626EE"/>
    <w:lvl w:ilvl="0" w:tplc="402EA07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4F66B5B"/>
    <w:multiLevelType w:val="hybridMultilevel"/>
    <w:tmpl w:val="8CCE47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3C350CE"/>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74081965"/>
    <w:multiLevelType w:val="hybridMultilevel"/>
    <w:tmpl w:val="D9008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9E17035"/>
    <w:multiLevelType w:val="hybridMultilevel"/>
    <w:tmpl w:val="00DAEE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BF35B20"/>
    <w:multiLevelType w:val="hybridMultilevel"/>
    <w:tmpl w:val="58F62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7"/>
  </w:num>
  <w:num w:numId="3">
    <w:abstractNumId w:val="22"/>
  </w:num>
  <w:num w:numId="4">
    <w:abstractNumId w:val="13"/>
  </w:num>
  <w:num w:numId="5">
    <w:abstractNumId w:val="7"/>
  </w:num>
  <w:num w:numId="6">
    <w:abstractNumId w:val="20"/>
  </w:num>
  <w:num w:numId="7">
    <w:abstractNumId w:val="15"/>
  </w:num>
  <w:num w:numId="8">
    <w:abstractNumId w:val="10"/>
  </w:num>
  <w:num w:numId="9">
    <w:abstractNumId w:val="8"/>
  </w:num>
  <w:num w:numId="10">
    <w:abstractNumId w:val="18"/>
  </w:num>
  <w:num w:numId="11">
    <w:abstractNumId w:val="16"/>
  </w:num>
  <w:num w:numId="12">
    <w:abstractNumId w:val="14"/>
  </w:num>
  <w:num w:numId="13">
    <w:abstractNumId w:val="5"/>
  </w:num>
  <w:num w:numId="14">
    <w:abstractNumId w:val="29"/>
  </w:num>
  <w:num w:numId="15">
    <w:abstractNumId w:val="25"/>
  </w:num>
  <w:num w:numId="16">
    <w:abstractNumId w:val="3"/>
  </w:num>
  <w:num w:numId="17">
    <w:abstractNumId w:val="1"/>
  </w:num>
  <w:num w:numId="18">
    <w:abstractNumId w:val="26"/>
  </w:num>
  <w:num w:numId="19">
    <w:abstractNumId w:val="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 w:numId="23">
    <w:abstractNumId w:val="30"/>
  </w:num>
  <w:num w:numId="24">
    <w:abstractNumId w:val="28"/>
  </w:num>
  <w:num w:numId="25">
    <w:abstractNumId w:val="24"/>
  </w:num>
  <w:num w:numId="26">
    <w:abstractNumId w:val="4"/>
  </w:num>
  <w:num w:numId="27">
    <w:abstractNumId w:val="1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27"/>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8DBC20C-C146-42EB-8326-749CA3EB403E"/>
    <w:docVar w:name="LW_COVERPAGE_TYPE" w:val="1"/>
    <w:docVar w:name="LW_CROSSREFERENCE" w:val="&lt;UNUSED&gt;"/>
    <w:docVar w:name="LW_DocType" w:val="NORMAL"/>
    <w:docVar w:name="LW_EMISSION" w:val="12.12.2017"/>
    <w:docVar w:name="LW_EMISSION_ISODATE" w:val="2017-12-12"/>
    <w:docVar w:name="LW_EMISSION_LOCATION" w:val="STR"/>
    <w:docVar w:name="LW_EMISSION_PREFIX" w:val="Страсбург, "/>
    <w:docVar w:name="LW_EMISSION_SUFFIX" w:val="\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4?\u1074?\u1072?\u1085?\u1072?\u1076?\u1077?\u1089?\u1077?\u1090?\u1080? \u1076?\u1086?\u1082?\u1083?\u1072?\u1076? \u1079?\u1072? \u1085?\u1072?\u1087?\u1088?\u1077?\u1076?\u1098?\u1082?\u1072? \u1087?\u1086? \u1089?\u1098?\u1079?\u1076?\u1072?\u1074?\u1072?\u1085?\u1077?\u1090?\u1086? \u1085?\u1072? \u1077?\u1092?\u1077?\u1082?\u1090?\u1080?\u1074?\u1077?\u1085? \u1080? \u1080?\u1089?\u1090?\u1080?\u1085?\u1089?\u1082?\u1080? \u1057?\u1098?\u1102?\u1079? \u1085?\u1072? \u1089?\u1080?\u1075?\u1091?\u1088?\u1085?\u1086?\u1089?\u1090?_x000b_"/>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nhideWhenUsed/>
    <w:rPr>
      <w:color w:val="0000FF"/>
      <w:u w:val="singl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number">
    <w:name w:val="Point 0 (number)"/>
    <w:basedOn w:val="Normal"/>
    <w:pPr>
      <w:numPr>
        <w:numId w:val="20"/>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0"/>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0"/>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0"/>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0"/>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0"/>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0"/>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0"/>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0"/>
      </w:numPr>
      <w:spacing w:before="120" w:after="12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4"/>
      <w:lang w:val="fr-FR"/>
    </w:rPr>
  </w:style>
  <w:style w:type="character" w:customStyle="1" w:styleId="ListParagraphChar">
    <w:name w:val="List Paragraph Char"/>
    <w:basedOn w:val="DefaultParagraphFont"/>
    <w:link w:val="ListParagraph"/>
    <w:uiPriority w:val="34"/>
    <w:locked/>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nhideWhenUsed/>
    <w:rPr>
      <w:color w:val="0000FF"/>
      <w:u w:val="singl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number">
    <w:name w:val="Point 0 (number)"/>
    <w:basedOn w:val="Normal"/>
    <w:pPr>
      <w:numPr>
        <w:numId w:val="20"/>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0"/>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0"/>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0"/>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0"/>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0"/>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0"/>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0"/>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0"/>
      </w:numPr>
      <w:spacing w:before="120" w:after="12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4"/>
      <w:lang w:val="fr-FR"/>
    </w:rPr>
  </w:style>
  <w:style w:type="character" w:customStyle="1" w:styleId="ListParagraphChar">
    <w:name w:val="List Paragraph Char"/>
    <w:basedOn w:val="DefaultParagraphFont"/>
    <w:link w:val="ListParagraph"/>
    <w:uiPriority w:val="34"/>
    <w:locked/>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0679">
      <w:bodyDiv w:val="1"/>
      <w:marLeft w:val="0"/>
      <w:marRight w:val="0"/>
      <w:marTop w:val="0"/>
      <w:marBottom w:val="0"/>
      <w:divBdr>
        <w:top w:val="none" w:sz="0" w:space="0" w:color="auto"/>
        <w:left w:val="none" w:sz="0" w:space="0" w:color="auto"/>
        <w:bottom w:val="none" w:sz="0" w:space="0" w:color="auto"/>
        <w:right w:val="none" w:sz="0" w:space="0" w:color="auto"/>
      </w:divBdr>
    </w:div>
    <w:div w:id="37052683">
      <w:bodyDiv w:val="1"/>
      <w:marLeft w:val="0"/>
      <w:marRight w:val="0"/>
      <w:marTop w:val="0"/>
      <w:marBottom w:val="0"/>
      <w:divBdr>
        <w:top w:val="none" w:sz="0" w:space="0" w:color="auto"/>
        <w:left w:val="none" w:sz="0" w:space="0" w:color="auto"/>
        <w:bottom w:val="none" w:sz="0" w:space="0" w:color="auto"/>
        <w:right w:val="none" w:sz="0" w:space="0" w:color="auto"/>
      </w:divBdr>
    </w:div>
    <w:div w:id="319504620">
      <w:bodyDiv w:val="1"/>
      <w:marLeft w:val="0"/>
      <w:marRight w:val="0"/>
      <w:marTop w:val="0"/>
      <w:marBottom w:val="0"/>
      <w:divBdr>
        <w:top w:val="none" w:sz="0" w:space="0" w:color="auto"/>
        <w:left w:val="none" w:sz="0" w:space="0" w:color="auto"/>
        <w:bottom w:val="none" w:sz="0" w:space="0" w:color="auto"/>
        <w:right w:val="none" w:sz="0" w:space="0" w:color="auto"/>
      </w:divBdr>
    </w:div>
    <w:div w:id="505634201">
      <w:bodyDiv w:val="1"/>
      <w:marLeft w:val="0"/>
      <w:marRight w:val="0"/>
      <w:marTop w:val="0"/>
      <w:marBottom w:val="0"/>
      <w:divBdr>
        <w:top w:val="none" w:sz="0" w:space="0" w:color="auto"/>
        <w:left w:val="none" w:sz="0" w:space="0" w:color="auto"/>
        <w:bottom w:val="none" w:sz="0" w:space="0" w:color="auto"/>
        <w:right w:val="none" w:sz="0" w:space="0" w:color="auto"/>
      </w:divBdr>
    </w:div>
    <w:div w:id="541206789">
      <w:bodyDiv w:val="1"/>
      <w:marLeft w:val="0"/>
      <w:marRight w:val="0"/>
      <w:marTop w:val="0"/>
      <w:marBottom w:val="0"/>
      <w:divBdr>
        <w:top w:val="none" w:sz="0" w:space="0" w:color="auto"/>
        <w:left w:val="none" w:sz="0" w:space="0" w:color="auto"/>
        <w:bottom w:val="none" w:sz="0" w:space="0" w:color="auto"/>
        <w:right w:val="none" w:sz="0" w:space="0" w:color="auto"/>
      </w:divBdr>
    </w:div>
    <w:div w:id="889533579">
      <w:bodyDiv w:val="1"/>
      <w:marLeft w:val="0"/>
      <w:marRight w:val="0"/>
      <w:marTop w:val="0"/>
      <w:marBottom w:val="0"/>
      <w:divBdr>
        <w:top w:val="none" w:sz="0" w:space="0" w:color="auto"/>
        <w:left w:val="none" w:sz="0" w:space="0" w:color="auto"/>
        <w:bottom w:val="none" w:sz="0" w:space="0" w:color="auto"/>
        <w:right w:val="none" w:sz="0" w:space="0" w:color="auto"/>
      </w:divBdr>
    </w:div>
    <w:div w:id="1017267359">
      <w:bodyDiv w:val="1"/>
      <w:marLeft w:val="0"/>
      <w:marRight w:val="0"/>
      <w:marTop w:val="0"/>
      <w:marBottom w:val="0"/>
      <w:divBdr>
        <w:top w:val="none" w:sz="0" w:space="0" w:color="auto"/>
        <w:left w:val="none" w:sz="0" w:space="0" w:color="auto"/>
        <w:bottom w:val="none" w:sz="0" w:space="0" w:color="auto"/>
        <w:right w:val="none" w:sz="0" w:space="0" w:color="auto"/>
      </w:divBdr>
    </w:div>
    <w:div w:id="1397900684">
      <w:bodyDiv w:val="1"/>
      <w:marLeft w:val="0"/>
      <w:marRight w:val="0"/>
      <w:marTop w:val="0"/>
      <w:marBottom w:val="0"/>
      <w:divBdr>
        <w:top w:val="none" w:sz="0" w:space="0" w:color="auto"/>
        <w:left w:val="none" w:sz="0" w:space="0" w:color="auto"/>
        <w:bottom w:val="none" w:sz="0" w:space="0" w:color="auto"/>
        <w:right w:val="none" w:sz="0" w:space="0" w:color="auto"/>
      </w:divBdr>
    </w:div>
    <w:div w:id="1639336877">
      <w:bodyDiv w:val="1"/>
      <w:marLeft w:val="0"/>
      <w:marRight w:val="0"/>
      <w:marTop w:val="0"/>
      <w:marBottom w:val="0"/>
      <w:divBdr>
        <w:top w:val="none" w:sz="0" w:space="0" w:color="auto"/>
        <w:left w:val="none" w:sz="0" w:space="0" w:color="auto"/>
        <w:bottom w:val="none" w:sz="0" w:space="0" w:color="auto"/>
        <w:right w:val="none" w:sz="0" w:space="0" w:color="auto"/>
      </w:divBdr>
    </w:div>
    <w:div w:id="1710839653">
      <w:bodyDiv w:val="1"/>
      <w:marLeft w:val="0"/>
      <w:marRight w:val="0"/>
      <w:marTop w:val="0"/>
      <w:marBottom w:val="0"/>
      <w:divBdr>
        <w:top w:val="none" w:sz="0" w:space="0" w:color="auto"/>
        <w:left w:val="none" w:sz="0" w:space="0" w:color="auto"/>
        <w:bottom w:val="none" w:sz="0" w:space="0" w:color="auto"/>
        <w:right w:val="none" w:sz="0" w:space="0" w:color="auto"/>
      </w:divBdr>
    </w:div>
    <w:div w:id="2076707965">
      <w:bodyDiv w:val="1"/>
      <w:marLeft w:val="0"/>
      <w:marRight w:val="0"/>
      <w:marTop w:val="0"/>
      <w:marBottom w:val="0"/>
      <w:divBdr>
        <w:top w:val="none" w:sz="0" w:space="0" w:color="auto"/>
        <w:left w:val="none" w:sz="0" w:space="0" w:color="auto"/>
        <w:bottom w:val="none" w:sz="0" w:space="0" w:color="auto"/>
        <w:right w:val="none" w:sz="0" w:space="0" w:color="auto"/>
      </w:divBdr>
    </w:div>
    <w:div w:id="20944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arency/regexpert/index.cfm?do=groupDetail.groupDetailDoc&amp;id=32600&amp;no=1" TargetMode="External"/><Relationship Id="rId7" Type="http://schemas.openxmlformats.org/officeDocument/2006/relationships/hyperlink" Target="http://europa.eu/rapid/press-release_IP-17-5105_en.htm" TargetMode="External"/><Relationship Id="rId2" Type="http://schemas.openxmlformats.org/officeDocument/2006/relationships/hyperlink" Target="http://ec.europa.eu/commfrontoffice/publicopinion/index.cfm/Survey/getSurveyDetail/instruments/SPECIAL/surveyKy/1569" TargetMode="External"/><Relationship Id="rId1" Type="http://schemas.openxmlformats.org/officeDocument/2006/relationships/hyperlink" Target="http://www.consilium.europa.eu/media/21597/bratislava-implementation-report.pdf" TargetMode="External"/><Relationship Id="rId6" Type="http://schemas.openxmlformats.org/officeDocument/2006/relationships/hyperlink" Target="https://ec.europa.eu/digital-single-market/en/policies/cybersecurity" TargetMode="External"/><Relationship Id="rId5" Type="http://schemas.openxmlformats.org/officeDocument/2006/relationships/hyperlink" Target="http://data.consilium.europa.eu/doc/document/ST-14-2017-INIT/bg/pdf" TargetMode="External"/><Relationship Id="rId4" Type="http://schemas.openxmlformats.org/officeDocument/2006/relationships/hyperlink" Target="http://ec.europa.eu/research/participants/data/ref/other_eu_prog/other/home/call-fiche/isfp-call-fiche-2017-ag-terfi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4F40-947A-467D-BD3E-B57AE4E1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7071</Words>
  <Characters>41725</Characters>
  <Application>Microsoft Office Word</Application>
  <DocSecurity>0</DocSecurity>
  <Lines>651</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2017-12-08T14:57:00Z</cp:lastPrinted>
  <dcterms:created xsi:type="dcterms:W3CDTF">2017-12-12T13:43:00Z</dcterms:created>
  <dcterms:modified xsi:type="dcterms:W3CDTF">2018-01-16T09:14:00Z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