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0189854-32B6-4B67-BFC6-2ACC8175858B" style="width:450.7pt;height:347.85pt">
            <v:imagedata r:id="rId9" o:title=""/>
          </v:shape>
        </w:pict>
      </w:r>
    </w:p>
    <w:bookmarkEnd w:id="0"/>
    <w:p>
      <w:pPr>
        <w:shd w:val="clear" w:color="auto" w:fill="FFFFFF" w:themeFill="background1"/>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Pp"/>
        <w:numPr>
          <w:ilvl w:val="0"/>
          <w:numId w:val="0"/>
        </w:numPr>
        <w:spacing w:after="240"/>
        <w:ind w:left="850" w:hanging="850"/>
        <w:rPr>
          <w:rStyle w:val="BookTitle"/>
          <w:noProof/>
          <w:sz w:val="24"/>
          <w:szCs w:val="24"/>
        </w:rPr>
      </w:pPr>
      <w:bookmarkStart w:id="1" w:name="_GoBack"/>
      <w:bookmarkEnd w:id="1"/>
      <w:r>
        <w:rPr>
          <w:rStyle w:val="BookTitle"/>
          <w:noProof/>
          <w:sz w:val="24"/>
        </w:rPr>
        <w:lastRenderedPageBreak/>
        <w:t>Въведение</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Икономическата среда се променя в рамките на ЕС, както и сред неговите международни търговски партньори. Границите между традиционното производство, цифровизацията и услугите все повече се размиват и цифровите решения се интегрират постепенно в глобалните индустриални вериги за създаване на стойност. В отговор на тези предизвикателства Комисията, заедно с партньорите в междуинституционалния диалог, следва да вземе под внимание тази икономическа действителност в своите приоритети в областта на стандартизацията, отнасящи се до европейските политики и законодателство. В съобщението, озаглавено „Европейски стандарти за 21-ви век“ (наричано по-долу „съобщението“)</w:t>
      </w:r>
      <w:r>
        <w:rPr>
          <w:rStyle w:val="FootnoteReference"/>
          <w:rFonts w:ascii="Times New Roman" w:hAnsi="Times New Roman"/>
          <w:noProof/>
          <w:sz w:val="24"/>
        </w:rPr>
        <w:footnoteReference w:id="2"/>
      </w:r>
      <w:r>
        <w:rPr>
          <w:rFonts w:ascii="Times New Roman" w:hAnsi="Times New Roman"/>
          <w:noProof/>
          <w:sz w:val="24"/>
        </w:rPr>
        <w:t xml:space="preserve">, през юни 2016 г. Комисията представи нова визия за европейската система за стандартизация (ЕСС), с която да се даде адекватен отговор на тези предизвикателства.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Новата визия, формулирана в съобщението, надхвърля традиционния подход по отношение на стандартите на равнището на ЕС, който в миналото се ограничаваше до техническа подкрепа за нуждите на ЕС в областта на хармонизацията. Новата визия е съсредоточена върху приноса на стандартизацията за справяне с предизвикателствата пред обществото и европейските политики като насърчаване на иновациите, увеличаване на качеството и безопасността, стимулиране на заетостта и растежа, подкрепяне на глобалните вериги на стойността и развитието на единния пазар.</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Освен тази разширена подкрепа в областта на политиката, в съобщението също така бяха представени нови инициативи за постигане на тези цели в рамките на ЕСС. Това включва по-специално съвместната инициатива за стандартизация (СИС)</w:t>
      </w:r>
      <w:r>
        <w:rPr>
          <w:rStyle w:val="FootnoteReference"/>
          <w:rFonts w:ascii="Times New Roman" w:hAnsi="Times New Roman"/>
          <w:noProof/>
          <w:sz w:val="24"/>
        </w:rPr>
        <w:footnoteReference w:id="3"/>
      </w:r>
      <w:r>
        <w:rPr>
          <w:rFonts w:ascii="Times New Roman" w:hAnsi="Times New Roman"/>
          <w:noProof/>
          <w:sz w:val="24"/>
        </w:rPr>
        <w:t xml:space="preserve"> и предложението за започване на междуинституционален диалог със съзаконодателите</w:t>
      </w:r>
      <w:r>
        <w:rPr>
          <w:rStyle w:val="FootnoteReference"/>
          <w:rFonts w:ascii="Times New Roman" w:hAnsi="Times New Roman"/>
          <w:noProof/>
          <w:sz w:val="24"/>
        </w:rPr>
        <w:footnoteReference w:id="4"/>
      </w:r>
      <w:r>
        <w:rPr>
          <w:rFonts w:ascii="Times New Roman" w:hAnsi="Times New Roman"/>
          <w:noProof/>
          <w:sz w:val="24"/>
        </w:rPr>
        <w:t>. В допълнение през април 2016 г. Комисията определи приоритети за стандартизацията в областта на информационните и комуникационните технологии (ИКТ) и предложи конкретни действия в съобщението си, озаглавено „Приоритети за стандартизацията в областта на ИКТ за цифровия единен пазар“ (наричано по-долу „Съобщението в областта на ИКТ“)</w:t>
      </w:r>
      <w:r>
        <w:rPr>
          <w:rFonts w:ascii="Times New Roman" w:eastAsiaTheme="minorHAnsi" w:hAnsi="Times New Roman"/>
          <w:noProof/>
          <w:sz w:val="24"/>
          <w:vertAlign w:val="superscript"/>
        </w:rPr>
        <w:footnoteReference w:id="5"/>
      </w:r>
      <w:r>
        <w:rPr>
          <w:rFonts w:ascii="Times New Roman" w:hAnsi="Times New Roman"/>
          <w:noProof/>
          <w:sz w:val="24"/>
        </w:rPr>
        <w:t>, на базата на стратегически подход, основан на два стълба. В</w:t>
      </w:r>
      <w:r>
        <w:rPr>
          <w:rFonts w:ascii="Times New Roman" w:hAnsi="Times New Roman"/>
          <w:noProof/>
          <w:sz w:val="24"/>
          <w:lang w:val="en-US"/>
        </w:rPr>
        <w:t> </w:t>
      </w:r>
      <w:r>
        <w:rPr>
          <w:rFonts w:ascii="Times New Roman" w:hAnsi="Times New Roman"/>
          <w:noProof/>
          <w:sz w:val="24"/>
        </w:rPr>
        <w:t xml:space="preserve">рамките на първия стълб Комисията определи пет приоритетни области, в които </w:t>
      </w:r>
      <w:r>
        <w:rPr>
          <w:rFonts w:ascii="Times New Roman" w:hAnsi="Times New Roman"/>
          <w:noProof/>
          <w:sz w:val="24"/>
        </w:rPr>
        <w:lastRenderedPageBreak/>
        <w:t>действията се считат за по-спешни. В рамките на втория стълб Комисията предложи процес на високо равнище за осъществяване на действията, оценяване на напредъка в постигането на резултатите и, ако е необходимо, преработване на приоритетите</w:t>
      </w:r>
      <w:r>
        <w:rPr>
          <w:rStyle w:val="FootnoteReference"/>
          <w:rFonts w:ascii="Times New Roman" w:hAnsi="Times New Roman"/>
          <w:noProof/>
          <w:sz w:val="24"/>
        </w:rPr>
        <w:footnoteReference w:id="6"/>
      </w:r>
      <w:r>
        <w:rPr>
          <w:rFonts w:ascii="Times New Roman" w:hAnsi="Times New Roman"/>
          <w:noProof/>
          <w:sz w:val="24"/>
        </w:rPr>
        <w:t>.</w:t>
      </w:r>
    </w:p>
    <w:p>
      <w:pPr>
        <w:jc w:val="both"/>
        <w:rPr>
          <w:rFonts w:ascii="Times New Roman" w:hAnsi="Times New Roman" w:cs="Times New Roman"/>
          <w:noProof/>
          <w:sz w:val="24"/>
          <w:szCs w:val="24"/>
        </w:rPr>
      </w:pPr>
      <w:r>
        <w:rPr>
          <w:rFonts w:ascii="Times New Roman" w:hAnsi="Times New Roman"/>
          <w:noProof/>
          <w:sz w:val="24"/>
        </w:rPr>
        <w:t>Един от най-важните принципи на стандартизацията е прозрачността, която изисква създаването на инструменти за комуникация и споделянето на информация със заинтересованите страни. При европейската стандартизация това досега е постигано чрез годишната работна програма на Съюза (ГРПС) в областта на европейската стандартизация</w:t>
      </w:r>
      <w:r>
        <w:rPr>
          <w:rStyle w:val="FootnoteReference"/>
          <w:rFonts w:ascii="Times New Roman" w:hAnsi="Times New Roman"/>
          <w:noProof/>
          <w:sz w:val="24"/>
        </w:rPr>
        <w:footnoteReference w:id="7"/>
      </w:r>
      <w:r>
        <w:rPr>
          <w:rFonts w:ascii="Times New Roman" w:hAnsi="Times New Roman"/>
          <w:noProof/>
          <w:sz w:val="24"/>
        </w:rPr>
        <w:t xml:space="preserve"> и чрез текущо актуализирания план</w:t>
      </w:r>
      <w:r>
        <w:rPr>
          <w:rStyle w:val="FootnoteReference"/>
          <w:rFonts w:ascii="Times New Roman" w:hAnsi="Times New Roman"/>
          <w:noProof/>
          <w:sz w:val="24"/>
        </w:rPr>
        <w:footnoteReference w:id="8"/>
      </w:r>
      <w:r>
        <w:rPr>
          <w:rFonts w:ascii="Times New Roman" w:hAnsi="Times New Roman"/>
          <w:noProof/>
          <w:sz w:val="24"/>
        </w:rPr>
        <w:t xml:space="preserve"> за стандартизация на ИКТ</w:t>
      </w:r>
      <w:r>
        <w:rPr>
          <w:rStyle w:val="FootnoteReference"/>
          <w:rFonts w:ascii="Times New Roman" w:hAnsi="Times New Roman"/>
          <w:noProof/>
          <w:sz w:val="24"/>
        </w:rPr>
        <w:footnoteReference w:id="9"/>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Настоящият доклад има за цел да поясни как до този момент отделните действия и участници в предходните ГРПС, съобщението, озаглавено „Приоритети за стандартизацията в областта на ИКТ за цифровия единен пазар“ (наричано по-долу „Съобщението в областта на ИКТ“)</w:t>
      </w:r>
      <w:r>
        <w:rPr>
          <w:rFonts w:ascii="Times New Roman" w:eastAsiaTheme="minorHAnsi" w:hAnsi="Times New Roman"/>
          <w:noProof/>
          <w:sz w:val="24"/>
          <w:vertAlign w:val="superscript"/>
        </w:rPr>
        <w:footnoteReference w:id="10"/>
      </w:r>
      <w:r>
        <w:rPr>
          <w:rFonts w:ascii="Times New Roman" w:hAnsi="Times New Roman"/>
          <w:noProof/>
          <w:sz w:val="24"/>
        </w:rPr>
        <w:t xml:space="preserve"> и СИС са допринесли за целите, определени в съобщението. Докладът е разделен на две части: едната обхваща елементите на политиката в тази нова визия, а другата се отнася до сътрудничеството със заинтересованите страни. Той е придружен от работен документ на службите на Комисията, в който подробно е описан постигнатият напредък по различните действия от горепосочените ГРПС и други текущи дейности. Докладът е предназначен да подпомогне предвидения в съобщението междуинституционален диалог, който Комисията ще проведе със съзаконодателите през месеците след излизането му, с оглед полагане на основите за работата по ГРПС за 2019 г.</w:t>
      </w:r>
    </w:p>
    <w:p>
      <w:pPr>
        <w:pStyle w:val="Pp"/>
        <w:numPr>
          <w:ilvl w:val="0"/>
          <w:numId w:val="0"/>
        </w:numPr>
        <w:spacing w:after="240"/>
        <w:ind w:left="850" w:hanging="850"/>
        <w:rPr>
          <w:b w:val="0"/>
          <w:bCs w:val="0"/>
          <w:smallCaps/>
          <w:noProof/>
          <w:spacing w:val="5"/>
          <w:sz w:val="24"/>
          <w:szCs w:val="24"/>
        </w:rPr>
      </w:pPr>
      <w:r>
        <w:rPr>
          <w:rStyle w:val="BookTitle"/>
          <w:noProof/>
          <w:sz w:val="24"/>
        </w:rPr>
        <w:t>Елементи на политиката</w:t>
      </w:r>
      <w:r>
        <w:rPr>
          <w:noProof/>
        </w:rPr>
        <w:t xml:space="preserve"> </w:t>
      </w:r>
      <w:r>
        <w:rPr>
          <w:rStyle w:val="BookTitle"/>
          <w:noProof/>
          <w:sz w:val="24"/>
        </w:rPr>
        <w:t>в рамките на новата визия</w:t>
      </w:r>
    </w:p>
    <w:p>
      <w:pPr>
        <w:pStyle w:val="Heading1"/>
        <w:shd w:val="clear" w:color="auto" w:fill="FFFFFF" w:themeFill="background1"/>
        <w:rPr>
          <w:rFonts w:ascii="Times New Roman" w:hAnsi="Times New Roman" w:cs="Times New Roman"/>
          <w:noProof/>
          <w:color w:val="auto"/>
          <w:sz w:val="24"/>
          <w:szCs w:val="24"/>
        </w:rPr>
      </w:pPr>
      <w:bookmarkStart w:id="2" w:name="_Toc464483305"/>
      <w:bookmarkStart w:id="3" w:name="_Toc465162384"/>
      <w:r>
        <w:rPr>
          <w:rFonts w:ascii="Times New Roman" w:hAnsi="Times New Roman"/>
          <w:noProof/>
          <w:color w:val="auto"/>
          <w:sz w:val="24"/>
        </w:rPr>
        <w:t>Насърчаване на иновациите</w:t>
      </w:r>
      <w:bookmarkEnd w:id="2"/>
      <w:bookmarkEnd w:id="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Стандартите са признат движещ фактор за иновациите</w:t>
      </w:r>
      <w:r>
        <w:rPr>
          <w:rStyle w:val="FootnoteReference"/>
          <w:rFonts w:ascii="Times New Roman" w:hAnsi="Times New Roman"/>
          <w:noProof/>
          <w:sz w:val="24"/>
        </w:rPr>
        <w:footnoteReference w:id="11"/>
      </w:r>
      <w:r>
        <w:rPr>
          <w:rFonts w:ascii="Times New Roman" w:hAnsi="Times New Roman"/>
          <w:noProof/>
          <w:sz w:val="24"/>
        </w:rPr>
        <w:t>. Ключов инструмент за иновации в процеса на стандартизация е разработването на съответните научни и технически данни, по-известни като преднормативни изследвания, въз основа на които се изготвят стандарти. С Регламент (ЕС) № 1025/2012</w:t>
      </w:r>
      <w:r>
        <w:rPr>
          <w:rStyle w:val="FootnoteReference"/>
          <w:rFonts w:ascii="Times New Roman" w:hAnsi="Times New Roman"/>
          <w:noProof/>
          <w:sz w:val="24"/>
        </w:rPr>
        <w:footnoteReference w:id="12"/>
      </w:r>
      <w:r>
        <w:rPr>
          <w:rFonts w:ascii="Times New Roman" w:hAnsi="Times New Roman"/>
          <w:noProof/>
          <w:sz w:val="24"/>
        </w:rPr>
        <w:t xml:space="preserve"> (наричан по-долу „регламентът“) беше създадена рамката за това, предвид увеличения принос на </w:t>
      </w:r>
      <w:r>
        <w:rPr>
          <w:rFonts w:ascii="Times New Roman" w:hAnsi="Times New Roman"/>
          <w:noProof/>
          <w:sz w:val="24"/>
        </w:rPr>
        <w:lastRenderedPageBreak/>
        <w:t>стандартизацията към иновациите в Европа. От 2016 г. насам, заедно с други заинтересовани страни в рамките на дейностите по СИС, Комисията съсредоточи в още по-голяма степен усилията си върху постигането на тази цел, като обвърза научните изследвания и иновациите със стандартизацията</w:t>
      </w:r>
      <w:r>
        <w:rPr>
          <w:rStyle w:val="FootnoteReference"/>
          <w:rFonts w:ascii="Times New Roman" w:hAnsi="Times New Roman"/>
          <w:noProof/>
          <w:sz w:val="24"/>
        </w:rPr>
        <w:footnoteReference w:id="13"/>
      </w:r>
      <w:r>
        <w:rPr>
          <w:rFonts w:ascii="Times New Roman" w:hAnsi="Times New Roman"/>
          <w:noProof/>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Гарантирането на тясно и своевременно взаимодействие между научноизследователската и развойната дейност (НИРД) и стандартизацията е ключов фактор за подпомагане на навлизането на иновативни продукти на пазара.  В рамките на „Хоризонт 2020“ основно ударение отново бе поставено върху връзката между неговите научноизследователски проекти и процеса на стандартизация, по-специално чрез интегриране на дейностите по стандартизация в научноизследователските проекти и признаване на техния потенциал за засилване на въздействието на резултатите от научните изследвания и НИРД. В процес на разработка са редица преднормативни дейности в подкрепа на медицинските изделия, опазването на околната среда, декарбонизацията, енергийната ефективност и метрологията в рамките на проекти по „Хоризонт 2020“ в областта на съвместните интелигентни транспортни системи (СИТС), киберсигурността и неприкосновеността на личния живот в електронната среда</w:t>
      </w:r>
      <w:r>
        <w:rPr>
          <w:rStyle w:val="FootnoteReference"/>
          <w:rFonts w:ascii="Times New Roman" w:hAnsi="Times New Roman"/>
          <w:noProof/>
          <w:sz w:val="24"/>
        </w:rPr>
        <w:footnoteReference w:id="14"/>
      </w:r>
      <w:r>
        <w:rPr>
          <w:rFonts w:ascii="Times New Roman" w:hAnsi="Times New Roman"/>
          <w:noProof/>
          <w:sz w:val="24"/>
        </w:rPr>
        <w:t>, нанотехнологиите, авангардните материали, биотехнологиите, енергията, включително горивните клетки и водорода, сигурните общества и напредналите технологии за производство и преработка.</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Извършваните понастоящем преднормативни изследвания допринасят също така за хармонизираните схеми за сертифициране на продукти и системи за сигурност.</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Комисията работи съвместно с европейските организации за стандартизация (ЕОС) и други организации, натоварени с разработването на стандарти (ОРС), форуми и консорциуми и съответните заинтересовани страни по възможните мерки, които ще подобрят стандартизационната екосистема в областта на ИКТ. Това включва насърчаване на взаимодействието между общностите с отворен код и стандартизационните общности и дефинирането на балансирана, ясна и предсказуема нормативна уредба на равнището на ЕС във връзка с лицензирането на патенти от съществено значение за стандарт (ПСЗС).  През ноември 2017 г. Комисията публикува съобщение</w:t>
      </w:r>
      <w:r>
        <w:rPr>
          <w:rStyle w:val="FootnoteReference"/>
          <w:rFonts w:ascii="Times New Roman" w:hAnsi="Times New Roman"/>
          <w:noProof/>
          <w:sz w:val="24"/>
        </w:rPr>
        <w:footnoteReference w:id="15"/>
      </w:r>
      <w:r>
        <w:rPr>
          <w:rFonts w:ascii="Times New Roman" w:eastAsiaTheme="minorHAnsi" w:hAnsi="Times New Roman"/>
          <w:noProof/>
          <w:sz w:val="24"/>
        </w:rPr>
        <w:t xml:space="preserve"> в тази връзка.</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 xml:space="preserve">Комисията използва широко „Хоризонт 2020“ за финансиране на научноизследователски и иновационни проекти, които допринасят за стандартизацията, и работи съвместно с ЕОС във връзка с дейности, които ще помогнат за преодоляването на липсата на взаимосвързаност между научните изследвания, иновациите и стандартизацията. Публично-частните партньорства (ПЧП) в рамките на „Хоризонт 2020“ са от съществено значение за разработването на </w:t>
      </w:r>
      <w:r>
        <w:rPr>
          <w:rFonts w:ascii="Times New Roman" w:eastAsiaTheme="minorHAnsi" w:hAnsi="Times New Roman"/>
          <w:noProof/>
          <w:sz w:val="24"/>
        </w:rPr>
        <w:lastRenderedPageBreak/>
        <w:t>ключовите градивни елементи на цифровите технологии. Мащабни пилотни проекти подготвят широкото внедряване чрез изпитвателни платформи, експериментални съоръжения и пилотни линии, създавайки знания и служейки като основа за процеса на стандартизация. Въз основа на предварителния принос на държавите членки и на индустрията бяха идентифицирани инициативи за създаване на промишлени платформи за „свързана интелигентна фабрика“, „здравеопазване“, „интелигентно селско стопанство“, „свързана и автоматизирана мобилност“, „интелигентни енергийни системи“, както и на взаимосвързани платформи за данни за промишлеността и интернет на предметите.</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В съобщението, озаглавено „Европейска стратегия за мобилност с ниски емисии“</w:t>
      </w:r>
      <w:r>
        <w:rPr>
          <w:rStyle w:val="FootnoteReference"/>
          <w:rFonts w:ascii="Times New Roman" w:eastAsiaTheme="minorHAnsi" w:hAnsi="Times New Roman"/>
          <w:noProof/>
          <w:sz w:val="24"/>
        </w:rPr>
        <w:footnoteReference w:id="16"/>
      </w:r>
      <w:r>
        <w:rPr>
          <w:rFonts w:ascii="Times New Roman" w:eastAsiaTheme="minorHAnsi" w:hAnsi="Times New Roman"/>
          <w:noProof/>
          <w:sz w:val="24"/>
        </w:rPr>
        <w:t>, се</w:t>
      </w:r>
      <w:r>
        <w:rPr>
          <w:rFonts w:ascii="Times New Roman" w:eastAsiaTheme="minorHAnsi" w:hAnsi="Times New Roman"/>
          <w:noProof/>
          <w:sz w:val="24"/>
          <w:lang w:val="en-US"/>
        </w:rPr>
        <w:t> </w:t>
      </w:r>
      <w:r>
        <w:rPr>
          <w:rFonts w:ascii="Times New Roman" w:eastAsiaTheme="minorHAnsi" w:hAnsi="Times New Roman"/>
          <w:noProof/>
          <w:sz w:val="24"/>
        </w:rPr>
        <w:t xml:space="preserve">посочва, че „стандартизацията и оперативната съвместимост са от решаващо значение за извличането на максимални ползи от мащаба на вътрешния пазар, особено по отношение на електромобилността, и пречките за зареждане на електрическите превозни средства навсякъде в ЕС трябва да бъдат премахнати“. Комисията предстои да приеме първия от поредица делегирани регламенти на Комисията, за да бъдат допълнени и/или актуализирани позоваванията на стандартите, посочени в техническите спецификации, изложени в приложение II към Директива 2014/94/ЕС за разгръщането на инфраструктура за алтернативни горива. </w:t>
      </w:r>
    </w:p>
    <w:p>
      <w:pPr>
        <w:jc w:val="both"/>
        <w:rPr>
          <w:rFonts w:ascii="Times New Roman" w:eastAsiaTheme="minorHAnsi" w:hAnsi="Times New Roman" w:cs="Times New Roman"/>
          <w:noProof/>
          <w:sz w:val="24"/>
          <w:szCs w:val="24"/>
        </w:rPr>
      </w:pPr>
    </w:p>
    <w:p>
      <w:pPr>
        <w:pStyle w:val="Heading1"/>
        <w:shd w:val="clear" w:color="auto" w:fill="FFFFFF" w:themeFill="background1"/>
        <w:rPr>
          <w:rFonts w:ascii="Times New Roman" w:hAnsi="Times New Roman" w:cs="Times New Roman"/>
          <w:noProof/>
          <w:color w:val="auto"/>
          <w:sz w:val="24"/>
          <w:szCs w:val="24"/>
        </w:rPr>
      </w:pPr>
      <w:bookmarkStart w:id="4" w:name="_Toc464483306"/>
      <w:bookmarkStart w:id="5" w:name="_Toc465162385"/>
      <w:r>
        <w:rPr>
          <w:rFonts w:ascii="Times New Roman" w:hAnsi="Times New Roman"/>
          <w:noProof/>
          <w:color w:val="auto"/>
          <w:sz w:val="24"/>
        </w:rPr>
        <w:t xml:space="preserve">Повишаване на качеството, безопасността, сигурността и устойчивостта на стоките и услугите </w:t>
      </w:r>
    </w:p>
    <w:bookmarkEnd w:id="4"/>
    <w:bookmarkEnd w:id="5"/>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Ефективната политика по стандартизация допринася за изпълнението на законовите изисквания за безопасност чрез разработването на съответни отговарящи на съвременните изисквания технически спецификации и предоставянето на общоприети методи за изпитване за измерване на съответствието на стоките и услугите с предписаните стойности за качество, безопасност, сигурност, енергийна ефективност и ефективност на използване на материалите.  Целите по отношение на качеството, безопасността, сигурността и устойчивостта по принцип взаимно се допълват, но в някои случаи могат да си противоречат. Следването на целите на стандартизационната работа по възможно най-балансиран начин с взаимно подсилване на целите е непрекъснато предизвикателство.</w:t>
      </w:r>
    </w:p>
    <w:p>
      <w:pPr>
        <w:pStyle w:val="Heading2"/>
        <w:shd w:val="clear" w:color="auto" w:fill="FFFFFF" w:themeFill="background1"/>
        <w:rPr>
          <w:rFonts w:ascii="Times New Roman" w:hAnsi="Times New Roman" w:cs="Times New Roman"/>
          <w:noProof/>
          <w:color w:val="auto"/>
          <w:sz w:val="24"/>
          <w:szCs w:val="24"/>
        </w:rPr>
      </w:pPr>
      <w:bookmarkStart w:id="6" w:name="_Toc464483307"/>
      <w:bookmarkStart w:id="7" w:name="_Toc465162386"/>
      <w:r>
        <w:rPr>
          <w:rFonts w:ascii="Times New Roman" w:hAnsi="Times New Roman"/>
          <w:noProof/>
          <w:color w:val="auto"/>
          <w:sz w:val="24"/>
        </w:rPr>
        <w:t>Качество</w:t>
      </w:r>
      <w:bookmarkEnd w:id="6"/>
      <w:bookmarkEnd w:id="7"/>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За да спомогне за подобряване на качеството на услугите, Комисията поиска от европейските организации за стандартизация (ЕОС)</w:t>
      </w:r>
      <w:r>
        <w:rPr>
          <w:rStyle w:val="FootnoteReference"/>
          <w:rFonts w:ascii="Times New Roman" w:hAnsi="Times New Roman"/>
          <w:noProof/>
          <w:sz w:val="24"/>
        </w:rPr>
        <w:footnoteReference w:id="17"/>
      </w:r>
      <w:r>
        <w:rPr>
          <w:rFonts w:ascii="Times New Roman" w:hAnsi="Times New Roman"/>
          <w:noProof/>
          <w:sz w:val="24"/>
        </w:rPr>
        <w:t xml:space="preserve"> да разработят европейски стандарти в области като пощенските услуги, където стандартите са допринесли за </w:t>
      </w:r>
      <w:r>
        <w:rPr>
          <w:rFonts w:ascii="Times New Roman" w:hAnsi="Times New Roman"/>
          <w:noProof/>
          <w:sz w:val="24"/>
        </w:rPr>
        <w:lastRenderedPageBreak/>
        <w:t xml:space="preserve">развитието на сектора за доставка на колети, както и хоризонтални стандарти в сферата на услугите, които CEN понастоящем разработва, за да помогне на доставчиците на услуги, например чрез измерване на тяхната ефективност.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В областта на метрологията наскоро поисканите европейски стандарти</w:t>
      </w:r>
      <w:r>
        <w:rPr>
          <w:rStyle w:val="FootnoteReference"/>
          <w:rFonts w:ascii="Times New Roman" w:hAnsi="Times New Roman"/>
          <w:noProof/>
          <w:sz w:val="24"/>
        </w:rPr>
        <w:footnoteReference w:id="18"/>
      </w:r>
      <w:r>
        <w:rPr>
          <w:rFonts w:ascii="Times New Roman" w:hAnsi="Times New Roman"/>
          <w:noProof/>
          <w:sz w:val="24"/>
        </w:rPr>
        <w:t xml:space="preserve"> се очаква да подобрят качеството на измерванията, по-специално за измерване на водата и конкретно на топлинната енергия, както и децентрализираното производство на електроенергия, произведена от възобновяеми енергийни източници, и преноса на електроенергия към и от електрически превозни средства. </w:t>
      </w:r>
    </w:p>
    <w:p>
      <w:pPr>
        <w:pStyle w:val="Heading2"/>
        <w:shd w:val="clear" w:color="auto" w:fill="FFFFFF" w:themeFill="background1"/>
        <w:rPr>
          <w:rFonts w:ascii="Times New Roman" w:hAnsi="Times New Roman" w:cs="Times New Roman"/>
          <w:noProof/>
          <w:color w:val="auto"/>
          <w:sz w:val="24"/>
          <w:szCs w:val="24"/>
        </w:rPr>
      </w:pPr>
      <w:bookmarkStart w:id="8" w:name="_Toc464483308"/>
      <w:bookmarkStart w:id="9" w:name="_Toc465162387"/>
      <w:r>
        <w:rPr>
          <w:rFonts w:ascii="Times New Roman" w:hAnsi="Times New Roman"/>
          <w:noProof/>
          <w:color w:val="auto"/>
          <w:sz w:val="24"/>
        </w:rPr>
        <w:t>Безопасност</w:t>
      </w:r>
      <w:bookmarkEnd w:id="8"/>
      <w:bookmarkEnd w:id="9"/>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Безопасността е ключова област за европейската стандартизация. Нея касаят около 60 % от исканията на Комисията за стандартизация, като този факт отразява влиянието на безопасността върху всекидневния живот на гражданите на ЕС. Хармонизираното законодателство на ЕС, както и Директивата относно общата безопасност на продуктите</w:t>
      </w:r>
      <w:r>
        <w:rPr>
          <w:rStyle w:val="FootnoteReference"/>
          <w:rFonts w:ascii="Times New Roman" w:hAnsi="Times New Roman"/>
          <w:noProof/>
          <w:sz w:val="24"/>
        </w:rPr>
        <w:footnoteReference w:id="19"/>
      </w:r>
      <w:r>
        <w:rPr>
          <w:rFonts w:ascii="Times New Roman" w:hAnsi="Times New Roman"/>
          <w:noProof/>
          <w:sz w:val="24"/>
        </w:rPr>
        <w:t>, които гарантират безопасността на стотици продукти на пазарите на ЕС, се опират на хармонизирани стандарти и други стандарти, стоящи в основата на законодателството на ЕС</w:t>
      </w:r>
      <w:r>
        <w:rPr>
          <w:rStyle w:val="FootnoteReference"/>
          <w:rFonts w:ascii="Times New Roman" w:hAnsi="Times New Roman"/>
          <w:noProof/>
          <w:sz w:val="24"/>
        </w:rPr>
        <w:footnoteReference w:id="20"/>
      </w:r>
      <w:r>
        <w:rPr>
          <w:rFonts w:ascii="Times New Roman" w:hAnsi="Times New Roman"/>
          <w:noProof/>
          <w:sz w:val="24"/>
        </w:rPr>
        <w:t xml:space="preserve">, за да гарантират съответствието с изискванията за безопасност, установени в законодателството.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Стандарти, които са изготвени наскоро, подкрепят хармонизацията в широк спектър от области, като безопасността на децата и личните предпазни средства. В наскоро приет европейски стандарт относно безопасността на децата се определят изисквания за безопасност на запалките, които не позволяват на деца да задействат успешно механизма за запалване. Освен това новоприети стандарти относно приспособленията за носене на бебе гарантират, че децата не могат да захващат елементите. И накрая, стандартизацията определи технически изисквания за средствата за защита от лазерно оптично лъчение с цел предпазване на работниците от случайно излагане на лазерно лъчение с помощта на лични предпазни средства. </w:t>
      </w:r>
    </w:p>
    <w:p>
      <w:pPr>
        <w:rPr>
          <w:noProof/>
        </w:rPr>
      </w:pPr>
    </w:p>
    <w:p>
      <w:pPr>
        <w:shd w:val="clear" w:color="auto" w:fill="FFFFFF" w:themeFill="background1"/>
        <w:jc w:val="both"/>
        <w:rPr>
          <w:rFonts w:ascii="Times New Roman" w:hAnsi="Times New Roman" w:cs="Times New Roman"/>
          <w:noProof/>
          <w:sz w:val="24"/>
          <w:szCs w:val="24"/>
        </w:rPr>
      </w:pPr>
    </w:p>
    <w:p>
      <w:pPr>
        <w:pStyle w:val="Heading2"/>
        <w:shd w:val="clear" w:color="auto" w:fill="FFFFFF" w:themeFill="background1"/>
        <w:rPr>
          <w:rFonts w:ascii="Times New Roman" w:hAnsi="Times New Roman" w:cs="Times New Roman"/>
          <w:noProof/>
          <w:color w:val="auto"/>
          <w:sz w:val="24"/>
          <w:szCs w:val="24"/>
        </w:rPr>
      </w:pPr>
      <w:bookmarkStart w:id="10" w:name="_Toc464483309"/>
      <w:bookmarkStart w:id="11" w:name="_Toc465162388"/>
      <w:r>
        <w:rPr>
          <w:rFonts w:ascii="Times New Roman" w:hAnsi="Times New Roman"/>
          <w:noProof/>
          <w:color w:val="auto"/>
          <w:sz w:val="24"/>
        </w:rPr>
        <w:t>Сигурност</w:t>
      </w:r>
      <w:bookmarkEnd w:id="10"/>
      <w:bookmarkEnd w:id="11"/>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Предвид най-новите технологични развития, както и тези в сферата на международната политика, сигурността се превръща във все по-приоритетна област на политиката на ЕС. В контекста на сигурността, от 2016 г. насам Комисията идентифицира нуждите от стандартизация в областта на управлението на кризи, както и в областта на химическата, биологичната, радиологичната и ядрената отбрана, и поиска от CEN да разработи подходящи стандарти. В допълнение, в рамките на „Хоризонт 2020“ бяха инициирани преднормативни научни изследвания в определени области, свързани със заплахи за сигурността, като например радиологични и ядрени заплахи за критични инфраструктури.</w:t>
      </w:r>
      <w:bookmarkStart w:id="12" w:name="_Toc465162389"/>
      <w:r>
        <w:rPr>
          <w:rFonts w:ascii="Times New Roman" w:hAnsi="Times New Roman"/>
          <w:noProof/>
          <w:sz w:val="24"/>
        </w:rPr>
        <w:t xml:space="preserve"> В областта на ИКТ Комисията също така инициира искане за стандартизация във връзка с неприкосновеността на личния живот още при проектирането, за да помогне на производителите да отчитат проблемите по защита на данните по последователен начин.</w:t>
      </w:r>
    </w:p>
    <w:p>
      <w:pPr>
        <w:pStyle w:val="Heading2"/>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Устойчивост</w:t>
      </w:r>
      <w:bookmarkEnd w:id="12"/>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Устойчивостта е важна дългосрочна цел на европейската стандартизация. Необходими са стандарти за изпълнението на ключовите приоритети на ЕС, като например политиката за енергиен съюз и неговата стратегия за научни изследвания и иновации („Ускоряване на иновацията в областта на чистата енергия</w:t>
      </w:r>
      <w:r>
        <w:rPr>
          <w:rStyle w:val="FootnoteReference"/>
          <w:rFonts w:ascii="Times New Roman" w:hAnsi="Times New Roman"/>
          <w:noProof/>
          <w:sz w:val="24"/>
        </w:rPr>
        <w:footnoteReference w:id="21"/>
      </w:r>
      <w:r>
        <w:rPr>
          <w:rStyle w:val="FootnoteReference"/>
          <w:noProof/>
        </w:rPr>
        <w:t xml:space="preserve"> </w:t>
      </w:r>
      <w:r>
        <w:rPr>
          <w:rFonts w:ascii="Times New Roman" w:hAnsi="Times New Roman"/>
          <w:noProof/>
          <w:sz w:val="24"/>
        </w:rPr>
        <w:t>“), която обхваща действия за смекчаване на последиците от изменението на климата и за приспособяване към него, а също и декарбонизацията на енергийната система. През 2016 г.</w:t>
      </w:r>
      <w:r>
        <w:rPr>
          <w:rStyle w:val="FootnoteReference"/>
          <w:rFonts w:ascii="Times New Roman" w:hAnsi="Times New Roman"/>
          <w:noProof/>
          <w:sz w:val="24"/>
        </w:rPr>
        <w:footnoteReference w:id="22"/>
      </w:r>
      <w:r>
        <w:rPr>
          <w:rStyle w:val="FootnoteReference"/>
          <w:noProof/>
        </w:rPr>
        <w:t xml:space="preserve"> </w:t>
      </w:r>
      <w:r>
        <w:rPr>
          <w:rFonts w:ascii="Times New Roman" w:hAnsi="Times New Roman"/>
          <w:noProof/>
          <w:sz w:val="24"/>
        </w:rPr>
        <w:t xml:space="preserve"> и 2017 г.</w:t>
      </w:r>
      <w:r>
        <w:rPr>
          <w:rStyle w:val="FootnoteReference"/>
          <w:rFonts w:ascii="Times New Roman" w:hAnsi="Times New Roman"/>
          <w:noProof/>
          <w:sz w:val="24"/>
        </w:rPr>
        <w:footnoteReference w:id="23"/>
      </w:r>
      <w:r>
        <w:rPr>
          <w:rStyle w:val="FootnoteReference"/>
          <w:noProof/>
        </w:rPr>
        <w:t xml:space="preserve"> </w:t>
      </w:r>
      <w:r>
        <w:rPr>
          <w:rFonts w:ascii="Times New Roman" w:hAnsi="Times New Roman"/>
          <w:noProof/>
          <w:sz w:val="24"/>
        </w:rPr>
        <w:t xml:space="preserve">Комисията поиска от ЕОС да разработят стандарти във връзка със: системите за управление на околната среда, опаковките и отпадъците от опаковки, многопръстенните ароматни въглеводороди, управлението на околната среда, екопроектирането и енергийното етикетиране, рамковата директива за водите, емисиите на парникови газове, прилагането на пестициди, оборудването за улавяне на парите, батериите, зеления водород, летливите органични съединения, пиролизните масла, водораслите, подобряването на енергийните характеристики на сградите, разгръщането на екологосъобразна инфраструктура, качеството на въздуха и намаляването на емисиите. Тези искания бяха основани на съществуващите правни и политически рамки и са съобразени с критериите, установени в тези рамки. За да се премахнат пречките пред благоприятните за климата технологии в секторите на хладилното и климатичното оборудване и оборудването с топлинна помпа (термопомпа), както и в сектора на пенопластите, Комисията поиска от CEN и CENELEC да разработят съответните европейски стандарти. </w:t>
      </w:r>
    </w:p>
    <w:p>
      <w:pPr>
        <w:pStyle w:val="Heading1"/>
        <w:shd w:val="clear" w:color="auto" w:fill="FFFFFF" w:themeFill="background1"/>
        <w:rPr>
          <w:rFonts w:ascii="Times New Roman" w:hAnsi="Times New Roman" w:cs="Times New Roman"/>
          <w:noProof/>
          <w:color w:val="auto"/>
          <w:sz w:val="24"/>
          <w:szCs w:val="24"/>
        </w:rPr>
      </w:pPr>
      <w:bookmarkStart w:id="13" w:name="_Toc464483310"/>
      <w:bookmarkStart w:id="14" w:name="_Toc465162390"/>
      <w:r>
        <w:rPr>
          <w:rFonts w:ascii="Times New Roman" w:hAnsi="Times New Roman"/>
          <w:noProof/>
          <w:color w:val="auto"/>
          <w:sz w:val="24"/>
        </w:rPr>
        <w:t>Осигуряване на работни места и растеж</w:t>
      </w:r>
      <w:bookmarkEnd w:id="13"/>
      <w:bookmarkEnd w:id="14"/>
      <w:r>
        <w:rPr>
          <w:rFonts w:ascii="Times New Roman" w:hAnsi="Times New Roman"/>
          <w:noProof/>
          <w:color w:val="auto"/>
          <w:sz w:val="24"/>
        </w:rPr>
        <w:t xml:space="preserve">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Стандартизацията е процес „отдолу нагоре“, който позволява обединяването на представители на промишлеността, правителствените и научните среди, както и на други заинтересовани страни, като по този начин води до висока степен на приемане на стандартите сред тези заинтересовани страни. За ЕС стандартите и стандартизацията са безспорни стратегически активи за осигуряване на конкурентоспособността на ЕС и са ключови инструменти за насърчаване на иновациите и напредъка на единния пазар. Всеобщо е убеждението, че стандартите и стандартизацията играят жизненоважна роля за подпомагане на икономическия растеж чрез ролята си за повишаване на производителността и конкурентоспособността и насърчаване на иновациите и благоденствието.  Те също така осигуряват средства на ЕС да запази лидерството си в областта на техническото развитие и световната търговия.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При все че в националните проучвания, проведени във Франция, Германия, Обединеното кралство и други страни</w:t>
      </w:r>
      <w:r>
        <w:rPr>
          <w:rStyle w:val="FootnoteReference"/>
          <w:rFonts w:ascii="Times New Roman" w:hAnsi="Times New Roman"/>
          <w:noProof/>
          <w:sz w:val="24"/>
        </w:rPr>
        <w:footnoteReference w:id="24"/>
      </w:r>
      <w:r>
        <w:rPr>
          <w:rFonts w:ascii="Times New Roman" w:hAnsi="Times New Roman"/>
          <w:noProof/>
          <w:sz w:val="24"/>
        </w:rPr>
        <w:t xml:space="preserve">, се изтъква приносът на стандартите и стандартизацията за конкурентоспособността на предприятията в ЕС, ефектът от стандартите и стандартизацията в различните му проявления остава незабележим в по-широк европейски мащаб. Този въпрос беше повдигнат отново по време на обсъжданията в контекста на СИС с цел да се подсили доказателствената база на годишния цикъл на управление относно политиката на стандартизация на ЕС.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Комисията признава значението на по-задълбоченото разбиране на икономическите и социалните въздействия на стандартите и стандартизацията и заявява намерението си да започне проучване в ГРПС за 2017 г.</w:t>
      </w:r>
      <w:r>
        <w:rPr>
          <w:rStyle w:val="FootnoteReference"/>
          <w:rFonts w:ascii="Times New Roman" w:hAnsi="Times New Roman"/>
          <w:noProof/>
          <w:sz w:val="24"/>
        </w:rPr>
        <w:footnoteReference w:id="25"/>
      </w:r>
      <w:r>
        <w:rPr>
          <w:rFonts w:ascii="Times New Roman" w:hAnsi="Times New Roman"/>
          <w:noProof/>
          <w:sz w:val="24"/>
        </w:rPr>
        <w:t xml:space="preserve"> Темата е пространна и съществуват методологични предизвикателства при измерването на (икономическите) въздействия на стандартите и стандартизацията, както и подбирането на данните, които биха позволили остойностяването на въздействието на стандартите и стандартизацията и техните външни ефекти на макроикономическо и секторно равнище и на равнище предприятия. Изхождайки от тези съображения, тази година Комисията започна проучване за осъществимост в сътрудничество с националните органи по стандартизация и с други участници в съответното действие в рамките на СИС, обхващащо това проучване</w:t>
      </w:r>
      <w:r>
        <w:rPr>
          <w:rStyle w:val="FootnoteReference"/>
          <w:rFonts w:ascii="Times New Roman" w:hAnsi="Times New Roman"/>
          <w:noProof/>
          <w:sz w:val="24"/>
        </w:rPr>
        <w:footnoteReference w:id="26"/>
      </w:r>
      <w:r>
        <w:rPr>
          <w:rFonts w:ascii="Times New Roman" w:hAnsi="Times New Roman"/>
          <w:noProof/>
          <w:sz w:val="24"/>
        </w:rPr>
        <w:t>. Целта му е да се направи по-нататъшна оценка дали да се предприеме окончателното проучване.</w:t>
      </w:r>
    </w:p>
    <w:p>
      <w:pPr>
        <w:pStyle w:val="Heading1"/>
        <w:shd w:val="clear" w:color="auto" w:fill="FFFFFF" w:themeFill="background1"/>
        <w:rPr>
          <w:rFonts w:ascii="Times New Roman" w:hAnsi="Times New Roman" w:cs="Times New Roman"/>
          <w:noProof/>
          <w:color w:val="auto"/>
          <w:sz w:val="24"/>
          <w:szCs w:val="24"/>
        </w:rPr>
      </w:pPr>
      <w:bookmarkStart w:id="15" w:name="_Toc464483311"/>
      <w:bookmarkStart w:id="16" w:name="_Toc465162391"/>
      <w:r>
        <w:rPr>
          <w:rFonts w:ascii="Times New Roman" w:hAnsi="Times New Roman"/>
          <w:noProof/>
          <w:color w:val="auto"/>
          <w:sz w:val="24"/>
        </w:rPr>
        <w:t xml:space="preserve">Подкрепа за глобалните вериги за създаване на стойност </w:t>
      </w:r>
    </w:p>
    <w:bookmarkEnd w:id="15"/>
    <w:bookmarkEnd w:id="16"/>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ЕСС играе ключова роля в подпомагането на европейските предприятия и МСП да разширят дейността си извън Европа и в гарантирането на качеството и безопасността на внасяните продукти и услуги. Нагледни примери за това са споразуменията между ЕОС и международните организации за стандартизация, като например ISO</w:t>
      </w:r>
      <w:r>
        <w:rPr>
          <w:rStyle w:val="FootnoteReference"/>
          <w:noProof/>
        </w:rPr>
        <w:footnoteReference w:id="27"/>
      </w:r>
      <w:r>
        <w:rPr>
          <w:rFonts w:ascii="Times New Roman" w:hAnsi="Times New Roman"/>
          <w:noProof/>
          <w:sz w:val="24"/>
        </w:rPr>
        <w:t>, IEC</w:t>
      </w:r>
      <w:r>
        <w:rPr>
          <w:rStyle w:val="FootnoteReference"/>
          <w:noProof/>
        </w:rPr>
        <w:footnoteReference w:id="28"/>
      </w:r>
      <w:r>
        <w:rPr>
          <w:rStyle w:val="FootnoteReference"/>
          <w:noProof/>
        </w:rPr>
        <w:t xml:space="preserve"> </w:t>
      </w:r>
      <w:r>
        <w:rPr>
          <w:rFonts w:ascii="Times New Roman" w:hAnsi="Times New Roman"/>
          <w:noProof/>
          <w:sz w:val="24"/>
        </w:rPr>
        <w:t>, както и глобални партньорства, като проектът за партньорство от трето поколение</w:t>
      </w:r>
      <w:r>
        <w:rPr>
          <w:rStyle w:val="Emphasis"/>
          <w:noProof/>
        </w:rPr>
        <w:t xml:space="preserve"> (</w:t>
      </w:r>
      <w:r>
        <w:rPr>
          <w:rFonts w:ascii="Times New Roman" w:hAnsi="Times New Roman"/>
          <w:noProof/>
          <w:sz w:val="24"/>
        </w:rPr>
        <w:t>3GPP)</w:t>
      </w:r>
      <w:r>
        <w:rPr>
          <w:rStyle w:val="FootnoteReference"/>
          <w:noProof/>
        </w:rPr>
        <w:footnoteReference w:id="29"/>
      </w:r>
      <w:r>
        <w:rPr>
          <w:rFonts w:ascii="Times New Roman" w:hAnsi="Times New Roman"/>
          <w:noProof/>
          <w:sz w:val="24"/>
        </w:rPr>
        <w:t xml:space="preserve"> и организацията oneM2M</w:t>
      </w:r>
      <w:r>
        <w:rPr>
          <w:rStyle w:val="FootnoteReference"/>
          <w:noProof/>
        </w:rPr>
        <w:footnoteReference w:id="30"/>
      </w:r>
      <w:r>
        <w:rPr>
          <w:rFonts w:ascii="Times New Roman" w:hAnsi="Times New Roman"/>
          <w:noProof/>
          <w:sz w:val="24"/>
        </w:rPr>
        <w:t>. От 2016 г. насам Комисията работи също така за популяризирането на европейския регулаторен модел, подкрепен с доброволни стандарти, и неговата тясна връзка с международната стандартизация в трети страни, в съответствие с рамката на СИС</w:t>
      </w:r>
      <w:r>
        <w:rPr>
          <w:rFonts w:ascii="Times New Roman" w:hAnsi="Times New Roman"/>
          <w:noProof/>
          <w:sz w:val="24"/>
        </w:rPr>
        <w:footnoteReference w:id="31"/>
      </w:r>
      <w:r>
        <w:rPr>
          <w:rFonts w:ascii="Times New Roman" w:hAnsi="Times New Roman"/>
          <w:noProof/>
          <w:sz w:val="24"/>
        </w:rPr>
        <w:t xml:space="preserve">. Комисията също така започна да води пряк диалог с ISO и IEC, с цел в максимална възможна степен да се приемат еднакви европейски и международни стандарти, като същевременно се гарантира най-висока степен на защита на европейските потребители.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Стандартизацията е ключов елемент от преговорите по споразуменията за свободна търговия (ССТ) на ЕС с трети държави.  Комисията изисква от своите партньори да поемат ангажимент да използват най-съвременните международни стандарти като основа за регламентиране на ключови продукти и услуги, за да се гарантират безопасността и сигурността на гражданите на ЕС, както и да се подобри конкурентоспособността на предприятията от ЕС в международен план. Наскоро приключилите преговори по споразумения за свободна търговия, в които важно място заемаше стандартизацията, включват споразуменията на ЕС с Канада (ВИТС, което временно влезе в сила на 21 септември 2017 г.), Сингапур и Виетнам (преговорите са приключени) и Япония (постигнато е принципно споразумение по основните елементи).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С цел по-добро възползване от възможностите, предоставяни от най-големите нововъзникващи пазари, двама експерти на ЕС по стандартизация (финансирани съвместно от Комисията, ЕАСТ и трите ЕОС), командировани в Китай и Индия, осъществиха дейности по повишаване на осведомеността относно съответните системи за стандартизация и проведоха проучвания на пазара и нормативната уредба в специфични области, свързани с пазара. Тъй като текущата фаза на проекта за европейски експерт по стандартизация, командирован в Китай (SESEC), приключва през декември 2017 г., Комисията работи заедно с партньорите си по проекта за подновяването му, което започва през 2018 г.</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По отношение на международното популяризиране на европейската стандартизация в областта на ИКТ, действието за сътрудничество и подкрепа в рамките на „Хоризонт 2020“, съчетано с действията по инструмента в областта на външната политика, ще спомогне за засилване на присъствието на ЕС чрез създаването на обсерватория за дейности в световен мащаб по стандартизация в областта на ИКТ и механизъм за финансиране, за да се подпомогне участието на европейски експерти по международна стандартизация в областта на ИКТ и да се насърчи европейската стандартизация в други региони.</w:t>
      </w:r>
    </w:p>
    <w:p>
      <w:pPr>
        <w:jc w:val="both"/>
        <w:rPr>
          <w:rFonts w:ascii="Times New Roman" w:eastAsiaTheme="minorHAnsi" w:hAnsi="Times New Roman" w:cs="Times New Roman"/>
          <w:noProof/>
          <w:sz w:val="24"/>
          <w:szCs w:val="24"/>
        </w:rPr>
      </w:pPr>
      <w:r>
        <w:rPr>
          <w:rFonts w:ascii="Times New Roman" w:eastAsiaTheme="minorHAnsi" w:hAnsi="Times New Roman"/>
          <w:noProof/>
          <w:sz w:val="24"/>
        </w:rPr>
        <w:t>Стандартизацията, свързана със сигурността, е част от дискусиите в рамките на Икономическата комисия за Европа на Организацията на обединените нации, насочени към укрепване на присъствието на ЕС и ангажираността на европейските заинтересовани страни по въпросите, свързани със сигурността.</w:t>
      </w:r>
    </w:p>
    <w:p>
      <w:pPr>
        <w:jc w:val="both"/>
        <w:rPr>
          <w:rFonts w:ascii="Times New Roman" w:hAnsi="Times New Roman" w:cs="Times New Roman"/>
          <w:noProof/>
          <w:sz w:val="24"/>
          <w:szCs w:val="24"/>
        </w:rPr>
      </w:pPr>
      <w:r>
        <w:rPr>
          <w:rFonts w:ascii="Times New Roman" w:hAnsi="Times New Roman"/>
          <w:noProof/>
          <w:sz w:val="24"/>
        </w:rPr>
        <w:t>Африканският континент също така предоставя нови възможности за сътрудничество в областта на стандартизацията. Съвместната стратегия ЕС—Африка може да предложи рамка за разработване на панафриканска система за стандартизация като технически принос за панафриканската пазарна интеграция. През 2016 г. Комисията подкрепи сътрудничеството на CEN и CENELEC с африканските организации за стандартизация (ARSO, AFSEC), чиято цел е да превърне стандартизацията в основен елемент от пътната карта на срещата на върха ЕС—Африка през ноември 2017 г. Единният африкански пазар, подкрепян от европейския модел за стандартизация, е перспектива, от която печелят всички партньори.</w:t>
      </w:r>
    </w:p>
    <w:p>
      <w:pPr>
        <w:pStyle w:val="Heading1"/>
        <w:shd w:val="clear" w:color="auto" w:fill="FFFFFF" w:themeFill="background1"/>
        <w:rPr>
          <w:rFonts w:ascii="Times New Roman" w:hAnsi="Times New Roman" w:cs="Times New Roman"/>
          <w:noProof/>
          <w:color w:val="auto"/>
          <w:sz w:val="24"/>
          <w:szCs w:val="24"/>
        </w:rPr>
      </w:pPr>
      <w:bookmarkStart w:id="17" w:name="_Toc464483312"/>
      <w:bookmarkStart w:id="18" w:name="_Toc465162392"/>
      <w:r>
        <w:rPr>
          <w:rFonts w:ascii="Times New Roman" w:hAnsi="Times New Roman"/>
          <w:noProof/>
          <w:color w:val="auto"/>
          <w:sz w:val="24"/>
        </w:rPr>
        <w:t>Предотвратяване на скъпоструващата разпокъсаност в рамките на единния пазар</w:t>
      </w:r>
      <w:bookmarkEnd w:id="17"/>
      <w:bookmarkEnd w:id="18"/>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Всеки европейски стандарт заменя отделен стандарт или група от национални стандарти във всяка от държавите членки с единен стандарт. Това прави живота по-лесен за предприятията и гражданите, като спомага да се създадат модерни обществени услуги и да се намалят административната тежест и разходите за привеждане в съответствие. Навременното национално транспониране на европейските стандарти и публикуването на референтните им номера (когато е приложимо) в </w:t>
      </w:r>
      <w:r>
        <w:rPr>
          <w:rFonts w:ascii="Times New Roman" w:hAnsi="Times New Roman"/>
          <w:i/>
          <w:noProof/>
          <w:sz w:val="24"/>
        </w:rPr>
        <w:t>Официален вестник на Европейския съюз</w:t>
      </w:r>
      <w:r>
        <w:rPr>
          <w:rFonts w:ascii="Times New Roman" w:hAnsi="Times New Roman"/>
          <w:noProof/>
          <w:sz w:val="24"/>
        </w:rPr>
        <w:t xml:space="preserve"> (ОВ на ЕС) са необходими, за да се отговори на нуждите на пазара. Средният процент на национално транспониране на европейските стандарти (европейски стандарти в подкрепа на законодателството и политиките на ЕС и други европейски стандарти) в ЕС-28 е около 99 % (като варира между 93 и 100 % при различните държави членки).</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Законодателните промени, въведени през 2013 г., и по-специално нововъведените задължения на Комисията във връзка с проверката на хармонизираните стандарти, разработени от ЕОС, повлияха на процеса на публикуване на референтните номера на хармонизираните стандарти в ОВ на ЕС. Това на свой ред доведе до увеличаване на броя на нецитираните референтни номера. След това различни заинтересовани страни в областта на стандартизацията изразиха критики, че ситуацията създава правна несигурност и ненужни допълнителни разходи за европейските индустрии. През 2017 г. беше направен преглед на ситуацията в рамките на Програмата на Европейската комисия за пригодност и резултатност на регулаторната рамка (REFIT), за да се намери решение на проблема с натрупаните към момента нецитирани хармонизирани стандарти и процесът на цитиране на референтните номера да се направи по-прозрачен и проследим. Въз основа на препоръките на платформата REFIT</w:t>
      </w:r>
      <w:r>
        <w:rPr>
          <w:rStyle w:val="FootnoteReference"/>
          <w:rFonts w:ascii="Times New Roman" w:hAnsi="Times New Roman"/>
          <w:noProof/>
          <w:sz w:val="24"/>
        </w:rPr>
        <w:footnoteReference w:id="32"/>
      </w:r>
      <w:r>
        <w:rPr>
          <w:rFonts w:ascii="Times New Roman" w:hAnsi="Times New Roman"/>
          <w:noProof/>
          <w:sz w:val="24"/>
        </w:rPr>
        <w:t xml:space="preserve"> Комисията и европейските организации за стандартизация разработиха и постигнаха съгласие по план за действие за своевременното публикуване на референтните номера на хармонизираните стандарти в ОВ на ЕС</w:t>
      </w:r>
      <w:r>
        <w:rPr>
          <w:rStyle w:val="FootnoteReference"/>
          <w:rFonts w:ascii="Times New Roman" w:hAnsi="Times New Roman"/>
          <w:noProof/>
          <w:sz w:val="24"/>
        </w:rPr>
        <w:footnoteReference w:id="33"/>
      </w:r>
      <w:r>
        <w:rPr>
          <w:noProof/>
        </w:rPr>
        <w:t>.</w:t>
      </w:r>
    </w:p>
    <w:p>
      <w:pPr>
        <w:pStyle w:val="Pp"/>
        <w:numPr>
          <w:ilvl w:val="0"/>
          <w:numId w:val="0"/>
        </w:numPr>
        <w:spacing w:after="240"/>
        <w:ind w:left="850" w:hanging="850"/>
        <w:rPr>
          <w:rStyle w:val="BookTitle"/>
          <w:noProof/>
          <w:sz w:val="24"/>
          <w:szCs w:val="24"/>
        </w:rPr>
      </w:pPr>
      <w:r>
        <w:rPr>
          <w:rStyle w:val="BookTitle"/>
          <w:noProof/>
          <w:sz w:val="24"/>
        </w:rPr>
        <w:t>Работа в тясно сътрудничество със заинтересованите страни</w:t>
      </w:r>
    </w:p>
    <w:p>
      <w:pPr>
        <w:shd w:val="clear" w:color="auto" w:fill="FFFFFF" w:themeFill="background1"/>
        <w:jc w:val="both"/>
        <w:rPr>
          <w:rFonts w:ascii="Times New Roman" w:hAnsi="Times New Roman" w:cs="Times New Roman"/>
          <w:noProof/>
          <w:sz w:val="24"/>
          <w:szCs w:val="24"/>
        </w:rPr>
      </w:pPr>
      <w:bookmarkStart w:id="19" w:name="_Toc464483313"/>
      <w:bookmarkStart w:id="20" w:name="_Toc465162393"/>
      <w:r>
        <w:rPr>
          <w:rFonts w:ascii="Times New Roman" w:eastAsiaTheme="minorHAnsi" w:hAnsi="Times New Roman"/>
          <w:noProof/>
          <w:sz w:val="24"/>
        </w:rPr>
        <w:t xml:space="preserve">Комисията си дава ясна сметка, че не е достатъчно само да се определят приоритетите. Успехът зависи също така от поемането на ангажимент на високо равнище в подкрепа на стандартизацията от страна на широк кръг от заинтересовани страни, което включва промишлеността, органите по определяне на стандарти и научноизследователската общност, както и други институции на ЕС и националните администрации.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Стандартът е резултат от доброволно сътрудничество между партньорите в търговски отношения, целящо разработването на техническа спецификация, основана на принципите на прозрачност, откритост, приобщаване, безпристрастност и консенсус между заинтересованите страни. В Регламента относно европейската стандартизация</w:t>
      </w:r>
      <w:r>
        <w:rPr>
          <w:rStyle w:val="FootnoteReference"/>
          <w:rFonts w:ascii="Times New Roman" w:hAnsi="Times New Roman"/>
          <w:noProof/>
          <w:sz w:val="24"/>
        </w:rPr>
        <w:footnoteReference w:id="34"/>
      </w:r>
      <w:r>
        <w:rPr>
          <w:rFonts w:ascii="Times New Roman" w:hAnsi="Times New Roman"/>
          <w:noProof/>
          <w:sz w:val="24"/>
        </w:rPr>
        <w:t xml:space="preserve"> се признава необходимостта и се призовава за широки консултации с всички заинтересовани страни преди приемането на ГРПС. В него също така се насърчава активното участие на европейските организации, представляващи МСП, потребителите, а също така екологични и социални интереси. </w:t>
      </w:r>
    </w:p>
    <w:p>
      <w:pPr>
        <w:shd w:val="clear" w:color="auto" w:fill="FFFFFF" w:themeFill="background1"/>
        <w:jc w:val="both"/>
        <w:rPr>
          <w:rFonts w:ascii="Times New Roman" w:eastAsiaTheme="minorHAnsi" w:hAnsi="Times New Roman" w:cs="Times New Roman"/>
          <w:noProof/>
          <w:sz w:val="24"/>
          <w:szCs w:val="24"/>
        </w:rPr>
      </w:pPr>
      <w:r>
        <w:rPr>
          <w:rFonts w:ascii="Times New Roman" w:hAnsi="Times New Roman"/>
          <w:noProof/>
          <w:sz w:val="24"/>
        </w:rPr>
        <w:t>Комисията признава, че преодоляването на традиционните граници между ИКТ, продуктите и услугите изисква ангажираност, добро сътрудничество и взаимно доверие между различните заинтересовани страни. В областта на стандартизацията на ИКТ Комисията редовно се среща със заинтересованите страни в рамките на публично-частни партньорства</w:t>
      </w:r>
      <w:r>
        <w:rPr>
          <w:rStyle w:val="FootnoteReference"/>
          <w:rFonts w:ascii="Times New Roman" w:eastAsiaTheme="minorHAnsi" w:hAnsi="Times New Roman"/>
          <w:noProof/>
          <w:sz w:val="24"/>
        </w:rPr>
        <w:footnoteReference w:id="35"/>
      </w:r>
      <w:r>
        <w:rPr>
          <w:rFonts w:ascii="Times New Roman" w:hAnsi="Times New Roman"/>
          <w:noProof/>
          <w:sz w:val="24"/>
        </w:rPr>
        <w:t xml:space="preserve">, а също и с посредничеството на ЕОС, за обсъждане на изпълнението на предложените различни действия. Многостранната платформа по въпросите на стандартизацията в областта на ИКТ, на чиито редовни срещи се проследява напредъкът по действията, предвидени в съобщението, обединява държавите членки, европейските и международните организации за стандартизация, форумите и консорциумите, организациите, представляващи промишлеността и МСП, и представители на обществени групи.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Комисията активизира отношенията си с различните заинтересовани страни от ЕСС и се стреми да подобри начина си на работа и своята ефективност в рамките на СИС. Освен това през последната година Комисията поддържа редовни контакти и диалог с други европейски институции.  По-конкретно, Комисията участва активно в консултациите, довели до резолюцията на Европейския парламент от 4 юли 2017 г. относно европейските стандарти за 21-ви век</w:t>
      </w:r>
      <w:bookmarkStart w:id="21" w:name="_Ref488145598"/>
      <w:r>
        <w:rPr>
          <w:rStyle w:val="FootnoteReference"/>
          <w:rFonts w:ascii="Times New Roman" w:hAnsi="Times New Roman"/>
          <w:noProof/>
          <w:sz w:val="24"/>
        </w:rPr>
        <w:footnoteReference w:id="36"/>
      </w:r>
      <w:bookmarkEnd w:id="21"/>
      <w:r>
        <w:rPr>
          <w:rFonts w:ascii="Times New Roman" w:hAnsi="Times New Roman"/>
          <w:noProof/>
          <w:sz w:val="24"/>
        </w:rPr>
        <w:t>. Комисията също така въведе по своя инициатива практика на непрекъснат структурен диалог с всяка една от трите европейски организации за стандартизация, за да гарантира висококачествено сътрудничество и безпрепятствена комуникация.</w:t>
      </w:r>
    </w:p>
    <w:p>
      <w:pPr>
        <w:pStyle w:val="Heading1"/>
        <w:numPr>
          <w:ilvl w:val="0"/>
          <w:numId w:val="2"/>
        </w:numPr>
        <w:shd w:val="clear" w:color="auto" w:fill="FFFFFF" w:themeFill="background1"/>
        <w:rPr>
          <w:rFonts w:ascii="Times New Roman" w:hAnsi="Times New Roman" w:cs="Times New Roman"/>
          <w:noProof/>
          <w:color w:val="auto"/>
          <w:sz w:val="24"/>
          <w:szCs w:val="24"/>
        </w:rPr>
      </w:pPr>
      <w:r>
        <w:rPr>
          <w:rFonts w:ascii="Times New Roman" w:hAnsi="Times New Roman"/>
          <w:noProof/>
          <w:color w:val="auto"/>
          <w:sz w:val="24"/>
        </w:rPr>
        <w:t xml:space="preserve">Съвместна инициатива за европейска стандартизация  </w:t>
      </w:r>
    </w:p>
    <w:bookmarkEnd w:id="19"/>
    <w:bookmarkEnd w:id="20"/>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До момента СИС е подписана от 104 участници, което представлява високо равнище на ангажираност от всеки сегмент на ЕСС. След подписването на СИС от заинтересованите страни на 13 юни 2016 г. в Амстердам и от държавите членки на 29 септември 2016 г., Комисията организира няколко заседания на ръководната група за СИС, за да се уточнят петнадесетте договорени действия</w:t>
      </w:r>
      <w:r>
        <w:rPr>
          <w:rStyle w:val="FootnoteReference"/>
          <w:rFonts w:ascii="Times New Roman" w:hAnsi="Times New Roman"/>
          <w:noProof/>
          <w:sz w:val="24"/>
        </w:rPr>
        <w:footnoteReference w:id="37"/>
      </w:r>
      <w:r>
        <w:rPr>
          <w:rFonts w:ascii="Times New Roman" w:hAnsi="Times New Roman"/>
          <w:noProof/>
          <w:sz w:val="24"/>
        </w:rPr>
        <w:t xml:space="preserve">. Членовете на ръководната група са главно страни по СИС, участвали в подготовката ѝ. За всяко действие страни по СИС са заявили доброволно своя принос и са определени съответни лица, които да ръководят изпълнението.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 xml:space="preserve">Досега работата в отделните групи за действие в рамките на СИС беше съсредоточена върху разработването на съществените елементи за всяко действие. На този етап не са договорени ясни графици за изпълнението. Придобиването на по-голяма яснота относно съдържанието на действията ще позволи да бъдат очертани времевите рамки и да бъдат набелязани ключовите етапи за постигането на резултати при отделните действия.  </w:t>
      </w:r>
    </w:p>
    <w:p>
      <w:pPr>
        <w:pStyle w:val="Heading1"/>
        <w:shd w:val="clear" w:color="auto" w:fill="FFFFFF" w:themeFill="background1"/>
        <w:rPr>
          <w:rFonts w:ascii="Times New Roman" w:hAnsi="Times New Roman" w:cs="Times New Roman"/>
          <w:noProof/>
          <w:color w:val="auto"/>
          <w:sz w:val="24"/>
          <w:szCs w:val="24"/>
        </w:rPr>
      </w:pPr>
      <w:bookmarkStart w:id="22" w:name="_Toc464483315"/>
      <w:bookmarkStart w:id="23" w:name="_Toc465162395"/>
      <w:r>
        <w:rPr>
          <w:rFonts w:ascii="Times New Roman" w:hAnsi="Times New Roman"/>
          <w:noProof/>
          <w:color w:val="auto"/>
          <w:sz w:val="24"/>
        </w:rPr>
        <w:t>Приобщаване</w:t>
      </w:r>
      <w:bookmarkEnd w:id="22"/>
      <w:bookmarkEnd w:id="23"/>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Комисията формализира публично-частното си партньорство с организациите от приложение III (SBS, ANEC, ETUC и ECOS)</w:t>
      </w:r>
      <w:r>
        <w:rPr>
          <w:rStyle w:val="FootnoteReference"/>
          <w:rFonts w:ascii="Times New Roman" w:hAnsi="Times New Roman"/>
          <w:noProof/>
          <w:sz w:val="24"/>
        </w:rPr>
        <w:footnoteReference w:id="38"/>
      </w:r>
      <w:r>
        <w:rPr>
          <w:rFonts w:ascii="Times New Roman" w:hAnsi="Times New Roman"/>
          <w:noProof/>
          <w:sz w:val="24"/>
        </w:rPr>
        <w:t>, представляващи съответно интересите на МСП, потребителите, работниците и интересите, свързани с околната среда, в областта на стандартизацията, като подписа четири различни рамкови споразумения за партньорство. Това гарантира съгласуваност и стабилност по отношение на финансирането и наблюдението на дейностите.</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В допълнение към финансовия принос Комисията предприема действия за гарантиране на присъствието и ефективното участие на организациите от приложение III във важни срещи и събития, като Комитета по стандартите (наблюдатели), СИС (партньори), Многостранната платформа по въпросите на стандартизацията в областта на ИКТ</w:t>
      </w:r>
      <w:r>
        <w:rPr>
          <w:rStyle w:val="FootnoteReference"/>
          <w:rFonts w:ascii="Times New Roman" w:hAnsi="Times New Roman"/>
          <w:noProof/>
          <w:sz w:val="24"/>
        </w:rPr>
        <w:footnoteReference w:id="39"/>
      </w:r>
      <w:r>
        <w:rPr>
          <w:rFonts w:ascii="Times New Roman" w:hAnsi="Times New Roman"/>
          <w:noProof/>
          <w:sz w:val="24"/>
        </w:rPr>
        <w:t xml:space="preserve"> и срещите между Комисията и ЕОС. </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За да се осигури последователен подход по отношение на подкрепата на интересите на МСП, потребителите, работниците, както и интересите, свързани с околната среда и обществените групи, в процеса на стандартизация, CEN/CENELEC създадоха две работни групи: Работната група за МСП и Работната група за заинтересованите обществени групи. Членовете са организациите от приложение III, а именно: SBS (на първата работна група) и ANEC, ECOS и ETUC (на втората). Тези две работни групи обсъждат теми като достъп до стандартите, повишаване на осведомеността, обучение и помощ за участие в работата по стандартизация на техническо равнище. В резултат на това вече са разработени някои инструменти, като онлайн инструментариумът за МСП и механизмът за изразяване на мнение, предназначен за заинтересованите обществени групи.</w:t>
      </w:r>
    </w:p>
    <w:p>
      <w:pPr>
        <w:jc w:val="both"/>
        <w:rPr>
          <w:rFonts w:ascii="Times New Roman" w:hAnsi="Times New Roman" w:cs="Times New Roman"/>
          <w:noProof/>
          <w:sz w:val="24"/>
          <w:szCs w:val="24"/>
        </w:rPr>
      </w:pPr>
      <w:r>
        <w:rPr>
          <w:rFonts w:ascii="Times New Roman" w:hAnsi="Times New Roman"/>
          <w:noProof/>
          <w:sz w:val="24"/>
        </w:rPr>
        <w:t>В Регламента относно стандартизацията се поставя специален акцент</w:t>
      </w:r>
      <w:r>
        <w:rPr>
          <w:rStyle w:val="FootnoteReference"/>
          <w:rFonts w:ascii="Times New Roman" w:hAnsi="Times New Roman"/>
          <w:noProof/>
          <w:sz w:val="24"/>
        </w:rPr>
        <w:footnoteReference w:id="40"/>
      </w:r>
      <w:r>
        <w:rPr>
          <w:rFonts w:ascii="Times New Roman" w:hAnsi="Times New Roman"/>
          <w:noProof/>
          <w:sz w:val="24"/>
        </w:rPr>
        <w:t xml:space="preserve"> върху участието на малките предприятия в процеса на разработване на стандарти, като целта е да се създадат стандарти, които отчитат интересите на МСП и могат да намалят разходите и да отворят пазарите. За тази цел, и като основна част от работната си програма за 2017 г., SBS разработи дългосрочна стратегия за МСП в областта на стандартизацията за периода 2018 — 2021 г. В тази стратегия се определят целите и действията за МСП в областта на стандартизацията, за да се гарантира, че разработените стандарти са съвместими с МСП, като се спазва принципът „Мисли първо за малките!“.</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Приобщаването е една от темите на дългосрочната стратегия на Европейския институт за стандарти в далекосъобщенията (ETSI) и се разглежда в контекста на неговата група „ETSI в структурата на европейската стандартизация“. Дискусиите в тази група доведоха до стартирането на Програмата за подпомагане и приобщаване на заинтересованите обществени групи (3SI), в която се предвижда набор от действия, предназначени да подобрят приобщаването и да повишат видимостта, осведомеността и участието на организациите от приложение III в рамките на ETSI. Всички организации от приложение III са пълноправни членки на ETSI.</w:t>
      </w:r>
    </w:p>
    <w:p>
      <w:pPr>
        <w:pStyle w:val="Pp"/>
        <w:numPr>
          <w:ilvl w:val="0"/>
          <w:numId w:val="0"/>
        </w:numPr>
        <w:spacing w:after="240"/>
        <w:ind w:left="850" w:hanging="850"/>
        <w:rPr>
          <w:rStyle w:val="BookTitle"/>
          <w:noProof/>
          <w:sz w:val="24"/>
          <w:szCs w:val="24"/>
        </w:rPr>
      </w:pPr>
      <w:r>
        <w:rPr>
          <w:rStyle w:val="BookTitle"/>
          <w:noProof/>
          <w:sz w:val="24"/>
        </w:rPr>
        <w:t>Заключение</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Настоящият доклад е предназначен да подпомогне наскоро започнатия междуинституционален диалог относно стандартизацията на равнището на ЕС, както беше обявено в съобщението от 1 юни 2016 г. Той има за цел да предизвика дебат със съзаконодателите, Европейския парламент и Съвета, както и с ЕИСК и Комитета на регионите, и дава насоки за бъдещите приоритети на стандартизацията, които ще допринесат за реализиране на програмата за заетост, растеж и конкурентоспособност. Този междуинституционален диалог се установява в съответствие с новото Междуинституционално споразумение между Европейския парламент, Съвета на Европейския съюз и Европейската комисия за по-добро законотворчество</w:t>
      </w:r>
      <w:r>
        <w:rPr>
          <w:rStyle w:val="FootnoteReference"/>
          <w:rFonts w:ascii="Times New Roman" w:hAnsi="Times New Roman"/>
          <w:noProof/>
          <w:sz w:val="24"/>
        </w:rPr>
        <w:footnoteReference w:id="41"/>
      </w:r>
      <w:r>
        <w:rPr>
          <w:rFonts w:ascii="Times New Roman" w:hAnsi="Times New Roman"/>
          <w:noProof/>
          <w:sz w:val="24"/>
        </w:rPr>
        <w:t>.</w:t>
      </w:r>
    </w:p>
    <w:p>
      <w:pPr>
        <w:shd w:val="clear" w:color="auto" w:fill="FFFFFF" w:themeFill="background1"/>
        <w:jc w:val="both"/>
        <w:rPr>
          <w:rFonts w:ascii="Times New Roman" w:hAnsi="Times New Roman" w:cs="Times New Roman"/>
          <w:noProof/>
          <w:sz w:val="24"/>
          <w:szCs w:val="24"/>
        </w:rPr>
      </w:pPr>
      <w:r>
        <w:rPr>
          <w:rFonts w:ascii="Times New Roman" w:hAnsi="Times New Roman"/>
          <w:noProof/>
          <w:sz w:val="24"/>
        </w:rPr>
        <w:t>Тясното сътрудничество със съзаконодателите при формулирането на приоритетите на ГРПС за 2019 г. ще бъде от жизненоважно значение за успешното му изпълнение. Съвместно определените приоритети на политиката в областта на европейската стандартизация ще позволят да се опрости работата по стандартизацията при бъдещите законодателни процеси. Постигането на целите на политиката на ЕС за стандартизация изисква общо разбиране и активно участие на всички участници в ЕСС: засилване на приобщаването, повишаване на осведомеността за значението на стандартизацията в икономиката и обществото, подобряване на процедурите за оценка на хармонизираните стандарти</w:t>
      </w:r>
      <w:r>
        <w:rPr>
          <w:rStyle w:val="FootnoteReference"/>
          <w:rFonts w:ascii="Times New Roman" w:hAnsi="Times New Roman"/>
          <w:noProof/>
          <w:sz w:val="24"/>
        </w:rPr>
        <w:footnoteReference w:id="42"/>
      </w:r>
      <w:r>
        <w:rPr>
          <w:rFonts w:ascii="Times New Roman" w:hAnsi="Times New Roman"/>
          <w:noProof/>
          <w:sz w:val="24"/>
        </w:rPr>
        <w:t>, прилагане на петте приоритета за стандартизация в областта на ИКТ и преодоляване на пречките в сектора на услугите.</w:t>
      </w:r>
    </w:p>
    <w:p>
      <w:pPr>
        <w:shd w:val="clear" w:color="auto" w:fill="FFFFFF" w:themeFill="background1"/>
        <w:jc w:val="both"/>
        <w:rPr>
          <w:rFonts w:ascii="Times New Roman" w:hAnsi="Times New Roman" w:cs="Times New Roman"/>
          <w:noProof/>
          <w:sz w:val="24"/>
          <w:szCs w:val="24"/>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407A1D" w15:done="0"/>
  <w15:commentEx w15:paraId="2499A053" w15:done="0"/>
  <w15:commentEx w15:paraId="34A8584F" w15:done="0"/>
  <w15:commentEx w15:paraId="3950A578" w15:done="0"/>
  <w15:commentEx w15:paraId="65E8AD1B" w15:done="0"/>
  <w15:commentEx w15:paraId="2A45CDB6" w15:done="0"/>
  <w15:commentEx w15:paraId="52F17DFB" w15:done="0"/>
  <w15:commentEx w15:paraId="157AEF3C" w15:done="0"/>
  <w15:commentEx w15:paraId="28389D9A" w15:done="0"/>
  <w15:commentEx w15:paraId="1F02D764" w15:done="0"/>
  <w15:commentEx w15:paraId="4B0DE4E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07A1D" w16cid:durableId="1D740289"/>
  <w16cid:commentId w16cid:paraId="2499A053" w16cid:durableId="1D74028A"/>
  <w16cid:commentId w16cid:paraId="34A8584F" w16cid:durableId="1D7402FA"/>
  <w16cid:commentId w16cid:paraId="3950A578" w16cid:durableId="1D74028B"/>
  <w16cid:commentId w16cid:paraId="65E8AD1B" w16cid:durableId="1D74028C"/>
  <w16cid:commentId w16cid:paraId="2A45CDB6" w16cid:durableId="1D74028D"/>
  <w16cid:commentId w16cid:paraId="52F17DFB" w16cid:durableId="1D74028E"/>
  <w16cid:commentId w16cid:paraId="157AEF3C" w16cid:durableId="1D74028F"/>
  <w16cid:commentId w16cid:paraId="28389D9A" w16cid:durableId="1D74046B"/>
  <w16cid:commentId w16cid:paraId="1F02D764" w16cid:durableId="1D740290"/>
  <w16cid:commentId w16cid:paraId="4B0DE4E1" w16cid:durableId="1D74029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CC"/>
    <w:family w:val="roman"/>
    <w:notTrueType/>
    <w:pitch w:val="default"/>
    <w:sig w:usb0="00000203" w:usb1="00000000" w:usb2="00000000" w:usb3="00000000" w:csb0="00000005"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451268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rPr>
          <w:szCs w:val="24"/>
        </w:rPr>
      </w:pPr>
      <w:r>
        <w:footnoteRef/>
      </w:r>
      <w:r>
        <w:t xml:space="preserve"> </w:t>
      </w:r>
      <w:hyperlink r:id="rId1">
        <w:r>
          <w:t>COM(2016) 0358 final.</w:t>
        </w:r>
      </w:hyperlink>
    </w:p>
  </w:footnote>
  <w:footnote w:id="3">
    <w:p>
      <w:pPr>
        <w:pStyle w:val="FootnoteText"/>
        <w:ind w:left="142" w:hanging="142"/>
        <w:jc w:val="left"/>
        <w:rPr>
          <w:szCs w:val="24"/>
        </w:rPr>
      </w:pPr>
      <w:r>
        <w:footnoteRef/>
      </w:r>
      <w:r>
        <w:t xml:space="preserve"> C(2016) 3211. В СИС е изложена една обща визия за европейската стандартизация с цел по-успешно да се определят приоритетите и да се модернизира сегашната европейска система за стандартизация, както и в стремеж за своевременно предоставяне на стандартизационни документи. Тя подкрепя съответните аспекти на десетте приоритета на Европейската комисия и други цели на политиката, като същевременно зачита категорично разпределението на различните компетентности между ЕС и държавите членки. Тя също така следва да даде възможност на ЕС да засили още повече ролята си на движещ фактор в световен мащаб.</w:t>
      </w:r>
    </w:p>
  </w:footnote>
  <w:footnote w:id="4">
    <w:p>
      <w:pPr>
        <w:pStyle w:val="FootnoteText"/>
        <w:rPr>
          <w:szCs w:val="24"/>
          <w:lang w:val="pt-PT"/>
        </w:rPr>
      </w:pPr>
      <w:r>
        <w:footnoteRef/>
      </w:r>
      <w:r>
        <w:t xml:space="preserve"> Вж. страница 4 от COM(2016) 0358 final.</w:t>
      </w:r>
    </w:p>
  </w:footnote>
  <w:footnote w:id="5">
    <w:p>
      <w:pPr>
        <w:pStyle w:val="FootnoteText"/>
        <w:rPr>
          <w:szCs w:val="24"/>
          <w:lang w:val="pt-PT"/>
        </w:rPr>
      </w:pPr>
      <w:r>
        <w:footnoteRef/>
      </w:r>
      <w:r>
        <w:t xml:space="preserve"> COM (2016) 176 final.</w:t>
      </w:r>
    </w:p>
  </w:footnote>
  <w:footnote w:id="6">
    <w:p>
      <w:pPr>
        <w:pStyle w:val="FootnoteText"/>
      </w:pPr>
      <w:r>
        <w:footnoteRef/>
      </w:r>
      <w:r>
        <w:t xml:space="preserve"> Напредъкът е отчетен в приложения работен документ на службите на Комисията.</w:t>
      </w:r>
    </w:p>
  </w:footnote>
  <w:footnote w:id="7">
    <w:p>
      <w:pPr>
        <w:pStyle w:val="FootnoteText"/>
      </w:pPr>
      <w:r>
        <w:rPr>
          <w:rStyle w:val="FootnoteReference"/>
        </w:rPr>
        <w:footnoteRef/>
      </w:r>
      <w:r>
        <w:t xml:space="preserve"> Публикувана всяка година през юли, последна версия COM(2017) 453.</w:t>
      </w:r>
    </w:p>
  </w:footnote>
  <w:footnote w:id="8">
    <w:p>
      <w:pPr>
        <w:pStyle w:val="FootnoteText"/>
      </w:pPr>
      <w:r>
        <w:rPr>
          <w:rStyle w:val="FootnoteReference"/>
        </w:rPr>
        <w:footnoteRef/>
      </w:r>
      <w:r>
        <w:t xml:space="preserve"> http://ec.europa.eu/growth/content/2017-rolling-plan-ict-standardisation-released-0_bg</w:t>
      </w:r>
    </w:p>
  </w:footnote>
  <w:footnote w:id="9">
    <w:p>
      <w:pPr>
        <w:pStyle w:val="FootnoteText"/>
        <w:ind w:left="0" w:firstLine="0"/>
      </w:pPr>
      <w:r>
        <w:rPr>
          <w:rStyle w:val="FootnoteReference"/>
        </w:rPr>
        <w:footnoteRef/>
      </w:r>
      <w:r>
        <w:t xml:space="preserve"> Текущо актуализираният план за стандартизация на ИКТ се публикува от Комисията всяка година с цел обобщаване, в подкрепа на политиките на ЕС, в единен документ на различните нужди в областта на стандартизацията на ИКТ. Сред неговите адресати са както европейските организации за стандартизация (ЕОС), така и международните органи по стандартизация и такива от световна величина, които могат да отговорят на предложените действия и да подпомогнат със стандартизационни документи съответните цели в областта на политиката.</w:t>
      </w:r>
    </w:p>
  </w:footnote>
  <w:footnote w:id="10">
    <w:p>
      <w:pPr>
        <w:pStyle w:val="FootnoteText"/>
      </w:pPr>
      <w:r>
        <w:rPr>
          <w:rStyle w:val="FootnoteReference"/>
        </w:rPr>
        <w:footnoteRef/>
      </w:r>
      <w:r>
        <w:t xml:space="preserve"> COM (2016) 176 final.</w:t>
      </w:r>
    </w:p>
  </w:footnote>
  <w:footnote w:id="11">
    <w:p>
      <w:pPr>
        <w:pStyle w:val="FootnoteText"/>
      </w:pPr>
      <w:r>
        <w:rPr>
          <w:rStyle w:val="FootnoteReference"/>
        </w:rPr>
        <w:footnoteRef/>
      </w:r>
      <w:r>
        <w:t xml:space="preserve"> СОМ(2011) 311 окончателен. </w:t>
      </w:r>
    </w:p>
  </w:footnote>
  <w:footnote w:id="12">
    <w:p>
      <w:pPr>
        <w:pStyle w:val="FootnoteText"/>
      </w:pPr>
      <w:r>
        <w:rPr>
          <w:rStyle w:val="FootnoteReference"/>
        </w:rPr>
        <w:footnoteRef/>
      </w:r>
      <w:r>
        <w:t xml:space="preserve"> Вж. член 5, параграф 2, член 9 и член 15, параграф 1, буква в).</w:t>
      </w:r>
    </w:p>
  </w:footnote>
  <w:footnote w:id="13">
    <w:p>
      <w:pPr>
        <w:pStyle w:val="FootnoteText"/>
        <w:rPr>
          <w:lang w:val="pt-PT"/>
        </w:rPr>
      </w:pPr>
      <w:r>
        <w:rPr>
          <w:rStyle w:val="FootnoteReference"/>
        </w:rPr>
        <w:footnoteRef/>
      </w:r>
      <w:r>
        <w:t xml:space="preserve"> СИС, действие 2.</w:t>
      </w:r>
    </w:p>
  </w:footnote>
  <w:footnote w:id="14">
    <w:p>
      <w:pPr>
        <w:pStyle w:val="FootnoteText"/>
        <w:rPr>
          <w:lang w:val="pt-PT"/>
        </w:rPr>
      </w:pPr>
      <w:r>
        <w:rPr>
          <w:rStyle w:val="FootnoteReference"/>
        </w:rPr>
        <w:footnoteRef/>
      </w:r>
      <w:r>
        <w:t xml:space="preserve"> COM(2017) 477 final/2.</w:t>
      </w:r>
    </w:p>
  </w:footnote>
  <w:footnote w:id="15">
    <w:p>
      <w:pPr>
        <w:pStyle w:val="FootnoteText"/>
        <w:rPr>
          <w:lang w:val="pt-PT"/>
        </w:rPr>
      </w:pPr>
      <w:r>
        <w:rPr>
          <w:rStyle w:val="FootnoteReference"/>
        </w:rPr>
        <w:footnoteRef/>
      </w:r>
      <w:r>
        <w:t xml:space="preserve"> COM(2017) 712 final.</w:t>
      </w:r>
    </w:p>
  </w:footnote>
  <w:footnote w:id="16">
    <w:p>
      <w:pPr>
        <w:pStyle w:val="FootnoteText"/>
        <w:rPr>
          <w:lang w:val="pt-PT"/>
        </w:rPr>
      </w:pPr>
      <w:r>
        <w:rPr>
          <w:rStyle w:val="FootnoteReference"/>
        </w:rPr>
        <w:footnoteRef/>
      </w:r>
      <w:r>
        <w:t xml:space="preserve"> </w:t>
      </w:r>
      <w:r>
        <w:rPr>
          <w:color w:val="000000"/>
        </w:rPr>
        <w:t>COM(2016) 501 final.</w:t>
      </w:r>
    </w:p>
  </w:footnote>
  <w:footnote w:id="17">
    <w:p>
      <w:pPr>
        <w:pStyle w:val="FootnoteText"/>
        <w:rPr>
          <w:lang w:val="pt-PT"/>
        </w:rPr>
      </w:pPr>
      <w:r>
        <w:rPr>
          <w:rStyle w:val="FootnoteReference"/>
        </w:rPr>
        <w:footnoteRef/>
      </w:r>
      <w:r>
        <w:t xml:space="preserve"> CEN — Европейски комитет за стандартизация, CENELEC — Европейски комитет за стандартизация в електротехниката и ETSI — Европейски институт за стандарти в далекосъобщенията.</w:t>
      </w:r>
    </w:p>
  </w:footnote>
  <w:footnote w:id="18">
    <w:p>
      <w:pPr>
        <w:pStyle w:val="FootnoteText"/>
      </w:pPr>
      <w:r>
        <w:rPr>
          <w:rStyle w:val="FootnoteReference"/>
        </w:rPr>
        <w:footnoteRef/>
      </w:r>
      <w:r>
        <w:t xml:space="preserve"> За по-подробна информация вж. придружаващия работен документ на службите на Комисията.</w:t>
      </w:r>
    </w:p>
  </w:footnote>
  <w:footnote w:id="19">
    <w:p>
      <w:pPr>
        <w:pStyle w:val="FootnoteText"/>
      </w:pPr>
      <w:r>
        <w:rPr>
          <w:rStyle w:val="FootnoteReference"/>
        </w:rPr>
        <w:footnoteRef/>
      </w:r>
      <w:r>
        <w:t xml:space="preserve"> Директива 2001/95/ЕО.</w:t>
      </w:r>
    </w:p>
  </w:footnote>
  <w:footnote w:id="20">
    <w:p>
      <w:pPr>
        <w:pStyle w:val="FootnoteText"/>
      </w:pPr>
      <w:r>
        <w:rPr>
          <w:rStyle w:val="FootnoteReference"/>
        </w:rPr>
        <w:footnoteRef/>
      </w:r>
      <w:r>
        <w:t xml:space="preserve"> Като например стандартите, чиито референтни номера се публикуват в </w:t>
      </w:r>
      <w:r>
        <w:rPr>
          <w:i/>
        </w:rPr>
        <w:t>Официален вестник на ЕС</w:t>
      </w:r>
      <w:r>
        <w:t xml:space="preserve"> съгласно Директива 2001/95/ЕО.</w:t>
      </w:r>
    </w:p>
  </w:footnote>
  <w:footnote w:id="21">
    <w:p>
      <w:pPr>
        <w:pStyle w:val="FootnoteText"/>
      </w:pPr>
      <w:r>
        <w:rPr>
          <w:rStyle w:val="FootnoteReference"/>
        </w:rPr>
        <w:footnoteRef/>
      </w:r>
      <w:r>
        <w:t xml:space="preserve"> COM(2016) 763 final.</w:t>
      </w:r>
    </w:p>
  </w:footnote>
  <w:footnote w:id="22">
    <w:p>
      <w:pPr>
        <w:pStyle w:val="FootnoteText"/>
      </w:pPr>
      <w:r>
        <w:rPr>
          <w:rStyle w:val="FootnoteReference"/>
        </w:rPr>
        <w:footnoteRef/>
      </w:r>
      <w:r>
        <w:t xml:space="preserve"> COM(2016) 357 final.</w:t>
      </w:r>
    </w:p>
  </w:footnote>
  <w:footnote w:id="23">
    <w:p>
      <w:pPr>
        <w:pStyle w:val="FootnoteText"/>
      </w:pPr>
      <w:r>
        <w:rPr>
          <w:rStyle w:val="FootnoteReference"/>
        </w:rPr>
        <w:footnoteRef/>
      </w:r>
      <w:r>
        <w:t xml:space="preserve"> COM(2017) 453 final.</w:t>
      </w:r>
    </w:p>
  </w:footnote>
  <w:footnote w:id="24">
    <w:p>
      <w:pPr>
        <w:pStyle w:val="FootnoteText"/>
      </w:pPr>
      <w:r>
        <w:rPr>
          <w:rStyle w:val="FootnoteReference"/>
        </w:rPr>
        <w:footnoteRef/>
      </w:r>
      <w:r>
        <w:rPr>
          <w:rStyle w:val="FootnoteReference"/>
        </w:rPr>
        <w:t xml:space="preserve"> </w:t>
      </w:r>
      <w:r>
        <w:t xml:space="preserve">DIN (2000): Икономически ползи от стандартизацията, 3 тома Берлин: Beuth. (актуализирано издание от 2011 г.), DTI (2005 г.): </w:t>
      </w:r>
    </w:p>
    <w:p>
      <w:pPr>
        <w:pStyle w:val="FootnoteText"/>
      </w:pPr>
      <w:r>
        <w:t xml:space="preserve">   „Емпирична икономика на стандартите“, DTI ECONOMICS, Доклад № 12. Лондон и AFNOR (2009 г.): </w:t>
      </w:r>
    </w:p>
    <w:p>
      <w:pPr>
        <w:pStyle w:val="FootnoteText"/>
      </w:pPr>
      <w:r>
        <w:t xml:space="preserve">   „Икономически ефект от стандартизацията — Технологични промени, стандарти и дългосрочен растеж във Франция“. Париж. </w:t>
      </w:r>
    </w:p>
  </w:footnote>
  <w:footnote w:id="25">
    <w:p>
      <w:pPr>
        <w:pStyle w:val="FootnoteText"/>
      </w:pPr>
      <w:r>
        <w:rPr>
          <w:rStyle w:val="FootnoteReference"/>
        </w:rPr>
        <w:footnoteRef/>
      </w:r>
      <w:r>
        <w:t xml:space="preserve"> COM(2016) 357 final.</w:t>
      </w:r>
    </w:p>
  </w:footnote>
  <w:footnote w:id="26">
    <w:p>
      <w:pPr>
        <w:pStyle w:val="FootnoteText"/>
      </w:pPr>
      <w:r>
        <w:rPr>
          <w:rStyle w:val="FootnoteReference"/>
        </w:rPr>
        <w:footnoteRef/>
      </w:r>
      <w:r>
        <w:t xml:space="preserve"> Действие 1: Проучване на икономическите и обществените въздействия, както и на достъпа до стандарти в държавите — членки на ЕС, и държавите — членки на ЕАСТ.</w:t>
      </w:r>
    </w:p>
  </w:footnote>
  <w:footnote w:id="27">
    <w:p>
      <w:pPr>
        <w:pStyle w:val="FootnoteText"/>
      </w:pPr>
      <w:r>
        <w:rPr>
          <w:rStyle w:val="FootnoteReference"/>
        </w:rPr>
        <w:footnoteRef/>
      </w:r>
      <w:r>
        <w:t xml:space="preserve"> Международна организация по стандартизация.</w:t>
      </w:r>
    </w:p>
  </w:footnote>
  <w:footnote w:id="28">
    <w:p>
      <w:pPr>
        <w:pStyle w:val="FootnoteText"/>
      </w:pPr>
      <w:r>
        <w:rPr>
          <w:rStyle w:val="FootnoteReference"/>
        </w:rPr>
        <w:footnoteRef/>
      </w:r>
      <w:r>
        <w:t xml:space="preserve"> Международна електротехническа комисия.</w:t>
      </w:r>
    </w:p>
  </w:footnote>
  <w:footnote w:id="29">
    <w:p>
      <w:pPr>
        <w:pStyle w:val="FootnoteText"/>
      </w:pPr>
      <w:r>
        <w:rPr>
          <w:rStyle w:val="FootnoteReference"/>
        </w:rPr>
        <w:footnoteRef/>
      </w:r>
      <w:r>
        <w:t xml:space="preserve"> http://www.3gpp.org/</w:t>
      </w:r>
    </w:p>
  </w:footnote>
  <w:footnote w:id="30">
    <w:p>
      <w:pPr>
        <w:pStyle w:val="FootnoteText"/>
      </w:pPr>
      <w:r>
        <w:rPr>
          <w:rStyle w:val="FootnoteReference"/>
        </w:rPr>
        <w:footnoteRef/>
      </w:r>
      <w:r>
        <w:t xml:space="preserve"> http://www.onem2m.org/</w:t>
      </w:r>
    </w:p>
  </w:footnote>
  <w:footnote w:id="31">
    <w:p>
      <w:pPr>
        <w:pStyle w:val="FootnoteText"/>
      </w:pPr>
      <w:r>
        <w:rPr>
          <w:rStyle w:val="FootnoteReference"/>
        </w:rPr>
        <w:footnoteRef/>
      </w:r>
      <w:r>
        <w:t xml:space="preserve"> СИС, действие 13. </w:t>
      </w:r>
    </w:p>
  </w:footnote>
  <w:footnote w:id="32">
    <w:p>
      <w:pPr>
        <w:pStyle w:val="FootnoteText"/>
      </w:pPr>
      <w:r>
        <w:rPr>
          <w:rStyle w:val="FootnoteReference"/>
        </w:rPr>
        <w:footnoteRef/>
      </w:r>
      <w:r>
        <w:t>https://ec.europa.eu/info/law/law-making-process/evaluating-and-improving-existing-laws/refit-making-eu-law-simpler-and-less-costly/refit-platform_bg</w:t>
      </w:r>
    </w:p>
  </w:footnote>
  <w:footnote w:id="33">
    <w:p>
      <w:pPr>
        <w:pStyle w:val="FootnoteText"/>
      </w:pPr>
      <w:r>
        <w:rPr>
          <w:rStyle w:val="FootnoteReference"/>
        </w:rPr>
        <w:footnoteRef/>
      </w:r>
      <w:r>
        <w:t xml:space="preserve"> Вж. плана за действие в приложения работен документ на службите на Комисията.</w:t>
      </w:r>
    </w:p>
  </w:footnote>
  <w:footnote w:id="34">
    <w:p>
      <w:pPr>
        <w:pStyle w:val="FootnoteText"/>
      </w:pPr>
      <w:r>
        <w:rPr>
          <w:rStyle w:val="FootnoteReference"/>
        </w:rPr>
        <w:footnoteRef/>
      </w:r>
      <w:r>
        <w:t xml:space="preserve"> Член 8, параграф 5 и съображение 31 от Регламент (ЕС) № 1025/2012.</w:t>
      </w:r>
    </w:p>
  </w:footnote>
  <w:footnote w:id="35">
    <w:p>
      <w:pPr>
        <w:pStyle w:val="FootnoteText"/>
      </w:pPr>
      <w:r>
        <w:rPr>
          <w:rStyle w:val="FootnoteReference"/>
        </w:rPr>
        <w:footnoteRef/>
      </w:r>
      <w:r>
        <w:t xml:space="preserve"> А именно: 5G PPP, AIOTI, BDVA, ECSO.</w:t>
      </w:r>
    </w:p>
  </w:footnote>
  <w:footnote w:id="36">
    <w:p>
      <w:pPr>
        <w:pStyle w:val="FootnoteText"/>
        <w:ind w:left="0" w:firstLine="0"/>
      </w:pPr>
      <w:r>
        <w:rPr>
          <w:rStyle w:val="FootnoteReference"/>
        </w:rPr>
        <w:footnoteRef/>
      </w:r>
      <w:r>
        <w:t>http://www.europarl.europa.eu/sides/getDoc.do?pubRef=-//EP//TEXT+TA+P8-TA-2017-0278+0+DOC+XML+V0//BG</w:t>
      </w:r>
    </w:p>
  </w:footnote>
  <w:footnote w:id="37">
    <w:p>
      <w:pPr>
        <w:pStyle w:val="FootnoteText"/>
      </w:pPr>
      <w:r>
        <w:rPr>
          <w:rStyle w:val="FootnoteReference"/>
        </w:rPr>
        <w:footnoteRef/>
      </w:r>
      <w:r>
        <w:t xml:space="preserve"> Инициативите са разделени в следните три категории: I) осведомяване, обучение и разбиране на европейската система за стандартизация, II) координация, прозрачност и приобщаване, III) конкурентоспособност и международно измерение.</w:t>
      </w:r>
    </w:p>
  </w:footnote>
  <w:footnote w:id="38">
    <w:p>
      <w:pPr>
        <w:pStyle w:val="FootnoteText"/>
      </w:pPr>
      <w:r>
        <w:rPr>
          <w:rStyle w:val="FootnoteReference"/>
        </w:rPr>
        <w:footnoteRef/>
      </w:r>
      <w:r>
        <w:t xml:space="preserve">    </w:t>
      </w:r>
      <w:hyperlink r:id="rId2">
        <w:r>
          <w:rPr>
            <w:rStyle w:val="Hyperlink"/>
            <w:rFonts w:eastAsiaTheme="majorEastAsia"/>
          </w:rPr>
          <w:t>Стандарти за малките предприятия</w:t>
        </w:r>
      </w:hyperlink>
      <w:r>
        <w:t xml:space="preserve">, </w:t>
      </w:r>
      <w:hyperlink r:id="rId3">
        <w:r>
          <w:rPr>
            <w:rStyle w:val="Hyperlink"/>
            <w:rFonts w:eastAsiaTheme="majorEastAsia"/>
          </w:rPr>
          <w:t>Европейска асоциация за координиране на потребителското представителство в стандартизацията</w:t>
        </w:r>
      </w:hyperlink>
      <w:r>
        <w:t xml:space="preserve">, </w:t>
      </w:r>
      <w:hyperlink r:id="rId4">
        <w:r>
          <w:rPr>
            <w:rStyle w:val="Hyperlink"/>
            <w:rFonts w:eastAsiaTheme="majorEastAsia"/>
          </w:rPr>
          <w:t>Европейска конфедерация на профсъюзите</w:t>
        </w:r>
      </w:hyperlink>
      <w:r>
        <w:t xml:space="preserve"> и </w:t>
      </w:r>
      <w:hyperlink r:id="rId5">
        <w:r>
          <w:rPr>
            <w:rStyle w:val="Hyperlink"/>
            <w:rFonts w:eastAsiaTheme="majorEastAsia"/>
          </w:rPr>
          <w:t>Европейска организация на гражданите за екологични стандарти</w:t>
        </w:r>
      </w:hyperlink>
    </w:p>
  </w:footnote>
  <w:footnote w:id="39">
    <w:p>
      <w:pPr>
        <w:pStyle w:val="FootnoteText"/>
      </w:pPr>
      <w:r>
        <w:rPr>
          <w:rStyle w:val="FootnoteReference"/>
        </w:rPr>
        <w:footnoteRef/>
      </w:r>
      <w:r>
        <w:t xml:space="preserve"> https://ec.europa.eu/digital-single-market/en/european-multi-stakeholder-platform-ict-standardisation</w:t>
      </w:r>
    </w:p>
  </w:footnote>
  <w:footnote w:id="40">
    <w:p>
      <w:pPr>
        <w:pStyle w:val="FootnoteText"/>
      </w:pPr>
      <w:r>
        <w:rPr>
          <w:rStyle w:val="FootnoteReference"/>
        </w:rPr>
        <w:footnoteRef/>
      </w:r>
      <w:r>
        <w:t xml:space="preserve"> Вж. член 6 от Регламент (ЕС) № 1025/2012.</w:t>
      </w:r>
    </w:p>
  </w:footnote>
  <w:footnote w:id="41">
    <w:p>
      <w:pPr>
        <w:pStyle w:val="FootnoteText"/>
      </w:pPr>
      <w:r>
        <w:rPr>
          <w:rStyle w:val="FootnoteReference"/>
        </w:rPr>
        <w:footnoteRef/>
      </w:r>
      <w:r>
        <w:t xml:space="preserve"> ОВ L 123, 12.5.2016 г., стр. 1—14.</w:t>
      </w:r>
    </w:p>
  </w:footnote>
  <w:footnote w:id="42">
    <w:p>
      <w:pPr>
        <w:pStyle w:val="FootnoteText"/>
      </w:pPr>
      <w:r>
        <w:rPr>
          <w:rStyle w:val="FootnoteReference"/>
        </w:rPr>
        <w:footnoteRef/>
      </w:r>
      <w:r>
        <w:t xml:space="preserve"> А също и на други стандарти, служещи за основа на законодателството на ЕС.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24575"/>
    <w:multiLevelType w:val="hybridMultilevel"/>
    <w:tmpl w:val="31A4C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60734B2"/>
    <w:multiLevelType w:val="multilevel"/>
    <w:tmpl w:val="679A19CE"/>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1090"/>
        </w:tabs>
        <w:ind w:left="1090" w:hanging="850"/>
      </w:pPr>
      <w:rPr>
        <w:color w:val="auto"/>
      </w:r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stin Nogarede">
    <w15:presenceInfo w15:providerId="None" w15:userId="Justin Nogar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FigNum" w:val="1"/>
    <w:docVar w:name="LW_CORRIGENDUM" w:val="&lt;UNUSED&gt;"/>
    <w:docVar w:name="LW_COVERPAGE_EXISTS" w:val="True"/>
    <w:docVar w:name="LW_COVERPAGE_GUID" w:val="20189854-32B6-4B67-BFC6-2ACC8175858B"/>
    <w:docVar w:name="LW_COVERPAGE_TYPE" w:val="1"/>
    <w:docVar w:name="LW_CROSSREFERENCE" w:val="{SWD(2018) 15 final}"/>
    <w:docVar w:name="LW_DocType" w:val="NORMAL"/>
    <w:docVar w:name="LW_EMISSION" w:val="16.1.2018"/>
    <w:docVar w:name="LW_EMISSION_ISODATE" w:val="2018-01-16"/>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2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79?\u1072? \u1080?\u1079?\u1087?\u1098?\u1083?\u1085?\u1077?\u1085?\u1080?\u1077?\u1090?\u1086? \u1085?\u1072? \u1087?\u1086?\u1083?\u1080?\u1090?\u1080?\u1082?\u1072?\u1090?\u1072? \u1085?\u1072? \u1045?\u1057? \u1079?\u1072? \u1089?\u1090?\u1072?\u1085?\u1076?\u1072?\u1088?\u1090?\u1080?\u1079?\u1072?\u1094?\u1080?\u1103? \u1080? \u1087?\u1088?\u1080?\u1085?\u1086?\u1089?\u1072? \u1085?\u1072? \u1077?\u1074?\u1088?\u1086?\u1087?\u1077?\u1081?\u1089?\u1082?\u1080?\u1090?\u1077? \u1089?\u1090?\u1072?\u1085?\u1076?\u1072?\u1088?\u1090?\u1080? \u1079?\u1072? \u1087?\u1086?\u1083?\u1080?\u1090?\u1080?\u1082?\u1080?\u1090?\u1077? \u1085?\u1072? \u1045?\u105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Theme="minorHAnsi" w:hAnsi="Times New Roman" w:cs="Times New Roman"/>
      <w:sz w:val="24"/>
    </w:rPr>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eastAsiaTheme="minorHAnsi" w:hAnsi="Times New Roman" w:cs="Times New Roman"/>
      <w:sz w:val="24"/>
    </w:rPr>
  </w:style>
  <w:style w:type="character" w:customStyle="1" w:styleId="HeaderChar">
    <w:name w:val="Header Char"/>
    <w:basedOn w:val="DefaultParagraphFont"/>
    <w:link w:val="Header"/>
    <w:uiPriority w:val="99"/>
    <w:rPr>
      <w:rFonts w:ascii="Times New Roman" w:eastAsiaTheme="minorHAnsi" w:hAnsi="Times New Roman" w:cs="Times New Roman"/>
      <w:sz w:val="24"/>
      <w:lang w:eastAsia="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eastAsiaTheme="minorHAnsi" w:hAnsi="Times New Roman" w:cs="Times New Roman"/>
      <w:sz w:val="24"/>
    </w:rPr>
  </w:style>
  <w:style w:type="character" w:customStyle="1" w:styleId="FooterChar">
    <w:name w:val="Footer Char"/>
    <w:basedOn w:val="DefaultParagraphFont"/>
    <w:link w:val="Footer"/>
    <w:uiPriority w:val="99"/>
    <w:rPr>
      <w:rFonts w:ascii="Times New Roman" w:eastAsiaTheme="minorHAnsi" w:hAnsi="Times New Roman" w:cs="Times New Roman"/>
      <w:sz w:val="24"/>
      <w:lang w:eastAsia="bg-BG"/>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paragraph" w:customStyle="1" w:styleId="Text1">
    <w:name w:val="Text 1"/>
    <w:basedOn w:val="Normal"/>
    <w:link w:val="Text1Char"/>
    <w:pPr>
      <w:spacing w:before="120" w:after="120" w:line="240" w:lineRule="auto"/>
      <w:ind w:left="850"/>
      <w:jc w:val="both"/>
    </w:pPr>
    <w:rPr>
      <w:rFonts w:ascii="Times New Roman" w:eastAsia="Calibri" w:hAnsi="Times New Roman" w:cs="Times New Roman"/>
      <w:sz w:val="24"/>
    </w:rPr>
  </w:style>
  <w:style w:type="paragraph" w:styleId="FootnoteText">
    <w:name w:val="footnote text"/>
    <w:aliases w:val="Fußnotentextf,Note de bas de page Car Car,Note de bas de page Car Car Car Car Car,Note de bas de page Car Car Car Car,Note de bas de page Car Car Car,stile 1,Footnote,Footnote1,Footnote2,Footnote3,Footnote4,Footnote5,Footnote6"/>
    <w:basedOn w:val="Normal"/>
    <w:link w:val="FootnoteTextChar"/>
    <w:uiPriority w:val="99"/>
    <w:qFormat/>
    <w:pPr>
      <w:spacing w:after="0" w:line="240" w:lineRule="auto"/>
      <w:ind w:left="720" w:hanging="720"/>
      <w:jc w:val="both"/>
    </w:pPr>
    <w:rPr>
      <w:rFonts w:ascii="Times New Roman" w:eastAsia="Times New Roman" w:hAnsi="Times New Roman" w:cs="Times New Roman"/>
      <w:sz w:val="20"/>
      <w:szCs w:val="20"/>
    </w:rPr>
  </w:style>
  <w:style w:type="character" w:customStyle="1" w:styleId="FootnoteTextChar">
    <w:name w:val="Footnote Text Char"/>
    <w:aliases w:val="Fußnotentextf Char,Note de bas de page Car Car Char,Note de bas de page Car Car Car Car Car Char,Note de bas de page Car Car Car Car Char,Note de bas de page Car Car Car Char,stile 1 Char,Footnote Char,Footnote1 Char,Footnote2 Char"/>
    <w:basedOn w:val="DefaultParagraphFont"/>
    <w:link w:val="FootnoteText"/>
    <w:uiPriority w:val="99"/>
    <w:rPr>
      <w:rFonts w:ascii="Times New Roman" w:eastAsia="Times New Roman" w:hAnsi="Times New Roman" w:cs="Times New Roman"/>
      <w:sz w:val="20"/>
      <w:szCs w:val="20"/>
      <w:lang w:eastAsia="bg-BG"/>
    </w:rPr>
  </w:style>
  <w:style w:type="character" w:styleId="FootnoteReference">
    <w:name w:val="footnote reference"/>
    <w:aliases w:val="Footnote Reference Superscript,Footnote symbol,Voetnootverwijzing,Times 10 Point,Exposant 3 Point,Footnote Reference Number,Footnote reference number,Ref,de nota al pie,note TESI,SUPERS,EN Footnote Reference,footnote ref,Footnote s,FR"/>
    <w:link w:val="FootnotesymbolCarZchn"/>
    <w:uiPriority w:val="99"/>
    <w:qFormat/>
    <w:rPr>
      <w:vertAlign w:val="superscript"/>
    </w:rPr>
  </w:style>
  <w:style w:type="character" w:customStyle="1" w:styleId="Text1Char">
    <w:name w:val="Text 1 Char"/>
    <w:link w:val="Text1"/>
    <w:locked/>
    <w:rPr>
      <w:rFonts w:ascii="Times New Roman" w:eastAsia="Calibri" w:hAnsi="Times New Roman" w:cs="Times New Roman"/>
      <w:sz w:val="24"/>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vertAlign w:val="superscript"/>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pPr>
      <w:numPr>
        <w:numId w:val="0"/>
      </w:numPr>
      <w:outlineLvl w:val="9"/>
    </w:pPr>
  </w:style>
  <w:style w:type="paragraph" w:styleId="TOC1">
    <w:name w:val="toc 1"/>
    <w:basedOn w:val="Normal"/>
    <w:next w:val="Normal"/>
    <w:autoRedefine/>
    <w:uiPriority w:val="39"/>
    <w:unhideWhenUsed/>
    <w:qFormat/>
    <w:pPr>
      <w:spacing w:after="100"/>
    </w:pPr>
  </w:style>
  <w:style w:type="paragraph" w:styleId="TOC2">
    <w:name w:val="toc 2"/>
    <w:basedOn w:val="Normal"/>
    <w:next w:val="Normal"/>
    <w:autoRedefine/>
    <w:uiPriority w:val="39"/>
    <w:unhideWhenUsed/>
    <w:qFormat/>
    <w:pPr>
      <w:spacing w:after="100"/>
      <w:ind w:left="220"/>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TOC3">
    <w:name w:val="toc 3"/>
    <w:basedOn w:val="Normal"/>
    <w:next w:val="Normal"/>
    <w:autoRedefine/>
    <w:uiPriority w:val="39"/>
    <w:semiHidden/>
    <w:unhideWhenUsed/>
    <w:qFormat/>
    <w:pPr>
      <w:spacing w:after="100"/>
      <w:ind w:left="440"/>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character" w:customStyle="1" w:styleId="st">
    <w:name w:val="st"/>
    <w:basedOn w:val="DefaultParagraphFont"/>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character" w:styleId="BookTitle">
    <w:name w:val="Book Title"/>
    <w:basedOn w:val="DefaultParagraphFont"/>
    <w:uiPriority w:val="33"/>
    <w:qFormat/>
    <w:rPr>
      <w:b/>
      <w:bCs/>
      <w:smallCaps/>
      <w:spacing w:val="5"/>
    </w:rPr>
  </w:style>
  <w:style w:type="paragraph" w:customStyle="1" w:styleId="Pp">
    <w:name w:val="Pp"/>
    <w:basedOn w:val="Heading1"/>
    <w:pPr>
      <w:shd w:val="clear" w:color="auto" w:fill="FFFFFF" w:themeFill="background1"/>
    </w:pPr>
    <w:rPr>
      <w:rFonts w:ascii="Times New Roman" w:hAnsi="Times New Roman" w:cs="Times New Roman"/>
      <w:color w:val="auto"/>
    </w:rPr>
  </w:style>
  <w:style w:type="paragraph" w:customStyle="1" w:styleId="Declassification">
    <w:name w:val="Declassification"/>
    <w:basedOn w:val="Normal"/>
    <w:next w:val="Normal"/>
    <w:pPr>
      <w:spacing w:after="0" w:line="240" w:lineRule="auto"/>
      <w:jc w:val="both"/>
    </w:pPr>
    <w:rPr>
      <w:rFonts w:ascii="Times New Roman" w:eastAsiaTheme="minorHAnsi"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heme="minorHAnsi"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heme="minorHAnsi"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iceouttxt">
    <w:name w:val="iceouttxt"/>
    <w:basedOn w:val="DefaultParagraphFont"/>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2354">
      <w:bodyDiv w:val="1"/>
      <w:marLeft w:val="0"/>
      <w:marRight w:val="0"/>
      <w:marTop w:val="0"/>
      <w:marBottom w:val="0"/>
      <w:divBdr>
        <w:top w:val="none" w:sz="0" w:space="0" w:color="auto"/>
        <w:left w:val="none" w:sz="0" w:space="0" w:color="auto"/>
        <w:bottom w:val="none" w:sz="0" w:space="0" w:color="auto"/>
        <w:right w:val="none" w:sz="0" w:space="0" w:color="auto"/>
      </w:divBdr>
    </w:div>
    <w:div w:id="335615093">
      <w:bodyDiv w:val="1"/>
      <w:marLeft w:val="0"/>
      <w:marRight w:val="0"/>
      <w:marTop w:val="0"/>
      <w:marBottom w:val="0"/>
      <w:divBdr>
        <w:top w:val="none" w:sz="0" w:space="0" w:color="auto"/>
        <w:left w:val="none" w:sz="0" w:space="0" w:color="auto"/>
        <w:bottom w:val="none" w:sz="0" w:space="0" w:color="auto"/>
        <w:right w:val="none" w:sz="0" w:space="0" w:color="auto"/>
      </w:divBdr>
    </w:div>
    <w:div w:id="612830305">
      <w:bodyDiv w:val="1"/>
      <w:marLeft w:val="0"/>
      <w:marRight w:val="0"/>
      <w:marTop w:val="0"/>
      <w:marBottom w:val="0"/>
      <w:divBdr>
        <w:top w:val="none" w:sz="0" w:space="0" w:color="auto"/>
        <w:left w:val="none" w:sz="0" w:space="0" w:color="auto"/>
        <w:bottom w:val="none" w:sz="0" w:space="0" w:color="auto"/>
        <w:right w:val="none" w:sz="0" w:space="0" w:color="auto"/>
      </w:divBdr>
    </w:div>
    <w:div w:id="663975001">
      <w:bodyDiv w:val="1"/>
      <w:marLeft w:val="0"/>
      <w:marRight w:val="0"/>
      <w:marTop w:val="30"/>
      <w:marBottom w:val="0"/>
      <w:divBdr>
        <w:top w:val="none" w:sz="0" w:space="0" w:color="auto"/>
        <w:left w:val="none" w:sz="0" w:space="0" w:color="auto"/>
        <w:bottom w:val="none" w:sz="0" w:space="0" w:color="auto"/>
        <w:right w:val="none" w:sz="0" w:space="0" w:color="auto"/>
      </w:divBdr>
      <w:divsChild>
        <w:div w:id="1141923814">
          <w:marLeft w:val="0"/>
          <w:marRight w:val="0"/>
          <w:marTop w:val="0"/>
          <w:marBottom w:val="0"/>
          <w:divBdr>
            <w:top w:val="none" w:sz="0" w:space="0" w:color="auto"/>
            <w:left w:val="none" w:sz="0" w:space="0" w:color="auto"/>
            <w:bottom w:val="none" w:sz="0" w:space="0" w:color="auto"/>
            <w:right w:val="none" w:sz="0" w:space="0" w:color="auto"/>
          </w:divBdr>
          <w:divsChild>
            <w:div w:id="2123527158">
              <w:marLeft w:val="0"/>
              <w:marRight w:val="0"/>
              <w:marTop w:val="0"/>
              <w:marBottom w:val="0"/>
              <w:divBdr>
                <w:top w:val="none" w:sz="0" w:space="0" w:color="auto"/>
                <w:left w:val="none" w:sz="0" w:space="0" w:color="auto"/>
                <w:bottom w:val="none" w:sz="0" w:space="0" w:color="auto"/>
                <w:right w:val="none" w:sz="0" w:space="0" w:color="auto"/>
              </w:divBdr>
              <w:divsChild>
                <w:div w:id="1837919590">
                  <w:marLeft w:val="0"/>
                  <w:marRight w:val="0"/>
                  <w:marTop w:val="0"/>
                  <w:marBottom w:val="0"/>
                  <w:divBdr>
                    <w:top w:val="none" w:sz="0" w:space="0" w:color="auto"/>
                    <w:left w:val="none" w:sz="0" w:space="0" w:color="auto"/>
                    <w:bottom w:val="none" w:sz="0" w:space="0" w:color="auto"/>
                    <w:right w:val="none" w:sz="0" w:space="0" w:color="auto"/>
                  </w:divBdr>
                  <w:divsChild>
                    <w:div w:id="348797862">
                      <w:marLeft w:val="2"/>
                      <w:marRight w:val="0"/>
                      <w:marTop w:val="0"/>
                      <w:marBottom w:val="0"/>
                      <w:divBdr>
                        <w:top w:val="none" w:sz="0" w:space="0" w:color="auto"/>
                        <w:left w:val="none" w:sz="0" w:space="0" w:color="auto"/>
                        <w:bottom w:val="none" w:sz="0" w:space="0" w:color="auto"/>
                        <w:right w:val="none" w:sz="0" w:space="0" w:color="auto"/>
                      </w:divBdr>
                      <w:divsChild>
                        <w:div w:id="1673410397">
                          <w:marLeft w:val="0"/>
                          <w:marRight w:val="0"/>
                          <w:marTop w:val="0"/>
                          <w:marBottom w:val="0"/>
                          <w:divBdr>
                            <w:top w:val="none" w:sz="0" w:space="0" w:color="auto"/>
                            <w:left w:val="none" w:sz="0" w:space="0" w:color="auto"/>
                            <w:bottom w:val="none" w:sz="0" w:space="0" w:color="auto"/>
                            <w:right w:val="none" w:sz="0" w:space="0" w:color="auto"/>
                          </w:divBdr>
                          <w:divsChild>
                            <w:div w:id="133807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386715">
      <w:bodyDiv w:val="1"/>
      <w:marLeft w:val="0"/>
      <w:marRight w:val="0"/>
      <w:marTop w:val="0"/>
      <w:marBottom w:val="0"/>
      <w:divBdr>
        <w:top w:val="none" w:sz="0" w:space="0" w:color="auto"/>
        <w:left w:val="none" w:sz="0" w:space="0" w:color="auto"/>
        <w:bottom w:val="none" w:sz="0" w:space="0" w:color="auto"/>
        <w:right w:val="none" w:sz="0" w:space="0" w:color="auto"/>
      </w:divBdr>
    </w:div>
    <w:div w:id="926036236">
      <w:bodyDiv w:val="1"/>
      <w:marLeft w:val="0"/>
      <w:marRight w:val="0"/>
      <w:marTop w:val="0"/>
      <w:marBottom w:val="0"/>
      <w:divBdr>
        <w:top w:val="none" w:sz="0" w:space="0" w:color="auto"/>
        <w:left w:val="none" w:sz="0" w:space="0" w:color="auto"/>
        <w:bottom w:val="none" w:sz="0" w:space="0" w:color="auto"/>
        <w:right w:val="none" w:sz="0" w:space="0" w:color="auto"/>
      </w:divBdr>
    </w:div>
    <w:div w:id="960191554">
      <w:bodyDiv w:val="1"/>
      <w:marLeft w:val="0"/>
      <w:marRight w:val="0"/>
      <w:marTop w:val="0"/>
      <w:marBottom w:val="0"/>
      <w:divBdr>
        <w:top w:val="none" w:sz="0" w:space="0" w:color="auto"/>
        <w:left w:val="none" w:sz="0" w:space="0" w:color="auto"/>
        <w:bottom w:val="none" w:sz="0" w:space="0" w:color="auto"/>
        <w:right w:val="none" w:sz="0" w:space="0" w:color="auto"/>
      </w:divBdr>
      <w:divsChild>
        <w:div w:id="2075203420">
          <w:marLeft w:val="0"/>
          <w:marRight w:val="0"/>
          <w:marTop w:val="0"/>
          <w:marBottom w:val="0"/>
          <w:divBdr>
            <w:top w:val="single" w:sz="6" w:space="0" w:color="666666"/>
            <w:left w:val="single" w:sz="6" w:space="0" w:color="666666"/>
            <w:bottom w:val="single" w:sz="6" w:space="0" w:color="666666"/>
            <w:right w:val="single" w:sz="6" w:space="0" w:color="666666"/>
          </w:divBdr>
          <w:divsChild>
            <w:div w:id="1567648388">
              <w:marLeft w:val="0"/>
              <w:marRight w:val="0"/>
              <w:marTop w:val="150"/>
              <w:marBottom w:val="0"/>
              <w:divBdr>
                <w:top w:val="none" w:sz="0" w:space="0" w:color="auto"/>
                <w:left w:val="none" w:sz="0" w:space="0" w:color="auto"/>
                <w:bottom w:val="none" w:sz="0" w:space="0" w:color="auto"/>
                <w:right w:val="none" w:sz="0" w:space="0" w:color="auto"/>
              </w:divBdr>
              <w:divsChild>
                <w:div w:id="1786197745">
                  <w:marLeft w:val="0"/>
                  <w:marRight w:val="0"/>
                  <w:marTop w:val="0"/>
                  <w:marBottom w:val="0"/>
                  <w:divBdr>
                    <w:top w:val="none" w:sz="0" w:space="0" w:color="auto"/>
                    <w:left w:val="none" w:sz="0" w:space="0" w:color="auto"/>
                    <w:bottom w:val="none" w:sz="0" w:space="0" w:color="auto"/>
                    <w:right w:val="none" w:sz="0" w:space="0" w:color="auto"/>
                  </w:divBdr>
                  <w:divsChild>
                    <w:div w:id="1986274503">
                      <w:marLeft w:val="0"/>
                      <w:marRight w:val="0"/>
                      <w:marTop w:val="0"/>
                      <w:marBottom w:val="0"/>
                      <w:divBdr>
                        <w:top w:val="none" w:sz="0" w:space="0" w:color="auto"/>
                        <w:left w:val="none" w:sz="0" w:space="0" w:color="auto"/>
                        <w:bottom w:val="none" w:sz="0" w:space="0" w:color="auto"/>
                        <w:right w:val="none" w:sz="0" w:space="0" w:color="auto"/>
                      </w:divBdr>
                      <w:divsChild>
                        <w:div w:id="1043598824">
                          <w:marLeft w:val="0"/>
                          <w:marRight w:val="0"/>
                          <w:marTop w:val="0"/>
                          <w:marBottom w:val="0"/>
                          <w:divBdr>
                            <w:top w:val="none" w:sz="0" w:space="0" w:color="auto"/>
                            <w:left w:val="none" w:sz="0" w:space="0" w:color="auto"/>
                            <w:bottom w:val="none" w:sz="0" w:space="0" w:color="auto"/>
                            <w:right w:val="none" w:sz="0" w:space="0" w:color="auto"/>
                          </w:divBdr>
                          <w:divsChild>
                            <w:div w:id="1565215347">
                              <w:marLeft w:val="0"/>
                              <w:marRight w:val="0"/>
                              <w:marTop w:val="0"/>
                              <w:marBottom w:val="0"/>
                              <w:divBdr>
                                <w:top w:val="none" w:sz="0" w:space="0" w:color="auto"/>
                                <w:left w:val="none" w:sz="0" w:space="0" w:color="auto"/>
                                <w:bottom w:val="none" w:sz="0" w:space="0" w:color="auto"/>
                                <w:right w:val="none" w:sz="0" w:space="0" w:color="auto"/>
                              </w:divBdr>
                              <w:divsChild>
                                <w:div w:id="2066682643">
                                  <w:marLeft w:val="0"/>
                                  <w:marRight w:val="0"/>
                                  <w:marTop w:val="0"/>
                                  <w:marBottom w:val="0"/>
                                  <w:divBdr>
                                    <w:top w:val="none" w:sz="0" w:space="0" w:color="auto"/>
                                    <w:left w:val="none" w:sz="0" w:space="0" w:color="auto"/>
                                    <w:bottom w:val="none" w:sz="0" w:space="0" w:color="auto"/>
                                    <w:right w:val="none" w:sz="0" w:space="0" w:color="auto"/>
                                  </w:divBdr>
                                  <w:divsChild>
                                    <w:div w:id="956714963">
                                      <w:marLeft w:val="0"/>
                                      <w:marRight w:val="0"/>
                                      <w:marTop w:val="0"/>
                                      <w:marBottom w:val="0"/>
                                      <w:divBdr>
                                        <w:top w:val="none" w:sz="0" w:space="0" w:color="auto"/>
                                        <w:left w:val="none" w:sz="0" w:space="0" w:color="auto"/>
                                        <w:bottom w:val="none" w:sz="0" w:space="0" w:color="auto"/>
                                        <w:right w:val="none" w:sz="0" w:space="0" w:color="auto"/>
                                      </w:divBdr>
                                      <w:divsChild>
                                        <w:div w:id="1472751251">
                                          <w:marLeft w:val="0"/>
                                          <w:marRight w:val="0"/>
                                          <w:marTop w:val="0"/>
                                          <w:marBottom w:val="0"/>
                                          <w:divBdr>
                                            <w:top w:val="none" w:sz="0" w:space="0" w:color="auto"/>
                                            <w:left w:val="none" w:sz="0" w:space="0" w:color="auto"/>
                                            <w:bottom w:val="none" w:sz="0" w:space="0" w:color="auto"/>
                                            <w:right w:val="none" w:sz="0" w:space="0" w:color="auto"/>
                                          </w:divBdr>
                                          <w:divsChild>
                                            <w:div w:id="793138831">
                                              <w:marLeft w:val="0"/>
                                              <w:marRight w:val="0"/>
                                              <w:marTop w:val="0"/>
                                              <w:marBottom w:val="0"/>
                                              <w:divBdr>
                                                <w:top w:val="none" w:sz="0" w:space="0" w:color="auto"/>
                                                <w:left w:val="none" w:sz="0" w:space="0" w:color="auto"/>
                                                <w:bottom w:val="none" w:sz="0" w:space="0" w:color="auto"/>
                                                <w:right w:val="none" w:sz="0" w:space="0" w:color="auto"/>
                                              </w:divBdr>
                                              <w:divsChild>
                                                <w:div w:id="1903172291">
                                                  <w:marLeft w:val="0"/>
                                                  <w:marRight w:val="0"/>
                                                  <w:marTop w:val="0"/>
                                                  <w:marBottom w:val="0"/>
                                                  <w:divBdr>
                                                    <w:top w:val="none" w:sz="0" w:space="0" w:color="auto"/>
                                                    <w:left w:val="none" w:sz="0" w:space="0" w:color="auto"/>
                                                    <w:bottom w:val="none" w:sz="0" w:space="0" w:color="auto"/>
                                                    <w:right w:val="none" w:sz="0" w:space="0" w:color="auto"/>
                                                  </w:divBdr>
                                                  <w:divsChild>
                                                    <w:div w:id="1234583152">
                                                      <w:marLeft w:val="0"/>
                                                      <w:marRight w:val="0"/>
                                                      <w:marTop w:val="0"/>
                                                      <w:marBottom w:val="0"/>
                                                      <w:divBdr>
                                                        <w:top w:val="none" w:sz="0" w:space="0" w:color="auto"/>
                                                        <w:left w:val="none" w:sz="0" w:space="0" w:color="auto"/>
                                                        <w:bottom w:val="none" w:sz="0" w:space="0" w:color="auto"/>
                                                        <w:right w:val="none" w:sz="0" w:space="0" w:color="auto"/>
                                                      </w:divBdr>
                                                      <w:divsChild>
                                                        <w:div w:id="20213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90601021">
      <w:bodyDiv w:val="1"/>
      <w:marLeft w:val="0"/>
      <w:marRight w:val="0"/>
      <w:marTop w:val="0"/>
      <w:marBottom w:val="0"/>
      <w:divBdr>
        <w:top w:val="none" w:sz="0" w:space="0" w:color="auto"/>
        <w:left w:val="none" w:sz="0" w:space="0" w:color="auto"/>
        <w:bottom w:val="none" w:sz="0" w:space="0" w:color="auto"/>
        <w:right w:val="none" w:sz="0" w:space="0" w:color="auto"/>
      </w:divBdr>
    </w:div>
    <w:div w:id="1214971971">
      <w:bodyDiv w:val="1"/>
      <w:marLeft w:val="0"/>
      <w:marRight w:val="0"/>
      <w:marTop w:val="0"/>
      <w:marBottom w:val="0"/>
      <w:divBdr>
        <w:top w:val="none" w:sz="0" w:space="0" w:color="auto"/>
        <w:left w:val="none" w:sz="0" w:space="0" w:color="auto"/>
        <w:bottom w:val="none" w:sz="0" w:space="0" w:color="auto"/>
        <w:right w:val="none" w:sz="0" w:space="0" w:color="auto"/>
      </w:divBdr>
    </w:div>
    <w:div w:id="1314140100">
      <w:bodyDiv w:val="1"/>
      <w:marLeft w:val="0"/>
      <w:marRight w:val="0"/>
      <w:marTop w:val="0"/>
      <w:marBottom w:val="0"/>
      <w:divBdr>
        <w:top w:val="none" w:sz="0" w:space="0" w:color="auto"/>
        <w:left w:val="none" w:sz="0" w:space="0" w:color="auto"/>
        <w:bottom w:val="none" w:sz="0" w:space="0" w:color="auto"/>
        <w:right w:val="none" w:sz="0" w:space="0" w:color="auto"/>
      </w:divBdr>
    </w:div>
    <w:div w:id="1661272579">
      <w:bodyDiv w:val="1"/>
      <w:marLeft w:val="0"/>
      <w:marRight w:val="0"/>
      <w:marTop w:val="0"/>
      <w:marBottom w:val="0"/>
      <w:divBdr>
        <w:top w:val="none" w:sz="0" w:space="0" w:color="auto"/>
        <w:left w:val="none" w:sz="0" w:space="0" w:color="auto"/>
        <w:bottom w:val="none" w:sz="0" w:space="0" w:color="auto"/>
        <w:right w:val="none" w:sz="0" w:space="0" w:color="auto"/>
      </w:divBdr>
    </w:div>
    <w:div w:id="1800299421">
      <w:bodyDiv w:val="1"/>
      <w:marLeft w:val="0"/>
      <w:marRight w:val="0"/>
      <w:marTop w:val="0"/>
      <w:marBottom w:val="0"/>
      <w:divBdr>
        <w:top w:val="none" w:sz="0" w:space="0" w:color="auto"/>
        <w:left w:val="none" w:sz="0" w:space="0" w:color="auto"/>
        <w:bottom w:val="none" w:sz="0" w:space="0" w:color="auto"/>
        <w:right w:val="none" w:sz="0" w:space="0" w:color="auto"/>
      </w:divBdr>
    </w:div>
    <w:div w:id="2050304136">
      <w:bodyDiv w:val="1"/>
      <w:marLeft w:val="0"/>
      <w:marRight w:val="0"/>
      <w:marTop w:val="0"/>
      <w:marBottom w:val="0"/>
      <w:divBdr>
        <w:top w:val="none" w:sz="0" w:space="0" w:color="auto"/>
        <w:left w:val="none" w:sz="0" w:space="0" w:color="auto"/>
        <w:bottom w:val="none" w:sz="0" w:space="0" w:color="auto"/>
        <w:right w:val="none" w:sz="0" w:space="0" w:color="auto"/>
      </w:divBdr>
    </w:div>
    <w:div w:id="2079857094">
      <w:bodyDiv w:val="1"/>
      <w:marLeft w:val="0"/>
      <w:marRight w:val="0"/>
      <w:marTop w:val="30"/>
      <w:marBottom w:val="0"/>
      <w:divBdr>
        <w:top w:val="none" w:sz="0" w:space="0" w:color="auto"/>
        <w:left w:val="none" w:sz="0" w:space="0" w:color="auto"/>
        <w:bottom w:val="none" w:sz="0" w:space="0" w:color="auto"/>
        <w:right w:val="none" w:sz="0" w:space="0" w:color="auto"/>
      </w:divBdr>
      <w:divsChild>
        <w:div w:id="869145552">
          <w:marLeft w:val="0"/>
          <w:marRight w:val="0"/>
          <w:marTop w:val="0"/>
          <w:marBottom w:val="0"/>
          <w:divBdr>
            <w:top w:val="none" w:sz="0" w:space="0" w:color="auto"/>
            <w:left w:val="none" w:sz="0" w:space="0" w:color="auto"/>
            <w:bottom w:val="none" w:sz="0" w:space="0" w:color="auto"/>
            <w:right w:val="none" w:sz="0" w:space="0" w:color="auto"/>
          </w:divBdr>
          <w:divsChild>
            <w:div w:id="71003755">
              <w:marLeft w:val="0"/>
              <w:marRight w:val="0"/>
              <w:marTop w:val="0"/>
              <w:marBottom w:val="0"/>
              <w:divBdr>
                <w:top w:val="none" w:sz="0" w:space="0" w:color="auto"/>
                <w:left w:val="none" w:sz="0" w:space="0" w:color="auto"/>
                <w:bottom w:val="none" w:sz="0" w:space="0" w:color="auto"/>
                <w:right w:val="none" w:sz="0" w:space="0" w:color="auto"/>
              </w:divBdr>
              <w:divsChild>
                <w:div w:id="1291546231">
                  <w:marLeft w:val="0"/>
                  <w:marRight w:val="0"/>
                  <w:marTop w:val="0"/>
                  <w:marBottom w:val="0"/>
                  <w:divBdr>
                    <w:top w:val="none" w:sz="0" w:space="0" w:color="auto"/>
                    <w:left w:val="none" w:sz="0" w:space="0" w:color="auto"/>
                    <w:bottom w:val="none" w:sz="0" w:space="0" w:color="auto"/>
                    <w:right w:val="none" w:sz="0" w:space="0" w:color="auto"/>
                  </w:divBdr>
                  <w:divsChild>
                    <w:div w:id="975833858">
                      <w:marLeft w:val="2"/>
                      <w:marRight w:val="0"/>
                      <w:marTop w:val="0"/>
                      <w:marBottom w:val="0"/>
                      <w:divBdr>
                        <w:top w:val="none" w:sz="0" w:space="0" w:color="auto"/>
                        <w:left w:val="none" w:sz="0" w:space="0" w:color="auto"/>
                        <w:bottom w:val="none" w:sz="0" w:space="0" w:color="auto"/>
                        <w:right w:val="none" w:sz="0" w:space="0" w:color="auto"/>
                      </w:divBdr>
                      <w:divsChild>
                        <w:div w:id="1613828509">
                          <w:marLeft w:val="0"/>
                          <w:marRight w:val="0"/>
                          <w:marTop w:val="0"/>
                          <w:marBottom w:val="0"/>
                          <w:divBdr>
                            <w:top w:val="none" w:sz="0" w:space="0" w:color="auto"/>
                            <w:left w:val="none" w:sz="0" w:space="0" w:color="auto"/>
                            <w:bottom w:val="none" w:sz="0" w:space="0" w:color="auto"/>
                            <w:right w:val="none" w:sz="0" w:space="0" w:color="auto"/>
                          </w:divBdr>
                          <w:divsChild>
                            <w:div w:id="6379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6/09/relationships/commentsIds" Target="commentsIds.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28"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 Id="rId27" Type="http://schemas.microsoft.com/office/2011/relationships/people" Target="people.xml"/></Relationships>
</file>

<file path=word/_rels/footnotes.xml.rels><?xml version="1.0" encoding="UTF-8" standalone="yes"?>
<Relationships xmlns="http://schemas.openxmlformats.org/package/2006/relationships"><Relationship Id="rId3" Type="http://schemas.openxmlformats.org/officeDocument/2006/relationships/hyperlink" Target="http://www.anec.eu/anec.asp" TargetMode="External"/><Relationship Id="rId2" Type="http://schemas.openxmlformats.org/officeDocument/2006/relationships/hyperlink" Target="http://sbs-sme.eu/" TargetMode="External"/><Relationship Id="rId1" Type="http://schemas.openxmlformats.org/officeDocument/2006/relationships/hyperlink" Target="http://eur-lex.europa.eu/legal-content/BG/TXT/?uri=CELEX%3A52016DC0358&amp;from=EN&amp;lang3=choose&amp;lang2=choose&amp;lang1=BG" TargetMode="External"/><Relationship Id="rId5" Type="http://schemas.openxmlformats.org/officeDocument/2006/relationships/hyperlink" Target="http://ecostandard.org/" TargetMode="External"/><Relationship Id="rId4" Type="http://schemas.openxmlformats.org/officeDocument/2006/relationships/hyperlink" Target="http://www.et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20FBC0-45BD-4EFF-A298-DF36EBE68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14</Pages>
  <Words>4059</Words>
  <Characters>25656</Characters>
  <Application>Microsoft Office Word</Application>
  <DocSecurity>0</DocSecurity>
  <Lines>413</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cp:lastPrinted>2017-11-22T09:08:00Z</cp:lastPrinted>
  <dcterms:created xsi:type="dcterms:W3CDTF">2018-01-11T11:09:00Z</dcterms:created>
  <dcterms:modified xsi:type="dcterms:W3CDTF">2018-01-15T11:09:00Z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y fmtid="{D5CDD505-2E9C-101B-9397-08002B2CF9AE}" pid="6" name="Classification">
    <vt:lpwstr> </vt:lpwstr>
  </property>
</Properties>
</file>