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8DEEB50A-7D5E-440C-86A8-D65A80D5E3B2" style="width:450.5pt;height:366pt">
            <v:imagedata r:id="rId8" o:title=""/>
          </v:shape>
        </w:pict>
      </w:r>
    </w:p>
    <w:p>
      <w:pPr>
        <w:pStyle w:val="Pagedecouverture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  <w:lang w:eastAsia="bg-BG" w:bidi="bg-BG"/>
        </w:rPr>
      </w:pPr>
      <w:bookmarkStart w:id="0" w:name="_GoBack"/>
      <w:bookmarkEnd w:id="0"/>
      <w:r>
        <w:rPr>
          <w:noProof/>
          <w:lang w:eastAsia="bg-BG" w:bidi="bg-BG"/>
        </w:rPr>
        <w:lastRenderedPageBreak/>
        <w:t>ОБЯСНИТЕЛЕН МЕМОРАНДУМ</w:t>
      </w:r>
    </w:p>
    <w:p>
      <w:pPr>
        <w:pStyle w:val="ManualHeading1"/>
        <w:rPr>
          <w:noProof/>
          <w:lang w:eastAsia="bg-BG" w:bidi="bg-BG"/>
        </w:rPr>
      </w:pPr>
      <w:r>
        <w:rPr>
          <w:noProof/>
          <w:lang w:eastAsia="bg-BG" w:bidi="bg-BG"/>
        </w:rPr>
        <w:t>1.</w:t>
      </w:r>
      <w:r>
        <w:rPr>
          <w:noProof/>
          <w:lang w:eastAsia="bg-BG" w:bidi="bg-BG"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  <w:lang w:eastAsia="bg-BG" w:bidi="bg-BG"/>
        </w:rPr>
      </w:pPr>
      <w:r>
        <w:rPr>
          <w:noProof/>
          <w:color w:val="000000"/>
          <w:u w:color="000000"/>
          <w:bdr w:val="nil"/>
          <w:lang w:eastAsia="bg-BG" w:bidi="bg-BG"/>
        </w:rPr>
        <w:t>•</w:t>
      </w:r>
      <w:r>
        <w:rPr>
          <w:noProof/>
          <w:lang w:eastAsia="bg-BG" w:bidi="bg-BG"/>
        </w:rPr>
        <w:tab/>
        <w:t>Основания и цели на предложението</w:t>
      </w:r>
    </w:p>
    <w:p>
      <w:pPr>
        <w:spacing w:before="0" w:after="240"/>
        <w:rPr>
          <w:noProof/>
          <w:lang w:eastAsia="bg-BG" w:bidi="bg-BG"/>
        </w:rPr>
      </w:pPr>
      <w:r>
        <w:rPr>
          <w:noProof/>
          <w:lang w:eastAsia="bg-BG" w:bidi="bg-BG"/>
        </w:rPr>
        <w:t xml:space="preserve">Въздушният транспорт е приоритетен за транспортната политика на Европейския съюз. Целта на Комисията е постигане на високоефективна система за въздушен транспорт, която осигурява безпрепятствена, безопасна и ефикасна мобилност на пътници и стоки в полза на гражданите и предприятията. Това изисква високоефективни системи за управление на въздушното движение (УВД), способни да се справят с настоящите и бъдещите предизвикателства на въздушния транспорт по отношение на нарастващия капацитет и  безопасността, като същевременно намаляват въздействието на полетите върху околната среда и разходите за предоставяне на аеронавигационно обслужване. </w:t>
      </w:r>
    </w:p>
    <w:p>
      <w:pPr>
        <w:rPr>
          <w:noProof/>
          <w:lang w:eastAsia="bg-BG" w:bidi="bg-BG"/>
        </w:rPr>
      </w:pPr>
      <w:r>
        <w:rPr>
          <w:noProof/>
          <w:lang w:eastAsia="bg-BG" w:bidi="bg-BG"/>
        </w:rPr>
        <w:t>От 2004 г. насам Европейският съюз се зае с подобряването на ефективността на УВД в Европа чрез реформиране на начина, по който се управлява и организира въздушното движение, а също така и чрез модернизиране и хармонизиране на европейската инфраструктура за УВД посредством инициативата Единно европейско небе (ЕЕН)</w:t>
      </w:r>
      <w:r>
        <w:rPr>
          <w:rStyle w:val="FootnoteReference"/>
          <w:noProof/>
        </w:rPr>
        <w:footnoteReference w:id="1"/>
      </w:r>
      <w:r>
        <w:rPr>
          <w:noProof/>
          <w:lang w:eastAsia="bg-BG" w:bidi="bg-BG"/>
        </w:rPr>
        <w:t>. Завършването на изграждането на ЕЕН е сред най-важните цели на Стратегията за въздухоплаването в Европа, приета от Комисията на 7.12.2015 г.</w:t>
      </w:r>
      <w:r>
        <w:rPr>
          <w:rStyle w:val="FootnoteReference"/>
          <w:noProof/>
        </w:rPr>
        <w:footnoteReference w:id="2"/>
      </w:r>
      <w:r>
        <w:rPr>
          <w:noProof/>
          <w:lang w:eastAsia="bg-BG" w:bidi="bg-BG"/>
        </w:rPr>
        <w:t>, като в нея това е определено за едно от основните предизвикателства пред ефективността и конкурентоспособността на днешната въздухоплавателна система на Европейския съюз. Проектът „Изследване на управлението на въздушното движение в Единното европейско небе“ (SESAR) е технологичният компонент на ЕЕН. Той има за цел дефинирането, разработването, утвърждаването и внедряването на нови технологии и експлоатационни процедури, които допринасят за подобряване на резултатността на системите за УВД в Европа.</w:t>
      </w:r>
    </w:p>
    <w:p>
      <w:pPr>
        <w:rPr>
          <w:rFonts w:eastAsia="Times New Roman"/>
          <w:noProof/>
          <w:lang w:eastAsia="bg-BG" w:bidi="bg-BG"/>
        </w:rPr>
      </w:pPr>
      <w:r>
        <w:rPr>
          <w:noProof/>
          <w:lang w:eastAsia="bg-BG" w:bidi="bg-BG"/>
        </w:rPr>
        <w:t xml:space="preserve">Въздушният транспорт е глобална стопанска дейност, силно разчитаща на глобалната оперативна съвместимост на системите за УВД, които осигуряват безопасни, ефикасни и ефективни спрямо разходите полети във и между различните региони на света. Глобалната оперативна съвместимост може да бъде постигната единствено чрез ефективно и непрекъснато сътрудничество с други региони. В САЩ също се работи за модернизиране на УВД, по-специално чрез програмата NextGen, ръководена от Федералната въздухоплавателна администрация (FAA). Понастоящем SESAR и NextGen са основните световни еталони за модернизацията на УВД. И двете инициативи целят подобряване на капацитета на сегашните им системи посредством увеличено използване на автоматизация, засилен обмен на информация, нови подходи за полетните планове и полетните маршрути, нови методи за сепариране и широко използване на спътникови технологии. В този контекст глобалната оперативна съвместимост е основна цел при планирането на разработването на системите за УВД и вследствие на това е едно от ключовите изисквания на SESAR и NextGen. </w:t>
      </w:r>
    </w:p>
    <w:p>
      <w:pPr>
        <w:rPr>
          <w:rFonts w:eastAsia="Times New Roman"/>
          <w:noProof/>
          <w:lang w:eastAsia="bg-BG" w:bidi="bg-BG"/>
        </w:rPr>
      </w:pPr>
      <w:r>
        <w:rPr>
          <w:noProof/>
          <w:lang w:eastAsia="bg-BG" w:bidi="bg-BG"/>
        </w:rPr>
        <w:t xml:space="preserve">Споделяйки общата цел за развитието на по-безопасен и по-ефикасен въздушен транспорт, през 2011 г. Европейският съюз и Съединените американски щати подписаха Меморандум за сътрудничество между Съединените американски щати и Европейския съюз в научноизследователската и развойната дейност в гражданското </w:t>
      </w:r>
      <w:r>
        <w:rPr>
          <w:noProof/>
          <w:lang w:eastAsia="bg-BG" w:bidi="bg-BG"/>
        </w:rPr>
        <w:lastRenderedPageBreak/>
        <w:t>въздухоплаване (МзС). Съвместните дейности, проведени до момента в рамките на МзС, са насочени главно към УВД, по-специално към сътрудничеството в областта на научноизследователската и развойната дейност (НИРД) между SESAR и NextGen.</w:t>
      </w:r>
    </w:p>
    <w:p>
      <w:pPr>
        <w:rPr>
          <w:rFonts w:eastAsia="Times New Roman"/>
          <w:noProof/>
          <w:lang w:eastAsia="bg-BG" w:bidi="bg-BG"/>
        </w:rPr>
      </w:pPr>
      <w:r>
        <w:rPr>
          <w:noProof/>
          <w:lang w:eastAsia="bg-BG" w:bidi="bg-BG"/>
        </w:rPr>
        <w:t>По това време и двете програми бяха във фазата на научноизследователска и развойна дейност, което оправдаваше първоначалния акцент на сътрудничеството върху научноизследователската и развойната дейност и дейностите по утвърждаване. Сътрудничеството по МзС, по-специално между SESAR и NextGen, достигна висока степен на развитие и доведе до важни резултати във връзка с насърчаването на глобалната оперативна съвместимост на системите за УВД. Вследствие на това двете страни пристъпиха към проучване на възможностите за разширяване на обхвата на сътрудничеството и по теми, свързани с внедряването на системите за УВД. С оглед на това на 8 май 2017 г. Съветът упълномощи Комисията да започне преговори с FAA за изменение на МзС, за да се включи внедряването. Трите основни цели на преговорите бяха:</w:t>
      </w:r>
    </w:p>
    <w:p>
      <w:pPr>
        <w:rPr>
          <w:rFonts w:eastAsia="Times New Roman"/>
          <w:noProof/>
          <w:lang w:eastAsia="bg-BG" w:bidi="bg-BG"/>
        </w:rPr>
      </w:pPr>
      <w:r>
        <w:rPr>
          <w:noProof/>
          <w:lang w:eastAsia="bg-BG" w:bidi="bg-BG"/>
        </w:rPr>
        <w:t>1)</w:t>
      </w:r>
      <w:r>
        <w:rPr>
          <w:noProof/>
          <w:lang w:eastAsia="bg-BG" w:bidi="bg-BG"/>
        </w:rPr>
        <w:tab/>
        <w:t>разширяване на обхвата на съществуващия МзС за НИРД в областта на гражданското въздухоплаване така, че да се включи пълният обхват на модернизацията на УВД (т.е. НИРД, утвърждаване, демонстриране, внедряване) включително новопоявили се области на въздухоплаването и други сфери на УВД в рамките на Единното европейско небе, отвъд технологиите;</w:t>
      </w:r>
    </w:p>
    <w:p>
      <w:pPr>
        <w:rPr>
          <w:rFonts w:eastAsia="Times New Roman"/>
          <w:noProof/>
          <w:lang w:eastAsia="bg-BG" w:bidi="bg-BG"/>
        </w:rPr>
      </w:pPr>
      <w:r>
        <w:rPr>
          <w:noProof/>
          <w:lang w:eastAsia="bg-BG" w:bidi="bg-BG"/>
        </w:rPr>
        <w:t>2)</w:t>
      </w:r>
      <w:r>
        <w:rPr>
          <w:noProof/>
          <w:lang w:eastAsia="bg-BG" w:bidi="bg-BG"/>
        </w:rPr>
        <w:tab/>
        <w:t>рационализиране и оптимизиране на управленските механизми за МзС и приложенията и допълненията към него;</w:t>
      </w:r>
    </w:p>
    <w:p>
      <w:pPr>
        <w:rPr>
          <w:rFonts w:eastAsia="Times New Roman"/>
          <w:noProof/>
          <w:lang w:eastAsia="bg-BG" w:bidi="bg-BG"/>
        </w:rPr>
      </w:pPr>
      <w:r>
        <w:rPr>
          <w:noProof/>
          <w:lang w:eastAsia="bg-BG" w:bidi="bg-BG"/>
        </w:rPr>
        <w:t>3)</w:t>
      </w:r>
      <w:r>
        <w:rPr>
          <w:noProof/>
          <w:lang w:eastAsia="bg-BG" w:bidi="bg-BG"/>
        </w:rPr>
        <w:tab/>
        <w:t>договаряне на конкретни мерки за сътрудничество по внедряването на УВД, като се запазят съществуващите мерки за сътрудничеството SESAR — NextGen за постигане на глобална оперативна съвместимост и за взаимодействие за измерване на резултатите от УВД, които надлежно да се адаптират към новата рамка.</w:t>
      </w:r>
    </w:p>
    <w:p>
      <w:pPr>
        <w:rPr>
          <w:rFonts w:eastAsia="Times New Roman"/>
          <w:noProof/>
          <w:lang w:eastAsia="bg-BG" w:bidi="bg-BG"/>
        </w:rPr>
      </w:pPr>
      <w:r>
        <w:rPr>
          <w:noProof/>
          <w:lang w:eastAsia="bg-BG" w:bidi="bg-BG"/>
        </w:rPr>
        <w:t xml:space="preserve">Изменението на МзС беше договорено между Комисията и FAA и въз основа на съответно решение на Съвета беше подписано от името на Съюза, като настоящото решение следва процеса на приемането му.  </w:t>
      </w:r>
    </w:p>
    <w:p>
      <w:pPr>
        <w:pStyle w:val="ManualHeading2"/>
        <w:rPr>
          <w:noProof/>
          <w:color w:val="000000"/>
          <w:u w:color="000000"/>
          <w:bdr w:val="nil"/>
          <w:lang w:eastAsia="bg-BG" w:bidi="bg-BG"/>
        </w:rPr>
      </w:pPr>
      <w:r>
        <w:rPr>
          <w:noProof/>
          <w:color w:val="000000"/>
          <w:u w:color="000000"/>
          <w:bdr w:val="nil"/>
          <w:lang w:eastAsia="bg-BG" w:bidi="bg-BG"/>
        </w:rPr>
        <w:t>•</w:t>
      </w:r>
      <w:r>
        <w:rPr>
          <w:noProof/>
          <w:color w:val="000000"/>
          <w:u w:color="000000"/>
          <w:bdr w:val="nil"/>
          <w:lang w:eastAsia="bg-BG" w:bidi="bg-BG"/>
        </w:rPr>
        <w:tab/>
        <w:t>Съгласуваност със съществуващите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lang w:eastAsia="bg-BG" w:bidi="bg-BG"/>
        </w:rPr>
      </w:pPr>
      <w:r>
        <w:rPr>
          <w:noProof/>
          <w:lang w:eastAsia="bg-BG" w:bidi="bg-BG"/>
        </w:rPr>
        <w:t>Предложеното изменение на МзС е в пълно съответствие със Стратегията за въздухоплаването в Европа, политиката за Единно европейско небе, проекта SESAR и свързаното законодателство. В стратегията се подчертава колко е важно да бъде завършено създаването на Единното европейско небе посредством прилагането на напълно оптимизирана европейска система за управление на въздушното движение, с която се намаляват разходите, произтичащи от прояви на неефективност (закъснения, по-дълги маршрути и др.). Изпълнението на проекта SESAR, както и тясното и ефективно сътрудничество със САЩ имат основна роля за това, за да се гарантира, че съответните системи за управление на въздушното движение са съгласувани и оперативно съвместими.</w:t>
      </w:r>
    </w:p>
    <w:p>
      <w:pPr>
        <w:pStyle w:val="ManualHeading2"/>
        <w:rPr>
          <w:noProof/>
          <w:color w:val="000000"/>
          <w:u w:color="000000"/>
          <w:bdr w:val="nil"/>
          <w:lang w:eastAsia="bg-BG" w:bidi="bg-BG"/>
        </w:rPr>
      </w:pPr>
      <w:r>
        <w:rPr>
          <w:noProof/>
          <w:color w:val="000000"/>
          <w:u w:color="000000"/>
          <w:bdr w:val="nil"/>
          <w:lang w:eastAsia="bg-BG" w:bidi="bg-BG"/>
        </w:rPr>
        <w:t>•</w:t>
      </w:r>
      <w:r>
        <w:rPr>
          <w:noProof/>
          <w:color w:val="000000"/>
          <w:u w:color="000000"/>
          <w:bdr w:val="nil"/>
          <w:lang w:eastAsia="bg-BG" w:bidi="bg-BG"/>
        </w:rPr>
        <w:tab/>
        <w:t>Съгласуваност с други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lang w:eastAsia="bg-BG" w:bidi="bg-BG"/>
        </w:rPr>
      </w:pPr>
      <w:r>
        <w:rPr>
          <w:noProof/>
          <w:lang w:eastAsia="bg-BG" w:bidi="bg-BG"/>
        </w:rPr>
        <w:t xml:space="preserve">Инициативата е в съответствие с политическите приоритети на Комисията по отношение на вътрешния пазар, икономическия растеж, заетостта и утвърждаването на ЕС като фактор от световно значение. Предложението е в съответствие с политиката на ЕС за научни изследвания и иновации и политиката за трансевропейските мрежи, на </w:t>
      </w:r>
      <w:r>
        <w:rPr>
          <w:noProof/>
          <w:lang w:eastAsia="bg-BG" w:bidi="bg-BG"/>
        </w:rPr>
        <w:lastRenderedPageBreak/>
        <w:t>които се основават научноизследователската и развойната дейност и дейностите за внедряване в рамките на SESAR.</w:t>
      </w:r>
    </w:p>
    <w:p>
      <w:pPr>
        <w:pStyle w:val="ManualHeading1"/>
        <w:rPr>
          <w:noProof/>
          <w:lang w:eastAsia="bg-BG" w:bidi="bg-BG"/>
        </w:rPr>
      </w:pPr>
      <w:r>
        <w:rPr>
          <w:noProof/>
          <w:lang w:eastAsia="bg-BG" w:bidi="bg-BG"/>
        </w:rPr>
        <w:t>2.</w:t>
      </w:r>
      <w:r>
        <w:rPr>
          <w:noProof/>
          <w:lang w:eastAsia="bg-BG" w:bidi="bg-BG"/>
        </w:rPr>
        <w:tab/>
        <w:t>ПРАВНО ОСНОВАНИЕ</w:t>
      </w:r>
    </w:p>
    <w:p>
      <w:pPr>
        <w:pStyle w:val="ManualHeading2"/>
        <w:rPr>
          <w:noProof/>
          <w:color w:val="000000"/>
          <w:u w:color="000000"/>
          <w:bdr w:val="nil"/>
          <w:lang w:eastAsia="bg-BG" w:bidi="bg-BG"/>
        </w:rPr>
      </w:pPr>
      <w:r>
        <w:rPr>
          <w:noProof/>
          <w:color w:val="000000"/>
          <w:u w:color="000000"/>
          <w:bdr w:val="nil"/>
          <w:lang w:eastAsia="bg-BG" w:bidi="bg-BG"/>
        </w:rPr>
        <w:t>•</w:t>
      </w:r>
      <w:r>
        <w:rPr>
          <w:noProof/>
          <w:color w:val="000000"/>
          <w:u w:color="000000"/>
          <w:bdr w:val="nil"/>
          <w:lang w:eastAsia="bg-BG" w:bidi="bg-BG"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lang w:eastAsia="bg-BG" w:bidi="bg-BG"/>
        </w:rPr>
      </w:pPr>
      <w:r>
        <w:rPr>
          <w:noProof/>
          <w:lang w:eastAsia="bg-BG" w:bidi="bg-BG"/>
        </w:rPr>
        <w:t>Правното основание на настоящото предложение е член 100, параграф 2 във връзка с член 218, параграф 6, буква а) от Договора за функционирането на Европейския съюз.</w:t>
      </w:r>
    </w:p>
    <w:p>
      <w:pPr>
        <w:pStyle w:val="ManualHeading1"/>
        <w:rPr>
          <w:noProof/>
          <w:lang w:eastAsia="bg-BG" w:bidi="bg-BG"/>
        </w:rPr>
      </w:pPr>
      <w:r>
        <w:rPr>
          <w:noProof/>
          <w:lang w:eastAsia="bg-BG" w:bidi="bg-BG"/>
        </w:rPr>
        <w:t>3.</w:t>
      </w:r>
      <w:r>
        <w:rPr>
          <w:noProof/>
          <w:lang w:eastAsia="bg-BG" w:bidi="bg-BG"/>
        </w:rPr>
        <w:tab/>
        <w:t>РЕЗУЛТАТИ ОТ КОНСУЛТАЦИИТЕ СЪС ЗАИНТЕРЕСОВАНИТЕ СТРАНИ И ОЦЕНКИТЕ НА ВЪЗДЕЙСТВИЕТО</w:t>
      </w:r>
    </w:p>
    <w:p>
      <w:pPr>
        <w:pStyle w:val="ManualHeading2"/>
        <w:rPr>
          <w:noProof/>
          <w:color w:val="000000"/>
          <w:u w:color="000000"/>
          <w:bdr w:val="nil"/>
          <w:lang w:eastAsia="bg-BG" w:bidi="bg-BG"/>
        </w:rPr>
      </w:pPr>
      <w:r>
        <w:rPr>
          <w:noProof/>
          <w:color w:val="000000"/>
          <w:u w:color="000000"/>
          <w:bdr w:val="nil"/>
          <w:lang w:eastAsia="bg-BG" w:bidi="bg-BG"/>
        </w:rPr>
        <w:t>•</w:t>
      </w:r>
      <w:r>
        <w:rPr>
          <w:noProof/>
          <w:color w:val="000000"/>
          <w:u w:color="000000"/>
          <w:bdr w:val="nil"/>
          <w:lang w:eastAsia="bg-BG" w:bidi="bg-BG"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lang w:eastAsia="bg-BG" w:bidi="bg-BG"/>
        </w:rPr>
      </w:pPr>
      <w:r>
        <w:rPr>
          <w:noProof/>
          <w:color w:val="000000"/>
          <w:lang w:eastAsia="bg-BG" w:bidi="bg-BG"/>
        </w:rPr>
        <w:t>Комисията включи в преговорния процес съвместното предприятие SESAR и управителния орган на SESAR по внедряването, които одобриха резултатите от преговорите. Тези субекти представляват широка платформа от заинтересовани страни в областта на въздухоплаването, които потенциално ще имат полза от изменения МзС. Преди парафирането на проектотекстовете Комисията проведе и консултации с държавите членки посредством Специалния комитет, създаден от Съвета за целите на МзС.</w:t>
      </w:r>
    </w:p>
    <w:p>
      <w:pPr>
        <w:pStyle w:val="ManualHeading2"/>
        <w:rPr>
          <w:noProof/>
          <w:color w:val="000000"/>
          <w:u w:color="000000"/>
          <w:bdr w:val="nil"/>
          <w:lang w:eastAsia="bg-BG" w:bidi="bg-BG"/>
        </w:rPr>
      </w:pPr>
      <w:r>
        <w:rPr>
          <w:noProof/>
          <w:color w:val="000000"/>
          <w:u w:color="000000"/>
          <w:bdr w:val="nil"/>
          <w:lang w:eastAsia="bg-BG" w:bidi="bg-BG"/>
        </w:rPr>
        <w:t>•</w:t>
      </w:r>
      <w:r>
        <w:rPr>
          <w:noProof/>
          <w:color w:val="000000"/>
          <w:u w:color="000000"/>
          <w:bdr w:val="nil"/>
          <w:lang w:eastAsia="bg-BG" w:bidi="bg-BG"/>
        </w:rPr>
        <w:tab/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lang w:eastAsia="bg-BG" w:bidi="bg-BG"/>
        </w:rPr>
      </w:pPr>
      <w:r>
        <w:rPr>
          <w:noProof/>
          <w:lang w:eastAsia="bg-BG" w:bidi="bg-BG"/>
        </w:rPr>
        <w:t>Техническата експертна помощ по време на преговорите беше осигурена от съвместното предприятие SESAR, управителния орган на SESAR по внедряването и от Евроконтрол. Правната експертна помощ беше осигурена от правната служба на Комисията. Външна експертна помощ не беше необходима.</w:t>
      </w:r>
    </w:p>
    <w:p>
      <w:pPr>
        <w:pStyle w:val="ManualHeading2"/>
        <w:rPr>
          <w:noProof/>
          <w:color w:val="000000"/>
          <w:u w:color="000000"/>
          <w:bdr w:val="nil"/>
          <w:lang w:eastAsia="bg-BG" w:bidi="bg-BG"/>
        </w:rPr>
      </w:pPr>
      <w:r>
        <w:rPr>
          <w:noProof/>
          <w:color w:val="000000"/>
          <w:u w:color="000000"/>
          <w:bdr w:val="nil"/>
          <w:lang w:eastAsia="bg-BG" w:bidi="bg-BG"/>
        </w:rPr>
        <w:t>•</w:t>
      </w:r>
      <w:r>
        <w:rPr>
          <w:noProof/>
          <w:color w:val="000000"/>
          <w:u w:color="000000"/>
          <w:bdr w:val="nil"/>
          <w:lang w:eastAsia="bg-BG" w:bidi="bg-BG"/>
        </w:rPr>
        <w:tab/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lang w:eastAsia="bg-BG" w:bidi="bg-BG"/>
        </w:rPr>
      </w:pPr>
      <w:r>
        <w:rPr>
          <w:noProof/>
          <w:lang w:eastAsia="bg-BG" w:bidi="bg-BG"/>
        </w:rPr>
        <w:t>Предложението се основава изцяло на същите цели и принципи, които са залегнали в съществуващия МзС. Разширяването на обхвата на сътрудничеството между Съюза и САЩ, за да обхване всички фази на модернизацията на УВД, включително внедряването, представлява естествено развитие на успешно извършената работа в рамките на настоящия МзС. Инициативата няма за цел да създава нови програми и механизми за финансиране, така че не е извършена оценка на въздействието, както е посочено в пътната карта.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lang w:eastAsia="bg-BG" w:bidi="bg-BG"/>
        </w:rPr>
      </w:pPr>
      <w:r>
        <w:rPr>
          <w:noProof/>
          <w:lang w:eastAsia="bg-BG" w:bidi="bg-BG"/>
        </w:rPr>
        <w:t>Както се посочва в предложението на Комисията за започване на преговори за изменение на МзС, най-добрият вариант беше да се измени обхватът на съществуващия МзС така, че да включи  в рамките на политиката за Единно европейско небе всички фази от модернизацията на УВД, в т.ч. внедряването, като същевременно обхватът на сътрудничеството по аспекти на гражданското въздухоплаване, различни от УВД, се ограничи до научноизследователската и развойната дейност. Предимството на този подход е, че МзС ще продължи да насърчава сътрудничеството в областта на научноизследователската и развойната дейност по аспекти на гражданското въздухоплаване, различни от УВД, като същевременно запази вече договорената обвързваща рамка за сътрудничество със САЩ.</w:t>
      </w:r>
    </w:p>
    <w:p>
      <w:pPr>
        <w:pStyle w:val="ManualHeading1"/>
        <w:rPr>
          <w:noProof/>
          <w:lang w:eastAsia="bg-BG" w:bidi="bg-BG"/>
        </w:rPr>
      </w:pPr>
      <w:r>
        <w:rPr>
          <w:noProof/>
          <w:lang w:eastAsia="bg-BG" w:bidi="bg-BG"/>
        </w:rPr>
        <w:lastRenderedPageBreak/>
        <w:t>•</w:t>
      </w:r>
      <w:r>
        <w:rPr>
          <w:noProof/>
          <w:lang w:eastAsia="bg-BG" w:bidi="bg-BG"/>
        </w:rPr>
        <w:tab/>
        <w:t>4.</w:t>
      </w:r>
      <w:r>
        <w:rPr>
          <w:noProof/>
          <w:lang w:eastAsia="bg-BG" w:bidi="bg-BG"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lang w:eastAsia="bg-BG" w:bidi="bg-BG"/>
        </w:rPr>
      </w:pPr>
      <w:r>
        <w:rPr>
          <w:noProof/>
          <w:lang w:eastAsia="bg-BG" w:bidi="bg-BG"/>
        </w:rPr>
        <w:t>Предложението няма никакво допълнително отражение върху бюджета. Дейностите, които ще се извършват по изменения МзС, ще се провеждат съгласно съществуващите инструменти и съответните финансови пакети и работни програми като многогодишната работна програма SESAR 2020 на съвместното предприятие SESAR и рамковото споразумение за партньорство с управителния орган на SESAR по внедряването.</w:t>
      </w:r>
    </w:p>
    <w:p>
      <w:pPr>
        <w:pStyle w:val="ManualHeading1"/>
        <w:rPr>
          <w:noProof/>
          <w:lang w:eastAsia="bg-BG" w:bidi="bg-BG"/>
        </w:rPr>
      </w:pPr>
      <w:r>
        <w:rPr>
          <w:noProof/>
          <w:lang w:eastAsia="bg-BG" w:bidi="bg-BG"/>
        </w:rPr>
        <w:t>5.</w:t>
      </w:r>
      <w:r>
        <w:rPr>
          <w:noProof/>
          <w:lang w:eastAsia="bg-BG" w:bidi="bg-BG"/>
        </w:rPr>
        <w:tab/>
        <w:t>ДРУГИ ЕЛЕМЕНТИ</w:t>
      </w:r>
    </w:p>
    <w:p>
      <w:pPr>
        <w:pStyle w:val="ManualHeading2"/>
        <w:rPr>
          <w:noProof/>
          <w:color w:val="000000"/>
          <w:u w:color="000000"/>
          <w:bdr w:val="nil"/>
          <w:lang w:eastAsia="bg-BG" w:bidi="bg-BG"/>
        </w:rPr>
      </w:pPr>
      <w:r>
        <w:rPr>
          <w:noProof/>
          <w:color w:val="000000"/>
          <w:u w:color="000000"/>
          <w:bdr w:val="nil"/>
          <w:lang w:eastAsia="bg-BG" w:bidi="bg-BG"/>
        </w:rPr>
        <w:t>•</w:t>
      </w:r>
      <w:r>
        <w:rPr>
          <w:noProof/>
          <w:color w:val="000000"/>
          <w:u w:color="000000"/>
          <w:bdr w:val="nil"/>
          <w:lang w:eastAsia="bg-BG" w:bidi="bg-BG"/>
        </w:rPr>
        <w:tab/>
        <w:t>Планове за изпълнение и механизми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lang w:eastAsia="bg-BG" w:bidi="bg-BG"/>
        </w:rPr>
      </w:pPr>
      <w:r>
        <w:rPr>
          <w:noProof/>
          <w:lang w:eastAsia="bg-BG" w:bidi="bg-BG"/>
        </w:rPr>
        <w:t>Научноизследователската и развойната дейност и дейностите по утвърждаване във връзка с МзС ще продължат да се планират и наблюдават от съвместното предприятие SESAR. Дейностите по внедряване ще се планират и наблюдават от управителния орган на SESAR по внедряването съгласно конкретните споразумения за отпускане на безвъзмездни средства, подписани с Комисията. Комисията ще наблюдава и следи общия напредък на изпълнението на МзС посредством установените механизми за докладване по двата субекта в съответствие с основополагащите правни и договорни рамки и тези за управлението на МзС.</w:t>
      </w:r>
    </w:p>
    <w:p>
      <w:pPr>
        <w:pStyle w:val="ManualHeading2"/>
        <w:rPr>
          <w:noProof/>
          <w:color w:val="000000"/>
          <w:u w:color="000000"/>
          <w:bdr w:val="nil"/>
          <w:lang w:eastAsia="bg-BG" w:bidi="bg-BG"/>
        </w:rPr>
      </w:pPr>
      <w:r>
        <w:rPr>
          <w:noProof/>
          <w:color w:val="000000"/>
          <w:u w:color="000000"/>
          <w:bdr w:val="nil"/>
          <w:lang w:eastAsia="bg-BG" w:bidi="bg-BG"/>
        </w:rPr>
        <w:t>•</w:t>
      </w:r>
      <w:r>
        <w:rPr>
          <w:noProof/>
          <w:color w:val="000000"/>
          <w:u w:color="000000"/>
          <w:bdr w:val="nil"/>
          <w:lang w:eastAsia="bg-BG" w:bidi="bg-BG"/>
        </w:rPr>
        <w:tab/>
        <w:t>Подробно разяснение на отделните разпоредби на предложението</w:t>
      </w:r>
    </w:p>
    <w:p>
      <w:pPr>
        <w:rPr>
          <w:noProof/>
          <w:lang w:eastAsia="bg-BG" w:bidi="bg-BG"/>
        </w:rPr>
      </w:pPr>
      <w:r>
        <w:rPr>
          <w:noProof/>
          <w:lang w:eastAsia="bg-BG" w:bidi="bg-BG"/>
        </w:rPr>
        <w:t>Предложеното решение има за цел да разреши влизането в сила на изменение 1 на МзС, подписано от представители на Съюза и Съединените американски щати въз основа на съответното решение на Съвета. Изменението включва преработения основен текст на МзС и преработеното приложение 1 за модернизацията на УВД и за глобалната оперативна съвместимост, което включва:</w:t>
      </w:r>
    </w:p>
    <w:p>
      <w:pPr>
        <w:pStyle w:val="Tiret0"/>
        <w:numPr>
          <w:ilvl w:val="0"/>
          <w:numId w:val="10"/>
        </w:numPr>
        <w:rPr>
          <w:noProof/>
          <w:lang w:eastAsia="bg-BG" w:bidi="bg-BG"/>
        </w:rPr>
      </w:pPr>
      <w:r>
        <w:rPr>
          <w:noProof/>
          <w:lang w:eastAsia="bg-BG" w:bidi="bg-BG"/>
        </w:rPr>
        <w:t>допълнение 1 „Сътрудничество SESAR — NextGen за научноизследователска и развойна дейност, утвърждаване и глобална оперативна съвместимост“, което включва и пет приложения:</w:t>
      </w:r>
    </w:p>
    <w:p>
      <w:pPr>
        <w:pStyle w:val="Point1number"/>
        <w:numPr>
          <w:ilvl w:val="2"/>
          <w:numId w:val="11"/>
        </w:numPr>
        <w:rPr>
          <w:noProof/>
          <w:lang w:eastAsia="bg-BG" w:bidi="bg-BG"/>
        </w:rPr>
      </w:pPr>
      <w:r>
        <w:rPr>
          <w:noProof/>
          <w:lang w:eastAsia="bg-BG" w:bidi="bg-BG"/>
        </w:rPr>
        <w:t>„Сътрудничество SESAR — NextGen по трансверсалните дейности за постигане на глобална оперативна съвместимост“;</w:t>
      </w:r>
    </w:p>
    <w:p>
      <w:pPr>
        <w:pStyle w:val="Point1number"/>
        <w:rPr>
          <w:noProof/>
          <w:lang w:eastAsia="bg-BG" w:bidi="bg-BG"/>
        </w:rPr>
      </w:pPr>
      <w:r>
        <w:rPr>
          <w:noProof/>
          <w:lang w:eastAsia="bg-BG" w:bidi="bg-BG"/>
        </w:rPr>
        <w:t>„Сътрудничество SESAR — NextGen по управлението на информацията за постигане на глобална оперативна съвместимост“;</w:t>
      </w:r>
    </w:p>
    <w:p>
      <w:pPr>
        <w:pStyle w:val="Point1number"/>
        <w:rPr>
          <w:noProof/>
          <w:lang w:eastAsia="bg-BG" w:bidi="bg-BG"/>
        </w:rPr>
      </w:pPr>
      <w:r>
        <w:rPr>
          <w:noProof/>
          <w:lang w:eastAsia="bg-BG" w:bidi="bg-BG"/>
        </w:rPr>
        <w:t>„Сътрудничество SESAR — NextGen по управлението на траекториите на полетите за постигане на глобална оперативна съвместимост“;</w:t>
      </w:r>
    </w:p>
    <w:p>
      <w:pPr>
        <w:pStyle w:val="Point1number"/>
        <w:rPr>
          <w:noProof/>
          <w:lang w:eastAsia="bg-BG" w:bidi="bg-BG"/>
        </w:rPr>
      </w:pPr>
      <w:r>
        <w:rPr>
          <w:noProof/>
          <w:lang w:eastAsia="bg-BG" w:bidi="bg-BG"/>
        </w:rPr>
        <w:t>„Сътрудничество SESAR — NextGen по оперативната съвместимост на комуникационното, навигационното и обзорното (CNS) обслужване и по летателната оперативна съвместимост за постигане на глобална оперативна съвместимост“;</w:t>
      </w:r>
    </w:p>
    <w:p>
      <w:pPr>
        <w:pStyle w:val="Point1number"/>
        <w:rPr>
          <w:noProof/>
          <w:lang w:eastAsia="bg-BG" w:bidi="bg-BG"/>
        </w:rPr>
      </w:pPr>
      <w:r>
        <w:rPr>
          <w:noProof/>
          <w:lang w:eastAsia="bg-BG" w:bidi="bg-BG"/>
        </w:rPr>
        <w:t>„Сътрудничество SESAR — NextGen по проекти за взаимодействие за постигане на глобална оперативна съвместимост“;</w:t>
      </w:r>
    </w:p>
    <w:p>
      <w:pPr>
        <w:pStyle w:val="Tiret0"/>
        <w:rPr>
          <w:noProof/>
          <w:lang w:eastAsia="bg-BG" w:bidi="bg-BG"/>
        </w:rPr>
      </w:pPr>
      <w:r>
        <w:rPr>
          <w:noProof/>
          <w:lang w:eastAsia="bg-BG" w:bidi="bg-BG"/>
        </w:rPr>
        <w:t>допълнение 2 „Взаимодействие за измерване на резултатите от управлението на въздушното движение“;</w:t>
      </w:r>
    </w:p>
    <w:p>
      <w:pPr>
        <w:pStyle w:val="Tiret0"/>
        <w:rPr>
          <w:noProof/>
          <w:lang w:eastAsia="bg-BG" w:bidi="bg-BG"/>
        </w:rPr>
      </w:pPr>
      <w:r>
        <w:rPr>
          <w:noProof/>
          <w:lang w:eastAsia="bg-BG" w:bidi="bg-BG"/>
        </w:rPr>
        <w:t>допълнение 3 „Сътрудничество SESAR — NextGen по дейности за внедряване и постигане на глобална оперативна съвместимост“.</w:t>
      </w:r>
    </w:p>
    <w:p>
      <w:pPr>
        <w:rPr>
          <w:noProof/>
          <w:lang w:eastAsia="bg-BG" w:bidi="bg-BG"/>
        </w:rPr>
      </w:pPr>
      <w:r>
        <w:rPr>
          <w:noProof/>
          <w:lang w:eastAsia="bg-BG" w:bidi="bg-BG"/>
        </w:rPr>
        <w:lastRenderedPageBreak/>
        <w:t>Приложение 1 и допълнение 3 са напълно нови документи. Приложение 1 разглежда разширяването на обхвата на МзС, за да обхване цялото внедряване на УВД, и изменя механизмите за управление, а в допълнение 3 са описани механизмите за сътрудничество в областта на внедряването на УВД.</w:t>
      </w:r>
    </w:p>
    <w:p>
      <w:pPr>
        <w:rPr>
          <w:noProof/>
          <w:lang w:eastAsia="bg-BG" w:bidi="bg-BG"/>
        </w:rPr>
      </w:pPr>
      <w:r>
        <w:rPr>
          <w:noProof/>
          <w:lang w:eastAsia="bg-BG" w:bidi="bg-BG"/>
        </w:rPr>
        <w:t xml:space="preserve">Настоящото предложение определя също така ролята на Европейската комисия в управлението на МзС. В МзС и във всички свързани мерки за изпълнение (приложения и допълнения) Европейският съюз се представлява от Европейската комисия. </w:t>
      </w:r>
    </w:p>
    <w:p>
      <w:pPr>
        <w:rPr>
          <w:noProof/>
          <w:lang w:eastAsia="bg-BG" w:bidi="bg-BG"/>
        </w:rPr>
      </w:pPr>
      <w:r>
        <w:rPr>
          <w:noProof/>
          <w:lang w:eastAsia="bg-BG" w:bidi="bg-BG"/>
        </w:rPr>
        <w:t>Предложеното изменение не променя първоначалната роля на Специалния комитет в управлението на МзС. Предложеното решение за сключване на изменение 1 на МзС определя задачите, които изискват предварителни консултации със Специалния комитет, както и задачите — главно административни и по прилагането на МзС — които Комисията може да изпълни на своя отговорност.</w:t>
      </w:r>
    </w:p>
    <w:p>
      <w:pPr>
        <w:rPr>
          <w:noProof/>
          <w:lang w:eastAsia="bg-BG" w:bidi="bg-BG"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2018/0009 (NLE)</w:t>
      </w:r>
    </w:p>
    <w:p>
      <w:pPr>
        <w:pStyle w:val="Statut"/>
        <w:rPr>
          <w:noProof/>
          <w:lang w:eastAsia="bg-BG" w:bidi="bg-BG"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  <w:lang w:eastAsia="bg-BG" w:bidi="bg-BG"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  <w:lang w:eastAsia="bg-BG" w:bidi="bg-BG"/>
        </w:rPr>
      </w:pPr>
      <w:r>
        <w:rPr>
          <w:noProof/>
        </w:rPr>
        <w:t>за сключване от името на Европейския съюз на изменение 1 на Меморандум за сътрудничество NAT-I-9406 между Съединените американски щати и Европейския съюз</w:t>
      </w:r>
    </w:p>
    <w:p>
      <w:pPr>
        <w:pStyle w:val="Institutionquiagit"/>
        <w:rPr>
          <w:noProof/>
          <w:lang w:eastAsia="bg-BG" w:bidi="bg-BG"/>
        </w:rPr>
      </w:pPr>
      <w:r>
        <w:rPr>
          <w:noProof/>
          <w:lang w:eastAsia="bg-BG" w:bidi="bg-BG"/>
        </w:rPr>
        <w:t>СЪВЕТЪТ НА ЕВРОПЕЙСКИЯ СЪЮЗ,</w:t>
      </w:r>
    </w:p>
    <w:p>
      <w:pPr>
        <w:rPr>
          <w:noProof/>
          <w:lang w:eastAsia="bg-BG" w:bidi="bg-BG"/>
        </w:rPr>
      </w:pPr>
      <w:r>
        <w:rPr>
          <w:noProof/>
          <w:lang w:eastAsia="bg-BG" w:bidi="bg-BG"/>
        </w:rPr>
        <w:t>като взе предвид Договора за функционирането на Европейския съюз, и по-специално член 100, параграф 2 във връзка с член 218, параграф 6, буква а) от него,</w:t>
      </w:r>
    </w:p>
    <w:p>
      <w:pPr>
        <w:rPr>
          <w:noProof/>
          <w:lang w:eastAsia="bg-BG" w:bidi="bg-BG"/>
        </w:rPr>
      </w:pPr>
      <w:r>
        <w:rPr>
          <w:noProof/>
          <w:lang w:eastAsia="bg-BG" w:bidi="bg-BG"/>
        </w:rPr>
        <w:t>като взе предвид предложението на Европейската комисия,</w:t>
      </w:r>
    </w:p>
    <w:p>
      <w:pPr>
        <w:rPr>
          <w:noProof/>
          <w:lang w:eastAsia="bg-BG" w:bidi="bg-BG"/>
        </w:rPr>
      </w:pPr>
      <w:r>
        <w:rPr>
          <w:noProof/>
          <w:lang w:eastAsia="bg-BG" w:bidi="bg-BG"/>
        </w:rPr>
        <w:t>като взе предвид одобрението на Европейския парламент,</w:t>
      </w:r>
    </w:p>
    <w:p>
      <w:pPr>
        <w:rPr>
          <w:noProof/>
          <w:lang w:eastAsia="bg-BG" w:bidi="bg-BG"/>
        </w:rPr>
      </w:pPr>
      <w:r>
        <w:rPr>
          <w:noProof/>
          <w:lang w:eastAsia="bg-BG" w:bidi="bg-BG"/>
        </w:rPr>
        <w:t>като има предвид, че:</w:t>
      </w:r>
    </w:p>
    <w:p>
      <w:pPr>
        <w:pStyle w:val="ManualConsidrant"/>
        <w:rPr>
          <w:noProof/>
          <w:lang w:eastAsia="bg-BG" w:bidi="bg-BG"/>
        </w:rPr>
      </w:pPr>
      <w:r>
        <w:t>(1)</w:t>
      </w:r>
      <w:r>
        <w:tab/>
      </w:r>
      <w:r>
        <w:rPr>
          <w:noProof/>
          <w:lang w:eastAsia="bg-BG" w:bidi="bg-BG"/>
        </w:rPr>
        <w:t>В съответствие с Решение [XXX] на Съвета от [XXXXX] изменение 1 на Меморандум за сътрудничество NAT-I-9406 между Съединените американски щати и Европейския съюз беше подписано на 13 декември 2017 г., при условие на сключването му на по-късна дата.</w:t>
      </w:r>
    </w:p>
    <w:p>
      <w:pPr>
        <w:pStyle w:val="ManualConsidrant"/>
        <w:rPr>
          <w:noProof/>
          <w:lang w:eastAsia="bg-BG" w:bidi="bg-BG"/>
        </w:rPr>
      </w:pPr>
      <w:r>
        <w:t>(2)</w:t>
      </w:r>
      <w:r>
        <w:tab/>
      </w:r>
      <w:r>
        <w:rPr>
          <w:noProof/>
          <w:lang w:eastAsia="bg-BG" w:bidi="bg-BG"/>
        </w:rPr>
        <w:t>Изменение 1 на Меморандума за сътрудничество разширява обхвата на сътрудничеството между страните, за да обхване всички фази на модернизацията на управлението на въздушното движение, включително дейностите по внедряване, с цел да се осигури глобална оперативна съвместимост, и изменя структурата и управлението на Меморандума, така че да се оптимизира изпълнението и управлението на извършваните по него дейности за сътрудничество.</w:t>
      </w:r>
    </w:p>
    <w:p>
      <w:pPr>
        <w:pStyle w:val="ManualConsidrant"/>
        <w:rPr>
          <w:noProof/>
          <w:lang w:eastAsia="bg-BG" w:bidi="bg-BG"/>
        </w:rPr>
      </w:pPr>
      <w:r>
        <w:t>(3)</w:t>
      </w:r>
      <w:r>
        <w:tab/>
      </w:r>
      <w:r>
        <w:rPr>
          <w:noProof/>
          <w:lang w:eastAsia="bg-BG" w:bidi="bg-BG"/>
        </w:rPr>
        <w:t>Необходимо е да се определят процедурни механизми за участието на Съюза в изпълнителното ръководство на Меморандума за сътрудничество,</w:t>
      </w:r>
    </w:p>
    <w:p>
      <w:pPr>
        <w:pStyle w:val="ManualConsidrant"/>
        <w:rPr>
          <w:noProof/>
          <w:lang w:eastAsia="bg-BG" w:bidi="bg-BG"/>
        </w:rPr>
      </w:pPr>
      <w:r>
        <w:t>(4)</w:t>
      </w:r>
      <w:r>
        <w:tab/>
      </w:r>
      <w:r>
        <w:rPr>
          <w:noProof/>
          <w:lang w:eastAsia="bg-BG" w:bidi="bg-BG"/>
        </w:rPr>
        <w:t>Поради това изменение 1 на Меморандума за сътрудничество следва да бъде одобрено от името на Съюза,</w:t>
      </w:r>
    </w:p>
    <w:p>
      <w:pPr>
        <w:pStyle w:val="Formuledadoption"/>
        <w:rPr>
          <w:noProof/>
          <w:lang w:eastAsia="bg-BG" w:bidi="bg-BG"/>
        </w:rPr>
      </w:pPr>
      <w:r>
        <w:rPr>
          <w:noProof/>
          <w:lang w:eastAsia="bg-BG" w:bidi="bg-BG"/>
        </w:rPr>
        <w:t xml:space="preserve">ПРИЕ НАСТОЯЩОТО РЕШЕНИЕ: </w:t>
      </w:r>
    </w:p>
    <w:p>
      <w:pPr>
        <w:pStyle w:val="Titrearticle"/>
        <w:rPr>
          <w:noProof/>
          <w:lang w:eastAsia="bg-BG" w:bidi="bg-BG"/>
        </w:rPr>
      </w:pPr>
      <w:r>
        <w:rPr>
          <w:noProof/>
          <w:lang w:eastAsia="bg-BG" w:bidi="bg-BG"/>
        </w:rPr>
        <w:t>Член 1</w:t>
      </w:r>
    </w:p>
    <w:p>
      <w:pPr>
        <w:rPr>
          <w:rFonts w:eastAsia="Times New Roman"/>
          <w:noProof/>
          <w:szCs w:val="24"/>
          <w:lang w:eastAsia="bg-BG" w:bidi="bg-BG"/>
        </w:rPr>
      </w:pPr>
      <w:r>
        <w:rPr>
          <w:noProof/>
          <w:lang w:eastAsia="bg-BG" w:bidi="bg-BG"/>
        </w:rPr>
        <w:t>С настоящото от името на Съюза се одобрява изменение 1 на Меморандум за сътрудничество NAT-I-9406A между Съединените американски щати и Европейския съюз.</w:t>
      </w:r>
    </w:p>
    <w:p>
      <w:pPr>
        <w:rPr>
          <w:noProof/>
          <w:lang w:eastAsia="bg-BG" w:bidi="bg-BG"/>
        </w:rPr>
      </w:pPr>
      <w:r>
        <w:rPr>
          <w:noProof/>
          <w:lang w:eastAsia="bg-BG" w:bidi="bg-BG"/>
        </w:rPr>
        <w:t>Изменение 1 на Меморандума за сътрудничество е приложено към настоящото решение.</w:t>
      </w:r>
    </w:p>
    <w:p>
      <w:pPr>
        <w:pStyle w:val="Titrearticle"/>
        <w:rPr>
          <w:noProof/>
          <w:lang w:eastAsia="bg-BG" w:bidi="bg-BG"/>
        </w:rPr>
      </w:pPr>
      <w:r>
        <w:rPr>
          <w:noProof/>
          <w:lang w:eastAsia="bg-BG" w:bidi="bg-BG"/>
        </w:rPr>
        <w:t>Член 2</w:t>
      </w:r>
    </w:p>
    <w:p>
      <w:pPr>
        <w:rPr>
          <w:noProof/>
          <w:lang w:eastAsia="bg-BG" w:bidi="bg-BG"/>
        </w:rPr>
      </w:pPr>
      <w:r>
        <w:rPr>
          <w:noProof/>
          <w:lang w:eastAsia="bg-BG" w:bidi="bg-BG"/>
        </w:rPr>
        <w:t xml:space="preserve">Председателят на Съвета посочва лицето, упълномощено да пристъпи, от името на Съюза, към размяната на предвидените в член II.Б от изменение 1 на Меморандума за </w:t>
      </w:r>
      <w:r>
        <w:rPr>
          <w:noProof/>
          <w:lang w:eastAsia="bg-BG" w:bidi="bg-BG"/>
        </w:rPr>
        <w:lastRenderedPageBreak/>
        <w:t>сътрудничество дипломатически ноти, за да изрази съгласието на Съюза да бъде обвързан с изменение 1 на Меморандума за сътрудничество.</w:t>
      </w:r>
    </w:p>
    <w:p>
      <w:pPr>
        <w:pStyle w:val="Titrearticle"/>
        <w:rPr>
          <w:noProof/>
          <w:lang w:eastAsia="bg-BG" w:bidi="bg-BG"/>
        </w:rPr>
      </w:pPr>
      <w:r>
        <w:rPr>
          <w:noProof/>
          <w:lang w:eastAsia="bg-BG" w:bidi="bg-BG"/>
        </w:rPr>
        <w:t>Член 3</w:t>
      </w:r>
    </w:p>
    <w:p>
      <w:pPr>
        <w:rPr>
          <w:noProof/>
          <w:lang w:eastAsia="bg-BG" w:bidi="bg-BG"/>
        </w:rPr>
      </w:pPr>
      <w:r>
        <w:rPr>
          <w:noProof/>
          <w:lang w:eastAsia="bg-BG" w:bidi="bg-BG"/>
        </w:rPr>
        <w:t>След консултация със Специалния комитет, назначен от Съвета, Комисията определя позицията, която да заеме Съюзът в определеното съгласно член III от Меморандума за сътрудничество изпълнително управление на посочения меморандум и приложенията към него, по отношение на следното:</w:t>
      </w:r>
    </w:p>
    <w:p>
      <w:pPr>
        <w:pStyle w:val="Point0number"/>
        <w:numPr>
          <w:ilvl w:val="0"/>
          <w:numId w:val="9"/>
        </w:numPr>
        <w:rPr>
          <w:noProof/>
          <w:lang w:eastAsia="bg-BG" w:bidi="bg-BG"/>
        </w:rPr>
      </w:pPr>
      <w:r>
        <w:rPr>
          <w:noProof/>
          <w:lang w:eastAsia="bg-BG" w:bidi="bg-BG"/>
        </w:rPr>
        <w:t>приемането на допълнителни приложения към Меморандума за сътрудничество и допълнения към тях;</w:t>
      </w:r>
    </w:p>
    <w:p>
      <w:pPr>
        <w:pStyle w:val="Point0number"/>
        <w:rPr>
          <w:noProof/>
          <w:lang w:eastAsia="bg-BG" w:bidi="bg-BG"/>
        </w:rPr>
      </w:pPr>
      <w:r>
        <w:rPr>
          <w:noProof/>
          <w:lang w:eastAsia="bg-BG" w:bidi="bg-BG"/>
        </w:rPr>
        <w:t>приемането на изменения на приложенията към Меморандума за сътрудничество и допълненията към тях;</w:t>
      </w:r>
    </w:p>
    <w:p>
      <w:pPr>
        <w:pStyle w:val="Titrearticle"/>
        <w:rPr>
          <w:noProof/>
          <w:lang w:eastAsia="bg-BG" w:bidi="bg-BG"/>
        </w:rPr>
      </w:pPr>
      <w:r>
        <w:rPr>
          <w:noProof/>
          <w:lang w:eastAsia="bg-BG" w:bidi="bg-BG"/>
        </w:rPr>
        <w:t>Член 4</w:t>
      </w:r>
    </w:p>
    <w:p>
      <w:pPr>
        <w:rPr>
          <w:noProof/>
          <w:lang w:eastAsia="bg-BG" w:bidi="bg-BG"/>
        </w:rPr>
      </w:pPr>
      <w:r>
        <w:rPr>
          <w:noProof/>
          <w:lang w:eastAsia="bg-BG" w:bidi="bg-BG"/>
        </w:rPr>
        <w:t>Без да се засяга член 3, Комисията може да предприема всякакви подходящи действия съгласно членове III, IV, V, VII и VIII от Меморандума за сътрудничество.</w:t>
      </w:r>
    </w:p>
    <w:p>
      <w:pPr>
        <w:pStyle w:val="Titrearticle"/>
        <w:rPr>
          <w:noProof/>
          <w:lang w:eastAsia="bg-BG" w:bidi="bg-BG"/>
        </w:rPr>
      </w:pPr>
      <w:r>
        <w:rPr>
          <w:noProof/>
          <w:lang w:eastAsia="bg-BG" w:bidi="bg-BG"/>
        </w:rPr>
        <w:t>Член 5</w:t>
      </w:r>
    </w:p>
    <w:p>
      <w:pPr>
        <w:keepLines/>
        <w:rPr>
          <w:noProof/>
          <w:lang w:eastAsia="bg-BG" w:bidi="bg-BG"/>
        </w:rPr>
      </w:pPr>
      <w:r>
        <w:rPr>
          <w:noProof/>
          <w:lang w:eastAsia="bg-BG" w:bidi="bg-BG"/>
        </w:rPr>
        <w:t>Комисията представлява Съюза в консултациите съгласно член XI от Меморандума за сътрудничество.</w:t>
      </w:r>
    </w:p>
    <w:p>
      <w:pPr>
        <w:pStyle w:val="Titrearticle"/>
        <w:rPr>
          <w:noProof/>
          <w:lang w:eastAsia="bg-BG" w:bidi="bg-BG"/>
        </w:rPr>
      </w:pPr>
      <w:r>
        <w:rPr>
          <w:noProof/>
          <w:lang w:eastAsia="bg-BG" w:bidi="bg-BG"/>
        </w:rPr>
        <w:t>Член 6</w:t>
      </w:r>
    </w:p>
    <w:p>
      <w:pPr>
        <w:keepNext/>
        <w:keepLines/>
        <w:rPr>
          <w:noProof/>
          <w:lang w:eastAsia="bg-BG" w:bidi="bg-BG"/>
        </w:rPr>
      </w:pPr>
      <w:r>
        <w:rPr>
          <w:noProof/>
          <w:lang w:eastAsia="bg-BG" w:bidi="bg-BG"/>
        </w:rPr>
        <w:t>Комисията редовно информира Съвета относно изпълнението на Меморандума за сътрудничество.</w:t>
      </w:r>
    </w:p>
    <w:p>
      <w:pPr>
        <w:pStyle w:val="Titrearticle"/>
        <w:rPr>
          <w:noProof/>
          <w:lang w:eastAsia="bg-BG" w:bidi="bg-BG"/>
        </w:rPr>
      </w:pPr>
      <w:r>
        <w:rPr>
          <w:noProof/>
          <w:lang w:eastAsia="bg-BG" w:bidi="bg-BG"/>
        </w:rPr>
        <w:t>Член 7</w:t>
      </w:r>
    </w:p>
    <w:p>
      <w:pPr>
        <w:keepLines/>
        <w:rPr>
          <w:noProof/>
          <w:lang w:eastAsia="bg-BG" w:bidi="bg-BG"/>
        </w:rPr>
      </w:pPr>
      <w:r>
        <w:rPr>
          <w:noProof/>
          <w:lang w:eastAsia="bg-BG" w:bidi="bg-BG"/>
        </w:rPr>
        <w:t>Настоящото решение влиза в сила в деня на приемането му.</w:t>
      </w:r>
    </w:p>
    <w:p>
      <w:pPr>
        <w:pStyle w:val="Fait"/>
        <w:rPr>
          <w:noProof/>
          <w:lang w:eastAsia="bg-BG" w:bidi="bg-BG"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  <w:lang w:eastAsia="bg-BG" w:bidi="bg-BG"/>
        </w:rPr>
      </w:pPr>
      <w:r>
        <w:rPr>
          <w:noProof/>
          <w:lang w:eastAsia="bg-BG" w:bidi="bg-BG"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  <w:lang w:eastAsia="bg-BG" w:bidi="bg-BG"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Регламенти (ЕО) № № 549, 550, 551 и 552 на Европейския парламент и на Съвета от 10.3.2004 г. (ОВ L 96, 31.3.2004 г.), стр. 1, 10, 20 и 26, изменени с Регламент (ЕО) № 1070/2009 на Европейския парламент и на Съвета от 21.10.2009 г. (ОВ L 300, 14.11.2009 г., стр. 34).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COM(2015) 598 от 7.12.2015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61063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D62EB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B305D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6D06A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ED8C55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A62B5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5C0E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D02D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</w:num>
  <w:num w:numId="13">
    <w:abstractNumId w:val="18"/>
  </w:num>
  <w:num w:numId="14">
    <w:abstractNumId w:val="12"/>
  </w:num>
  <w:num w:numId="15">
    <w:abstractNumId w:val="20"/>
  </w:num>
  <w:num w:numId="16">
    <w:abstractNumId w:val="11"/>
  </w:num>
  <w:num w:numId="17">
    <w:abstractNumId w:val="13"/>
  </w:num>
  <w:num w:numId="18">
    <w:abstractNumId w:val="9"/>
  </w:num>
  <w:num w:numId="19">
    <w:abstractNumId w:val="19"/>
  </w:num>
  <w:num w:numId="20">
    <w:abstractNumId w:val="8"/>
  </w:num>
  <w:num w:numId="21">
    <w:abstractNumId w:val="14"/>
  </w:num>
  <w:num w:numId="22">
    <w:abstractNumId w:val="16"/>
  </w:num>
  <w:num w:numId="23">
    <w:abstractNumId w:val="17"/>
  </w:num>
  <w:num w:numId="24">
    <w:abstractNumId w:val="10"/>
  </w:num>
  <w:num w:numId="25">
    <w:abstractNumId w:val="15"/>
  </w:num>
  <w:num w:numId="26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1-09 13:17:00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8DEEB50A-7D5E-440C-86A8-D65A80D5E3B2"/>
    <w:docVar w:name="LW_COVERPAGE_TYPE" w:val="1"/>
    <w:docVar w:name="LW_CROSSREFERENCE" w:val="&lt;UNUSED&gt;"/>
    <w:docVar w:name="LW_DocType" w:val="COM"/>
    <w:docVar w:name="LW_EMISSION" w:val="16.1.2018"/>
    <w:docVar w:name="LW_EMISSION_ISODATE" w:val="2018-01-16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09"/>
    <w:docVar w:name="LW_REF.II.NEW.CP_YEAR" w:val="2018"/>
    <w:docVar w:name="LW_REF.INST.NEW" w:val="COM"/>
    <w:docVar w:name="LW_REF.INST.NEW_ADOPTED" w:val="final"/>
    <w:docVar w:name="LW_REF.INST.NEW_TEXT" w:val="(2018) 2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9?\u1082?\u1083?\u1102?\u1095?\u1074?\u1072?\u1085?\u1077? \u1086?\u1090? \u1080?\u1084?\u1077?\u1090?\u1086? \u1085?\u1072? \u1045?\u1074?\u1088?\u1086?\u1087?\u1077?\u1081?\u1089?\u1082?\u1080?\u1103? \u1089?\u1098?\u1102?\u1079? \u1085?\u1072? \u1080?\u1079?\u1084?\u1077?\u1085?\u1077?\u1085?\u1080?\u1077? 1 \u1085?\u1072? \u1052?\u1077?\u1084?\u1086?\u1088?\u1072?\u1085?\u1076?\u1091?\u1084? \u1079?\u1072? \u1089?\u1098?\u1090?\u1088?\u1091?\u1076?\u1085?\u1080?\u1095?\u1077?\u1089?\u1090?\u1074?\u1086? NAT-I-9406 \u1084?\u1077?\u1078?\u1076?\u1091? \u1057?\u1098?\u1077?\u1076?\u1080?\u1085?\u1077?\u1085?\u1080?\u1090?\u1077? \u1072?\u1084?\u1077?\u1088?\u1080?\u1082?\u1072?\u1085?\u1089?\u1082?\u1080? \u1097?\u1072?\u1090?\u1080? \u1080? \u1045?\u1074?\u1088?\u1086?\u1087?\u1077?\u1081?\u1089?\u1082?\u1080?\u1103? \u1089?\u1098?\u1102?\u1079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">
    <w:name w:val="Ar"/>
    <w:basedOn w:val="Normal"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">
    <w:name w:val="Ar"/>
    <w:basedOn w:val="Normal"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8</Pages>
  <Words>2107</Words>
  <Characters>13066</Characters>
  <Application>Microsoft Office Word</Application>
  <DocSecurity>0</DocSecurity>
  <Lines>246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2017-10-05T12:22:00Z</cp:lastPrinted>
  <dcterms:created xsi:type="dcterms:W3CDTF">2018-01-05T09:17:00Z</dcterms:created>
  <dcterms:modified xsi:type="dcterms:W3CDTF">2018-01-09T12:17:00Z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WTemplateID">
    <vt:lpwstr>SJ-019</vt:lpwstr>
  </property>
  <property fmtid="{D5CDD505-2E9C-101B-9397-08002B2CF9AE}" pid="9" name="Level of sensitivity">
    <vt:lpwstr>Standard treatment</vt:lpwstr>
  </property>
  <property fmtid="{D5CDD505-2E9C-101B-9397-08002B2CF9AE}" pid="10" name="DQCStatus">
    <vt:lpwstr>Green (DQC version 03)</vt:lpwstr>
  </property>
</Properties>
</file>