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AE" w:rsidRDefault="003315F7" w:rsidP="003315F7">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F97B193-47A0-4D7B-B4B7-AAB382BEF8BC" style="width:450.25pt;height:392.25pt">
            <v:imagedata r:id="rId8" o:title=""/>
          </v:shape>
        </w:pict>
      </w:r>
    </w:p>
    <w:bookmarkEnd w:id="0"/>
    <w:p w:rsidR="001557AE" w:rsidRDefault="001557AE">
      <w:pPr>
        <w:rPr>
          <w:rFonts w:eastAsiaTheme="minorHAnsi"/>
          <w:noProof/>
        </w:rPr>
        <w:sectPr w:rsidR="001557AE" w:rsidSect="003315F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1557AE" w:rsidRDefault="003315F7">
      <w:pPr>
        <w:jc w:val="center"/>
        <w:rPr>
          <w:rFonts w:ascii="Times New Roman" w:eastAsiaTheme="minorHAnsi" w:hAnsi="Times New Roman" w:cs="Times New Roman"/>
          <w:b/>
          <w:noProof/>
          <w:sz w:val="24"/>
          <w:szCs w:val="24"/>
        </w:rPr>
      </w:pPr>
      <w:r>
        <w:rPr>
          <w:rFonts w:ascii="Times New Roman" w:eastAsiaTheme="minorHAnsi" w:hAnsi="Times New Roman"/>
          <w:b/>
          <w:noProof/>
          <w:sz w:val="24"/>
        </w:rPr>
        <w:lastRenderedPageBreak/>
        <w:t>ANNEXE I</w:t>
      </w:r>
    </w:p>
    <w:p w:rsidR="001557AE" w:rsidRDefault="003315F7">
      <w:pPr>
        <w:jc w:val="center"/>
        <w:rPr>
          <w:rFonts w:ascii="Times New Roman" w:eastAsiaTheme="minorHAnsi" w:hAnsi="Times New Roman" w:cs="Times New Roman"/>
          <w:b/>
          <w:noProof/>
          <w:sz w:val="24"/>
          <w:szCs w:val="24"/>
        </w:rPr>
      </w:pPr>
      <w:r>
        <w:rPr>
          <w:rFonts w:ascii="Times New Roman" w:eastAsiaTheme="minorHAnsi" w:hAnsi="Times New Roman"/>
          <w:b/>
          <w:noProof/>
          <w:sz w:val="24"/>
        </w:rPr>
        <w:t>Liste des futures mesures de l’UE destinées à mettre en œuvre la stratégie</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0"/>
        <w:gridCol w:w="2126"/>
      </w:tblGrid>
      <w:tr w:rsidR="001557AE">
        <w:trPr>
          <w:trHeight w:val="241"/>
        </w:trPr>
        <w:tc>
          <w:tcPr>
            <w:tcW w:w="7670" w:type="dxa"/>
            <w:shd w:val="clear" w:color="000000" w:fill="FFFFFF"/>
            <w:hideMark/>
          </w:tcPr>
          <w:p w:rsidR="001557AE" w:rsidRDefault="003315F7">
            <w:pPr>
              <w:spacing w:after="0" w:line="240" w:lineRule="auto"/>
              <w:jc w:val="left"/>
              <w:rPr>
                <w:rFonts w:ascii="Times New Roman" w:eastAsia="Times New Roman" w:hAnsi="Times New Roman" w:cs="Times New Roman"/>
                <w:b/>
                <w:bCs/>
                <w:noProof/>
                <w:color w:val="000000"/>
              </w:rPr>
            </w:pPr>
            <w:r>
              <w:rPr>
                <w:rFonts w:ascii="Times New Roman" w:hAnsi="Times New Roman"/>
                <w:b/>
                <w:noProof/>
                <w:color w:val="000000"/>
              </w:rPr>
              <w:t>Mesures</w:t>
            </w:r>
          </w:p>
        </w:tc>
        <w:tc>
          <w:tcPr>
            <w:tcW w:w="2126" w:type="dxa"/>
            <w:shd w:val="clear" w:color="000000" w:fill="F2F2F2"/>
          </w:tcPr>
          <w:p w:rsidR="001557AE" w:rsidRDefault="003315F7">
            <w:pPr>
              <w:spacing w:after="0" w:line="240" w:lineRule="auto"/>
              <w:jc w:val="left"/>
              <w:rPr>
                <w:rFonts w:ascii="Times New Roman" w:eastAsia="Times New Roman" w:hAnsi="Times New Roman" w:cs="Times New Roman"/>
                <w:b/>
                <w:bCs/>
                <w:noProof/>
                <w:color w:val="000000"/>
              </w:rPr>
            </w:pPr>
            <w:r>
              <w:rPr>
                <w:rFonts w:ascii="Times New Roman" w:hAnsi="Times New Roman"/>
                <w:b/>
                <w:noProof/>
                <w:color w:val="000000"/>
              </w:rPr>
              <w:t>Calendrier</w:t>
            </w:r>
          </w:p>
        </w:tc>
      </w:tr>
      <w:tr w:rsidR="001557AE">
        <w:trPr>
          <w:trHeight w:val="190"/>
        </w:trPr>
        <w:tc>
          <w:tcPr>
            <w:tcW w:w="9796" w:type="dxa"/>
            <w:gridSpan w:val="2"/>
            <w:shd w:val="clear" w:color="000000" w:fill="D9D9D9"/>
          </w:tcPr>
          <w:p w:rsidR="001557AE" w:rsidRDefault="003315F7">
            <w:pPr>
              <w:spacing w:after="0" w:line="240" w:lineRule="auto"/>
              <w:jc w:val="left"/>
              <w:rPr>
                <w:rFonts w:ascii="Times New Roman" w:eastAsia="Times New Roman" w:hAnsi="Times New Roman" w:cs="Times New Roman"/>
                <w:b/>
                <w:bCs/>
                <w:noProof/>
                <w:color w:val="000000"/>
              </w:rPr>
            </w:pPr>
            <w:r>
              <w:rPr>
                <w:rFonts w:ascii="Times New Roman" w:hAnsi="Times New Roman"/>
                <w:b/>
                <w:noProof/>
                <w:color w:val="000000"/>
              </w:rPr>
              <w:t xml:space="preserve">Améliorer les aspects économiques et la qualité </w:t>
            </w:r>
            <w:r>
              <w:rPr>
                <w:rFonts w:ascii="Times New Roman" w:hAnsi="Times New Roman"/>
                <w:b/>
                <w:noProof/>
                <w:color w:val="000000"/>
              </w:rPr>
              <w:t>du recyclage des matières plastiques</w:t>
            </w:r>
          </w:p>
        </w:tc>
      </w:tr>
      <w:tr w:rsidR="001557AE">
        <w:trPr>
          <w:trHeight w:val="1864"/>
        </w:trPr>
        <w:tc>
          <w:tcPr>
            <w:tcW w:w="7670" w:type="dxa"/>
            <w:shd w:val="clear" w:color="auto" w:fill="auto"/>
            <w:hideMark/>
          </w:tcPr>
          <w:p w:rsidR="001557AE" w:rsidRDefault="003315F7">
            <w:pPr>
              <w:spacing w:after="0" w:line="240" w:lineRule="auto"/>
              <w:jc w:val="left"/>
              <w:rPr>
                <w:rFonts w:ascii="Times New Roman" w:eastAsia="Times New Roman" w:hAnsi="Times New Roman" w:cs="Times New Roman"/>
                <w:b/>
                <w:iCs/>
                <w:noProof/>
                <w:color w:val="000000"/>
              </w:rPr>
            </w:pPr>
            <w:r>
              <w:rPr>
                <w:rFonts w:ascii="Times New Roman" w:hAnsi="Times New Roman"/>
                <w:b/>
                <w:noProof/>
                <w:color w:val="000000"/>
              </w:rPr>
              <w:t>Actions destinées à améliorer la conception des produits:</w:t>
            </w:r>
          </w:p>
          <w:p w:rsidR="001557AE" w:rsidRDefault="003315F7">
            <w:pPr>
              <w:pStyle w:val="ListParagraph"/>
              <w:numPr>
                <w:ilvl w:val="0"/>
                <w:numId w:val="11"/>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 xml:space="preserve">travaux préparatoires en vue de la future révision de la directive relative aux emballages et aux déchets d’emballage: la Commission entreprendra des travaux </w:t>
            </w:r>
            <w:r>
              <w:rPr>
                <w:rFonts w:ascii="Times New Roman" w:hAnsi="Times New Roman"/>
                <w:noProof/>
                <w:color w:val="000000"/>
              </w:rPr>
              <w:t>concernant de nouvelles règles harmonisées permettant de garantir que, d’ici 2030, tous les emballages plastiques mis sur le marché de l’UE pourront être réutilisés ou recyclés avec un bon rapport coût-efficacité</w:t>
            </w:r>
          </w:p>
          <w:p w:rsidR="001557AE" w:rsidRDefault="003315F7">
            <w:pPr>
              <w:pStyle w:val="ListParagraph"/>
              <w:numPr>
                <w:ilvl w:val="0"/>
                <w:numId w:val="11"/>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suivi du COM (2018) 32 intitulé «</w:t>
            </w:r>
            <w:r>
              <w:rPr>
                <w:rFonts w:ascii="Times New Roman" w:hAnsi="Times New Roman"/>
                <w:i/>
                <w:noProof/>
                <w:color w:val="000000"/>
              </w:rPr>
              <w:t>Communicat</w:t>
            </w:r>
            <w:r>
              <w:rPr>
                <w:rFonts w:ascii="Times New Roman" w:hAnsi="Times New Roman"/>
                <w:i/>
                <w:noProof/>
                <w:color w:val="000000"/>
              </w:rPr>
              <w:t>ion concernant la mise en œuvre du paquet “économie circulaire”: solutions possibles pour les questions relatives à l’interface entre les textes législatifs relatifs aux substances chimiques, aux produits et aux déchets</w:t>
            </w:r>
            <w:r>
              <w:rPr>
                <w:rFonts w:ascii="Times New Roman" w:hAnsi="Times New Roman"/>
                <w:noProof/>
                <w:color w:val="000000"/>
              </w:rPr>
              <w:t>»: améliorer la traçabilité des subst</w:t>
            </w:r>
            <w:r>
              <w:rPr>
                <w:rFonts w:ascii="Times New Roman" w:hAnsi="Times New Roman"/>
                <w:noProof/>
                <w:color w:val="000000"/>
              </w:rPr>
              <w:t>ances chimiques et remédier au problème des substances vestiges dans les flux recyclés</w:t>
            </w:r>
          </w:p>
          <w:p w:rsidR="001557AE" w:rsidRDefault="003315F7">
            <w:pPr>
              <w:pStyle w:val="ListParagraph"/>
              <w:numPr>
                <w:ilvl w:val="0"/>
                <w:numId w:val="11"/>
              </w:numPr>
              <w:spacing w:after="0" w:line="240" w:lineRule="auto"/>
              <w:jc w:val="left"/>
              <w:rPr>
                <w:rFonts w:ascii="Times New Roman" w:eastAsia="Times New Roman" w:hAnsi="Times New Roman" w:cs="Times New Roman"/>
                <w:noProof/>
              </w:rPr>
            </w:pPr>
            <w:r>
              <w:rPr>
                <w:rFonts w:ascii="Times New Roman" w:hAnsi="Times New Roman"/>
                <w:noProof/>
                <w:color w:val="000000"/>
              </w:rPr>
              <w:t>de nouvelles mesures d’écoconception: étudier les exigences requises pour faciliter la recyclabilité des matières plastiques</w:t>
            </w:r>
            <w:r>
              <w:rPr>
                <w:rFonts w:ascii="Times New Roman" w:hAnsi="Times New Roman"/>
                <w:noProof/>
              </w:rPr>
              <w:t xml:space="preserve">  </w:t>
            </w:r>
          </w:p>
        </w:tc>
        <w:tc>
          <w:tcPr>
            <w:tcW w:w="2126" w:type="dxa"/>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du T1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à partir du T1 </w:t>
            </w:r>
            <w:r>
              <w:rPr>
                <w:rFonts w:ascii="Times New Roman" w:hAnsi="Times New Roman"/>
                <w:noProof/>
                <w:color w:val="000000"/>
              </w:rPr>
              <w:t>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tc>
      </w:tr>
      <w:tr w:rsidR="001557AE">
        <w:trPr>
          <w:trHeight w:val="1230"/>
        </w:trPr>
        <w:tc>
          <w:tcPr>
            <w:tcW w:w="7670" w:type="dxa"/>
            <w:shd w:val="clear" w:color="auto" w:fill="auto"/>
          </w:tcPr>
          <w:p w:rsidR="001557AE" w:rsidRDefault="003315F7">
            <w:pPr>
              <w:spacing w:after="0" w:line="240" w:lineRule="auto"/>
              <w:jc w:val="left"/>
              <w:rPr>
                <w:rFonts w:ascii="Times New Roman" w:eastAsia="Times New Roman" w:hAnsi="Times New Roman" w:cs="Times New Roman"/>
                <w:b/>
                <w:iCs/>
                <w:noProof/>
                <w:color w:val="000000"/>
              </w:rPr>
            </w:pPr>
            <w:r>
              <w:rPr>
                <w:rFonts w:ascii="Times New Roman" w:hAnsi="Times New Roman"/>
                <w:b/>
                <w:noProof/>
                <w:color w:val="000000"/>
              </w:rPr>
              <w:t>Actions destinées à stimuler l’utilisation de matériaux recyclés:</w:t>
            </w:r>
          </w:p>
          <w:p w:rsidR="001557AE" w:rsidRDefault="003315F7">
            <w:pPr>
              <w:pStyle w:val="ListParagraph"/>
              <w:numPr>
                <w:ilvl w:val="0"/>
                <w:numId w:val="11"/>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 xml:space="preserve">lancement d’une campagne d’engagements à l’échelle de l’UE ciblant l’industrie et les autorités publiques </w:t>
            </w:r>
          </w:p>
          <w:p w:rsidR="001557AE" w:rsidRDefault="003315F7">
            <w:pPr>
              <w:pStyle w:val="ListParagraph"/>
              <w:numPr>
                <w:ilvl w:val="0"/>
                <w:numId w:val="11"/>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analyse des incitations réglementaires ou économiques en faveur</w:t>
            </w:r>
            <w:r>
              <w:rPr>
                <w:rFonts w:ascii="Times New Roman" w:hAnsi="Times New Roman"/>
                <w:noProof/>
                <w:color w:val="000000"/>
              </w:rPr>
              <w:t xml:space="preserve"> de l’utilisation de matériaux recyclés, notamment dans le cadre:</w:t>
            </w:r>
          </w:p>
          <w:p w:rsidR="001557AE" w:rsidRDefault="003315F7">
            <w:pPr>
              <w:pStyle w:val="ListParagraph"/>
              <w:numPr>
                <w:ilvl w:val="1"/>
                <w:numId w:val="12"/>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de la révision de la directive relative aux emballages et aux déchets d’emballages (voir ci-dessus)</w:t>
            </w:r>
          </w:p>
          <w:p w:rsidR="001557AE" w:rsidRDefault="003315F7">
            <w:pPr>
              <w:pStyle w:val="ListParagraph"/>
              <w:numPr>
                <w:ilvl w:val="1"/>
                <w:numId w:val="12"/>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de l’évaluation/du réexamen du règlement sur les produits de construction</w:t>
            </w:r>
          </w:p>
          <w:p w:rsidR="001557AE" w:rsidRDefault="003315F7">
            <w:pPr>
              <w:pStyle w:val="ListParagraph"/>
              <w:numPr>
                <w:ilvl w:val="1"/>
                <w:numId w:val="12"/>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de l’évaluation/</w:t>
            </w:r>
            <w:r>
              <w:rPr>
                <w:rFonts w:ascii="Times New Roman" w:hAnsi="Times New Roman"/>
                <w:noProof/>
                <w:color w:val="000000"/>
              </w:rPr>
              <w:t xml:space="preserve">du réexamen de la directive relative aux véhicules hors d’usage </w:t>
            </w:r>
          </w:p>
          <w:p w:rsidR="001557AE" w:rsidRDefault="003315F7">
            <w:pPr>
              <w:pStyle w:val="ListParagraph"/>
              <w:numPr>
                <w:ilvl w:val="0"/>
                <w:numId w:val="11"/>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 xml:space="preserve">en ce qui concerne les matériaux en contact avec les denrées alimentaires: finalisation rapide des procédures d’autorisation en cours pour les processus de recyclage des matières plastiques, </w:t>
            </w:r>
            <w:r>
              <w:rPr>
                <w:rFonts w:ascii="Times New Roman" w:hAnsi="Times New Roman"/>
                <w:noProof/>
                <w:color w:val="000000"/>
              </w:rPr>
              <w:t>meilleure caractérisation des contaminants et mise en place d’un système de surveillance</w:t>
            </w:r>
          </w:p>
          <w:p w:rsidR="001557AE" w:rsidRDefault="003315F7">
            <w:pPr>
              <w:pStyle w:val="ListParagraph"/>
              <w:numPr>
                <w:ilvl w:val="0"/>
                <w:numId w:val="11"/>
              </w:numPr>
              <w:spacing w:after="0" w:line="240" w:lineRule="auto"/>
              <w:jc w:val="left"/>
              <w:rPr>
                <w:rFonts w:ascii="Times New Roman" w:eastAsia="Times New Roman" w:hAnsi="Times New Roman" w:cs="Times New Roman"/>
                <w:noProof/>
              </w:rPr>
            </w:pPr>
            <w:r>
              <w:rPr>
                <w:rFonts w:ascii="Times New Roman" w:hAnsi="Times New Roman"/>
                <w:noProof/>
                <w:color w:val="000000"/>
              </w:rPr>
              <w:t>mise au point de normes de qualité applicables aux déchets plastiques triés et aux matières plastiques recyclées, en coopération avec le Comité européen de normalisati</w:t>
            </w:r>
            <w:r>
              <w:rPr>
                <w:rFonts w:ascii="Times New Roman" w:hAnsi="Times New Roman"/>
                <w:noProof/>
                <w:color w:val="000000"/>
              </w:rPr>
              <w:t xml:space="preserve">on </w:t>
            </w:r>
          </w:p>
          <w:p w:rsidR="001557AE" w:rsidRDefault="003315F7">
            <w:pPr>
              <w:pStyle w:val="ListParagraph"/>
              <w:numPr>
                <w:ilvl w:val="0"/>
                <w:numId w:val="11"/>
              </w:numPr>
              <w:spacing w:after="0" w:line="240" w:lineRule="auto"/>
              <w:jc w:val="left"/>
              <w:rPr>
                <w:rFonts w:ascii="Times New Roman" w:eastAsia="Times New Roman" w:hAnsi="Times New Roman" w:cs="Times New Roman"/>
                <w:noProof/>
              </w:rPr>
            </w:pPr>
            <w:r>
              <w:rPr>
                <w:rFonts w:ascii="Times New Roman" w:hAnsi="Times New Roman"/>
                <w:noProof/>
                <w:color w:val="000000"/>
              </w:rPr>
              <w:t>label écologique et marchés publics écologiques: encourager davantage l’utilisation de matières plastiques recyclées, notamment en élaborant des moyens de vérification adéquats</w:t>
            </w:r>
          </w:p>
        </w:tc>
        <w:tc>
          <w:tcPr>
            <w:tcW w:w="2126" w:type="dxa"/>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T1-T3 2018</w:t>
            </w:r>
          </w:p>
          <w:p w:rsidR="001557AE" w:rsidRDefault="001557AE">
            <w:pPr>
              <w:spacing w:after="0" w:line="240" w:lineRule="auto"/>
              <w:jc w:val="left"/>
              <w:rPr>
                <w:rFonts w:ascii="Times New Roman" w:hAnsi="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du T1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de 2018</w:t>
            </w:r>
          </w:p>
        </w:tc>
      </w:tr>
      <w:tr w:rsidR="001557AE">
        <w:trPr>
          <w:trHeight w:val="300"/>
        </w:trPr>
        <w:tc>
          <w:tcPr>
            <w:tcW w:w="7670" w:type="dxa"/>
            <w:shd w:val="clear" w:color="auto" w:fill="FFFFFF" w:themeFill="background1"/>
            <w:hideMark/>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Actions destinées à améliorer la collecte sélective des déchets plastiques:</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publier de nouvelles lignes directrices sur la collecte sélective et le tri des déchets </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veiller à une meilleure mise en œuvre des obligations existantes en matière de collecte sé</w:t>
            </w:r>
            <w:r>
              <w:rPr>
                <w:rFonts w:ascii="Times New Roman" w:hAnsi="Times New Roman"/>
                <w:noProof/>
                <w:color w:val="000000"/>
              </w:rPr>
              <w:t>lective, notamment grâce au réexamen en cours de la législation sur les déchets</w:t>
            </w:r>
          </w:p>
        </w:tc>
        <w:tc>
          <w:tcPr>
            <w:tcW w:w="2126" w:type="dxa"/>
            <w:shd w:val="clear" w:color="auto" w:fill="FFFFFF" w:themeFill="background1"/>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2019</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tc>
      </w:tr>
      <w:tr w:rsidR="001557AE">
        <w:trPr>
          <w:trHeight w:val="194"/>
        </w:trPr>
        <w:tc>
          <w:tcPr>
            <w:tcW w:w="9796" w:type="dxa"/>
            <w:gridSpan w:val="2"/>
            <w:shd w:val="clear" w:color="000000" w:fill="D9D9D9"/>
          </w:tcPr>
          <w:p w:rsidR="001557AE" w:rsidRDefault="003315F7">
            <w:pPr>
              <w:spacing w:after="0" w:line="240" w:lineRule="auto"/>
              <w:jc w:val="left"/>
              <w:rPr>
                <w:rFonts w:ascii="Times New Roman" w:eastAsia="Times New Roman" w:hAnsi="Times New Roman" w:cs="Times New Roman"/>
                <w:b/>
                <w:bCs/>
                <w:noProof/>
                <w:color w:val="000000"/>
              </w:rPr>
            </w:pPr>
            <w:r>
              <w:rPr>
                <w:rFonts w:ascii="Times New Roman" w:hAnsi="Times New Roman"/>
                <w:b/>
                <w:noProof/>
                <w:color w:val="000000"/>
              </w:rPr>
              <w:t>Réduire les déchets plastiques et les dépôts sauvages</w:t>
            </w:r>
          </w:p>
        </w:tc>
      </w:tr>
      <w:tr w:rsidR="001557AE">
        <w:trPr>
          <w:trHeight w:val="630"/>
        </w:trPr>
        <w:tc>
          <w:tcPr>
            <w:tcW w:w="7670" w:type="dxa"/>
            <w:shd w:val="clear" w:color="auto" w:fill="FFFFFF" w:themeFill="background1"/>
          </w:tcPr>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b/>
                <w:noProof/>
                <w:color w:val="000000"/>
              </w:rPr>
              <w:t>Actions destinées à réduire l’utilisation de plastiques à usage unique</w:t>
            </w:r>
            <w:r>
              <w:rPr>
                <w:rFonts w:ascii="Times New Roman" w:hAnsi="Times New Roman"/>
                <w:noProof/>
                <w:color w:val="000000"/>
              </w:rPr>
              <w:t>:</w:t>
            </w:r>
          </w:p>
          <w:p w:rsidR="001557AE" w:rsidRDefault="003315F7">
            <w:pPr>
              <w:pStyle w:val="ListParagraph"/>
              <w:numPr>
                <w:ilvl w:val="0"/>
                <w:numId w:val="11"/>
              </w:numPr>
              <w:spacing w:after="0" w:line="240" w:lineRule="auto"/>
              <w:jc w:val="left"/>
              <w:rPr>
                <w:rFonts w:ascii="Times New Roman" w:eastAsia="Times New Roman" w:hAnsi="Times New Roman" w:cs="Times New Roman"/>
                <w:iCs/>
                <w:noProof/>
                <w:color w:val="000000"/>
              </w:rPr>
            </w:pPr>
            <w:r>
              <w:rPr>
                <w:rFonts w:ascii="Times New Roman" w:hAnsi="Times New Roman"/>
                <w:noProof/>
                <w:color w:val="000000"/>
              </w:rPr>
              <w:t xml:space="preserve">travaux d’analyse, notamment </w:t>
            </w:r>
            <w:r>
              <w:rPr>
                <w:rFonts w:ascii="Times New Roman" w:hAnsi="Times New Roman"/>
                <w:noProof/>
                <w:color w:val="000000"/>
              </w:rPr>
              <w:t>lancement d’une consultation publique visant à déterminer le champ d’application d’une initiative législative sur les plastiques à usage unique</w:t>
            </w:r>
          </w:p>
        </w:tc>
        <w:tc>
          <w:tcPr>
            <w:tcW w:w="2126" w:type="dxa"/>
            <w:shd w:val="clear" w:color="auto" w:fill="FFFFFF" w:themeFill="background1"/>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tc>
      </w:tr>
      <w:tr w:rsidR="001557AE">
        <w:trPr>
          <w:trHeight w:val="411"/>
        </w:trPr>
        <w:tc>
          <w:tcPr>
            <w:tcW w:w="7670" w:type="dxa"/>
            <w:shd w:val="clear" w:color="auto" w:fill="FFFFFF" w:themeFill="background1"/>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Actions destinées à lutter contre les déchets marins produits en mer:</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adoption d’une proposition </w:t>
            </w:r>
            <w:r>
              <w:rPr>
                <w:rFonts w:ascii="Times New Roman" w:hAnsi="Times New Roman"/>
                <w:noProof/>
                <w:color w:val="000000"/>
              </w:rPr>
              <w:t>législative relative aux installations de réception portuaires pour réglementer le dépôt des déchets provenant des navires</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élaboration de mesures visant à réduire les pertes ou l’abandon en mer d’engins de pêche (</w:t>
            </w:r>
            <w:r>
              <w:rPr>
                <w:rFonts w:ascii="Times New Roman" w:hAnsi="Times New Roman"/>
                <w:i/>
                <w:noProof/>
                <w:color w:val="000000"/>
              </w:rPr>
              <w:t>ce qui comprend, notamment, des objectifs e</w:t>
            </w:r>
            <w:r>
              <w:rPr>
                <w:rFonts w:ascii="Times New Roman" w:hAnsi="Times New Roman"/>
                <w:i/>
                <w:noProof/>
                <w:color w:val="000000"/>
              </w:rPr>
              <w:t>n matière de recyclage, des régimes de responsabilité élargie des producteurs, des fonds de recyclage ou des systèmes de consigne</w:t>
            </w:r>
            <w:r>
              <w:rPr>
                <w:rFonts w:ascii="Times New Roman" w:hAnsi="Times New Roman"/>
                <w:noProof/>
                <w:color w:val="000000"/>
              </w:rPr>
              <w:t>)</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élaboration de mesures visant à limiter les pertes de plastiques utilisés dans l’aquaculture (</w:t>
            </w:r>
            <w:r>
              <w:rPr>
                <w:rFonts w:ascii="Times New Roman" w:hAnsi="Times New Roman"/>
                <w:i/>
                <w:noProof/>
                <w:color w:val="000000"/>
              </w:rPr>
              <w:t>par exemple, la possibilité d’u</w:t>
            </w:r>
            <w:r>
              <w:rPr>
                <w:rFonts w:ascii="Times New Roman" w:hAnsi="Times New Roman"/>
                <w:i/>
                <w:noProof/>
                <w:color w:val="000000"/>
              </w:rPr>
              <w:t>n document de référence sur les meilleures techniques disponibles</w:t>
            </w:r>
            <w:r>
              <w:rPr>
                <w:rFonts w:ascii="Times New Roman" w:hAnsi="Times New Roman"/>
                <w:noProof/>
                <w:color w:val="000000"/>
              </w:rPr>
              <w:t xml:space="preserve">) </w:t>
            </w:r>
          </w:p>
        </w:tc>
        <w:tc>
          <w:tcPr>
            <w:tcW w:w="2126" w:type="dxa"/>
            <w:shd w:val="clear" w:color="auto" w:fill="FFFFFF" w:themeFill="background1"/>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T1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de 2018</w:t>
            </w:r>
          </w:p>
        </w:tc>
      </w:tr>
      <w:tr w:rsidR="001557AE">
        <w:trPr>
          <w:trHeight w:val="600"/>
        </w:trPr>
        <w:tc>
          <w:tcPr>
            <w:tcW w:w="7670" w:type="dxa"/>
            <w:shd w:val="clear" w:color="auto" w:fill="auto"/>
            <w:hideMark/>
          </w:tcPr>
          <w:p w:rsidR="001557AE" w:rsidRDefault="003315F7">
            <w:pPr>
              <w:spacing w:after="0" w:line="240" w:lineRule="auto"/>
              <w:jc w:val="left"/>
              <w:rPr>
                <w:rFonts w:ascii="Times New Roman" w:eastAsia="Times New Roman" w:hAnsi="Times New Roman" w:cs="Times New Roman"/>
                <w:b/>
                <w:noProof/>
              </w:rPr>
            </w:pPr>
            <w:r>
              <w:rPr>
                <w:rFonts w:ascii="Times New Roman" w:hAnsi="Times New Roman"/>
                <w:b/>
                <w:noProof/>
              </w:rPr>
              <w:lastRenderedPageBreak/>
              <w:t>Actions destinées à surveiller et à réduire plus efficacement les déchets marins:</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amélioration de la surveillance et de la cartographie des déchets marins, y </w:t>
            </w:r>
            <w:r>
              <w:rPr>
                <w:rFonts w:ascii="Times New Roman" w:hAnsi="Times New Roman"/>
                <w:noProof/>
                <w:color w:val="000000"/>
              </w:rPr>
              <w:t>compris des microplastiques, sur la base de méthodes harmonisées à l’échelle de l’UE</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soutien aux États membres pour la mise en œuvre de leurs programmes de mesures concernant les déchets marins au titre de la directive-cadre «stratégie pour le milieu marin</w:t>
            </w:r>
            <w:r>
              <w:rPr>
                <w:rFonts w:ascii="Times New Roman" w:hAnsi="Times New Roman"/>
                <w:noProof/>
                <w:color w:val="000000"/>
              </w:rPr>
              <w:t>», notamment le lien avec leurs plans de gestion des déchets/des dépôts sauvages requis par la directive-cadre sur les déchets</w:t>
            </w:r>
          </w:p>
        </w:tc>
        <w:tc>
          <w:tcPr>
            <w:tcW w:w="2126" w:type="dxa"/>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de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tc>
      </w:tr>
      <w:tr w:rsidR="001557AE">
        <w:trPr>
          <w:trHeight w:val="283"/>
        </w:trPr>
        <w:tc>
          <w:tcPr>
            <w:tcW w:w="7670" w:type="dxa"/>
            <w:shd w:val="clear" w:color="auto" w:fill="FFFFFF" w:themeFill="background1"/>
            <w:hideMark/>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Actions sur les matières plastiques compostables et biodégradables:</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entamer des travaux en vue de </w:t>
            </w:r>
            <w:r>
              <w:rPr>
                <w:rFonts w:ascii="Times New Roman" w:hAnsi="Times New Roman"/>
                <w:noProof/>
                <w:color w:val="000000"/>
              </w:rPr>
              <w:t>l’élaboration de règles harmonisées concernant la définition et l’étiquetage des matières plastiques compostables et biodégradables</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mener une évaluation portant sur la totalité du cycle de vie pour déterminer dans quelles conditions leur utilisation est av</w:t>
            </w:r>
            <w:r>
              <w:rPr>
                <w:rFonts w:ascii="Times New Roman" w:hAnsi="Times New Roman"/>
                <w:noProof/>
                <w:color w:val="000000"/>
              </w:rPr>
              <w:t>antageuse, ainsi que les critères de cette application</w:t>
            </w:r>
          </w:p>
          <w:p w:rsidR="001557AE" w:rsidRDefault="003315F7">
            <w:pPr>
              <w:pStyle w:val="ListParagraph"/>
              <w:numPr>
                <w:ilvl w:val="0"/>
                <w:numId w:val="7"/>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engager le processus visant à restreindre l’utilisation des plastiques oxodégradables via REACH</w:t>
            </w:r>
          </w:p>
        </w:tc>
        <w:tc>
          <w:tcPr>
            <w:tcW w:w="2126" w:type="dxa"/>
            <w:shd w:val="clear" w:color="auto" w:fill="FFFFFF" w:themeFill="background1"/>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du T1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du T1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en cours </w:t>
            </w:r>
          </w:p>
        </w:tc>
      </w:tr>
      <w:tr w:rsidR="001557AE">
        <w:trPr>
          <w:trHeight w:val="600"/>
        </w:trPr>
        <w:tc>
          <w:tcPr>
            <w:tcW w:w="7670" w:type="dxa"/>
            <w:shd w:val="clear" w:color="auto" w:fill="FFFFFF" w:themeFill="background1"/>
            <w:hideMark/>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 xml:space="preserve">Actions destinées à endiguer la pollution par les </w:t>
            </w:r>
            <w:r>
              <w:rPr>
                <w:rFonts w:ascii="Times New Roman" w:hAnsi="Times New Roman"/>
                <w:b/>
                <w:noProof/>
                <w:color w:val="000000"/>
              </w:rPr>
              <w:t>microplastiques:</w:t>
            </w:r>
          </w:p>
          <w:p w:rsidR="001557AE" w:rsidRDefault="003315F7">
            <w:pPr>
              <w:pStyle w:val="ListParagraph"/>
              <w:numPr>
                <w:ilvl w:val="0"/>
                <w:numId w:val="8"/>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engager le processus visant à restreindre l’adjonction intentionnelle de microplastiques aux produits via REACH </w:t>
            </w:r>
          </w:p>
          <w:p w:rsidR="001557AE" w:rsidRDefault="003315F7">
            <w:pPr>
              <w:pStyle w:val="ListParagraph"/>
              <w:numPr>
                <w:ilvl w:val="0"/>
                <w:numId w:val="8"/>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examen des moyens d’action possibles pour réduire les rejets non intentionnels de microplastiques provenant des pneumatiques, </w:t>
            </w:r>
            <w:r>
              <w:rPr>
                <w:rFonts w:ascii="Times New Roman" w:hAnsi="Times New Roman"/>
                <w:noProof/>
                <w:color w:val="000000"/>
              </w:rPr>
              <w:t>des textiles et des peintures [</w:t>
            </w:r>
            <w:r>
              <w:rPr>
                <w:rFonts w:ascii="Times New Roman" w:hAnsi="Times New Roman"/>
                <w:i/>
                <w:noProof/>
                <w:color w:val="000000"/>
              </w:rPr>
              <w:t>y compris, par exemple, des exigences minimales applicables à la conception des pneumatiques (abrasion et durabilité des pneumatiques, le cas échéant) et/ou une obligation d’information (notamment un étiquetage, le cas échéan</w:t>
            </w:r>
            <w:r>
              <w:rPr>
                <w:rFonts w:ascii="Times New Roman" w:hAnsi="Times New Roman"/>
                <w:i/>
                <w:noProof/>
                <w:color w:val="000000"/>
              </w:rPr>
              <w:t>t), des méthodes permettant d’évaluer les pertes de microplastiques provenant des textiles et des pneumatiques, associées à une obligation d’information (notamment, le cas échéant, un étiquetage)/des exigences minimales, un financement ciblé de la recherch</w:t>
            </w:r>
            <w:r>
              <w:rPr>
                <w:rFonts w:ascii="Times New Roman" w:hAnsi="Times New Roman"/>
                <w:i/>
                <w:noProof/>
                <w:color w:val="000000"/>
              </w:rPr>
              <w:t>e et du développement</w:t>
            </w:r>
            <w:r>
              <w:rPr>
                <w:rFonts w:ascii="Times New Roman" w:hAnsi="Times New Roman"/>
                <w:noProof/>
                <w:color w:val="000000"/>
              </w:rPr>
              <w:t>]</w:t>
            </w:r>
          </w:p>
          <w:p w:rsidR="001557AE" w:rsidRDefault="003315F7">
            <w:pPr>
              <w:pStyle w:val="ListParagraph"/>
              <w:numPr>
                <w:ilvl w:val="0"/>
                <w:numId w:val="8"/>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élaboration de mesures visant à réduire la dispersion de granulés plastiques (</w:t>
            </w:r>
            <w:r>
              <w:rPr>
                <w:rFonts w:ascii="Times New Roman" w:hAnsi="Times New Roman"/>
                <w:i/>
                <w:noProof/>
                <w:color w:val="000000"/>
              </w:rPr>
              <w:t>par exemple, régime de certification couvrant toute la chaîne d’approvisionnement des matières plastiques et/ou document de référence sur les meilleures te</w:t>
            </w:r>
            <w:r>
              <w:rPr>
                <w:rFonts w:ascii="Times New Roman" w:hAnsi="Times New Roman"/>
                <w:i/>
                <w:noProof/>
                <w:color w:val="000000"/>
              </w:rPr>
              <w:t>chniques disponibles au titre de la directive relative aux émissions industrielles</w:t>
            </w:r>
            <w:r>
              <w:rPr>
                <w:rFonts w:ascii="Times New Roman" w:hAnsi="Times New Roman"/>
                <w:noProof/>
                <w:color w:val="000000"/>
              </w:rPr>
              <w:t>)</w:t>
            </w:r>
          </w:p>
          <w:p w:rsidR="001557AE" w:rsidRDefault="003315F7">
            <w:pPr>
              <w:pStyle w:val="ListParagraph"/>
              <w:numPr>
                <w:ilvl w:val="0"/>
                <w:numId w:val="8"/>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évaluation de la directive relative au traitement des eaux urbaines résiduaires: analyse de son efficacité en ce qui concerne le piégeage et l’enlèvement des microplastique</w:t>
            </w:r>
            <w:r>
              <w:rPr>
                <w:rFonts w:ascii="Times New Roman" w:hAnsi="Times New Roman"/>
                <w:noProof/>
                <w:color w:val="000000"/>
              </w:rPr>
              <w:t xml:space="preserve">s </w:t>
            </w:r>
          </w:p>
        </w:tc>
        <w:tc>
          <w:tcPr>
            <w:tcW w:w="2126" w:type="dxa"/>
            <w:shd w:val="clear" w:color="auto" w:fill="FFFFFF" w:themeFill="background1"/>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du T1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tc>
      </w:tr>
      <w:tr w:rsidR="001557AE">
        <w:trPr>
          <w:trHeight w:val="154"/>
        </w:trPr>
        <w:tc>
          <w:tcPr>
            <w:tcW w:w="9796" w:type="dxa"/>
            <w:gridSpan w:val="2"/>
            <w:shd w:val="clear" w:color="000000" w:fill="D9D9D9"/>
          </w:tcPr>
          <w:p w:rsidR="001557AE" w:rsidRDefault="003315F7">
            <w:pPr>
              <w:spacing w:after="0" w:line="240" w:lineRule="auto"/>
              <w:jc w:val="left"/>
              <w:rPr>
                <w:rFonts w:ascii="Times New Roman" w:eastAsia="Times New Roman" w:hAnsi="Times New Roman" w:cs="Times New Roman"/>
                <w:b/>
                <w:bCs/>
                <w:noProof/>
                <w:color w:val="000000"/>
              </w:rPr>
            </w:pPr>
            <w:r>
              <w:rPr>
                <w:rFonts w:ascii="Times New Roman" w:hAnsi="Times New Roman"/>
                <w:b/>
                <w:noProof/>
                <w:color w:val="000000"/>
              </w:rPr>
              <w:t>Diriger l’investissement et l’innovation vers des solutions circulaires</w:t>
            </w:r>
          </w:p>
        </w:tc>
      </w:tr>
      <w:tr w:rsidR="001557AE">
        <w:trPr>
          <w:trHeight w:val="1607"/>
        </w:trPr>
        <w:tc>
          <w:tcPr>
            <w:tcW w:w="7670" w:type="dxa"/>
            <w:shd w:val="clear" w:color="auto" w:fill="FFFFFF" w:themeFill="background1"/>
            <w:noWrap/>
            <w:hideMark/>
          </w:tcPr>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b/>
                <w:noProof/>
                <w:color w:val="000000"/>
              </w:rPr>
              <w:t>Actions destinées à favoriser l’investissement et l’innovation dans la chaîne de valeur</w:t>
            </w:r>
            <w:r>
              <w:rPr>
                <w:rFonts w:ascii="Times New Roman" w:hAnsi="Times New Roman"/>
                <w:noProof/>
                <w:color w:val="000000"/>
              </w:rPr>
              <w:t>:</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orientations de la Commission sur l’écomodulation des redevances liées à la responsabilité élargie des producteurs </w:t>
            </w:r>
          </w:p>
          <w:p w:rsidR="001557AE" w:rsidRDefault="003315F7">
            <w:pPr>
              <w:pStyle w:val="ListParagraph"/>
              <w:numPr>
                <w:ilvl w:val="0"/>
                <w:numId w:val="9"/>
              </w:numPr>
              <w:rPr>
                <w:rFonts w:ascii="Times New Roman" w:eastAsia="Times New Roman" w:hAnsi="Times New Roman" w:cs="Times New Roman"/>
                <w:noProof/>
                <w:color w:val="000000"/>
              </w:rPr>
            </w:pPr>
            <w:r>
              <w:rPr>
                <w:rFonts w:ascii="Times New Roman" w:hAnsi="Times New Roman"/>
                <w:noProof/>
                <w:color w:val="000000"/>
              </w:rPr>
              <w:t>recommandations par la «</w:t>
            </w:r>
            <w:r>
              <w:rPr>
                <w:rFonts w:ascii="Times New Roman" w:hAnsi="Times New Roman"/>
                <w:i/>
                <w:noProof/>
                <w:color w:val="000000"/>
              </w:rPr>
              <w:t>plateforme d’aide au financement de l’économie circulaire</w:t>
            </w:r>
            <w:r>
              <w:rPr>
                <w:rFonts w:ascii="Times New Roman" w:hAnsi="Times New Roman"/>
                <w:noProof/>
                <w:color w:val="000000"/>
              </w:rPr>
              <w:t>» lancée récemment</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examen de la faisabilité d’un fonds d’in</w:t>
            </w:r>
            <w:r>
              <w:rPr>
                <w:rFonts w:ascii="Times New Roman" w:hAnsi="Times New Roman"/>
                <w:noProof/>
                <w:color w:val="000000"/>
              </w:rPr>
              <w:t>vestissement privé destiné à financer des investissements dans des solutions innovantes et de nouvelles technologies visant à réduire l’incidence environnementale de la production de matières plastiques primaires</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soutien financier direct en faveur des infr</w:t>
            </w:r>
            <w:r>
              <w:rPr>
                <w:rFonts w:ascii="Times New Roman" w:hAnsi="Times New Roman"/>
                <w:noProof/>
                <w:color w:val="000000"/>
              </w:rPr>
              <w:t xml:space="preserve">astructures et de l’innovation par l’intermédiaire du Fonds européen pour les investissements stratégiques et d’autres instruments de financement de l’UE (par exemple, les fonds structurels et les stratégies de spécialisation intelligente, Horizon 2020)  </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poursuite des travaux sur les incidences tout au long du cycle de vie des matières premières de substitution utilisées pour la production de matières plastiques</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mise au point d’un programme stratégique de recherche et d’innovation sur les matières plastiqu</w:t>
            </w:r>
            <w:r>
              <w:rPr>
                <w:rFonts w:ascii="Times New Roman" w:hAnsi="Times New Roman"/>
                <w:noProof/>
                <w:color w:val="000000"/>
              </w:rPr>
              <w:t xml:space="preserve">es afin d’orienter les futures décisions de financement </w:t>
            </w:r>
          </w:p>
        </w:tc>
        <w:tc>
          <w:tcPr>
            <w:tcW w:w="2126" w:type="dxa"/>
            <w:shd w:val="clear" w:color="auto" w:fill="FFFFFF" w:themeFill="background1"/>
          </w:tcPr>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hAnsi="Times New Roman"/>
                <w:noProof/>
                <w:color w:val="000000"/>
                <w:lang w:val="it-IT"/>
              </w:rPr>
            </w:pPr>
            <w:r>
              <w:rPr>
                <w:rFonts w:ascii="Times New Roman" w:hAnsi="Times New Roman"/>
                <w:noProof/>
                <w:color w:val="000000"/>
                <w:lang w:val="it-IT"/>
              </w:rPr>
              <w:t>2019</w:t>
            </w:r>
          </w:p>
          <w:p w:rsidR="001557AE" w:rsidRDefault="001557AE">
            <w:pPr>
              <w:spacing w:after="0" w:line="240" w:lineRule="auto"/>
              <w:jc w:val="left"/>
              <w:rPr>
                <w:rFonts w:ascii="Times New Roman" w:eastAsia="Times New Roman" w:hAnsi="Times New Roman" w:cs="Times New Roman"/>
                <w:noProof/>
                <w:color w:val="000000"/>
                <w:lang w:val="it-IT"/>
              </w:rPr>
            </w:pPr>
          </w:p>
          <w:p w:rsidR="001557AE" w:rsidRDefault="003315F7">
            <w:pPr>
              <w:spacing w:after="0" w:line="240" w:lineRule="auto"/>
              <w:jc w:val="left"/>
              <w:rPr>
                <w:rFonts w:ascii="Times New Roman" w:eastAsia="Times New Roman" w:hAnsi="Times New Roman" w:cs="Times New Roman"/>
                <w:noProof/>
                <w:color w:val="000000"/>
                <w:lang w:val="it-IT"/>
              </w:rPr>
            </w:pPr>
            <w:r>
              <w:rPr>
                <w:rFonts w:ascii="Times New Roman" w:hAnsi="Times New Roman"/>
                <w:noProof/>
                <w:color w:val="000000"/>
                <w:lang w:val="it-IT"/>
              </w:rPr>
              <w:t>mi-2018</w:t>
            </w:r>
          </w:p>
          <w:p w:rsidR="001557AE" w:rsidRDefault="001557AE">
            <w:pPr>
              <w:spacing w:after="0" w:line="240" w:lineRule="auto"/>
              <w:jc w:val="left"/>
              <w:rPr>
                <w:rFonts w:ascii="Times New Roman" w:eastAsia="Times New Roman" w:hAnsi="Times New Roman" w:cs="Times New Roman"/>
                <w:noProof/>
                <w:color w:val="000000"/>
                <w:lang w:val="it-IT"/>
              </w:rPr>
            </w:pPr>
          </w:p>
          <w:p w:rsidR="001557AE" w:rsidRDefault="003315F7">
            <w:pPr>
              <w:spacing w:after="0" w:line="240" w:lineRule="auto"/>
              <w:jc w:val="left"/>
              <w:rPr>
                <w:rFonts w:ascii="Times New Roman" w:eastAsia="Times New Roman" w:hAnsi="Times New Roman" w:cs="Times New Roman"/>
                <w:noProof/>
                <w:color w:val="000000"/>
                <w:lang w:val="it-IT"/>
              </w:rPr>
            </w:pPr>
            <w:r>
              <w:rPr>
                <w:rFonts w:ascii="Times New Roman" w:hAnsi="Times New Roman"/>
                <w:noProof/>
                <w:color w:val="000000"/>
                <w:lang w:val="it-IT"/>
              </w:rPr>
              <w:t>d’ici à la mi-2019</w:t>
            </w:r>
          </w:p>
          <w:p w:rsidR="001557AE" w:rsidRDefault="001557AE">
            <w:pPr>
              <w:spacing w:after="0" w:line="240" w:lineRule="auto"/>
              <w:jc w:val="left"/>
              <w:rPr>
                <w:rFonts w:ascii="Times New Roman" w:eastAsia="Times New Roman" w:hAnsi="Times New Roman" w:cs="Times New Roman"/>
                <w:noProof/>
                <w:color w:val="000000"/>
                <w:lang w:val="it-IT"/>
              </w:rPr>
            </w:pPr>
          </w:p>
          <w:p w:rsidR="001557AE" w:rsidRDefault="001557AE">
            <w:pPr>
              <w:spacing w:after="0" w:line="240" w:lineRule="auto"/>
              <w:jc w:val="left"/>
              <w:rPr>
                <w:rFonts w:ascii="Times New Roman" w:eastAsia="Times New Roman" w:hAnsi="Times New Roman" w:cs="Times New Roman"/>
                <w:noProof/>
                <w:color w:val="000000"/>
                <w:lang w:val="it-IT"/>
              </w:rPr>
            </w:pPr>
          </w:p>
          <w:p w:rsidR="001557AE" w:rsidRDefault="001557AE">
            <w:pPr>
              <w:spacing w:after="0" w:line="240" w:lineRule="auto"/>
              <w:jc w:val="left"/>
              <w:rPr>
                <w:rFonts w:ascii="Times New Roman" w:eastAsia="Times New Roman" w:hAnsi="Times New Roman" w:cs="Times New Roman"/>
                <w:noProof/>
                <w:color w:val="000000"/>
                <w:lang w:val="it-IT"/>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en cours</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hAnsi="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de 2018</w:t>
            </w:r>
          </w:p>
          <w:p w:rsidR="001557AE" w:rsidRDefault="001557AE">
            <w:pPr>
              <w:spacing w:after="0" w:line="240" w:lineRule="auto"/>
              <w:jc w:val="left"/>
              <w:rPr>
                <w:rFonts w:ascii="Times New Roman" w:eastAsia="Times New Roman" w:hAnsi="Times New Roman" w:cs="Times New Roman"/>
                <w:noProof/>
                <w:color w:val="000000"/>
              </w:rPr>
            </w:pPr>
          </w:p>
          <w:p w:rsidR="001557AE" w:rsidRDefault="001557AE">
            <w:pPr>
              <w:spacing w:after="0" w:line="240" w:lineRule="auto"/>
              <w:jc w:val="left"/>
              <w:rPr>
                <w:rFonts w:ascii="Times New Roman" w:eastAsia="Times New Roman" w:hAnsi="Times New Roman" w:cs="Times New Roman"/>
                <w:noProof/>
                <w:color w:val="000000"/>
              </w:rPr>
            </w:pPr>
          </w:p>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T2 2018</w:t>
            </w:r>
          </w:p>
        </w:tc>
      </w:tr>
      <w:tr w:rsidR="001557AE">
        <w:trPr>
          <w:trHeight w:val="212"/>
        </w:trPr>
        <w:tc>
          <w:tcPr>
            <w:tcW w:w="9796" w:type="dxa"/>
            <w:gridSpan w:val="2"/>
            <w:shd w:val="clear" w:color="000000" w:fill="D9D9D9"/>
          </w:tcPr>
          <w:p w:rsidR="001557AE" w:rsidRDefault="003315F7">
            <w:pPr>
              <w:spacing w:after="0" w:line="240" w:lineRule="auto"/>
              <w:jc w:val="left"/>
              <w:rPr>
                <w:rFonts w:ascii="Times New Roman" w:eastAsia="Times New Roman" w:hAnsi="Times New Roman" w:cs="Times New Roman"/>
                <w:b/>
                <w:bCs/>
                <w:noProof/>
                <w:color w:val="000000"/>
              </w:rPr>
            </w:pPr>
            <w:r>
              <w:rPr>
                <w:rFonts w:ascii="Times New Roman" w:hAnsi="Times New Roman"/>
                <w:b/>
                <w:noProof/>
                <w:color w:val="000000"/>
              </w:rPr>
              <w:t>Tirer parti de l’action menée au niveau mondial</w:t>
            </w:r>
          </w:p>
        </w:tc>
      </w:tr>
      <w:tr w:rsidR="001557AE">
        <w:trPr>
          <w:trHeight w:val="1200"/>
        </w:trPr>
        <w:tc>
          <w:tcPr>
            <w:tcW w:w="7670" w:type="dxa"/>
            <w:shd w:val="clear" w:color="auto" w:fill="auto"/>
            <w:hideMark/>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Actions mettant l’accent sur les régions clés:</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projet visant à réduire </w:t>
            </w:r>
            <w:r>
              <w:rPr>
                <w:rFonts w:ascii="Times New Roman" w:hAnsi="Times New Roman"/>
                <w:noProof/>
                <w:color w:val="000000"/>
              </w:rPr>
              <w:t>les déchets plastiques et les déchets marins en Asie de l’Est et du Sud-Est afin de promouvoir la consommation et la production durables, ainsi que la hiérarchie des déchets et la responsabilité étendue des producteurs, et d’améliorer la récupération des e</w:t>
            </w:r>
            <w:r>
              <w:rPr>
                <w:rFonts w:ascii="Times New Roman" w:hAnsi="Times New Roman"/>
                <w:noProof/>
                <w:color w:val="000000"/>
              </w:rPr>
              <w:t>ngins de pêche</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examen des possibilités d’actions spécifiques pour réduire la pollution par les </w:t>
            </w:r>
            <w:r>
              <w:rPr>
                <w:rFonts w:ascii="Times New Roman" w:hAnsi="Times New Roman"/>
                <w:noProof/>
                <w:color w:val="000000"/>
              </w:rPr>
              <w:lastRenderedPageBreak/>
              <w:t>plastiques en Méditerranée, à l’appui de la mise en œuvre de la convention de Barcelone</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coopération dans le domaine de la prévention des déchets plastiques dans </w:t>
            </w:r>
            <w:r>
              <w:rPr>
                <w:rFonts w:ascii="Times New Roman" w:hAnsi="Times New Roman"/>
                <w:noProof/>
                <w:color w:val="000000"/>
              </w:rPr>
              <w:t>les grands bassins fluviaux du monde</w:t>
            </w:r>
          </w:p>
        </w:tc>
        <w:tc>
          <w:tcPr>
            <w:tcW w:w="2126" w:type="dxa"/>
          </w:tcPr>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lastRenderedPageBreak/>
              <w:t>à partir de 2018</w:t>
            </w:r>
          </w:p>
        </w:tc>
      </w:tr>
      <w:tr w:rsidR="001557AE">
        <w:trPr>
          <w:trHeight w:val="900"/>
        </w:trPr>
        <w:tc>
          <w:tcPr>
            <w:tcW w:w="7670" w:type="dxa"/>
            <w:shd w:val="clear" w:color="auto" w:fill="auto"/>
            <w:hideMark/>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lastRenderedPageBreak/>
              <w:t>Actions de soutien à des initiatives multilatérales sur les matières plastiques:</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engagement renouvelé sur les matières plastiques et les déchets marins dans des enceintes telles que les Nations unies, </w:t>
            </w:r>
            <w:r>
              <w:rPr>
                <w:rFonts w:ascii="Times New Roman" w:hAnsi="Times New Roman"/>
                <w:noProof/>
                <w:color w:val="000000"/>
              </w:rPr>
              <w:t>le G7, le G20, la convention MARPOL et les conventions maritimes régionales, ce qui comprend notamment la mise au point d’outils pratiques et d’actions spécifiques en matière de pêche et d’aquaculture</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soutien à l’action menée au titre de la convention de B</w:t>
            </w:r>
            <w:r>
              <w:rPr>
                <w:rFonts w:ascii="Times New Roman" w:hAnsi="Times New Roman"/>
                <w:noProof/>
                <w:color w:val="000000"/>
              </w:rPr>
              <w:t>âle, en particulier pour la mise en œuvre de la série d’instruments de gestion écologiquement rationnelle des déchets</w:t>
            </w:r>
          </w:p>
        </w:tc>
        <w:tc>
          <w:tcPr>
            <w:tcW w:w="2126" w:type="dxa"/>
          </w:tcPr>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de 2018</w:t>
            </w:r>
          </w:p>
        </w:tc>
      </w:tr>
      <w:tr w:rsidR="001557AE">
        <w:trPr>
          <w:trHeight w:val="600"/>
        </w:trPr>
        <w:tc>
          <w:tcPr>
            <w:tcW w:w="7670" w:type="dxa"/>
            <w:shd w:val="clear" w:color="auto" w:fill="auto"/>
            <w:hideMark/>
          </w:tcPr>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b/>
                <w:noProof/>
                <w:color w:val="000000"/>
              </w:rPr>
              <w:t>Actions liées à la coopération bilatérale avec les pays tiers</w:t>
            </w:r>
            <w:r>
              <w:rPr>
                <w:rFonts w:ascii="Times New Roman" w:hAnsi="Times New Roman"/>
                <w:noProof/>
                <w:color w:val="000000"/>
              </w:rPr>
              <w:t>:</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favoriser une économie circulaire des matières plastiques</w:t>
            </w:r>
            <w:r>
              <w:rPr>
                <w:rFonts w:ascii="Times New Roman" w:hAnsi="Times New Roman"/>
                <w:noProof/>
                <w:color w:val="000000"/>
              </w:rPr>
              <w:t xml:space="preserve"> dans les pays tiers dans le cadre des dialogues sur l’action à mener en matière commerciale, industrielle et environnementale, ainsi que dans le cadre de la diplomatie économique</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utiliser les financements bilatéraux, régionaux et thématiques dans les poli</w:t>
            </w:r>
            <w:r>
              <w:rPr>
                <w:rFonts w:ascii="Times New Roman" w:hAnsi="Times New Roman"/>
                <w:noProof/>
                <w:color w:val="000000"/>
              </w:rPr>
              <w:t>tiques de l’UE en matière de développement, de voisinage et d’élargissement afin de soutenir la stratégie sur les matières plastiques par la prévention et une gestion appropriée des déchets, ainsi que par un soutien à l’économie circulaire dans le cadre de</w:t>
            </w:r>
            <w:r>
              <w:rPr>
                <w:rFonts w:ascii="Times New Roman" w:hAnsi="Times New Roman"/>
                <w:noProof/>
                <w:color w:val="000000"/>
              </w:rPr>
              <w:t xml:space="preserve"> programmes et d’instruments comme «Switch to Green» et le plan d’investissement extérieur</w:t>
            </w:r>
          </w:p>
        </w:tc>
        <w:tc>
          <w:tcPr>
            <w:tcW w:w="2126" w:type="dxa"/>
          </w:tcPr>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de 2018</w:t>
            </w:r>
          </w:p>
        </w:tc>
      </w:tr>
      <w:tr w:rsidR="001557AE">
        <w:trPr>
          <w:trHeight w:val="600"/>
        </w:trPr>
        <w:tc>
          <w:tcPr>
            <w:tcW w:w="7670" w:type="dxa"/>
            <w:shd w:val="clear" w:color="auto" w:fill="auto"/>
            <w:hideMark/>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Actions liées au commerce international:</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soutenir l’élaboration de normes industrielles internationales relatives aux déchets plastiques triés et aux matières plastiques recyclées </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 xml:space="preserve">veiller à ce que les déchets plastiques exportés soient traités de façon appropriée dans le respect du règlement de </w:t>
            </w:r>
            <w:r>
              <w:rPr>
                <w:rFonts w:ascii="Times New Roman" w:hAnsi="Times New Roman"/>
                <w:noProof/>
                <w:color w:val="000000"/>
              </w:rPr>
              <w:t xml:space="preserve">l’UE sur les transferts de déchets </w:t>
            </w:r>
          </w:p>
          <w:p w:rsidR="001557AE" w:rsidRDefault="003315F7">
            <w:pPr>
              <w:pStyle w:val="ListParagraph"/>
              <w:numPr>
                <w:ilvl w:val="0"/>
                <w:numId w:val="9"/>
              </w:num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soutenir la mise au point d’un régime de certification pour les installations de recyclage dans l’UE et dans les pays tiers</w:t>
            </w:r>
          </w:p>
        </w:tc>
        <w:tc>
          <w:tcPr>
            <w:tcW w:w="2126" w:type="dxa"/>
          </w:tcPr>
          <w:p w:rsidR="001557AE" w:rsidRDefault="003315F7">
            <w:pPr>
              <w:spacing w:after="0" w:line="240" w:lineRule="auto"/>
              <w:jc w:val="left"/>
              <w:rPr>
                <w:rFonts w:ascii="Times New Roman" w:eastAsia="Times New Roman" w:hAnsi="Times New Roman" w:cs="Times New Roman"/>
                <w:noProof/>
                <w:color w:val="000000"/>
              </w:rPr>
            </w:pPr>
            <w:r>
              <w:rPr>
                <w:rFonts w:ascii="Times New Roman" w:hAnsi="Times New Roman"/>
                <w:noProof/>
                <w:color w:val="000000"/>
              </w:rPr>
              <w:t>à partir de 2018</w:t>
            </w:r>
          </w:p>
        </w:tc>
      </w:tr>
    </w:tbl>
    <w:p w:rsidR="001557AE" w:rsidRDefault="003315F7">
      <w:pPr>
        <w:rPr>
          <w:rFonts w:ascii="Times New Roman" w:eastAsia="Calibri" w:hAnsi="Times New Roman" w:cs="Times New Roman"/>
          <w:b/>
          <w:noProof/>
          <w:sz w:val="24"/>
          <w:szCs w:val="22"/>
        </w:rPr>
      </w:pPr>
      <w:r>
        <w:rPr>
          <w:rFonts w:ascii="Times New Roman" w:hAnsi="Times New Roman"/>
          <w:b/>
          <w:noProof/>
          <w:sz w:val="24"/>
        </w:rPr>
        <w:t xml:space="preserve"> </w:t>
      </w:r>
      <w:r>
        <w:rPr>
          <w:noProof/>
        </w:rPr>
        <w:br w:type="page"/>
      </w:r>
    </w:p>
    <w:p w:rsidR="001557AE" w:rsidRDefault="003315F7">
      <w:pPr>
        <w:jc w:val="center"/>
        <w:rPr>
          <w:rFonts w:ascii="Times New Roman" w:eastAsia="Calibri" w:hAnsi="Times New Roman" w:cs="Times New Roman"/>
          <w:b/>
          <w:noProof/>
          <w:sz w:val="24"/>
          <w:szCs w:val="22"/>
        </w:rPr>
      </w:pPr>
      <w:r>
        <w:rPr>
          <w:rFonts w:ascii="Times New Roman" w:hAnsi="Times New Roman"/>
          <w:b/>
          <w:noProof/>
          <w:sz w:val="24"/>
        </w:rPr>
        <w:t>ANNEXE II</w:t>
      </w:r>
    </w:p>
    <w:p w:rsidR="001557AE" w:rsidRDefault="003315F7">
      <w:pPr>
        <w:jc w:val="center"/>
        <w:rPr>
          <w:rFonts w:ascii="Times New Roman" w:eastAsia="Calibri" w:hAnsi="Times New Roman" w:cs="Times New Roman"/>
          <w:b/>
          <w:noProof/>
          <w:sz w:val="24"/>
          <w:szCs w:val="24"/>
        </w:rPr>
      </w:pPr>
      <w:r>
        <w:rPr>
          <w:rFonts w:ascii="Times New Roman" w:hAnsi="Times New Roman"/>
          <w:b/>
          <w:noProof/>
          <w:sz w:val="24"/>
        </w:rPr>
        <w:t xml:space="preserve">Liste de mesures recommandées aux autorités nationales et aux </w:t>
      </w:r>
      <w:r>
        <w:rPr>
          <w:rFonts w:ascii="Times New Roman" w:hAnsi="Times New Roman"/>
          <w:b/>
          <w:noProof/>
          <w:sz w:val="24"/>
        </w:rPr>
        <w:t>entreprises des secteurs concernés</w:t>
      </w:r>
    </w:p>
    <w:tbl>
      <w:tblPr>
        <w:tblStyle w:val="TableGrid"/>
        <w:tblW w:w="0" w:type="auto"/>
        <w:tblLook w:val="04A0" w:firstRow="1" w:lastRow="0" w:firstColumn="1" w:lastColumn="0" w:noHBand="0" w:noVBand="1"/>
      </w:tblPr>
      <w:tblGrid>
        <w:gridCol w:w="9288"/>
      </w:tblGrid>
      <w:tr w:rsidR="001557AE">
        <w:tc>
          <w:tcPr>
            <w:tcW w:w="9288" w:type="dxa"/>
            <w:shd w:val="clear" w:color="auto" w:fill="A6A6A6" w:themeFill="background1" w:themeFillShade="A6"/>
          </w:tcPr>
          <w:p w:rsidR="001557AE" w:rsidRDefault="003315F7">
            <w:pPr>
              <w:rPr>
                <w:rFonts w:ascii="Times New Roman" w:eastAsiaTheme="minorHAnsi" w:hAnsi="Times New Roman" w:cs="Times New Roman"/>
                <w:b/>
                <w:noProof/>
              </w:rPr>
            </w:pPr>
            <w:r>
              <w:rPr>
                <w:rFonts w:ascii="Times New Roman" w:eastAsiaTheme="minorHAnsi" w:hAnsi="Times New Roman"/>
                <w:b/>
                <w:noProof/>
              </w:rPr>
              <w:t>Mesures clés destinées à améliorer les aspects économiques et la qualité du recyclage des matières plastiques</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autorités nationales et régionales sont invitées à:</w:t>
            </w:r>
          </w:p>
          <w:p w:rsidR="001557AE" w:rsidRDefault="003315F7">
            <w:pPr>
              <w:pStyle w:val="ListParagraph"/>
              <w:numPr>
                <w:ilvl w:val="0"/>
                <w:numId w:val="3"/>
              </w:numPr>
              <w:spacing w:after="0" w:line="240" w:lineRule="auto"/>
              <w:jc w:val="left"/>
              <w:rPr>
                <w:rFonts w:ascii="Times New Roman" w:hAnsi="Times New Roman" w:cs="Times New Roman"/>
                <w:noProof/>
              </w:rPr>
            </w:pPr>
            <w:r>
              <w:rPr>
                <w:rFonts w:ascii="Times New Roman" w:hAnsi="Times New Roman"/>
                <w:noProof/>
              </w:rPr>
              <w:t xml:space="preserve">privilégier les matières plastiques réutilisables et </w:t>
            </w:r>
            <w:r>
              <w:rPr>
                <w:rFonts w:ascii="Times New Roman" w:hAnsi="Times New Roman"/>
                <w:noProof/>
              </w:rPr>
              <w:t>recyclées dans le cadre des marchés publics</w:t>
            </w:r>
          </w:p>
          <w:p w:rsidR="001557AE" w:rsidRDefault="003315F7">
            <w:pPr>
              <w:pStyle w:val="ListParagraph"/>
              <w:numPr>
                <w:ilvl w:val="0"/>
                <w:numId w:val="3"/>
              </w:numPr>
              <w:spacing w:after="0" w:line="240" w:lineRule="auto"/>
              <w:jc w:val="left"/>
              <w:rPr>
                <w:rFonts w:ascii="Times New Roman" w:hAnsi="Times New Roman" w:cs="Times New Roman"/>
                <w:noProof/>
              </w:rPr>
            </w:pPr>
            <w:r>
              <w:rPr>
                <w:rFonts w:ascii="Times New Roman" w:hAnsi="Times New Roman"/>
                <w:noProof/>
              </w:rPr>
              <w:t>faire un meilleur usage de la fiscalité et d’autres instruments économiques pour:</w:t>
            </w:r>
          </w:p>
          <w:p w:rsidR="001557AE" w:rsidRDefault="003315F7">
            <w:pPr>
              <w:pStyle w:val="ListParagraph"/>
              <w:numPr>
                <w:ilvl w:val="0"/>
                <w:numId w:val="10"/>
              </w:numPr>
              <w:spacing w:after="0" w:line="240" w:lineRule="auto"/>
              <w:jc w:val="left"/>
              <w:rPr>
                <w:rFonts w:ascii="Times New Roman" w:hAnsi="Times New Roman" w:cs="Times New Roman"/>
                <w:noProof/>
              </w:rPr>
            </w:pPr>
            <w:r>
              <w:rPr>
                <w:rFonts w:ascii="Times New Roman" w:hAnsi="Times New Roman"/>
                <w:noProof/>
              </w:rPr>
              <w:t>récompenser l’utilisation de matières plastiques recyclées et favoriser le réemploi et le recyclage plutôt que la mise en décharge</w:t>
            </w:r>
            <w:r>
              <w:rPr>
                <w:rFonts w:ascii="Times New Roman" w:hAnsi="Times New Roman"/>
                <w:noProof/>
              </w:rPr>
              <w:t xml:space="preserve"> et l’incinération</w:t>
            </w:r>
          </w:p>
          <w:p w:rsidR="001557AE" w:rsidRDefault="003315F7">
            <w:pPr>
              <w:pStyle w:val="ListParagraph"/>
              <w:numPr>
                <w:ilvl w:val="0"/>
                <w:numId w:val="10"/>
              </w:numPr>
              <w:spacing w:after="0" w:line="240" w:lineRule="auto"/>
              <w:jc w:val="left"/>
              <w:rPr>
                <w:rFonts w:ascii="Times New Roman" w:hAnsi="Times New Roman" w:cs="Times New Roman"/>
                <w:noProof/>
              </w:rPr>
            </w:pPr>
            <w:r>
              <w:rPr>
                <w:rFonts w:ascii="Times New Roman" w:hAnsi="Times New Roman"/>
                <w:noProof/>
              </w:rPr>
              <w:t>intensifier la collecte sélective des déchets plastiques et améliorer les modalités de cette collecte</w:t>
            </w:r>
          </w:p>
          <w:p w:rsidR="001557AE" w:rsidRDefault="003315F7">
            <w:pPr>
              <w:pStyle w:val="ListParagraph"/>
              <w:numPr>
                <w:ilvl w:val="0"/>
                <w:numId w:val="3"/>
              </w:numPr>
              <w:spacing w:after="0" w:line="240" w:lineRule="auto"/>
              <w:jc w:val="left"/>
              <w:rPr>
                <w:rFonts w:ascii="Times New Roman" w:hAnsi="Times New Roman" w:cs="Times New Roman"/>
                <w:noProof/>
              </w:rPr>
            </w:pPr>
            <w:r>
              <w:rPr>
                <w:rFonts w:ascii="Times New Roman" w:hAnsi="Times New Roman"/>
                <w:noProof/>
              </w:rPr>
              <w:t xml:space="preserve">mettre en place des régimes de responsabilité élargie des producteurs et/ou des systèmes de consigne bien conçus, en concertation avec </w:t>
            </w:r>
            <w:r>
              <w:rPr>
                <w:rFonts w:ascii="Times New Roman" w:hAnsi="Times New Roman"/>
                <w:noProof/>
              </w:rPr>
              <w:t>les secteurs concernés</w:t>
            </w:r>
          </w:p>
          <w:p w:rsidR="001557AE" w:rsidRDefault="003315F7">
            <w:pPr>
              <w:pStyle w:val="ListParagraph"/>
              <w:numPr>
                <w:ilvl w:val="0"/>
                <w:numId w:val="3"/>
              </w:numPr>
              <w:spacing w:after="0" w:line="240" w:lineRule="auto"/>
              <w:jc w:val="left"/>
              <w:rPr>
                <w:rFonts w:ascii="Times New Roman" w:hAnsi="Times New Roman" w:cs="Times New Roman"/>
                <w:noProof/>
              </w:rPr>
            </w:pPr>
            <w:r>
              <w:rPr>
                <w:rFonts w:ascii="Times New Roman" w:hAnsi="Times New Roman"/>
                <w:noProof/>
              </w:rPr>
              <w:t>prendre des engagements non contraignants pour soutenir les objectifs de la stratégie, notamment en ce qui concerne l’utilisation de matières plastiques recyclées</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entreprises des secteurs concernés sont invitées à:</w:t>
            </w:r>
          </w:p>
          <w:p w:rsidR="001557AE" w:rsidRDefault="003315F7">
            <w:pPr>
              <w:pStyle w:val="ListParagraph"/>
              <w:numPr>
                <w:ilvl w:val="0"/>
                <w:numId w:val="2"/>
              </w:numPr>
              <w:spacing w:after="0" w:line="240" w:lineRule="auto"/>
              <w:jc w:val="left"/>
              <w:rPr>
                <w:rFonts w:ascii="Times New Roman" w:hAnsi="Times New Roman" w:cs="Times New Roman"/>
                <w:noProof/>
              </w:rPr>
            </w:pPr>
            <w:r>
              <w:rPr>
                <w:rFonts w:ascii="Times New Roman" w:hAnsi="Times New Roman"/>
                <w:noProof/>
              </w:rPr>
              <w:t>prendre des m</w:t>
            </w:r>
            <w:r>
              <w:rPr>
                <w:rFonts w:ascii="Times New Roman" w:hAnsi="Times New Roman"/>
                <w:noProof/>
              </w:rPr>
              <w:t>esures concrètes pour renforcer le dialogue et la coopération tout au long de la chaîne de valeur, en particulier en ce qui concerne les aspects liés à la conception des matériaux et des produits</w:t>
            </w:r>
          </w:p>
          <w:p w:rsidR="001557AE" w:rsidRDefault="003315F7">
            <w:pPr>
              <w:pStyle w:val="ListParagraph"/>
              <w:numPr>
                <w:ilvl w:val="0"/>
                <w:numId w:val="2"/>
              </w:numPr>
              <w:spacing w:after="0" w:line="240" w:lineRule="auto"/>
              <w:jc w:val="left"/>
              <w:rPr>
                <w:rFonts w:ascii="Times New Roman" w:hAnsi="Times New Roman" w:cs="Times New Roman"/>
                <w:noProof/>
              </w:rPr>
            </w:pPr>
            <w:r>
              <w:rPr>
                <w:rFonts w:ascii="Times New Roman" w:hAnsi="Times New Roman"/>
                <w:noProof/>
              </w:rPr>
              <w:t xml:space="preserve">prendre des engagements non contraignants pour soutenir les </w:t>
            </w:r>
            <w:r>
              <w:rPr>
                <w:rFonts w:ascii="Times New Roman" w:hAnsi="Times New Roman"/>
                <w:noProof/>
              </w:rPr>
              <w:t>objectifs de la stratégie, notamment en ce qui concerne l’utilisation de matières plastiques recyclées</w:t>
            </w:r>
          </w:p>
        </w:tc>
      </w:tr>
      <w:tr w:rsidR="001557AE">
        <w:trPr>
          <w:trHeight w:val="168"/>
        </w:trPr>
        <w:tc>
          <w:tcPr>
            <w:tcW w:w="9288" w:type="dxa"/>
            <w:shd w:val="clear" w:color="auto" w:fill="A6A6A6" w:themeFill="background1" w:themeFillShade="A6"/>
          </w:tcPr>
          <w:p w:rsidR="001557AE" w:rsidRDefault="003315F7">
            <w:pPr>
              <w:spacing w:line="240" w:lineRule="auto"/>
              <w:jc w:val="left"/>
              <w:rPr>
                <w:rFonts w:ascii="Times New Roman" w:eastAsia="Calibri" w:hAnsi="Times New Roman" w:cs="Times New Roman"/>
                <w:b/>
                <w:noProof/>
              </w:rPr>
            </w:pPr>
            <w:r>
              <w:rPr>
                <w:rFonts w:ascii="Times New Roman" w:hAnsi="Times New Roman"/>
                <w:b/>
                <w:noProof/>
              </w:rPr>
              <w:t>Mesures clés destinées à réduire les déchets plastiques et les dépôts sauvages</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autorités nationales et régionales sont invitées à:</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sensibiliser l’o</w:t>
            </w:r>
            <w:r>
              <w:rPr>
                <w:rFonts w:ascii="Times New Roman" w:hAnsi="Times New Roman"/>
                <w:noProof/>
              </w:rPr>
              <w:t xml:space="preserve">pinion à la question des dépôts sauvages et envisager l’instauration d’amendes lorsqu’elles n’existent pas déjà; promouvoir les activités de nettoyage des plages </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intensifier la collecte des déchets, en particulier près des côtes, et renforcer la coordinat</w:t>
            </w:r>
            <w:r>
              <w:rPr>
                <w:rFonts w:ascii="Times New Roman" w:hAnsi="Times New Roman"/>
                <w:noProof/>
              </w:rPr>
              <w:t>ion entre les autorités responsables de la gestion des déchets, de la protection des eaux et du milieu marin</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intensifier les efforts visant à éradiquer les décharges illégales et non conformes</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mettre au point une surveillance nationale des déchets marins r</w:t>
            </w:r>
            <w:r>
              <w:rPr>
                <w:rFonts w:ascii="Times New Roman" w:hAnsi="Times New Roman"/>
                <w:noProof/>
              </w:rPr>
              <w:t xml:space="preserve">eposant sur des méthodes harmonisées à l’échelle de l’UE </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conclure des conventions maritimes régionales, afin notamment d’élaborer des plans régionaux de lutte contre les déchets marins</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 xml:space="preserve">envisager la mise en place de régimes de responsabilité élargie des </w:t>
            </w:r>
            <w:r>
              <w:rPr>
                <w:rFonts w:ascii="Times New Roman" w:hAnsi="Times New Roman"/>
                <w:noProof/>
              </w:rPr>
              <w:t>producteurs, en particulier pour encourager la collecte des engins de pêche mis au rebut et le recyclage des matières plastiques utilisées pour les applications agricoles</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envisager la mise en place de systèmes de consigne, en particulier pour les récipient</w:t>
            </w:r>
            <w:r>
              <w:rPr>
                <w:rFonts w:ascii="Times New Roman" w:hAnsi="Times New Roman"/>
                <w:noProof/>
              </w:rPr>
              <w:t>s à boissons</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entreprises des secteurs concernés sont invitées à:</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 xml:space="preserve">privilégier les solutions disponibles pour remplacer les articles en plastique à usage unique (par exemple dans la restauration et les établissements proposant des plats à emporter) </w:t>
            </w:r>
            <w:r>
              <w:rPr>
                <w:rFonts w:ascii="Times New Roman" w:hAnsi="Times New Roman"/>
                <w:noProof/>
              </w:rPr>
              <w:t>lorsque ces solutions sont plus écologiques</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chercher à conclure et à mettre en œuvre des accords interprofessionnels visant à réduire le rejet de microplastiques dans l’environnement</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mettre en place des mesures visant à éviter la dispersion de granulés pla</w:t>
            </w:r>
            <w:r>
              <w:rPr>
                <w:rFonts w:ascii="Times New Roman" w:hAnsi="Times New Roman"/>
                <w:noProof/>
              </w:rPr>
              <w:t>stiques</w:t>
            </w:r>
          </w:p>
        </w:tc>
      </w:tr>
      <w:tr w:rsidR="001557AE">
        <w:tc>
          <w:tcPr>
            <w:tcW w:w="9288" w:type="dxa"/>
            <w:shd w:val="clear" w:color="auto" w:fill="A6A6A6" w:themeFill="background1" w:themeFillShade="A6"/>
          </w:tcPr>
          <w:p w:rsidR="001557AE" w:rsidRDefault="003315F7">
            <w:pPr>
              <w:spacing w:line="240" w:lineRule="auto"/>
              <w:jc w:val="left"/>
              <w:rPr>
                <w:rFonts w:ascii="Times New Roman" w:eastAsia="Calibri" w:hAnsi="Times New Roman" w:cs="Times New Roman"/>
                <w:b/>
                <w:noProof/>
              </w:rPr>
            </w:pPr>
            <w:r>
              <w:rPr>
                <w:rFonts w:ascii="Times New Roman" w:eastAsiaTheme="minorHAnsi" w:hAnsi="Times New Roman"/>
                <w:b/>
                <w:noProof/>
              </w:rPr>
              <w:t>Mesures clés destinées à diriger l’investissement et l’innovation vers des solutions circulaires</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autorités nationales, régionales et locales sont invitées à:</w:t>
            </w:r>
          </w:p>
          <w:p w:rsidR="001557AE" w:rsidRDefault="003315F7">
            <w:pPr>
              <w:numPr>
                <w:ilvl w:val="0"/>
                <w:numId w:val="4"/>
              </w:numPr>
              <w:spacing w:line="240" w:lineRule="auto"/>
              <w:ind w:left="360"/>
              <w:contextualSpacing/>
              <w:jc w:val="left"/>
              <w:rPr>
                <w:rFonts w:ascii="Times New Roman" w:hAnsi="Times New Roman" w:cs="Times New Roman"/>
                <w:noProof/>
              </w:rPr>
            </w:pPr>
            <w:r>
              <w:rPr>
                <w:rFonts w:ascii="Times New Roman" w:hAnsi="Times New Roman"/>
                <w:noProof/>
              </w:rPr>
              <w:t>faire un meilleur usage des instruments économiques, plus particulièrement pour accr</w:t>
            </w:r>
            <w:r>
              <w:rPr>
                <w:rFonts w:ascii="Times New Roman" w:hAnsi="Times New Roman"/>
                <w:noProof/>
              </w:rPr>
              <w:t>oître le coût de la mise en décharge et de l’incinération et promouvoir le recyclage et la prévention des déchets plastiques</w:t>
            </w:r>
          </w:p>
          <w:p w:rsidR="001557AE" w:rsidRDefault="003315F7">
            <w:pPr>
              <w:numPr>
                <w:ilvl w:val="0"/>
                <w:numId w:val="4"/>
              </w:numPr>
              <w:spacing w:line="240" w:lineRule="auto"/>
              <w:ind w:left="360"/>
              <w:contextualSpacing/>
              <w:jc w:val="left"/>
              <w:rPr>
                <w:rFonts w:ascii="Times New Roman" w:hAnsi="Times New Roman" w:cs="Times New Roman"/>
                <w:noProof/>
              </w:rPr>
            </w:pPr>
            <w:r>
              <w:rPr>
                <w:rFonts w:ascii="Times New Roman" w:hAnsi="Times New Roman"/>
                <w:noProof/>
              </w:rPr>
              <w:t>avoir davantage recours aux marchés publics et au financement public pour soutenir la prévention des déchets plastiques et le recyc</w:t>
            </w:r>
            <w:r>
              <w:rPr>
                <w:rFonts w:ascii="Times New Roman" w:hAnsi="Times New Roman"/>
                <w:noProof/>
              </w:rPr>
              <w:t>lage des matières plastiques</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entreprises des secteurs concernés sont invitées à:</w:t>
            </w:r>
          </w:p>
          <w:p w:rsidR="001557AE" w:rsidRDefault="003315F7">
            <w:pPr>
              <w:numPr>
                <w:ilvl w:val="0"/>
                <w:numId w:val="4"/>
              </w:numPr>
              <w:spacing w:line="240" w:lineRule="auto"/>
              <w:ind w:left="360"/>
              <w:contextualSpacing/>
              <w:jc w:val="left"/>
              <w:rPr>
                <w:rFonts w:ascii="Times New Roman" w:hAnsi="Times New Roman" w:cs="Times New Roman"/>
                <w:noProof/>
              </w:rPr>
            </w:pPr>
            <w:r>
              <w:rPr>
                <w:rFonts w:ascii="Times New Roman" w:hAnsi="Times New Roman"/>
                <w:noProof/>
              </w:rPr>
              <w:t>renforcer les investissements dans les infrastructures et la R&amp;D dans les domaines en rapport direct avec la réalisation des objectifs de la stratégie</w:t>
            </w:r>
          </w:p>
          <w:p w:rsidR="001557AE" w:rsidRDefault="003315F7">
            <w:pPr>
              <w:numPr>
                <w:ilvl w:val="0"/>
                <w:numId w:val="4"/>
              </w:numPr>
              <w:spacing w:line="240" w:lineRule="auto"/>
              <w:ind w:left="360"/>
              <w:contextualSpacing/>
              <w:jc w:val="left"/>
              <w:rPr>
                <w:rFonts w:ascii="Times New Roman" w:hAnsi="Times New Roman" w:cs="Times New Roman"/>
                <w:noProof/>
              </w:rPr>
            </w:pPr>
            <w:r>
              <w:rPr>
                <w:rFonts w:ascii="Times New Roman" w:hAnsi="Times New Roman"/>
                <w:noProof/>
              </w:rPr>
              <w:t xml:space="preserve">contribuer aux </w:t>
            </w:r>
            <w:r>
              <w:rPr>
                <w:rFonts w:ascii="Times New Roman" w:hAnsi="Times New Roman"/>
                <w:noProof/>
              </w:rPr>
              <w:t>travaux concernant la mise en place d’un fonds d’investissement privé destiné à compenser les effets externes sur l’environnement de la production de matières plastiques</w:t>
            </w:r>
          </w:p>
        </w:tc>
      </w:tr>
      <w:tr w:rsidR="001557AE">
        <w:tc>
          <w:tcPr>
            <w:tcW w:w="9288" w:type="dxa"/>
            <w:shd w:val="clear" w:color="auto" w:fill="A6A6A6" w:themeFill="background1" w:themeFillShade="A6"/>
          </w:tcPr>
          <w:p w:rsidR="001557AE" w:rsidRDefault="003315F7">
            <w:pPr>
              <w:spacing w:line="240" w:lineRule="auto"/>
              <w:jc w:val="left"/>
              <w:rPr>
                <w:rFonts w:ascii="Times New Roman" w:hAnsi="Times New Roman" w:cs="Times New Roman"/>
                <w:b/>
                <w:noProof/>
              </w:rPr>
            </w:pPr>
            <w:r>
              <w:rPr>
                <w:rFonts w:ascii="Times New Roman" w:hAnsi="Times New Roman"/>
                <w:b/>
                <w:noProof/>
              </w:rPr>
              <w:t>Mesures clés destinées à tirer parti de l’action menée au niveau mondial</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autorit</w:t>
            </w:r>
            <w:r>
              <w:rPr>
                <w:rFonts w:ascii="Times New Roman" w:hAnsi="Times New Roman"/>
                <w:b/>
                <w:noProof/>
                <w:color w:val="000000"/>
              </w:rPr>
              <w:t>és nationales et régionales, y compris des pays tiers, sont invitées à:</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prendre part aux discussions menées dans les enceintes internationales en vue d’élaborer une réponse mondiale au problème de l’augmentation des déchets marins</w:t>
            </w:r>
          </w:p>
          <w:p w:rsidR="001557AE" w:rsidRDefault="003315F7">
            <w:pPr>
              <w:numPr>
                <w:ilvl w:val="0"/>
                <w:numId w:val="1"/>
              </w:numPr>
              <w:spacing w:line="240" w:lineRule="auto"/>
              <w:contextualSpacing/>
              <w:jc w:val="left"/>
              <w:rPr>
                <w:rFonts w:ascii="Times New Roman" w:hAnsi="Times New Roman" w:cs="Times New Roman"/>
                <w:noProof/>
              </w:rPr>
            </w:pPr>
            <w:r>
              <w:rPr>
                <w:rFonts w:ascii="Times New Roman" w:hAnsi="Times New Roman"/>
                <w:noProof/>
              </w:rPr>
              <w:t>prendre des mesures au ni</w:t>
            </w:r>
            <w:r>
              <w:rPr>
                <w:rFonts w:ascii="Times New Roman" w:hAnsi="Times New Roman"/>
                <w:noProof/>
              </w:rPr>
              <w:t>veau national pour réduire les rejets de plastique dans l’environnement, éviter les déchets plastiques et accroître le recyclage</w:t>
            </w:r>
          </w:p>
        </w:tc>
      </w:tr>
      <w:tr w:rsidR="001557AE">
        <w:tc>
          <w:tcPr>
            <w:tcW w:w="9288" w:type="dxa"/>
          </w:tcPr>
          <w:p w:rsidR="001557AE" w:rsidRDefault="003315F7">
            <w:pPr>
              <w:spacing w:after="0" w:line="240" w:lineRule="auto"/>
              <w:jc w:val="left"/>
              <w:rPr>
                <w:rFonts w:ascii="Times New Roman" w:eastAsia="Times New Roman" w:hAnsi="Times New Roman" w:cs="Times New Roman"/>
                <w:b/>
                <w:noProof/>
                <w:color w:val="000000"/>
              </w:rPr>
            </w:pPr>
            <w:r>
              <w:rPr>
                <w:rFonts w:ascii="Times New Roman" w:hAnsi="Times New Roman"/>
                <w:b/>
                <w:noProof/>
                <w:color w:val="000000"/>
              </w:rPr>
              <w:t>Les entreprises des secteurs concernés sont invitées à:</w:t>
            </w:r>
          </w:p>
          <w:p w:rsidR="001557AE" w:rsidRDefault="003315F7">
            <w:pPr>
              <w:numPr>
                <w:ilvl w:val="0"/>
                <w:numId w:val="1"/>
              </w:numPr>
              <w:spacing w:line="240" w:lineRule="auto"/>
              <w:contextualSpacing/>
              <w:jc w:val="left"/>
              <w:rPr>
                <w:rFonts w:ascii="Times New Roman" w:hAnsi="Times New Roman" w:cs="Times New Roman"/>
                <w:b/>
                <w:noProof/>
              </w:rPr>
            </w:pPr>
            <w:r>
              <w:rPr>
                <w:rFonts w:ascii="Times New Roman" w:hAnsi="Times New Roman"/>
                <w:noProof/>
              </w:rPr>
              <w:t xml:space="preserve">soutenir activement la création d’une économie circulaire intégrée et </w:t>
            </w:r>
            <w:r>
              <w:rPr>
                <w:rFonts w:ascii="Times New Roman" w:hAnsi="Times New Roman"/>
                <w:noProof/>
              </w:rPr>
              <w:t>transfrontière des matières plastiques, notamment par la mise en place d’un protocole mondial pour les matières plastiques</w:t>
            </w:r>
          </w:p>
        </w:tc>
      </w:tr>
    </w:tbl>
    <w:p w:rsidR="001557AE" w:rsidRDefault="001557AE">
      <w:pPr>
        <w:rPr>
          <w:rFonts w:eastAsia="Calibri"/>
          <w:noProof/>
        </w:rPr>
      </w:pPr>
    </w:p>
    <w:p w:rsidR="001557AE" w:rsidRDefault="003315F7">
      <w:pPr>
        <w:rPr>
          <w:rFonts w:eastAsia="Calibri"/>
          <w:noProof/>
        </w:rPr>
      </w:pPr>
      <w:r>
        <w:rPr>
          <w:rFonts w:eastAsia="Calibri"/>
          <w:noProof/>
        </w:rPr>
        <w:br w:type="page"/>
      </w:r>
    </w:p>
    <w:p w:rsidR="001557AE" w:rsidRDefault="003315F7">
      <w:pPr>
        <w:jc w:val="center"/>
        <w:rPr>
          <w:rFonts w:ascii="Times New Roman" w:eastAsia="Calibri" w:hAnsi="Times New Roman" w:cs="Times New Roman"/>
          <w:b/>
          <w:noProof/>
          <w:sz w:val="24"/>
          <w:szCs w:val="22"/>
        </w:rPr>
      </w:pPr>
      <w:r>
        <w:rPr>
          <w:rFonts w:ascii="Times New Roman" w:hAnsi="Times New Roman"/>
          <w:b/>
          <w:noProof/>
          <w:sz w:val="24"/>
        </w:rPr>
        <w:t>ANNEXE III</w:t>
      </w:r>
    </w:p>
    <w:p w:rsidR="001557AE" w:rsidRDefault="003315F7">
      <w:pPr>
        <w:jc w:val="center"/>
        <w:rPr>
          <w:rFonts w:ascii="Times New Roman" w:eastAsia="Calibri" w:hAnsi="Times New Roman" w:cs="Times New Roman"/>
          <w:b/>
          <w:noProof/>
          <w:sz w:val="24"/>
          <w:szCs w:val="22"/>
        </w:rPr>
      </w:pPr>
      <w:r>
        <w:rPr>
          <w:rFonts w:ascii="Times New Roman" w:hAnsi="Times New Roman"/>
          <w:b/>
          <w:noProof/>
          <w:sz w:val="24"/>
        </w:rPr>
        <w:t>Campagne d’engagements</w:t>
      </w:r>
    </w:p>
    <w:p w:rsidR="001557AE" w:rsidRDefault="003315F7">
      <w:pPr>
        <w:numPr>
          <w:ilvl w:val="0"/>
          <w:numId w:val="5"/>
        </w:numPr>
        <w:contextualSpacing/>
        <w:rPr>
          <w:rFonts w:ascii="Times New Roman" w:eastAsia="Calibri" w:hAnsi="Times New Roman" w:cs="Times New Roman"/>
          <w:b/>
          <w:noProof/>
          <w:sz w:val="24"/>
          <w:szCs w:val="22"/>
        </w:rPr>
      </w:pPr>
      <w:r>
        <w:rPr>
          <w:rFonts w:ascii="Times New Roman" w:hAnsi="Times New Roman"/>
          <w:noProof/>
          <w:sz w:val="24"/>
        </w:rPr>
        <w:t>La Commission européenne invite les parties intéressées à formuler des engagements non contraignants visant à stimuler l’utilisation de matières plastiques recyclées. L’objectif est de faire en sorte que, d’ici à 2025, dix millions de tonnes de matières pl</w:t>
      </w:r>
      <w:r>
        <w:rPr>
          <w:rFonts w:ascii="Times New Roman" w:hAnsi="Times New Roman"/>
          <w:noProof/>
          <w:sz w:val="24"/>
        </w:rPr>
        <w:t xml:space="preserve">astiques recyclées soient intégrées dans de nouveaux produits mis sur le marché de l’UE.  </w:t>
      </w:r>
    </w:p>
    <w:p w:rsidR="001557AE" w:rsidRDefault="001557AE">
      <w:pPr>
        <w:ind w:left="720"/>
        <w:contextualSpacing/>
        <w:rPr>
          <w:rFonts w:ascii="Times New Roman" w:eastAsia="Calibri" w:hAnsi="Times New Roman" w:cs="Times New Roman"/>
          <w:b/>
          <w:noProof/>
          <w:sz w:val="24"/>
          <w:szCs w:val="22"/>
        </w:rPr>
      </w:pPr>
    </w:p>
    <w:p w:rsidR="001557AE" w:rsidRDefault="003315F7">
      <w:pPr>
        <w:numPr>
          <w:ilvl w:val="0"/>
          <w:numId w:val="5"/>
        </w:numPr>
        <w:contextualSpacing/>
        <w:rPr>
          <w:rFonts w:ascii="Times New Roman" w:eastAsia="Calibri" w:hAnsi="Times New Roman" w:cs="Times New Roman"/>
          <w:noProof/>
          <w:sz w:val="24"/>
          <w:szCs w:val="22"/>
        </w:rPr>
      </w:pPr>
      <w:r>
        <w:rPr>
          <w:rFonts w:ascii="Times New Roman" w:hAnsi="Times New Roman"/>
          <w:noProof/>
          <w:sz w:val="24"/>
        </w:rPr>
        <w:t xml:space="preserve">Les entreprises et/ou associations professionnelles intéressées ont jusqu’au </w:t>
      </w:r>
      <w:r>
        <w:rPr>
          <w:rFonts w:ascii="Times New Roman" w:hAnsi="Times New Roman"/>
          <w:i/>
          <w:noProof/>
          <w:sz w:val="24"/>
        </w:rPr>
        <w:t>30 juin 2018</w:t>
      </w:r>
      <w:r>
        <w:rPr>
          <w:rFonts w:ascii="Times New Roman" w:hAnsi="Times New Roman"/>
          <w:noProof/>
          <w:sz w:val="24"/>
        </w:rPr>
        <w:t xml:space="preserve"> pour soumettre leurs engagements à l’adresse électronique suivante: </w:t>
      </w:r>
      <w:r>
        <w:rPr>
          <w:rFonts w:ascii="Times New Roman" w:hAnsi="Times New Roman"/>
          <w:i/>
          <w:noProof/>
          <w:sz w:val="24"/>
        </w:rPr>
        <w:t>GROW-E</w:t>
      </w:r>
      <w:r>
        <w:rPr>
          <w:rFonts w:ascii="Times New Roman" w:hAnsi="Times New Roman"/>
          <w:i/>
          <w:noProof/>
          <w:sz w:val="24"/>
        </w:rPr>
        <w:t>NV-RPLASTICS-PLEDGE@ec.europa.eu</w:t>
      </w:r>
    </w:p>
    <w:p w:rsidR="001557AE" w:rsidRDefault="001557AE">
      <w:pPr>
        <w:ind w:left="720"/>
        <w:contextualSpacing/>
        <w:rPr>
          <w:rFonts w:ascii="Times New Roman" w:eastAsia="Calibri" w:hAnsi="Times New Roman" w:cs="Times New Roman"/>
          <w:noProof/>
          <w:sz w:val="24"/>
          <w:szCs w:val="22"/>
        </w:rPr>
      </w:pPr>
    </w:p>
    <w:p w:rsidR="001557AE" w:rsidRDefault="003315F7">
      <w:pPr>
        <w:numPr>
          <w:ilvl w:val="0"/>
          <w:numId w:val="5"/>
        </w:numPr>
        <w:contextualSpacing/>
        <w:rPr>
          <w:rFonts w:ascii="Times New Roman" w:eastAsia="Calibri" w:hAnsi="Times New Roman" w:cs="Times New Roman"/>
          <w:noProof/>
          <w:sz w:val="24"/>
          <w:szCs w:val="22"/>
        </w:rPr>
      </w:pPr>
      <w:r>
        <w:rPr>
          <w:rFonts w:ascii="Times New Roman" w:hAnsi="Times New Roman"/>
          <w:noProof/>
          <w:sz w:val="24"/>
        </w:rPr>
        <w:t xml:space="preserve">Lors de l’envoi de leurs engagements, les parties intéressées sont priées de fournir à la Commission des données illustrant en quoi leur engagement contribue à la réalisation de l’objectif quantitatif fixé au point 1. Ces </w:t>
      </w:r>
      <w:r>
        <w:rPr>
          <w:rFonts w:ascii="Times New Roman" w:hAnsi="Times New Roman"/>
          <w:noProof/>
          <w:sz w:val="24"/>
        </w:rPr>
        <w:t>données seront traitées de manière confidentielle et seront utilisées aux seules fins du suivi des progrès généraux sur la voie de la réalisation de l’objectif quantitatif. Les engagements seront soumis à un contrôle de qualité et évalués au regard de leur</w:t>
      </w:r>
      <w:r>
        <w:rPr>
          <w:rFonts w:ascii="Times New Roman" w:hAnsi="Times New Roman"/>
          <w:noProof/>
          <w:sz w:val="24"/>
        </w:rPr>
        <w:t xml:space="preserve"> fiabilité et de la capacité des parties concernées à respecter les délais annoncés.</w:t>
      </w:r>
    </w:p>
    <w:p w:rsidR="001557AE" w:rsidRDefault="001557AE">
      <w:pPr>
        <w:ind w:left="720"/>
        <w:contextualSpacing/>
        <w:rPr>
          <w:rFonts w:ascii="Times New Roman" w:eastAsia="Calibri" w:hAnsi="Times New Roman" w:cs="Times New Roman"/>
          <w:noProof/>
          <w:sz w:val="24"/>
          <w:szCs w:val="22"/>
        </w:rPr>
      </w:pPr>
    </w:p>
    <w:p w:rsidR="001557AE" w:rsidRDefault="003315F7">
      <w:pPr>
        <w:numPr>
          <w:ilvl w:val="0"/>
          <w:numId w:val="5"/>
        </w:numPr>
        <w:contextualSpacing/>
        <w:rPr>
          <w:rFonts w:ascii="Times New Roman" w:eastAsia="Calibri" w:hAnsi="Times New Roman" w:cs="Times New Roman"/>
          <w:noProof/>
          <w:sz w:val="24"/>
          <w:szCs w:val="22"/>
        </w:rPr>
      </w:pPr>
      <w:r>
        <w:rPr>
          <w:rFonts w:ascii="Times New Roman" w:hAnsi="Times New Roman"/>
          <w:noProof/>
          <w:sz w:val="24"/>
        </w:rPr>
        <w:t>Lors de l’envoi de leurs engagements en faveur de l’utilisation de matières plastiques recyclées, il est loisible aux parties intéressées de formuler des engagements port</w:t>
      </w:r>
      <w:r>
        <w:rPr>
          <w:rFonts w:ascii="Times New Roman" w:hAnsi="Times New Roman"/>
          <w:noProof/>
          <w:sz w:val="24"/>
        </w:rPr>
        <w:t>ant sur d’autres aspects pertinents pour la stratégie, comme la conception dans l’optique de la recyclabilité.</w:t>
      </w:r>
    </w:p>
    <w:p w:rsidR="001557AE" w:rsidRDefault="001557AE">
      <w:pPr>
        <w:ind w:left="720"/>
        <w:contextualSpacing/>
        <w:rPr>
          <w:rFonts w:ascii="Times New Roman" w:eastAsia="Calibri" w:hAnsi="Times New Roman" w:cs="Times New Roman"/>
          <w:noProof/>
          <w:sz w:val="24"/>
          <w:szCs w:val="22"/>
        </w:rPr>
      </w:pPr>
    </w:p>
    <w:p w:rsidR="001557AE" w:rsidRDefault="003315F7">
      <w:pPr>
        <w:numPr>
          <w:ilvl w:val="0"/>
          <w:numId w:val="5"/>
        </w:numPr>
        <w:contextualSpacing/>
        <w:rPr>
          <w:rFonts w:ascii="Times New Roman" w:eastAsia="Calibri" w:hAnsi="Times New Roman" w:cs="Times New Roman"/>
          <w:noProof/>
          <w:sz w:val="24"/>
          <w:szCs w:val="22"/>
        </w:rPr>
      </w:pPr>
      <w:r>
        <w:rPr>
          <w:rFonts w:ascii="Times New Roman" w:hAnsi="Times New Roman"/>
          <w:noProof/>
          <w:sz w:val="24"/>
        </w:rPr>
        <w:t>Les engagements reçus seront rendus publics sur une page web dédiée.</w:t>
      </w:r>
    </w:p>
    <w:p w:rsidR="001557AE" w:rsidRDefault="001557AE">
      <w:pPr>
        <w:ind w:left="720"/>
        <w:contextualSpacing/>
        <w:rPr>
          <w:rFonts w:ascii="Times New Roman" w:eastAsia="Calibri" w:hAnsi="Times New Roman" w:cs="Times New Roman"/>
          <w:noProof/>
          <w:sz w:val="24"/>
          <w:szCs w:val="22"/>
        </w:rPr>
      </w:pPr>
    </w:p>
    <w:p w:rsidR="001557AE" w:rsidRDefault="003315F7">
      <w:pPr>
        <w:numPr>
          <w:ilvl w:val="0"/>
          <w:numId w:val="5"/>
        </w:numPr>
        <w:contextualSpacing/>
        <w:rPr>
          <w:rFonts w:ascii="Times New Roman" w:eastAsia="Calibri" w:hAnsi="Times New Roman" w:cs="Times New Roman"/>
          <w:noProof/>
          <w:sz w:val="24"/>
          <w:szCs w:val="22"/>
        </w:rPr>
      </w:pPr>
      <w:r>
        <w:rPr>
          <w:rFonts w:ascii="Times New Roman" w:hAnsi="Times New Roman"/>
          <w:noProof/>
          <w:sz w:val="24"/>
        </w:rPr>
        <w:t>D’ici au 31 octobre 2018, la Commission présentera une évaluation des enga</w:t>
      </w:r>
      <w:r>
        <w:rPr>
          <w:rFonts w:ascii="Times New Roman" w:hAnsi="Times New Roman"/>
          <w:noProof/>
          <w:sz w:val="24"/>
        </w:rPr>
        <w:t>gements reçus et de leur contribution globale à l’objectif quantitatif fixé au point 1. Si cette contribution devait être jugée insuffisante, la Commission commencera à étudier d’autres possibilités, y compris une action réglementaire.</w:t>
      </w:r>
    </w:p>
    <w:p w:rsidR="001557AE" w:rsidRDefault="001557AE">
      <w:pPr>
        <w:rPr>
          <w:noProof/>
        </w:rPr>
      </w:pPr>
    </w:p>
    <w:sectPr w:rsidR="001557A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7AE" w:rsidRDefault="003315F7">
      <w:pPr>
        <w:spacing w:after="0" w:line="240" w:lineRule="auto"/>
      </w:pPr>
      <w:r>
        <w:separator/>
      </w:r>
    </w:p>
  </w:endnote>
  <w:endnote w:type="continuationSeparator" w:id="0">
    <w:p w:rsidR="001557AE" w:rsidRDefault="0033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F7" w:rsidRPr="003315F7" w:rsidRDefault="003315F7" w:rsidP="003315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F7" w:rsidRPr="003315F7" w:rsidRDefault="003315F7" w:rsidP="003315F7">
    <w:pPr>
      <w:pStyle w:val="FooterCoverPage"/>
      <w:rPr>
        <w:rFonts w:ascii="Arial" w:hAnsi="Arial" w:cs="Arial"/>
        <w:b/>
        <w:sz w:val="48"/>
      </w:rPr>
    </w:pPr>
    <w:r w:rsidRPr="003315F7">
      <w:rPr>
        <w:rFonts w:ascii="Arial" w:hAnsi="Arial" w:cs="Arial"/>
        <w:b/>
        <w:sz w:val="48"/>
      </w:rPr>
      <w:t>FR</w:t>
    </w:r>
    <w:r w:rsidRPr="003315F7">
      <w:rPr>
        <w:rFonts w:ascii="Arial" w:hAnsi="Arial" w:cs="Arial"/>
        <w:b/>
        <w:sz w:val="48"/>
      </w:rPr>
      <w:tab/>
    </w:r>
    <w:r w:rsidRPr="003315F7">
      <w:rPr>
        <w:rFonts w:ascii="Arial" w:hAnsi="Arial" w:cs="Arial"/>
        <w:b/>
        <w:sz w:val="48"/>
      </w:rPr>
      <w:tab/>
    </w:r>
    <w:r w:rsidRPr="003315F7">
      <w:tab/>
    </w:r>
    <w:r w:rsidRPr="003315F7">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F7" w:rsidRPr="003315F7" w:rsidRDefault="003315F7" w:rsidP="003315F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AE" w:rsidRDefault="001557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2871"/>
      <w:docPartObj>
        <w:docPartGallery w:val="Page Numbers (Bottom of Page)"/>
        <w:docPartUnique/>
      </w:docPartObj>
    </w:sdtPr>
    <w:sdtEndPr>
      <w:rPr>
        <w:noProof/>
      </w:rPr>
    </w:sdtEndPr>
    <w:sdtContent>
      <w:p w:rsidR="001557AE" w:rsidRDefault="003315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557AE" w:rsidRDefault="001557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AE" w:rsidRDefault="00155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7AE" w:rsidRDefault="003315F7">
      <w:pPr>
        <w:spacing w:after="0" w:line="240" w:lineRule="auto"/>
      </w:pPr>
      <w:r>
        <w:separator/>
      </w:r>
    </w:p>
  </w:footnote>
  <w:footnote w:type="continuationSeparator" w:id="0">
    <w:p w:rsidR="001557AE" w:rsidRDefault="00331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F7" w:rsidRPr="003315F7" w:rsidRDefault="003315F7" w:rsidP="00331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F7" w:rsidRPr="003315F7" w:rsidRDefault="003315F7" w:rsidP="003315F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F7" w:rsidRPr="003315F7" w:rsidRDefault="003315F7" w:rsidP="003315F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AE" w:rsidRDefault="001557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AE" w:rsidRDefault="001557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AE" w:rsidRDefault="00155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264"/>
    <w:multiLevelType w:val="hybridMultilevel"/>
    <w:tmpl w:val="DCE2727A"/>
    <w:lvl w:ilvl="0" w:tplc="0809000B">
      <w:start w:val="1"/>
      <w:numFmt w:val="bullet"/>
      <w:lvlText w:val=""/>
      <w:lvlJc w:val="left"/>
      <w:pPr>
        <w:ind w:left="720" w:hanging="360"/>
      </w:pPr>
      <w:rPr>
        <w:rFonts w:ascii="Wingdings" w:hAnsi="Wingdings" w:hint="default"/>
      </w:rPr>
    </w:lvl>
    <w:lvl w:ilvl="1" w:tplc="4E62538A">
      <w:numFmt w:val="bullet"/>
      <w:lvlText w:val="-"/>
      <w:lvlJc w:val="left"/>
      <w:pPr>
        <w:ind w:left="1440" w:hanging="360"/>
      </w:pPr>
      <w:rPr>
        <w:rFonts w:ascii="Times New Roman" w:eastAsiaTheme="minorEastAsia"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DE1C64"/>
    <w:multiLevelType w:val="hybridMultilevel"/>
    <w:tmpl w:val="16CC0704"/>
    <w:lvl w:ilvl="0" w:tplc="6CC2B07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0F125D5"/>
    <w:multiLevelType w:val="hybridMultilevel"/>
    <w:tmpl w:val="10E8EEBC"/>
    <w:lvl w:ilvl="0" w:tplc="ED9066F2">
      <w:start w:val="1"/>
      <w:numFmt w:val="bullet"/>
      <w:lvlText w:val="−"/>
      <w:lvlJc w:val="left"/>
      <w:pPr>
        <w:ind w:left="720" w:hanging="360"/>
      </w:pPr>
      <w:rPr>
        <w:rFonts w:ascii="Calibri" w:hAnsi="Calibri" w:hint="default"/>
      </w:rPr>
    </w:lvl>
    <w:lvl w:ilvl="1" w:tplc="ED9066F2">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367B34"/>
    <w:multiLevelType w:val="hybridMultilevel"/>
    <w:tmpl w:val="AAF4BF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CEB5132"/>
    <w:multiLevelType w:val="hybridMultilevel"/>
    <w:tmpl w:val="5022892A"/>
    <w:lvl w:ilvl="0" w:tplc="0809000B">
      <w:start w:val="1"/>
      <w:numFmt w:val="bullet"/>
      <w:lvlText w:val=""/>
      <w:lvlJc w:val="left"/>
      <w:pPr>
        <w:ind w:left="360" w:hanging="360"/>
      </w:pPr>
      <w:rPr>
        <w:rFonts w:ascii="Wingdings" w:hAnsi="Wingdings" w:hint="default"/>
      </w:rPr>
    </w:lvl>
    <w:lvl w:ilvl="1" w:tplc="ED9066F2">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166017A"/>
    <w:multiLevelType w:val="hybridMultilevel"/>
    <w:tmpl w:val="A5C851F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70D67CC"/>
    <w:multiLevelType w:val="hybridMultilevel"/>
    <w:tmpl w:val="B4D85C28"/>
    <w:lvl w:ilvl="0" w:tplc="ED9066F2">
      <w:start w:val="1"/>
      <w:numFmt w:val="bullet"/>
      <w:lvlText w:val="−"/>
      <w:lvlJc w:val="left"/>
      <w:pPr>
        <w:ind w:left="720" w:hanging="360"/>
      </w:pPr>
      <w:rPr>
        <w:rFonts w:ascii="Calibri" w:hAnsi="Calibri" w:hint="default"/>
      </w:rPr>
    </w:lvl>
    <w:lvl w:ilvl="1" w:tplc="ED9066F2">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D109FF"/>
    <w:multiLevelType w:val="hybridMultilevel"/>
    <w:tmpl w:val="6098399C"/>
    <w:lvl w:ilvl="0" w:tplc="ED9066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5F7A6D"/>
    <w:multiLevelType w:val="hybridMultilevel"/>
    <w:tmpl w:val="E3B670A0"/>
    <w:lvl w:ilvl="0" w:tplc="ED9066F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8C512A"/>
    <w:multiLevelType w:val="hybridMultilevel"/>
    <w:tmpl w:val="23BEA872"/>
    <w:lvl w:ilvl="0" w:tplc="ED9066F2">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CAB2202"/>
    <w:multiLevelType w:val="hybridMultilevel"/>
    <w:tmpl w:val="E182E9CE"/>
    <w:lvl w:ilvl="0" w:tplc="ED9066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AA62C3"/>
    <w:multiLevelType w:val="hybridMultilevel"/>
    <w:tmpl w:val="58286F36"/>
    <w:lvl w:ilvl="0" w:tplc="ED9066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1"/>
  </w:num>
  <w:num w:numId="9">
    <w:abstractNumId w:val="7"/>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 la"/>
    <w:docVar w:name="LW_ANNEX_NBR_FIRST" w:val="1"/>
    <w:docVar w:name="LW_ANNEX_NBR_LAST" w:val="3"/>
    <w:docVar w:name="LW_ANNEX_UNIQUE" w:val="0"/>
    <w:docVar w:name="LW_CORRIGENDUM" w:val="&lt;UNUSED&gt;"/>
    <w:docVar w:name="LW_COVERPAGE_EXISTS" w:val="True"/>
    <w:docVar w:name="LW_COVERPAGE_GUID" w:val="1F97B193-47A0-4D7B-B4B7-AAB382BEF8BC"/>
    <w:docVar w:name="LW_COVERPAGE_TYPE" w:val="1"/>
    <w:docVar w:name="LW_CROSSREFERENCE" w:val="{SWD(2018) 16 final}"/>
    <w:docVar w:name="LW_DocType" w:val="NORMAL"/>
    <w:docVar w:name="LW_EMISSION" w:val="16.1.2018"/>
    <w:docVar w:name="LW_EMISSION_ISODATE" w:val="2018-01-16"/>
    <w:docVar w:name="LW_EMISSION_LOCATION" w:val="BRX"/>
    <w:docVar w:name="LW_EMISSION_PREFIX" w:val="Bruxelles, le"/>
    <w:docVar w:name="LW_EMISSION_SUFFIX" w:val="&lt;EMPTY&gt;"/>
    <w:docVar w:name="LW_ID_DOCTYPE_NONLW" w:val="CP-039"/>
    <w:docVar w:name="LW_LANGUE" w:val="FR"/>
    <w:docVar w:name="LW_LEVEL_OF_SENSITIVITY" w:val="Standard treatment"/>
    <w:docVar w:name="LW_NOM.INST" w:val="COMMISSION EUROPÉENNE"/>
    <w:docVar w:name="LW_NOM.INST_JOINTDOC" w:val="&lt;EMPTY&gt;"/>
    <w:docVar w:name="LW_OBJETACTEPRINCIPAL.CP" w:val="Une stratégie européenne sur les matières plastiques dans une économie circulaire"/>
    <w:docVar w:name="LW_PART_NBR" w:val="&lt;UNUSED&gt;"/>
    <w:docVar w:name="LW_PART_NBR_TOTAL" w:val="&lt;UNUSED&gt;"/>
    <w:docVar w:name="LW_REF.INST.NEW" w:val="COM"/>
    <w:docVar w:name="LW_REF.INST.NEW_ADOPTED" w:val="final"/>
    <w:docVar w:name="LW_REF.INST.NEW_TEXT" w:val="(2018) 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ES_x000b_"/>
    <w:docVar w:name="LW_TYPEACTEPRINCIPAL.CP" w:val="Communication de la Commission au Parlement européen, au Conseil, au Comité économique et social européen et au Comité des régions"/>
  </w:docVars>
  <w:rsids>
    <w:rsidRoot w:val="001557AE"/>
    <w:rsid w:val="001557AE"/>
    <w:rsid w:val="0033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rFonts w:asciiTheme="minorHAnsi" w:eastAsiaTheme="minorEastAsia"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heme="minorHAnsi" w:eastAsiaTheme="minorEastAsia" w:hAnsiTheme="minorHAnsi" w:cstheme="minorBidi"/>
      <w:lang w:eastAsia="fr-FR"/>
    </w:rPr>
  </w:style>
  <w:style w:type="table" w:styleId="TableGrid">
    <w:name w:val="Table Grid"/>
    <w:basedOn w:val="TableNormal"/>
    <w:uiPriority w:val="39"/>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eastAsiaTheme="minorHAnsi" w:hAnsi="Times New Roman" w:cs="Times New Roman"/>
      <w:sz w:val="24"/>
      <w:szCs w:val="22"/>
    </w:rPr>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rPr>
      <w:rFonts w:asciiTheme="minorHAnsi" w:eastAsiaTheme="minorEastAsia" w:hAnsiTheme="minorHAnsi" w:cstheme="minorBidi"/>
      <w:lang w:eastAsia="fr-FR"/>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heme="minorHAnsi" w:eastAsiaTheme="minorEastAsia" w:hAnsiTheme="minorHAnsi" w:cstheme="minorBidi"/>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FooterCoverPageChar">
    <w:name w:val="Footer Cover Page Char"/>
    <w:basedOn w:val="DefaultParagraphFont"/>
    <w:link w:val="FooterCoverPage"/>
    <w:rPr>
      <w:rFonts w:eastAsiaTheme="minorEastAsia"/>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eastAsiaTheme="minorEastAsia"/>
      <w:b/>
      <w:sz w:val="32"/>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EastAsia"/>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eastAsiaTheme="minorEastAsia"/>
      <w:b/>
      <w:sz w:val="32"/>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heme="minorEastAsia" w:hAnsi="Tahoma" w:cs="Tahoma"/>
      <w:sz w:val="16"/>
      <w:szCs w:val="16"/>
      <w:lang w:eastAsia="fr-FR"/>
    </w:rPr>
  </w:style>
  <w:style w:type="paragraph" w:styleId="Revision">
    <w:name w:val="Revision"/>
    <w:hidden/>
    <w:uiPriority w:val="99"/>
    <w:semiHidden/>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rFonts w:asciiTheme="minorHAnsi" w:eastAsiaTheme="minorEastAsia"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heme="minorHAnsi" w:eastAsiaTheme="minorEastAsia" w:hAnsiTheme="minorHAnsi" w:cstheme="minorBidi"/>
      <w:lang w:eastAsia="fr-FR"/>
    </w:rPr>
  </w:style>
  <w:style w:type="table" w:styleId="TableGrid">
    <w:name w:val="Table Grid"/>
    <w:basedOn w:val="TableNormal"/>
    <w:uiPriority w:val="39"/>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eastAsiaTheme="minorHAnsi" w:hAnsi="Times New Roman" w:cs="Times New Roman"/>
      <w:sz w:val="24"/>
      <w:szCs w:val="22"/>
    </w:rPr>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rPr>
      <w:rFonts w:asciiTheme="minorHAnsi" w:eastAsiaTheme="minorEastAsia" w:hAnsiTheme="minorHAnsi" w:cstheme="minorBidi"/>
      <w:lang w:eastAsia="fr-FR"/>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heme="minorHAnsi" w:eastAsiaTheme="minorEastAsia" w:hAnsiTheme="minorHAnsi" w:cstheme="minorBidi"/>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FooterCoverPageChar">
    <w:name w:val="Footer Cover Page Char"/>
    <w:basedOn w:val="DefaultParagraphFont"/>
    <w:link w:val="FooterCoverPage"/>
    <w:rPr>
      <w:rFonts w:eastAsiaTheme="minorEastAsia"/>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eastAsiaTheme="minorEastAsia"/>
      <w:b/>
      <w:sz w:val="32"/>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EastAsia"/>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eastAsiaTheme="minorEastAsia"/>
      <w:b/>
      <w:sz w:val="32"/>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heme="minorEastAsia" w:hAnsi="Tahoma" w:cs="Tahoma"/>
      <w:sz w:val="16"/>
      <w:szCs w:val="16"/>
      <w:lang w:eastAsia="fr-FR"/>
    </w:rPr>
  </w:style>
  <w:style w:type="paragraph" w:styleId="Revision">
    <w:name w:val="Revision"/>
    <w:hidden/>
    <w:uiPriority w:val="99"/>
    <w:semiHidden/>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2488</Words>
  <Characters>14277</Characters>
  <Application>Microsoft Office Word</Application>
  <DocSecurity>0</DocSecurity>
  <Lines>339</Lines>
  <Paragraphs>164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Stefaan Lemmens</dc:creator>
  <cp:lastModifiedBy>Stefanie Heilemann</cp:lastModifiedBy>
  <cp:revision>13</cp:revision>
  <cp:lastPrinted>2018-01-08T14:50:00Z</cp:lastPrinted>
  <dcterms:created xsi:type="dcterms:W3CDTF">2018-01-12T13:09:00Z</dcterms:created>
  <dcterms:modified xsi:type="dcterms:W3CDTF">2018-01-16T10:44:00Z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3</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ies>
</file>