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87129517"/>
      <w:bookmarkStart w:id="1" w:name="_Toc488060477"/>
      <w:bookmarkStart w:id="2" w:name="_Toc488070186"/>
      <w:bookmarkStart w:id="3" w:name="_Toc488072993"/>
      <w:bookmarkStart w:id="4" w:name="_Toc493773067"/>
      <w:bookmarkStart w:id="5"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alt="1B3ECD5A-F24F-413B-AB0F-628190774DD3" style="width:450.75pt;height:395.25pt">
            <v:imagedata r:id="rId9" o:title=""/>
          </v:shape>
        </w:pict>
      </w:r>
    </w:p>
    <w:bookmarkEnd w:id="5"/>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fmt="lowerRoman" w:start="1"/>
          <w:cols w:space="720"/>
          <w:docGrid w:linePitch="299"/>
        </w:sect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jc w:val="center"/>
              <w:rPr>
                <w:rFonts w:eastAsiaTheme="minorHAnsi"/>
                <w:noProof/>
                <w:sz w:val="24"/>
              </w:rPr>
            </w:pPr>
            <w:bookmarkStart w:id="6" w:name="_GoBack"/>
            <w:bookmarkEnd w:id="0"/>
            <w:bookmarkEnd w:id="1"/>
            <w:bookmarkEnd w:id="2"/>
            <w:bookmarkEnd w:id="3"/>
            <w:bookmarkEnd w:id="4"/>
            <w:bookmarkEnd w:id="6"/>
            <w:r>
              <w:rPr>
                <w:rFonts w:ascii="Tahoma" w:eastAsiaTheme="minorHAnsi" w:hAnsi="Tahoma" w:cs="Tahoma"/>
                <w:b/>
                <w:noProof/>
              </w:rPr>
              <w:lastRenderedPageBreak/>
              <w:t>Executive Summary Sheet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rPr>
                <w:noProof/>
              </w:rPr>
            </w:pPr>
            <w:r>
              <w:rPr>
                <w:rFonts w:ascii="Arial" w:hAnsi="Arial" w:cs="Arial"/>
                <w:noProof/>
                <w:color w:val="FFFFFF" w:themeColor="background1"/>
              </w:rPr>
              <w:t>Impact assessment on Proposal for a Council Directive amending Directive 2006/112/EC on the common system of value added tax as regards the special scheme for small enterprises</w:t>
            </w:r>
          </w:p>
        </w:tc>
      </w:tr>
      <w:tr>
        <w:tc>
          <w:tcPr>
            <w:tcW w:w="10188" w:type="dxa"/>
            <w:tcBorders>
              <w:bottom w:val="single" w:sz="4" w:space="0" w:color="auto"/>
            </w:tcBorders>
            <w:shd w:val="clear" w:color="auto" w:fill="CCCCCC"/>
          </w:tcPr>
          <w:p>
            <w:pPr>
              <w:spacing w:before="60" w:after="60"/>
              <w:jc w:val="center"/>
              <w:rPr>
                <w:rFonts w:ascii="Tahoma" w:hAnsi="Tahoma" w:cs="Tahoma"/>
                <w:b/>
                <w:noProof/>
              </w:rPr>
            </w:pPr>
            <w:r>
              <w:rPr>
                <w:rFonts w:ascii="Tahoma" w:hAnsi="Tahoma" w:cs="Tahoma"/>
                <w:b/>
                <w:noProof/>
              </w:rPr>
              <w:t>A. Need for action</w:t>
            </w:r>
          </w:p>
        </w:tc>
      </w:tr>
      <w:tr>
        <w:tc>
          <w:tcPr>
            <w:tcW w:w="10188" w:type="dxa"/>
            <w:tcBorders>
              <w:bottom w:val="single" w:sz="4" w:space="0" w:color="auto"/>
            </w:tcBorders>
            <w:shd w:val="clear" w:color="auto" w:fill="E0E0E0"/>
          </w:tcPr>
          <w:p>
            <w:pPr>
              <w:spacing w:before="60" w:after="60"/>
              <w:jc w:val="both"/>
              <w:rPr>
                <w:rFonts w:ascii="Tahoma" w:hAnsi="Tahoma" w:cs="Tahoma"/>
                <w:noProof/>
              </w:rPr>
            </w:pPr>
            <w:r>
              <w:rPr>
                <w:rFonts w:ascii="Tahoma" w:hAnsi="Tahoma" w:cs="Tahoma"/>
                <w:b/>
                <w:noProof/>
              </w:rPr>
              <w:t xml:space="preserve">Why? What is the problem being addressed? </w:t>
            </w:r>
          </w:p>
        </w:tc>
      </w:tr>
      <w:tr>
        <w:tc>
          <w:tcPr>
            <w:tcW w:w="10188" w:type="dxa"/>
            <w:tcBorders>
              <w:bottom w:val="single" w:sz="4" w:space="0" w:color="auto"/>
            </w:tcBorders>
            <w:shd w:val="clear" w:color="auto" w:fill="auto"/>
          </w:tcPr>
          <w:p>
            <w:pPr>
              <w:jc w:val="both"/>
              <w:rPr>
                <w:rFonts w:ascii="Arial" w:hAnsi="Arial" w:cs="Arial"/>
                <w:noProof/>
              </w:rPr>
            </w:pPr>
            <w:r>
              <w:rPr>
                <w:rFonts w:ascii="Arial" w:hAnsi="Arial" w:cs="Arial"/>
                <w:noProof/>
              </w:rPr>
              <w:t>The current rules on the VAT treatment of SMEs result in 1) disproportionate compliance costs for small enterprises as compared to large enterprises (while SMEs spend on average 2.6% of their sales revenues on tax compliance costs, for large enterprises these costs represent only 0.02%), 2) lack of neutrality, in particular, in relation to suppliers from other Member States (MS) and 3) revenue losses for MS. The current VAT SME scheme does not reflect legal and economic reality in which SMEs function already now and will become even more inadequate when the evolution of the VAT system towards taxation at destination is completed.</w:t>
            </w:r>
          </w:p>
        </w:tc>
      </w:tr>
      <w:tr>
        <w:tc>
          <w:tcPr>
            <w:tcW w:w="10188" w:type="dxa"/>
            <w:tcBorders>
              <w:bottom w:val="single" w:sz="4" w:space="0" w:color="auto"/>
            </w:tcBorders>
            <w:shd w:val="clear" w:color="auto" w:fill="E6E6E6"/>
          </w:tcPr>
          <w:p>
            <w:pPr>
              <w:spacing w:before="60" w:after="60"/>
              <w:jc w:val="both"/>
              <w:rPr>
                <w:rFonts w:ascii="Tahoma" w:hAnsi="Tahoma" w:cs="Tahoma"/>
                <w:noProof/>
              </w:rPr>
            </w:pPr>
            <w:r>
              <w:rPr>
                <w:rFonts w:ascii="Tahoma" w:hAnsi="Tahoma" w:cs="Tahoma"/>
                <w:b/>
                <w:noProof/>
              </w:rPr>
              <w:t xml:space="preserve">What is this initiative expected to achieve? </w:t>
            </w:r>
          </w:p>
        </w:tc>
      </w:tr>
      <w:tr>
        <w:tc>
          <w:tcPr>
            <w:tcW w:w="10188" w:type="dxa"/>
            <w:tcBorders>
              <w:bottom w:val="single" w:sz="4" w:space="0" w:color="auto"/>
            </w:tcBorders>
            <w:shd w:val="clear" w:color="auto" w:fill="auto"/>
          </w:tcPr>
          <w:p>
            <w:pPr>
              <w:jc w:val="both"/>
              <w:rPr>
                <w:rFonts w:ascii="Arial" w:hAnsi="Arial" w:cs="Arial"/>
                <w:noProof/>
              </w:rPr>
            </w:pPr>
            <w:r>
              <w:rPr>
                <w:rFonts w:ascii="Arial" w:hAnsi="Arial" w:cs="Arial"/>
                <w:noProof/>
              </w:rPr>
              <w:t>The review will contribute to:</w:t>
            </w:r>
          </w:p>
          <w:p>
            <w:pPr>
              <w:pStyle w:val="ListParagraph"/>
              <w:numPr>
                <w:ilvl w:val="0"/>
                <w:numId w:val="3"/>
              </w:numPr>
              <w:jc w:val="both"/>
              <w:rPr>
                <w:rFonts w:ascii="Arial" w:hAnsi="Arial" w:cs="Arial"/>
                <w:noProof/>
              </w:rPr>
            </w:pPr>
            <w:r>
              <w:rPr>
                <w:rFonts w:ascii="Arial" w:hAnsi="Arial" w:cs="Arial"/>
                <w:noProof/>
              </w:rPr>
              <w:t xml:space="preserve">reduction of compliance costs, </w:t>
            </w:r>
          </w:p>
          <w:p>
            <w:pPr>
              <w:pStyle w:val="ListParagraph"/>
              <w:numPr>
                <w:ilvl w:val="0"/>
                <w:numId w:val="3"/>
              </w:numPr>
              <w:jc w:val="both"/>
              <w:rPr>
                <w:rFonts w:ascii="Arial" w:hAnsi="Arial" w:cs="Arial"/>
                <w:noProof/>
              </w:rPr>
            </w:pPr>
            <w:r>
              <w:rPr>
                <w:rFonts w:ascii="Arial" w:hAnsi="Arial" w:cs="Arial"/>
                <w:noProof/>
              </w:rPr>
              <w:t xml:space="preserve">creation of more level playing field for small enterprises and </w:t>
            </w:r>
          </w:p>
          <w:p>
            <w:pPr>
              <w:pStyle w:val="ListParagraph"/>
              <w:numPr>
                <w:ilvl w:val="0"/>
                <w:numId w:val="3"/>
              </w:numPr>
              <w:jc w:val="both"/>
              <w:rPr>
                <w:rFonts w:ascii="Arial" w:hAnsi="Arial" w:cs="Arial"/>
                <w:noProof/>
              </w:rPr>
            </w:pPr>
            <w:r>
              <w:rPr>
                <w:rFonts w:ascii="Arial" w:hAnsi="Arial" w:cs="Arial"/>
                <w:noProof/>
              </w:rPr>
              <w:t>fight against VAT fraud.</w:t>
            </w:r>
          </w:p>
        </w:tc>
      </w:tr>
      <w:tr>
        <w:tc>
          <w:tcPr>
            <w:tcW w:w="10188" w:type="dxa"/>
            <w:tcBorders>
              <w:bottom w:val="single" w:sz="4" w:space="0" w:color="auto"/>
            </w:tcBorders>
            <w:shd w:val="clear" w:color="auto" w:fill="E6E6E6"/>
          </w:tcPr>
          <w:p>
            <w:pPr>
              <w:spacing w:before="60" w:after="60"/>
              <w:jc w:val="both"/>
              <w:rPr>
                <w:rFonts w:ascii="Tahoma" w:hAnsi="Tahoma" w:cs="Tahoma"/>
                <w:noProof/>
              </w:rPr>
            </w:pPr>
            <w:r>
              <w:rPr>
                <w:rFonts w:ascii="Tahoma" w:hAnsi="Tahoma" w:cs="Tahoma"/>
                <w:b/>
                <w:noProof/>
              </w:rPr>
              <w:t>What is the value added of action at the EU level?</w:t>
            </w:r>
            <w:r>
              <w:rPr>
                <w:rFonts w:ascii="Tahoma" w:hAnsi="Tahoma" w:cs="Tahoma"/>
                <w:noProof/>
              </w:rPr>
              <w:t xml:space="preserve"> </w:t>
            </w:r>
          </w:p>
        </w:tc>
      </w:tr>
      <w:tr>
        <w:tc>
          <w:tcPr>
            <w:tcW w:w="10188" w:type="dxa"/>
            <w:tcBorders>
              <w:bottom w:val="single" w:sz="4" w:space="0" w:color="auto"/>
            </w:tcBorders>
            <w:shd w:val="clear" w:color="auto" w:fill="auto"/>
          </w:tcPr>
          <w:p>
            <w:pPr>
              <w:jc w:val="both"/>
              <w:rPr>
                <w:rFonts w:ascii="Arial" w:hAnsi="Arial" w:cs="Arial"/>
                <w:noProof/>
              </w:rPr>
            </w:pPr>
            <w:r>
              <w:rPr>
                <w:rFonts w:ascii="Arial" w:hAnsi="Arial" w:cs="Arial"/>
                <w:noProof/>
              </w:rPr>
              <w:t>A modification in the Directive is necessary to change the current rules on the VAT treatment of small enterprises which have reached their limits.</w:t>
            </w:r>
          </w:p>
        </w:tc>
      </w:tr>
      <w:tr>
        <w:tc>
          <w:tcPr>
            <w:tcW w:w="10188" w:type="dxa"/>
            <w:tcBorders>
              <w:bottom w:val="single" w:sz="4" w:space="0" w:color="auto"/>
            </w:tcBorders>
            <w:shd w:val="clear" w:color="auto" w:fill="CCCCCC"/>
          </w:tcPr>
          <w:p>
            <w:pPr>
              <w:spacing w:before="60" w:after="60"/>
              <w:jc w:val="center"/>
              <w:rPr>
                <w:rFonts w:ascii="Tahoma" w:hAnsi="Tahoma" w:cs="Tahoma"/>
                <w:b/>
                <w:noProof/>
              </w:rPr>
            </w:pPr>
            <w:r>
              <w:rPr>
                <w:rFonts w:ascii="Tahoma" w:hAnsi="Tahoma" w:cs="Tahoma"/>
                <w:b/>
                <w:noProof/>
              </w:rPr>
              <w:t>B. Solutions</w:t>
            </w:r>
          </w:p>
        </w:tc>
      </w:tr>
      <w:tr>
        <w:tc>
          <w:tcPr>
            <w:tcW w:w="10188" w:type="dxa"/>
            <w:tcBorders>
              <w:bottom w:val="single" w:sz="4" w:space="0" w:color="auto"/>
            </w:tcBorders>
            <w:shd w:val="clear" w:color="auto" w:fill="E6E6E6"/>
          </w:tcPr>
          <w:p>
            <w:pPr>
              <w:spacing w:before="60"/>
              <w:jc w:val="both"/>
              <w:rPr>
                <w:rFonts w:ascii="Tahoma" w:hAnsi="Tahoma" w:cs="Tahoma"/>
                <w:noProof/>
              </w:rPr>
            </w:pPr>
            <w:r>
              <w:rPr>
                <w:rFonts w:ascii="Tahoma" w:hAnsi="Tahoma" w:cs="Tahoma"/>
                <w:b/>
                <w:noProof/>
              </w:rPr>
              <w:t>What legislative and non-legislative policy options have been considered?</w:t>
            </w:r>
            <w:r>
              <w:rPr>
                <w:rFonts w:ascii="Tahoma" w:hAnsi="Tahoma" w:cs="Tahoma"/>
                <w:noProof/>
              </w:rPr>
              <w:t xml:space="preserve"> </w:t>
            </w:r>
            <w:r>
              <w:rPr>
                <w:rFonts w:ascii="Tahoma" w:hAnsi="Tahoma" w:cs="Tahoma"/>
                <w:b/>
                <w:noProof/>
              </w:rPr>
              <w:t xml:space="preserve">Is there a preferred choice or not? Why? </w:t>
            </w:r>
          </w:p>
        </w:tc>
      </w:tr>
      <w:tr>
        <w:tc>
          <w:tcPr>
            <w:tcW w:w="10188" w:type="dxa"/>
            <w:tcBorders>
              <w:bottom w:val="single" w:sz="4" w:space="0" w:color="auto"/>
            </w:tcBorders>
            <w:shd w:val="clear" w:color="auto" w:fill="auto"/>
          </w:tcPr>
          <w:p>
            <w:pPr>
              <w:ind w:left="1134" w:hanging="1134"/>
              <w:jc w:val="both"/>
              <w:rPr>
                <w:rFonts w:ascii="Arial" w:hAnsi="Arial" w:cs="Arial"/>
                <w:noProof/>
              </w:rPr>
            </w:pPr>
            <w:r>
              <w:rPr>
                <w:rFonts w:ascii="Arial" w:hAnsi="Arial" w:cs="Arial"/>
                <w:b/>
                <w:noProof/>
              </w:rPr>
              <w:t>Option 1:</w:t>
            </w:r>
            <w:r>
              <w:rPr>
                <w:rFonts w:ascii="Arial" w:hAnsi="Arial" w:cs="Arial"/>
                <w:noProof/>
              </w:rPr>
              <w:tab/>
              <w:t>Status quo, including e-Commerce changes (baseline scenario)</w:t>
            </w:r>
          </w:p>
          <w:p>
            <w:pPr>
              <w:ind w:left="1134" w:hanging="1134"/>
              <w:jc w:val="both"/>
              <w:rPr>
                <w:rFonts w:ascii="Arial" w:hAnsi="Arial" w:cs="Arial"/>
                <w:noProof/>
              </w:rPr>
            </w:pPr>
            <w:r>
              <w:rPr>
                <w:rFonts w:ascii="Arial" w:hAnsi="Arial" w:cs="Arial"/>
                <w:b/>
                <w:noProof/>
              </w:rPr>
              <w:t>Option 2:</w:t>
            </w:r>
            <w:r>
              <w:rPr>
                <w:rFonts w:ascii="Arial" w:hAnsi="Arial" w:cs="Arial"/>
                <w:noProof/>
              </w:rPr>
              <w:tab/>
              <w:t>SME exemption extended to supplies from other MS and including streamlined simplified VAT obligations</w:t>
            </w:r>
          </w:p>
          <w:p>
            <w:pPr>
              <w:ind w:left="1134" w:hanging="1134"/>
              <w:jc w:val="both"/>
              <w:rPr>
                <w:rFonts w:ascii="Arial" w:hAnsi="Arial" w:cs="Arial"/>
                <w:noProof/>
              </w:rPr>
            </w:pPr>
            <w:r>
              <w:rPr>
                <w:rFonts w:ascii="Arial" w:hAnsi="Arial" w:cs="Arial"/>
                <w:b/>
                <w:noProof/>
              </w:rPr>
              <w:t>Option 3:</w:t>
            </w:r>
            <w:r>
              <w:rPr>
                <w:rFonts w:ascii="Arial" w:hAnsi="Arial" w:cs="Arial"/>
                <w:noProof/>
              </w:rPr>
              <w:tab/>
              <w:t xml:space="preserve">Option 2 plus measures to reduce the negative impact of transition from exemption to taxation </w:t>
            </w:r>
          </w:p>
          <w:p>
            <w:pPr>
              <w:ind w:left="1134" w:hanging="1134"/>
              <w:jc w:val="both"/>
              <w:rPr>
                <w:rFonts w:ascii="Arial" w:hAnsi="Arial" w:cs="Arial"/>
                <w:noProof/>
              </w:rPr>
            </w:pPr>
            <w:r>
              <w:rPr>
                <w:rFonts w:ascii="Arial" w:hAnsi="Arial" w:cs="Arial"/>
                <w:b/>
                <w:noProof/>
              </w:rPr>
              <w:t>Option 4:</w:t>
            </w:r>
            <w:r>
              <w:rPr>
                <w:rFonts w:ascii="Arial" w:hAnsi="Arial" w:cs="Arial"/>
                <w:noProof/>
              </w:rPr>
              <w:tab/>
              <w:t>Option 3 plus mandatory common treatment of occasional traders</w:t>
            </w:r>
          </w:p>
          <w:p>
            <w:pPr>
              <w:jc w:val="both"/>
              <w:rPr>
                <w:rFonts w:ascii="Arial" w:hAnsi="Arial" w:cs="Arial"/>
                <w:noProof/>
              </w:rPr>
            </w:pPr>
          </w:p>
          <w:p>
            <w:pPr>
              <w:jc w:val="both"/>
              <w:rPr>
                <w:rFonts w:ascii="Arial" w:hAnsi="Arial" w:cs="Arial"/>
                <w:noProof/>
              </w:rPr>
            </w:pPr>
            <w:r>
              <w:rPr>
                <w:rFonts w:ascii="Arial" w:hAnsi="Arial" w:cs="Arial"/>
                <w:noProof/>
              </w:rPr>
              <w:t>Option 3 is the preferred one.</w:t>
            </w:r>
          </w:p>
        </w:tc>
      </w:tr>
      <w:tr>
        <w:tc>
          <w:tcPr>
            <w:tcW w:w="10188" w:type="dxa"/>
            <w:shd w:val="clear" w:color="auto" w:fill="CCCCCC"/>
          </w:tcPr>
          <w:p>
            <w:pPr>
              <w:spacing w:before="60"/>
              <w:jc w:val="both"/>
              <w:rPr>
                <w:rFonts w:ascii="Tahoma" w:hAnsi="Tahoma" w:cs="Tahoma"/>
                <w:noProof/>
              </w:rPr>
            </w:pPr>
            <w:r>
              <w:rPr>
                <w:rFonts w:ascii="Tahoma" w:hAnsi="Tahoma" w:cs="Tahoma"/>
                <w:b/>
                <w:noProof/>
              </w:rPr>
              <w:t xml:space="preserve">Who supports which option? </w:t>
            </w:r>
          </w:p>
        </w:tc>
      </w:tr>
      <w:tr>
        <w:tc>
          <w:tcPr>
            <w:tcW w:w="10188" w:type="dxa"/>
            <w:shd w:val="clear" w:color="auto" w:fill="auto"/>
          </w:tcPr>
          <w:p>
            <w:pPr>
              <w:jc w:val="both"/>
              <w:rPr>
                <w:rFonts w:ascii="Arial" w:hAnsi="Arial" w:cs="Arial"/>
                <w:noProof/>
              </w:rPr>
            </w:pPr>
            <w:r>
              <w:rPr>
                <w:rFonts w:ascii="Arial" w:hAnsi="Arial" w:cs="Arial"/>
                <w:noProof/>
              </w:rPr>
              <w:t>There is broad support for Option 3 on the side of both stakeholders and MS. While small enterprises support more harmonisation of both SME exemption and simplification measures, MS remain more reserved.</w:t>
            </w:r>
          </w:p>
        </w:tc>
      </w:tr>
      <w:tr>
        <w:tc>
          <w:tcPr>
            <w:tcW w:w="10188" w:type="dxa"/>
            <w:tcBorders>
              <w:bottom w:val="single" w:sz="4" w:space="0" w:color="auto"/>
            </w:tcBorders>
            <w:shd w:val="clear" w:color="auto" w:fill="CCCCCC"/>
          </w:tcPr>
          <w:p>
            <w:pPr>
              <w:spacing w:before="60" w:after="60"/>
              <w:jc w:val="center"/>
              <w:rPr>
                <w:rFonts w:ascii="Tahoma" w:hAnsi="Tahoma" w:cs="Tahoma"/>
                <w:b/>
                <w:noProof/>
              </w:rPr>
            </w:pPr>
            <w:r>
              <w:rPr>
                <w:rFonts w:ascii="Tahoma" w:hAnsi="Tahoma" w:cs="Tahoma"/>
                <w:b/>
                <w:noProof/>
              </w:rPr>
              <w:t>C. Impacts of the preferred option</w:t>
            </w:r>
          </w:p>
        </w:tc>
      </w:tr>
      <w:tr>
        <w:tc>
          <w:tcPr>
            <w:tcW w:w="10188" w:type="dxa"/>
            <w:tcBorders>
              <w:bottom w:val="single" w:sz="4" w:space="0" w:color="auto"/>
            </w:tcBorders>
            <w:shd w:val="clear" w:color="auto" w:fill="E6E6E6"/>
          </w:tcPr>
          <w:p>
            <w:pPr>
              <w:spacing w:before="60" w:after="60"/>
              <w:jc w:val="both"/>
              <w:rPr>
                <w:rFonts w:ascii="Tahoma" w:hAnsi="Tahoma" w:cs="Tahoma"/>
                <w:noProof/>
              </w:rPr>
            </w:pPr>
            <w:r>
              <w:rPr>
                <w:rFonts w:ascii="Tahoma" w:hAnsi="Tahoma" w:cs="Tahoma"/>
                <w:b/>
                <w:noProof/>
              </w:rPr>
              <w:t>What are the benefits</w:t>
            </w:r>
            <w:r>
              <w:rPr>
                <w:rFonts w:ascii="Tahoma" w:hAnsi="Tahoma" w:cs="Tahoma"/>
                <w:noProof/>
              </w:rPr>
              <w:t xml:space="preserve"> </w:t>
            </w:r>
            <w:r>
              <w:rPr>
                <w:rFonts w:ascii="Tahoma" w:hAnsi="Tahoma" w:cs="Tahoma"/>
                <w:b/>
                <w:noProof/>
              </w:rPr>
              <w:t>of the preferred option (if any, otherwise main ones)?</w:t>
            </w:r>
            <w:r>
              <w:rPr>
                <w:rFonts w:ascii="Tahoma" w:hAnsi="Tahoma" w:cs="Tahoma"/>
                <w:noProof/>
              </w:rPr>
              <w:t xml:space="preserve">                                      </w:t>
            </w:r>
          </w:p>
        </w:tc>
      </w:tr>
      <w:tr>
        <w:tc>
          <w:tcPr>
            <w:tcW w:w="10188" w:type="dxa"/>
            <w:tcBorders>
              <w:bottom w:val="single" w:sz="4" w:space="0" w:color="auto"/>
            </w:tcBorders>
            <w:shd w:val="clear" w:color="auto" w:fill="auto"/>
          </w:tcPr>
          <w:p>
            <w:pPr>
              <w:pStyle w:val="ListParagraph"/>
              <w:numPr>
                <w:ilvl w:val="0"/>
                <w:numId w:val="3"/>
              </w:numPr>
              <w:jc w:val="both"/>
              <w:rPr>
                <w:rFonts w:ascii="Arial" w:hAnsi="Arial" w:cs="Arial"/>
                <w:noProof/>
              </w:rPr>
            </w:pPr>
            <w:r>
              <w:rPr>
                <w:rFonts w:ascii="Arial" w:hAnsi="Arial" w:cs="Arial"/>
                <w:noProof/>
              </w:rPr>
              <w:t xml:space="preserve">Reduction in compliance costs of up to 18% </w:t>
            </w:r>
          </w:p>
          <w:p>
            <w:pPr>
              <w:pStyle w:val="ListParagraph"/>
              <w:numPr>
                <w:ilvl w:val="0"/>
                <w:numId w:val="3"/>
              </w:numPr>
              <w:jc w:val="both"/>
              <w:rPr>
                <w:rFonts w:ascii="Arial" w:hAnsi="Arial" w:cs="Arial"/>
                <w:noProof/>
              </w:rPr>
            </w:pPr>
            <w:r>
              <w:rPr>
                <w:rFonts w:ascii="Arial" w:hAnsi="Arial" w:cs="Arial"/>
                <w:noProof/>
              </w:rPr>
              <w:t>Increase in SMEs’ cross-border trading activity of about 13%</w:t>
            </w:r>
          </w:p>
          <w:p>
            <w:pPr>
              <w:pStyle w:val="ListParagraph"/>
              <w:numPr>
                <w:ilvl w:val="0"/>
                <w:numId w:val="3"/>
              </w:numPr>
              <w:jc w:val="both"/>
              <w:rPr>
                <w:rFonts w:ascii="Arial" w:hAnsi="Arial" w:cs="Arial"/>
                <w:noProof/>
              </w:rPr>
            </w:pPr>
            <w:r>
              <w:rPr>
                <w:rFonts w:ascii="Arial" w:hAnsi="Arial" w:cs="Arial"/>
                <w:noProof/>
              </w:rPr>
              <w:t>Longer term positive revenue impact due to positive impact on SMEs’ output and to positive effect on voluntary compliance</w:t>
            </w:r>
          </w:p>
        </w:tc>
      </w:tr>
      <w:tr>
        <w:tc>
          <w:tcPr>
            <w:tcW w:w="10188" w:type="dxa"/>
            <w:tcBorders>
              <w:bottom w:val="single" w:sz="4" w:space="0" w:color="auto"/>
            </w:tcBorders>
            <w:shd w:val="clear" w:color="auto" w:fill="E6E6E6"/>
          </w:tcPr>
          <w:p>
            <w:pPr>
              <w:spacing w:before="60" w:after="60"/>
              <w:jc w:val="both"/>
              <w:rPr>
                <w:rFonts w:ascii="Tahoma" w:hAnsi="Tahoma" w:cs="Tahoma"/>
                <w:noProof/>
              </w:rPr>
            </w:pPr>
            <w:r>
              <w:rPr>
                <w:rFonts w:ascii="Tahoma" w:hAnsi="Tahoma" w:cs="Tahoma"/>
                <w:b/>
                <w:noProof/>
              </w:rPr>
              <w:t>What are the costs of the preferred option (if any, otherwise main ones)?</w:t>
            </w:r>
            <w:r>
              <w:rPr>
                <w:rFonts w:ascii="Tahoma" w:hAnsi="Tahoma" w:cs="Tahoma"/>
                <w:noProof/>
              </w:rPr>
              <w:t xml:space="preserve">                                      </w:t>
            </w:r>
          </w:p>
        </w:tc>
      </w:tr>
      <w:tr>
        <w:tc>
          <w:tcPr>
            <w:tcW w:w="10188" w:type="dxa"/>
            <w:tcBorders>
              <w:bottom w:val="single" w:sz="4" w:space="0" w:color="auto"/>
            </w:tcBorders>
            <w:shd w:val="clear" w:color="auto" w:fill="auto"/>
          </w:tcPr>
          <w:p>
            <w:pPr>
              <w:jc w:val="both"/>
              <w:rPr>
                <w:rFonts w:ascii="Arial" w:hAnsi="Arial" w:cs="Arial"/>
                <w:noProof/>
              </w:rPr>
            </w:pPr>
            <w:r>
              <w:rPr>
                <w:rFonts w:ascii="Arial" w:hAnsi="Arial" w:cs="Arial"/>
                <w:noProof/>
              </w:rPr>
              <w:t>Minor temporary negative impact on VAT revenue of MS due to the extension of application of the exemption (fraction of a percentage point).</w:t>
            </w:r>
          </w:p>
          <w:p>
            <w:pPr>
              <w:jc w:val="both"/>
              <w:rPr>
                <w:rFonts w:ascii="Arial" w:hAnsi="Arial" w:cs="Arial"/>
                <w:noProof/>
              </w:rPr>
            </w:pPr>
          </w:p>
          <w:p>
            <w:pPr>
              <w:jc w:val="both"/>
              <w:rPr>
                <w:rFonts w:ascii="Arial" w:hAnsi="Arial" w:cs="Arial"/>
                <w:noProof/>
              </w:rPr>
            </w:pPr>
            <w:r>
              <w:rPr>
                <w:rFonts w:ascii="Arial" w:hAnsi="Arial" w:cs="Arial"/>
                <w:noProof/>
              </w:rPr>
              <w:t>Environmental and social impacts are not significant.</w:t>
            </w:r>
          </w:p>
        </w:tc>
      </w:tr>
      <w:tr>
        <w:tc>
          <w:tcPr>
            <w:tcW w:w="10188" w:type="dxa"/>
            <w:tcBorders>
              <w:bottom w:val="single" w:sz="4" w:space="0" w:color="auto"/>
            </w:tcBorders>
            <w:shd w:val="clear" w:color="auto" w:fill="E6E6E6"/>
          </w:tcPr>
          <w:p>
            <w:pPr>
              <w:spacing w:before="60" w:after="60"/>
              <w:jc w:val="both"/>
              <w:rPr>
                <w:rFonts w:ascii="Tahoma" w:hAnsi="Tahoma" w:cs="Tahoma"/>
                <w:noProof/>
              </w:rPr>
            </w:pPr>
            <w:r>
              <w:rPr>
                <w:rFonts w:ascii="Tahoma" w:hAnsi="Tahoma" w:cs="Tahoma"/>
                <w:b/>
                <w:noProof/>
              </w:rPr>
              <w:t xml:space="preserve">How will businesses, SMEs and micro-enterprises be affected? </w:t>
            </w:r>
          </w:p>
        </w:tc>
      </w:tr>
      <w:tr>
        <w:tc>
          <w:tcPr>
            <w:tcW w:w="10188" w:type="dxa"/>
            <w:tcBorders>
              <w:bottom w:val="single" w:sz="4" w:space="0" w:color="auto"/>
            </w:tcBorders>
            <w:shd w:val="clear" w:color="auto" w:fill="auto"/>
          </w:tcPr>
          <w:p>
            <w:pPr>
              <w:jc w:val="both"/>
              <w:rPr>
                <w:rFonts w:ascii="Arial" w:hAnsi="Arial" w:cs="Arial"/>
                <w:noProof/>
              </w:rPr>
            </w:pPr>
            <w:r>
              <w:rPr>
                <w:rFonts w:ascii="Arial" w:hAnsi="Arial" w:cs="Arial"/>
                <w:noProof/>
              </w:rPr>
              <w:t xml:space="preserve">Overall compliance cost reduction for SMEs of up to 18%, more level playing field in the Internal Market. </w:t>
            </w:r>
          </w:p>
          <w:p>
            <w:pPr>
              <w:jc w:val="both"/>
              <w:rPr>
                <w:rFonts w:ascii="Arial" w:hAnsi="Arial" w:cs="Arial"/>
                <w:noProof/>
              </w:rPr>
            </w:pPr>
            <w:r>
              <w:rPr>
                <w:rFonts w:ascii="Arial" w:hAnsi="Arial" w:cs="Arial"/>
                <w:noProof/>
              </w:rPr>
              <w:t>Positive impact on SMEs’ output (about 16%) and on SMEs’ cross-border activity (about 13%).</w:t>
            </w:r>
          </w:p>
        </w:tc>
      </w:tr>
    </w:tbl>
    <w:p>
      <w:pPr>
        <w:rPr>
          <w:noProof/>
        </w:rPr>
      </w:pPr>
      <w:r>
        <w:rPr>
          <w:noProof/>
        </w:rPr>
        <w:br w:type="page"/>
      </w: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E6E6E6"/>
          </w:tcPr>
          <w:p>
            <w:pPr>
              <w:spacing w:before="60"/>
              <w:jc w:val="both"/>
              <w:rPr>
                <w:rFonts w:ascii="Tahoma" w:hAnsi="Tahoma" w:cs="Tahoma"/>
                <w:b/>
                <w:i/>
                <w:noProof/>
              </w:rPr>
            </w:pPr>
            <w:r>
              <w:rPr>
                <w:rFonts w:ascii="Tahoma" w:hAnsi="Tahoma" w:cs="Tahoma"/>
                <w:b/>
                <w:noProof/>
              </w:rPr>
              <w:lastRenderedPageBreak/>
              <w:t>Will there be significant impacts</w:t>
            </w:r>
            <w:r>
              <w:rPr>
                <w:rFonts w:ascii="Tahoma" w:hAnsi="Tahoma" w:cs="Tahoma"/>
                <w:noProof/>
              </w:rPr>
              <w:t xml:space="preserve"> </w:t>
            </w:r>
            <w:r>
              <w:rPr>
                <w:rFonts w:ascii="Tahoma" w:hAnsi="Tahoma" w:cs="Tahoma"/>
                <w:b/>
                <w:noProof/>
              </w:rPr>
              <w:t>on national budgets and administrations?</w:t>
            </w:r>
            <w:r>
              <w:rPr>
                <w:rFonts w:ascii="Tahoma" w:hAnsi="Tahoma" w:cs="Tahoma"/>
                <w:noProof/>
              </w:rPr>
              <w:t xml:space="preserve"> </w:t>
            </w:r>
          </w:p>
        </w:tc>
      </w:tr>
      <w:tr>
        <w:tc>
          <w:tcPr>
            <w:tcW w:w="10188" w:type="dxa"/>
            <w:shd w:val="clear" w:color="auto" w:fill="auto"/>
          </w:tcPr>
          <w:p>
            <w:pPr>
              <w:jc w:val="both"/>
              <w:rPr>
                <w:rFonts w:ascii="Arial" w:hAnsi="Arial" w:cs="Arial"/>
                <w:noProof/>
              </w:rPr>
            </w:pPr>
            <w:r>
              <w:rPr>
                <w:rFonts w:ascii="Arial" w:hAnsi="Arial" w:cs="Arial"/>
                <w:noProof/>
              </w:rPr>
              <w:t>Minor overall effect on VAT revenue (fraction of a percentage point), no significant impacts on administrative costs, positive impact on voluntary compliance.</w:t>
            </w:r>
          </w:p>
        </w:tc>
      </w:tr>
      <w:tr>
        <w:tc>
          <w:tcPr>
            <w:tcW w:w="10188" w:type="dxa"/>
            <w:tcBorders>
              <w:bottom w:val="single" w:sz="4" w:space="0" w:color="auto"/>
            </w:tcBorders>
            <w:shd w:val="clear" w:color="auto" w:fill="E6E6E6"/>
          </w:tcPr>
          <w:p>
            <w:pPr>
              <w:spacing w:before="60"/>
              <w:jc w:val="both"/>
              <w:rPr>
                <w:rFonts w:ascii="Tahoma" w:hAnsi="Tahoma" w:cs="Tahoma"/>
                <w:noProof/>
              </w:rPr>
            </w:pPr>
            <w:r>
              <w:rPr>
                <w:rFonts w:ascii="Tahoma" w:hAnsi="Tahoma" w:cs="Tahoma"/>
                <w:b/>
                <w:noProof/>
              </w:rPr>
              <w:t>Will there be other significant impacts?</w:t>
            </w:r>
            <w:r>
              <w:rPr>
                <w:rFonts w:ascii="Tahoma" w:hAnsi="Tahoma" w:cs="Tahoma"/>
                <w:noProof/>
              </w:rPr>
              <w:t xml:space="preserve"> </w:t>
            </w:r>
          </w:p>
        </w:tc>
      </w:tr>
      <w:tr>
        <w:tc>
          <w:tcPr>
            <w:tcW w:w="10188" w:type="dxa"/>
            <w:tcBorders>
              <w:bottom w:val="single" w:sz="4" w:space="0" w:color="auto"/>
            </w:tcBorders>
            <w:shd w:val="clear" w:color="auto" w:fill="auto"/>
          </w:tcPr>
          <w:p>
            <w:pPr>
              <w:jc w:val="both"/>
              <w:rPr>
                <w:rFonts w:ascii="Arial" w:hAnsi="Arial" w:cs="Arial"/>
                <w:noProof/>
              </w:rPr>
            </w:pPr>
            <w:r>
              <w:rPr>
                <w:rFonts w:ascii="Arial" w:hAnsi="Arial" w:cs="Arial"/>
                <w:noProof/>
              </w:rPr>
              <w:t>MS, stakeholders and the Commission will need to adapt to the new rules as regards implementation and control.</w:t>
            </w:r>
          </w:p>
        </w:tc>
      </w:tr>
      <w:tr>
        <w:tc>
          <w:tcPr>
            <w:tcW w:w="10188" w:type="dxa"/>
            <w:tcBorders>
              <w:bottom w:val="single" w:sz="4" w:space="0" w:color="auto"/>
            </w:tcBorders>
            <w:shd w:val="clear" w:color="auto" w:fill="E6E6E6"/>
          </w:tcPr>
          <w:p>
            <w:pPr>
              <w:spacing w:before="60"/>
              <w:jc w:val="both"/>
              <w:rPr>
                <w:rFonts w:ascii="Tahoma" w:hAnsi="Tahoma" w:cs="Tahoma"/>
                <w:noProof/>
              </w:rPr>
            </w:pPr>
            <w:r>
              <w:rPr>
                <w:rFonts w:ascii="Tahoma" w:hAnsi="Tahoma" w:cs="Tahoma"/>
                <w:b/>
                <w:noProof/>
              </w:rPr>
              <w:t>Proportionality?</w:t>
            </w:r>
            <w:r>
              <w:rPr>
                <w:rFonts w:ascii="Tahoma" w:hAnsi="Tahoma" w:cs="Tahoma"/>
                <w:noProof/>
              </w:rPr>
              <w:t xml:space="preserve"> </w:t>
            </w:r>
          </w:p>
        </w:tc>
      </w:tr>
      <w:tr>
        <w:tc>
          <w:tcPr>
            <w:tcW w:w="10188" w:type="dxa"/>
            <w:tcBorders>
              <w:bottom w:val="single" w:sz="4" w:space="0" w:color="auto"/>
            </w:tcBorders>
            <w:shd w:val="clear" w:color="auto" w:fill="auto"/>
          </w:tcPr>
          <w:p>
            <w:pPr>
              <w:jc w:val="both"/>
              <w:rPr>
                <w:rFonts w:ascii="Arial" w:hAnsi="Arial" w:cs="Arial"/>
                <w:noProof/>
              </w:rPr>
            </w:pPr>
            <w:r>
              <w:rPr>
                <w:rFonts w:ascii="Arial" w:hAnsi="Arial" w:cs="Arial"/>
                <w:noProof/>
              </w:rPr>
              <w:t>The preferred option has been elaborated in a way to effectively address the original problems without going beyond what is needed to achieve the objectives.</w:t>
            </w:r>
          </w:p>
        </w:tc>
      </w:tr>
      <w:tr>
        <w:tc>
          <w:tcPr>
            <w:tcW w:w="10188" w:type="dxa"/>
            <w:tcBorders>
              <w:bottom w:val="single" w:sz="4" w:space="0" w:color="auto"/>
            </w:tcBorders>
            <w:shd w:val="clear" w:color="auto" w:fill="C0C0C0"/>
          </w:tcPr>
          <w:p>
            <w:pPr>
              <w:spacing w:before="60" w:after="60"/>
              <w:jc w:val="center"/>
              <w:rPr>
                <w:rFonts w:ascii="Tahoma" w:hAnsi="Tahoma" w:cs="Tahoma"/>
                <w:b/>
                <w:noProof/>
              </w:rPr>
            </w:pPr>
            <w:r>
              <w:rPr>
                <w:rFonts w:ascii="Tahoma" w:hAnsi="Tahoma" w:cs="Tahoma"/>
                <w:b/>
                <w:noProof/>
              </w:rPr>
              <w:t>D. Follow up</w:t>
            </w:r>
          </w:p>
        </w:tc>
      </w:tr>
      <w:tr>
        <w:tc>
          <w:tcPr>
            <w:tcW w:w="10188" w:type="dxa"/>
            <w:tcBorders>
              <w:bottom w:val="single" w:sz="4" w:space="0" w:color="auto"/>
            </w:tcBorders>
            <w:shd w:val="clear" w:color="auto" w:fill="E6E6E6"/>
          </w:tcPr>
          <w:p>
            <w:pPr>
              <w:spacing w:before="60"/>
              <w:jc w:val="both"/>
              <w:rPr>
                <w:rFonts w:ascii="Tahoma" w:hAnsi="Tahoma" w:cs="Tahoma"/>
                <w:noProof/>
              </w:rPr>
            </w:pPr>
            <w:r>
              <w:rPr>
                <w:rFonts w:ascii="Tahoma" w:hAnsi="Tahoma" w:cs="Tahoma"/>
                <w:b/>
                <w:noProof/>
              </w:rPr>
              <w:t xml:space="preserve">When will the policy be reviewed? </w:t>
            </w:r>
          </w:p>
        </w:tc>
      </w:tr>
      <w:tr>
        <w:tc>
          <w:tcPr>
            <w:tcW w:w="10188" w:type="dxa"/>
            <w:tcBorders>
              <w:bottom w:val="single" w:sz="4" w:space="0" w:color="auto"/>
            </w:tcBorders>
            <w:shd w:val="clear" w:color="auto" w:fill="auto"/>
          </w:tcPr>
          <w:p>
            <w:pPr>
              <w:jc w:val="both"/>
              <w:rPr>
                <w:rFonts w:ascii="Arial" w:hAnsi="Arial" w:cs="Arial"/>
                <w:noProof/>
              </w:rPr>
            </w:pPr>
            <w:r>
              <w:rPr>
                <w:rFonts w:ascii="Arial" w:hAnsi="Arial" w:cs="Arial"/>
                <w:noProof/>
              </w:rPr>
              <w:t>A retrospective evaluation of the functioning of the Directive will be carried out five years after its entry into force.</w:t>
            </w:r>
          </w:p>
        </w:tc>
      </w:tr>
    </w:tbl>
    <w:p>
      <w:pPr>
        <w:spacing w:after="0" w:line="240" w:lineRule="auto"/>
        <w:jc w:val="both"/>
        <w:rPr>
          <w:rFonts w:ascii="Times New Roman" w:eastAsia="Times New Roman" w:hAnsi="Times New Roman" w:cs="Times New Roman"/>
          <w:noProof/>
          <w:sz w:val="24"/>
          <w:szCs w:val="20"/>
        </w:rPr>
      </w:pP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88789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786061"/>
      <w:docPartObj>
        <w:docPartGallery w:val="Page Numbers (Bottom of Page)"/>
        <w:docPartUnique/>
      </w:docPartObj>
    </w:sdtPr>
    <w:sdtEndPr>
      <w:rPr>
        <w:szCs w:val="16"/>
      </w:rPr>
    </w:sdtEndPr>
    <w:sdtContent>
      <w:sdt>
        <w:sdtPr>
          <w:id w:val="1686017526"/>
          <w:docPartObj>
            <w:docPartGallery w:val="Page Numbers (Top of Page)"/>
            <w:docPartUnique/>
          </w:docPartObj>
        </w:sdtPr>
        <w:sdtEndPr>
          <w:rPr>
            <w:szCs w:val="16"/>
          </w:rPr>
        </w:sdtEndPr>
        <w:sdtContent>
          <w:p>
            <w:pPr>
              <w:pStyle w:val="Footer"/>
              <w:jc w:val="right"/>
            </w:pPr>
            <w:r>
              <w:rPr>
                <w:bCs/>
                <w:szCs w:val="16"/>
              </w:rPr>
              <w:fldChar w:fldCharType="begin"/>
            </w:r>
            <w:r>
              <w:rPr>
                <w:bCs/>
                <w:szCs w:val="16"/>
              </w:rPr>
              <w:instrText xml:space="preserve"> PAGE </w:instrText>
            </w:r>
            <w:r>
              <w:rPr>
                <w:bCs/>
                <w:szCs w:val="16"/>
              </w:rPr>
              <w:fldChar w:fldCharType="separate"/>
            </w:r>
            <w:r>
              <w:rPr>
                <w:bCs/>
                <w:noProof/>
                <w:szCs w:val="16"/>
              </w:rPr>
              <w:t>1</w:t>
            </w:r>
            <w:r>
              <w:rPr>
                <w:bCs/>
                <w:szCs w:val="16"/>
              </w:rPr>
              <w:fldChar w:fldCharType="end"/>
            </w:r>
            <w:r>
              <w:rPr>
                <w:szCs w:val="16"/>
              </w:rPr>
              <w:t>/</w:t>
            </w:r>
            <w:r>
              <w:rPr>
                <w:bCs/>
                <w:szCs w:val="16"/>
              </w:rPr>
              <w:fldChar w:fldCharType="begin"/>
            </w:r>
            <w:r>
              <w:rPr>
                <w:bCs/>
                <w:szCs w:val="16"/>
              </w:rPr>
              <w:instrText xml:space="preserve"> NUMPAGES  </w:instrText>
            </w:r>
            <w:r>
              <w:rPr>
                <w:bCs/>
                <w:szCs w:val="16"/>
              </w:rPr>
              <w:fldChar w:fldCharType="separate"/>
            </w:r>
            <w:r>
              <w:rPr>
                <w:bCs/>
                <w:noProof/>
                <w:szCs w:val="16"/>
              </w:rPr>
              <w:t>3</w:t>
            </w:r>
            <w:r>
              <w:rPr>
                <w:bCs/>
                <w:szCs w:val="16"/>
              </w:rPr>
              <w:fldChar w:fldCharType="end"/>
            </w:r>
          </w:p>
        </w:sdtContent>
      </w:sdt>
    </w:sdtContent>
  </w:sdt>
  <w:p>
    <w:pPr>
      <w:pStyle w:val="Footer"/>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D4ECD"/>
    <w:multiLevelType w:val="hybridMultilevel"/>
    <w:tmpl w:val="99E67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573293"/>
    <w:multiLevelType w:val="hybridMultilevel"/>
    <w:tmpl w:val="C2E68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E76224C"/>
    <w:multiLevelType w:val="hybridMultilevel"/>
    <w:tmpl w:val="CB90E838"/>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1B3ECD5A-F24F-413B-AB0F-628190774DD3"/>
    <w:docVar w:name="LW_COVERPAGE_TYPE" w:val="1"/>
    <w:docVar w:name="LW_CROSSREFERENCE" w:val="{COM(2018) 21 final}_x000b_{SWD(2018) 9 final}"/>
    <w:docVar w:name="LW_DocType" w:val="NORMAL"/>
    <w:docVar w:name="LW_EMISSION" w:val="18.1.2018"/>
    <w:docVar w:name="LW_EMISSION_ISODATE" w:val="2018-01-18"/>
    <w:docVar w:name="LW_EMISSION_LOCATION" w:val="BRX"/>
    <w:docVar w:name="LW_EMISSION_PREFIX" w:val="Brussels, "/>
    <w:docVar w:name="LW_EMISSION_SUFFIX" w:val=" "/>
    <w:docVar w:name="LW_ID_DOCTYPE_NONLW" w:val="CP-027"/>
    <w:docVar w:name="LW_LANGUE" w:val="EN"/>
    <w:docVar w:name="LW_LEVEL_OF_SENSITIVITY" w:val="Standard treatment"/>
    <w:docVar w:name="LW_NOM.INST" w:val="EUROPEAN COMMISSION"/>
    <w:docVar w:name="LW_NOM.INST_JOINTDOC" w:val="&lt;EMPTY&gt;"/>
    <w:docVar w:name="LW_OBJETACTEPRINCIPAL.CP" w:val="amending Directive 2006/112/EC on the common system of value added tax as regards the special scheme for small enterprises "/>
    <w:docVar w:name="LW_PART_NBR" w:val="1"/>
    <w:docVar w:name="LW_PART_NBR_TOTAL" w:val="1"/>
    <w:docVar w:name="LW_REF.INST.NEW" w:val="SWD"/>
    <w:docVar w:name="LW_REF.INST.NEW_ADOPTED" w:val="final"/>
    <w:docVar w:name="LW_REF.INST.NEW_TEXT" w:val="(2018) 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_x000b__x000b_EXECUTIVE SUMMARY OF THE IMPACT ASSESSMENT_x000b_"/>
    <w:docVar w:name="LW_TYPEACTEPRINCIPAL.CP" w:val="Proposal for a Council Directive"/>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customStyle="1" w:styleId="FooterCoverPage">
    <w:name w:val="Footer Cover Page"/>
    <w:basedOn w:val="Normal"/>
    <w:link w:val="FooterCoverPageChar"/>
    <w:pPr>
      <w:keepNext/>
      <w:tabs>
        <w:tab w:val="center" w:pos="4535"/>
        <w:tab w:val="right" w:pos="9071"/>
        <w:tab w:val="right" w:pos="9921"/>
      </w:tabs>
      <w:spacing w:before="360" w:after="0" w:line="240" w:lineRule="auto"/>
      <w:ind w:left="-850" w:right="-850"/>
      <w:outlineLvl w:val="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keepNext/>
      <w:tabs>
        <w:tab w:val="center" w:pos="4535"/>
        <w:tab w:val="right" w:pos="9071"/>
      </w:tabs>
      <w:spacing w:after="120" w:line="240" w:lineRule="auto"/>
      <w:jc w:val="both"/>
      <w:outlineLvl w:val="0"/>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customStyle="1" w:styleId="FooterCoverPage">
    <w:name w:val="Footer Cover Page"/>
    <w:basedOn w:val="Normal"/>
    <w:link w:val="FooterCoverPageChar"/>
    <w:pPr>
      <w:keepNext/>
      <w:tabs>
        <w:tab w:val="center" w:pos="4535"/>
        <w:tab w:val="right" w:pos="9071"/>
        <w:tab w:val="right" w:pos="9921"/>
      </w:tabs>
      <w:spacing w:before="360" w:after="0" w:line="240" w:lineRule="auto"/>
      <w:ind w:left="-850" w:right="-850"/>
      <w:outlineLvl w:val="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keepNext/>
      <w:tabs>
        <w:tab w:val="center" w:pos="4535"/>
        <w:tab w:val="right" w:pos="9071"/>
      </w:tabs>
      <w:spacing w:after="120" w:line="240" w:lineRule="auto"/>
      <w:jc w:val="both"/>
      <w:outlineLvl w:val="0"/>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EEE7F-8456-4C34-A7A1-7192C3BF9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591</Words>
  <Characters>3178</Characters>
  <Application>Microsoft Office Word</Application>
  <DocSecurity>0</DocSecurity>
  <Lines>64</Lines>
  <Paragraphs>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2018-01-04T12:57:00Z</cp:lastPrinted>
  <dcterms:created xsi:type="dcterms:W3CDTF">2018-01-04T12:57:00Z</dcterms:created>
  <dcterms:modified xsi:type="dcterms:W3CDTF">2018-01-16T11:15:00Z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