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45" w:rsidRDefault="00930F6E">
      <w:pPr>
        <w:pStyle w:val="Pagedecouverture"/>
        <w:rPr>
          <w:noProof/>
        </w:rPr>
      </w:pPr>
      <w:bookmarkStart w:id="0" w:name="LW_BM_COVERPAGE"/>
      <w:bookmarkStart w:id="1" w:name="bookmark2"/>
      <w:bookmarkStart w:id="2" w:name="bookmark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F81FFF1-6422-46CE-A93F-CAD7EBA07117" style="width:449.7pt;height:380.05pt">
            <v:imagedata r:id="rId9" o:title=""/>
          </v:shape>
        </w:pict>
      </w:r>
    </w:p>
    <w:bookmarkEnd w:id="0"/>
    <w:p w:rsidR="006E7045" w:rsidRDefault="006E7045">
      <w:pPr>
        <w:rPr>
          <w:noProof/>
        </w:rPr>
        <w:sectPr w:rsidR="006E704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E7045" w:rsidRDefault="00930F6E">
      <w:pPr>
        <w:pStyle w:val="TOCHeading"/>
        <w:rPr>
          <w:noProof/>
        </w:rPr>
      </w:pPr>
      <w:r>
        <w:rPr>
          <w:noProof/>
        </w:rPr>
        <w:lastRenderedPageBreak/>
        <w:t>Съдържание</w:t>
      </w:r>
    </w:p>
    <w:p w:rsidR="006E7045" w:rsidRDefault="00930F6E">
      <w:pPr>
        <w:pStyle w:val="TOC1"/>
        <w:rPr>
          <w:rFonts w:asciiTheme="minorHAnsi" w:eastAsiaTheme="minorEastAsia" w:hAnsiTheme="minorHAnsi" w:cstheme="minorBidi"/>
          <w:noProof/>
          <w:sz w:val="22"/>
          <w:szCs w:val="22"/>
          <w:lang w:bidi="ar-SA"/>
        </w:rPr>
      </w:pPr>
      <w:r>
        <w:rPr>
          <w:noProof/>
          <w:sz w:val="23"/>
          <w:szCs w:val="23"/>
        </w:rPr>
        <w:fldChar w:fldCharType="begin"/>
      </w:r>
      <w:r>
        <w:rPr>
          <w:noProof/>
          <w:sz w:val="23"/>
          <w:szCs w:val="23"/>
        </w:rPr>
        <w:instrText xml:space="preserve"> TOC \o "1-2" \h \z \u </w:instrText>
      </w:r>
      <w:r>
        <w:rPr>
          <w:noProof/>
          <w:sz w:val="23"/>
          <w:szCs w:val="23"/>
        </w:rPr>
        <w:fldChar w:fldCharType="separate"/>
      </w:r>
      <w:hyperlink w:anchor="_Toc499817339" w:history="1">
        <w:r>
          <w:rPr>
            <w:rStyle w:val="Hyperlink"/>
            <w:noProof/>
          </w:rPr>
          <w:t>1.</w:t>
        </w:r>
        <w:r>
          <w:rPr>
            <w:rFonts w:asciiTheme="minorHAnsi" w:eastAsiaTheme="minorEastAsia" w:hAnsiTheme="minorHAnsi" w:cstheme="minorBidi"/>
            <w:noProof/>
            <w:sz w:val="22"/>
            <w:szCs w:val="22"/>
            <w:lang w:bidi="ar-SA"/>
          </w:rPr>
          <w:tab/>
        </w:r>
        <w:r>
          <w:rPr>
            <w:rStyle w:val="Hyperlink"/>
            <w:noProof/>
            <w:shd w:val="clear" w:color="auto" w:fill="FFFFFF"/>
          </w:rPr>
          <w:t>Въведение</w:t>
        </w:r>
        <w:r>
          <w:rPr>
            <w:noProof/>
            <w:webHidden/>
          </w:rPr>
          <w:tab/>
        </w:r>
        <w:r>
          <w:rPr>
            <w:noProof/>
            <w:webHidden/>
          </w:rPr>
          <w:fldChar w:fldCharType="begin"/>
        </w:r>
        <w:r>
          <w:rPr>
            <w:noProof/>
            <w:webHidden/>
          </w:rPr>
          <w:instrText xml:space="preserve"> PAGEREF _Toc499817339 \h </w:instrText>
        </w:r>
        <w:r>
          <w:rPr>
            <w:noProof/>
            <w:webHidden/>
          </w:rPr>
        </w:r>
        <w:r>
          <w:rPr>
            <w:noProof/>
            <w:webHidden/>
          </w:rPr>
          <w:fldChar w:fldCharType="separate"/>
        </w:r>
        <w:r>
          <w:rPr>
            <w:noProof/>
            <w:webHidden/>
          </w:rPr>
          <w:t>2</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0" w:history="1">
        <w:r>
          <w:rPr>
            <w:rStyle w:val="Hyperlink"/>
            <w:noProof/>
          </w:rPr>
          <w:t>1.1.</w:t>
        </w:r>
        <w:r>
          <w:rPr>
            <w:rFonts w:asciiTheme="minorHAnsi" w:eastAsiaTheme="minorEastAsia" w:hAnsiTheme="minorHAnsi" w:cstheme="minorBidi"/>
            <w:noProof/>
            <w:sz w:val="22"/>
            <w:szCs w:val="22"/>
            <w:lang w:bidi="ar-SA"/>
          </w:rPr>
          <w:tab/>
        </w:r>
        <w:r>
          <w:rPr>
            <w:rStyle w:val="Hyperlink"/>
            <w:noProof/>
            <w:shd w:val="clear" w:color="auto" w:fill="FFFFFF"/>
          </w:rPr>
          <w:t>Правна уредба</w:t>
        </w:r>
        <w:r>
          <w:rPr>
            <w:noProof/>
            <w:webHidden/>
          </w:rPr>
          <w:tab/>
        </w:r>
        <w:r>
          <w:rPr>
            <w:noProof/>
            <w:webHidden/>
          </w:rPr>
          <w:fldChar w:fldCharType="begin"/>
        </w:r>
        <w:r>
          <w:rPr>
            <w:noProof/>
            <w:webHidden/>
          </w:rPr>
          <w:instrText xml:space="preserve"> PAGEREF _Toc499817340 \h </w:instrText>
        </w:r>
        <w:r>
          <w:rPr>
            <w:noProof/>
            <w:webHidden/>
          </w:rPr>
        </w:r>
        <w:r>
          <w:rPr>
            <w:noProof/>
            <w:webHidden/>
          </w:rPr>
          <w:fldChar w:fldCharType="separate"/>
        </w:r>
        <w:r>
          <w:rPr>
            <w:noProof/>
            <w:webHidden/>
          </w:rPr>
          <w:t>4</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1" w:history="1">
        <w:r>
          <w:rPr>
            <w:rStyle w:val="Hyperlink"/>
            <w:noProof/>
          </w:rPr>
          <w:t>1.2.</w:t>
        </w:r>
        <w:r>
          <w:rPr>
            <w:rFonts w:asciiTheme="minorHAnsi" w:eastAsiaTheme="minorEastAsia" w:hAnsiTheme="minorHAnsi" w:cstheme="minorBidi"/>
            <w:noProof/>
            <w:sz w:val="22"/>
            <w:szCs w:val="22"/>
            <w:lang w:bidi="ar-SA"/>
          </w:rPr>
          <w:tab/>
        </w:r>
        <w:r>
          <w:rPr>
            <w:rStyle w:val="Hyperlink"/>
            <w:noProof/>
            <w:shd w:val="clear" w:color="auto" w:fill="FFFFFF"/>
          </w:rPr>
          <w:t xml:space="preserve">Общи </w:t>
        </w:r>
        <w:r>
          <w:rPr>
            <w:rStyle w:val="Hyperlink"/>
            <w:noProof/>
            <w:shd w:val="clear" w:color="auto" w:fill="FFFFFF"/>
          </w:rPr>
          <w:t>принципи за надзор и контрол на превозите</w:t>
        </w:r>
        <w:r>
          <w:rPr>
            <w:noProof/>
            <w:webHidden/>
          </w:rPr>
          <w:tab/>
        </w:r>
        <w:r>
          <w:rPr>
            <w:noProof/>
            <w:webHidden/>
          </w:rPr>
          <w:fldChar w:fldCharType="begin"/>
        </w:r>
        <w:r>
          <w:rPr>
            <w:noProof/>
            <w:webHidden/>
          </w:rPr>
          <w:instrText xml:space="preserve"> PAGEREF _Toc499817341 \h </w:instrText>
        </w:r>
        <w:r>
          <w:rPr>
            <w:noProof/>
            <w:webHidden/>
          </w:rPr>
        </w:r>
        <w:r>
          <w:rPr>
            <w:noProof/>
            <w:webHidden/>
          </w:rPr>
          <w:fldChar w:fldCharType="separate"/>
        </w:r>
        <w:r>
          <w:rPr>
            <w:noProof/>
            <w:webHidden/>
          </w:rPr>
          <w:t>6</w:t>
        </w:r>
        <w:r>
          <w:rPr>
            <w:noProof/>
            <w:webHidden/>
          </w:rPr>
          <w:fldChar w:fldCharType="end"/>
        </w:r>
      </w:hyperlink>
    </w:p>
    <w:p w:rsidR="006E7045" w:rsidRDefault="00930F6E">
      <w:pPr>
        <w:pStyle w:val="TOC1"/>
        <w:rPr>
          <w:rFonts w:asciiTheme="minorHAnsi" w:eastAsiaTheme="minorEastAsia" w:hAnsiTheme="minorHAnsi" w:cstheme="minorBidi"/>
          <w:noProof/>
          <w:sz w:val="22"/>
          <w:szCs w:val="22"/>
          <w:lang w:bidi="ar-SA"/>
        </w:rPr>
      </w:pPr>
      <w:hyperlink w:anchor="_Toc499817342" w:history="1">
        <w:r>
          <w:rPr>
            <w:rStyle w:val="Hyperlink"/>
            <w:noProof/>
          </w:rPr>
          <w:t>2.</w:t>
        </w:r>
        <w:r>
          <w:rPr>
            <w:rFonts w:asciiTheme="minorHAnsi" w:eastAsiaTheme="minorEastAsia" w:hAnsiTheme="minorHAnsi" w:cstheme="minorBidi"/>
            <w:noProof/>
            <w:sz w:val="22"/>
            <w:szCs w:val="22"/>
            <w:lang w:bidi="ar-SA"/>
          </w:rPr>
          <w:tab/>
        </w:r>
        <w:r>
          <w:rPr>
            <w:rStyle w:val="Hyperlink"/>
            <w:noProof/>
          </w:rPr>
          <w:t>Изпълнение на основните разпоредби</w:t>
        </w:r>
        <w:r>
          <w:rPr>
            <w:noProof/>
            <w:webHidden/>
          </w:rPr>
          <w:tab/>
        </w:r>
        <w:r>
          <w:rPr>
            <w:noProof/>
            <w:webHidden/>
          </w:rPr>
          <w:fldChar w:fldCharType="begin"/>
        </w:r>
        <w:r>
          <w:rPr>
            <w:noProof/>
            <w:webHidden/>
          </w:rPr>
          <w:instrText xml:space="preserve"> PAGEREF _Toc499817342 \h </w:instrText>
        </w:r>
        <w:r>
          <w:rPr>
            <w:noProof/>
            <w:webHidden/>
          </w:rPr>
        </w:r>
        <w:r>
          <w:rPr>
            <w:noProof/>
            <w:webHidden/>
          </w:rPr>
          <w:fldChar w:fldCharType="separate"/>
        </w:r>
        <w:r>
          <w:rPr>
            <w:noProof/>
            <w:webHidden/>
          </w:rPr>
          <w:t>8</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3" w:history="1">
        <w:r>
          <w:rPr>
            <w:rStyle w:val="Hyperlink"/>
            <w:noProof/>
          </w:rPr>
          <w:t>2.1.</w:t>
        </w:r>
        <w:r>
          <w:rPr>
            <w:rFonts w:asciiTheme="minorHAnsi" w:eastAsiaTheme="minorEastAsia" w:hAnsiTheme="minorHAnsi" w:cstheme="minorBidi"/>
            <w:noProof/>
            <w:sz w:val="22"/>
            <w:szCs w:val="22"/>
            <w:lang w:bidi="ar-SA"/>
          </w:rPr>
          <w:tab/>
        </w:r>
        <w:r>
          <w:rPr>
            <w:rStyle w:val="Hyperlink"/>
            <w:noProof/>
            <w:shd w:val="clear" w:color="auto" w:fill="FFFFFF"/>
          </w:rPr>
          <w:t>Транспониране на директивата</w:t>
        </w:r>
        <w:r>
          <w:rPr>
            <w:noProof/>
            <w:webHidden/>
          </w:rPr>
          <w:tab/>
        </w:r>
        <w:r>
          <w:rPr>
            <w:noProof/>
            <w:webHidden/>
          </w:rPr>
          <w:fldChar w:fldCharType="begin"/>
        </w:r>
        <w:r>
          <w:rPr>
            <w:noProof/>
            <w:webHidden/>
          </w:rPr>
          <w:instrText xml:space="preserve"> PAGEREF _Toc499817343 \h </w:instrText>
        </w:r>
        <w:r>
          <w:rPr>
            <w:noProof/>
            <w:webHidden/>
          </w:rPr>
        </w:r>
        <w:r>
          <w:rPr>
            <w:noProof/>
            <w:webHidden/>
          </w:rPr>
          <w:fldChar w:fldCharType="separate"/>
        </w:r>
        <w:r>
          <w:rPr>
            <w:noProof/>
            <w:webHidden/>
          </w:rPr>
          <w:t>8</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4" w:history="1">
        <w:r>
          <w:rPr>
            <w:rStyle w:val="Hyperlink"/>
            <w:noProof/>
          </w:rPr>
          <w:t>2.2.</w:t>
        </w:r>
        <w:r>
          <w:rPr>
            <w:rFonts w:asciiTheme="minorHAnsi" w:eastAsiaTheme="minorEastAsia" w:hAnsiTheme="minorHAnsi" w:cstheme="minorBidi"/>
            <w:noProof/>
            <w:sz w:val="22"/>
            <w:szCs w:val="22"/>
            <w:lang w:bidi="ar-SA"/>
          </w:rPr>
          <w:tab/>
        </w:r>
        <w:r>
          <w:rPr>
            <w:rStyle w:val="Hyperlink"/>
            <w:noProof/>
            <w:shd w:val="clear" w:color="auto" w:fill="FFFFFF"/>
          </w:rPr>
          <w:t>Стандарте</w:t>
        </w:r>
        <w:r>
          <w:rPr>
            <w:rStyle w:val="Hyperlink"/>
            <w:noProof/>
            <w:shd w:val="clear" w:color="auto" w:fill="FFFFFF"/>
          </w:rPr>
          <w:t>н документ за надзор и контрол на превози</w:t>
        </w:r>
        <w:r>
          <w:rPr>
            <w:noProof/>
            <w:webHidden/>
          </w:rPr>
          <w:tab/>
        </w:r>
        <w:r>
          <w:rPr>
            <w:noProof/>
            <w:webHidden/>
          </w:rPr>
          <w:fldChar w:fldCharType="begin"/>
        </w:r>
        <w:r>
          <w:rPr>
            <w:noProof/>
            <w:webHidden/>
          </w:rPr>
          <w:instrText xml:space="preserve"> PAGEREF _Toc499817344 \h </w:instrText>
        </w:r>
        <w:r>
          <w:rPr>
            <w:noProof/>
            <w:webHidden/>
          </w:rPr>
        </w:r>
        <w:r>
          <w:rPr>
            <w:noProof/>
            <w:webHidden/>
          </w:rPr>
          <w:fldChar w:fldCharType="separate"/>
        </w:r>
        <w:r>
          <w:rPr>
            <w:noProof/>
            <w:webHidden/>
          </w:rPr>
          <w:t>8</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5" w:history="1">
        <w:r>
          <w:rPr>
            <w:rStyle w:val="Hyperlink"/>
            <w:noProof/>
          </w:rPr>
          <w:t>2.3.</w:t>
        </w:r>
        <w:r>
          <w:rPr>
            <w:rFonts w:asciiTheme="minorHAnsi" w:eastAsiaTheme="minorEastAsia" w:hAnsiTheme="minorHAnsi" w:cstheme="minorBidi"/>
            <w:noProof/>
            <w:sz w:val="22"/>
            <w:szCs w:val="22"/>
            <w:lang w:bidi="ar-SA"/>
          </w:rPr>
          <w:tab/>
        </w:r>
        <w:r>
          <w:rPr>
            <w:rStyle w:val="Hyperlink"/>
            <w:noProof/>
            <w:shd w:val="clear" w:color="auto" w:fill="FFFFFF"/>
          </w:rPr>
          <w:t>Компетентни органи</w:t>
        </w:r>
        <w:r>
          <w:rPr>
            <w:noProof/>
            <w:webHidden/>
          </w:rPr>
          <w:tab/>
        </w:r>
        <w:r>
          <w:rPr>
            <w:noProof/>
            <w:webHidden/>
          </w:rPr>
          <w:fldChar w:fldCharType="begin"/>
        </w:r>
        <w:r>
          <w:rPr>
            <w:noProof/>
            <w:webHidden/>
          </w:rPr>
          <w:instrText xml:space="preserve"> PAGEREF _Toc499817345 \h </w:instrText>
        </w:r>
        <w:r>
          <w:rPr>
            <w:noProof/>
            <w:webHidden/>
          </w:rPr>
        </w:r>
        <w:r>
          <w:rPr>
            <w:noProof/>
            <w:webHidden/>
          </w:rPr>
          <w:fldChar w:fldCharType="separate"/>
        </w:r>
        <w:r>
          <w:rPr>
            <w:noProof/>
            <w:webHidden/>
          </w:rPr>
          <w:t>9</w:t>
        </w:r>
        <w:r>
          <w:rPr>
            <w:noProof/>
            <w:webHidden/>
          </w:rPr>
          <w:fldChar w:fldCharType="end"/>
        </w:r>
      </w:hyperlink>
    </w:p>
    <w:p w:rsidR="006E7045" w:rsidRDefault="00930F6E">
      <w:pPr>
        <w:pStyle w:val="TOC1"/>
        <w:rPr>
          <w:rFonts w:asciiTheme="minorHAnsi" w:eastAsiaTheme="minorEastAsia" w:hAnsiTheme="minorHAnsi" w:cstheme="minorBidi"/>
          <w:noProof/>
          <w:sz w:val="22"/>
          <w:szCs w:val="22"/>
          <w:lang w:bidi="ar-SA"/>
        </w:rPr>
      </w:pPr>
      <w:hyperlink w:anchor="_Toc499817346" w:history="1">
        <w:r>
          <w:rPr>
            <w:rStyle w:val="Hyperlink"/>
            <w:noProof/>
          </w:rPr>
          <w:t>3.</w:t>
        </w:r>
        <w:r>
          <w:rPr>
            <w:rFonts w:asciiTheme="minorHAnsi" w:eastAsiaTheme="minorEastAsia" w:hAnsiTheme="minorHAnsi" w:cstheme="minorBidi"/>
            <w:noProof/>
            <w:sz w:val="22"/>
            <w:szCs w:val="22"/>
            <w:lang w:bidi="ar-SA"/>
          </w:rPr>
          <w:tab/>
        </w:r>
        <w:r>
          <w:rPr>
            <w:rStyle w:val="Hyperlink"/>
            <w:noProof/>
            <w:shd w:val="clear" w:color="auto" w:fill="FFFFFF"/>
          </w:rPr>
          <w:t>Наблюдения и тенденции при превоза на отработено гориво и радиоактивни отпадъци</w:t>
        </w:r>
        <w:r>
          <w:rPr>
            <w:noProof/>
            <w:webHidden/>
          </w:rPr>
          <w:tab/>
        </w:r>
        <w:r>
          <w:rPr>
            <w:noProof/>
            <w:webHidden/>
          </w:rPr>
          <w:fldChar w:fldCharType="begin"/>
        </w:r>
        <w:r>
          <w:rPr>
            <w:noProof/>
            <w:webHidden/>
          </w:rPr>
          <w:instrText xml:space="preserve"> PAGEREF _Toc499817346 \h </w:instrText>
        </w:r>
        <w:r>
          <w:rPr>
            <w:noProof/>
            <w:webHidden/>
          </w:rPr>
        </w:r>
        <w:r>
          <w:rPr>
            <w:noProof/>
            <w:webHidden/>
          </w:rPr>
          <w:fldChar w:fldCharType="separate"/>
        </w:r>
        <w:r>
          <w:rPr>
            <w:noProof/>
            <w:webHidden/>
          </w:rPr>
          <w:t>9</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7" w:history="1">
        <w:r>
          <w:rPr>
            <w:rStyle w:val="Hyperlink"/>
            <w:rFonts w:eastAsia="Calibri"/>
            <w:noProof/>
          </w:rPr>
          <w:t>3.1.</w:t>
        </w:r>
        <w:r>
          <w:rPr>
            <w:rFonts w:asciiTheme="minorHAnsi" w:eastAsiaTheme="minorEastAsia" w:hAnsiTheme="minorHAnsi" w:cstheme="minorBidi"/>
            <w:noProof/>
            <w:sz w:val="22"/>
            <w:szCs w:val="22"/>
            <w:lang w:bidi="ar-SA"/>
          </w:rPr>
          <w:tab/>
        </w:r>
        <w:r>
          <w:rPr>
            <w:rStyle w:val="Hyperlink"/>
            <w:noProof/>
          </w:rPr>
          <w:t>Общи превози</w:t>
        </w:r>
        <w:r>
          <w:rPr>
            <w:noProof/>
            <w:webHidden/>
          </w:rPr>
          <w:tab/>
        </w:r>
        <w:r>
          <w:rPr>
            <w:noProof/>
            <w:webHidden/>
          </w:rPr>
          <w:fldChar w:fldCharType="begin"/>
        </w:r>
        <w:r>
          <w:rPr>
            <w:noProof/>
            <w:webHidden/>
          </w:rPr>
          <w:instrText xml:space="preserve"> PAGEREF _Toc499817347 \h </w:instrText>
        </w:r>
        <w:r>
          <w:rPr>
            <w:noProof/>
            <w:webHidden/>
          </w:rPr>
        </w:r>
        <w:r>
          <w:rPr>
            <w:noProof/>
            <w:webHidden/>
          </w:rPr>
          <w:fldChar w:fldCharType="separate"/>
        </w:r>
        <w:r>
          <w:rPr>
            <w:noProof/>
            <w:webHidden/>
          </w:rPr>
          <w:t>10</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8" w:history="1">
        <w:r>
          <w:rPr>
            <w:rStyle w:val="Hyperlink"/>
            <w:noProof/>
          </w:rPr>
          <w:t>3.2.</w:t>
        </w:r>
        <w:r>
          <w:rPr>
            <w:rFonts w:asciiTheme="minorHAnsi" w:eastAsiaTheme="minorEastAsia" w:hAnsiTheme="minorHAnsi" w:cstheme="minorBidi"/>
            <w:noProof/>
            <w:sz w:val="22"/>
            <w:szCs w:val="22"/>
            <w:lang w:bidi="ar-SA"/>
          </w:rPr>
          <w:tab/>
        </w:r>
        <w:r>
          <w:rPr>
            <w:rStyle w:val="Hyperlink"/>
            <w:noProof/>
          </w:rPr>
          <w:t xml:space="preserve"> Внос, износ и транзитно преминаване през територията на Общността</w:t>
        </w:r>
        <w:r>
          <w:rPr>
            <w:noProof/>
            <w:webHidden/>
          </w:rPr>
          <w:tab/>
        </w:r>
        <w:r>
          <w:rPr>
            <w:noProof/>
            <w:webHidden/>
          </w:rPr>
          <w:fldChar w:fldCharType="begin"/>
        </w:r>
        <w:r>
          <w:rPr>
            <w:noProof/>
            <w:webHidden/>
          </w:rPr>
          <w:instrText xml:space="preserve"> PAGEREF _Toc499817348 \h </w:instrText>
        </w:r>
        <w:r>
          <w:rPr>
            <w:noProof/>
            <w:webHidden/>
          </w:rPr>
        </w:r>
        <w:r>
          <w:rPr>
            <w:noProof/>
            <w:webHidden/>
          </w:rPr>
          <w:fldChar w:fldCharType="separate"/>
        </w:r>
        <w:r>
          <w:rPr>
            <w:noProof/>
            <w:webHidden/>
          </w:rPr>
          <w:t>11</w:t>
        </w:r>
        <w:r>
          <w:rPr>
            <w:noProof/>
            <w:webHidden/>
          </w:rPr>
          <w:fldChar w:fldCharType="end"/>
        </w:r>
      </w:hyperlink>
    </w:p>
    <w:p w:rsidR="006E7045" w:rsidRDefault="00930F6E">
      <w:pPr>
        <w:pStyle w:val="TOC2"/>
        <w:rPr>
          <w:rFonts w:asciiTheme="minorHAnsi" w:eastAsiaTheme="minorEastAsia" w:hAnsiTheme="minorHAnsi" w:cstheme="minorBidi"/>
          <w:noProof/>
          <w:sz w:val="22"/>
          <w:szCs w:val="22"/>
          <w:lang w:bidi="ar-SA"/>
        </w:rPr>
      </w:pPr>
      <w:hyperlink w:anchor="_Toc499817349" w:history="1">
        <w:r>
          <w:rPr>
            <w:rStyle w:val="Hyperlink"/>
            <w:noProof/>
          </w:rPr>
          <w:t>3.3</w:t>
        </w:r>
        <w:r>
          <w:rPr>
            <w:rFonts w:asciiTheme="minorHAnsi" w:eastAsiaTheme="minorEastAsia" w:hAnsiTheme="minorHAnsi" w:cstheme="minorBidi"/>
            <w:noProof/>
            <w:sz w:val="22"/>
            <w:szCs w:val="22"/>
            <w:lang w:bidi="ar-SA"/>
          </w:rPr>
          <w:tab/>
        </w:r>
        <w:r>
          <w:rPr>
            <w:rStyle w:val="Hyperlink"/>
            <w:noProof/>
          </w:rPr>
          <w:t>Последващи действия във връзка с първия доклад на Комиси</w:t>
        </w:r>
        <w:r>
          <w:rPr>
            <w:rStyle w:val="Hyperlink"/>
            <w:noProof/>
          </w:rPr>
          <w:t>ята</w:t>
        </w:r>
        <w:r>
          <w:rPr>
            <w:noProof/>
            <w:webHidden/>
          </w:rPr>
          <w:tab/>
        </w:r>
        <w:r>
          <w:rPr>
            <w:noProof/>
            <w:webHidden/>
          </w:rPr>
          <w:fldChar w:fldCharType="begin"/>
        </w:r>
        <w:r>
          <w:rPr>
            <w:noProof/>
            <w:webHidden/>
          </w:rPr>
          <w:instrText xml:space="preserve"> PAGEREF _Toc499817349 \h </w:instrText>
        </w:r>
        <w:r>
          <w:rPr>
            <w:noProof/>
            <w:webHidden/>
          </w:rPr>
        </w:r>
        <w:r>
          <w:rPr>
            <w:noProof/>
            <w:webHidden/>
          </w:rPr>
          <w:fldChar w:fldCharType="separate"/>
        </w:r>
        <w:r>
          <w:rPr>
            <w:noProof/>
            <w:webHidden/>
          </w:rPr>
          <w:t>12</w:t>
        </w:r>
        <w:r>
          <w:rPr>
            <w:noProof/>
            <w:webHidden/>
          </w:rPr>
          <w:fldChar w:fldCharType="end"/>
        </w:r>
      </w:hyperlink>
    </w:p>
    <w:p w:rsidR="006E7045" w:rsidRDefault="00930F6E">
      <w:pPr>
        <w:pStyle w:val="TOC1"/>
        <w:rPr>
          <w:rFonts w:asciiTheme="minorHAnsi" w:eastAsiaTheme="minorEastAsia" w:hAnsiTheme="minorHAnsi" w:cstheme="minorBidi"/>
          <w:noProof/>
          <w:sz w:val="22"/>
          <w:szCs w:val="22"/>
          <w:lang w:bidi="ar-SA"/>
        </w:rPr>
      </w:pPr>
      <w:hyperlink w:anchor="_Toc499817350" w:history="1">
        <w:r>
          <w:rPr>
            <w:rStyle w:val="Hyperlink"/>
            <w:noProof/>
          </w:rPr>
          <w:t>4.</w:t>
        </w:r>
        <w:r>
          <w:rPr>
            <w:rFonts w:asciiTheme="minorHAnsi" w:eastAsiaTheme="minorEastAsia" w:hAnsiTheme="minorHAnsi" w:cstheme="minorBidi"/>
            <w:noProof/>
            <w:sz w:val="22"/>
            <w:szCs w:val="22"/>
            <w:lang w:bidi="ar-SA"/>
          </w:rPr>
          <w:tab/>
        </w:r>
        <w:r>
          <w:rPr>
            <w:rStyle w:val="Hyperlink"/>
            <w:noProof/>
          </w:rPr>
          <w:t>Заключения</w:t>
        </w:r>
        <w:r>
          <w:rPr>
            <w:noProof/>
            <w:webHidden/>
          </w:rPr>
          <w:tab/>
        </w:r>
        <w:r>
          <w:rPr>
            <w:noProof/>
            <w:webHidden/>
          </w:rPr>
          <w:fldChar w:fldCharType="begin"/>
        </w:r>
        <w:r>
          <w:rPr>
            <w:noProof/>
            <w:webHidden/>
          </w:rPr>
          <w:instrText xml:space="preserve"> PAGEREF _Toc499817350 \h </w:instrText>
        </w:r>
        <w:r>
          <w:rPr>
            <w:noProof/>
            <w:webHidden/>
          </w:rPr>
        </w:r>
        <w:r>
          <w:rPr>
            <w:noProof/>
            <w:webHidden/>
          </w:rPr>
          <w:fldChar w:fldCharType="separate"/>
        </w:r>
        <w:r>
          <w:rPr>
            <w:noProof/>
            <w:webHidden/>
          </w:rPr>
          <w:t>13</w:t>
        </w:r>
        <w:r>
          <w:rPr>
            <w:noProof/>
            <w:webHidden/>
          </w:rPr>
          <w:fldChar w:fldCharType="end"/>
        </w:r>
      </w:hyperlink>
    </w:p>
    <w:p w:rsidR="006E7045" w:rsidRDefault="00930F6E">
      <w:pPr>
        <w:pStyle w:val="TOC1"/>
        <w:rPr>
          <w:rFonts w:ascii="Calibri" w:hAnsi="Calibri"/>
          <w:noProof/>
          <w:sz w:val="22"/>
          <w:szCs w:val="22"/>
        </w:rPr>
      </w:pPr>
      <w:r>
        <w:rPr>
          <w:noProof/>
          <w:sz w:val="23"/>
          <w:szCs w:val="23"/>
        </w:rPr>
        <w:fldChar w:fldCharType="end"/>
      </w:r>
    </w:p>
    <w:p w:rsidR="006E7045" w:rsidRDefault="00930F6E">
      <w:pPr>
        <w:rPr>
          <w:b/>
          <w:bCs/>
          <w:noProof/>
          <w:sz w:val="23"/>
          <w:szCs w:val="23"/>
        </w:rPr>
      </w:pPr>
      <w:r>
        <w:rPr>
          <w:noProof/>
        </w:rPr>
        <w:br w:type="page"/>
      </w:r>
    </w:p>
    <w:p w:rsidR="006E7045" w:rsidRDefault="00930F6E">
      <w:pPr>
        <w:pStyle w:val="ManualHeading1"/>
        <w:rPr>
          <w:noProof/>
        </w:rPr>
      </w:pPr>
      <w:bookmarkStart w:id="3" w:name="_Toc498433908"/>
      <w:bookmarkStart w:id="4" w:name="_Toc499817339"/>
      <w:r>
        <w:t>1.</w:t>
      </w:r>
      <w:r>
        <w:tab/>
      </w:r>
      <w:r>
        <w:rPr>
          <w:rStyle w:val="En-tte32"/>
          <w:noProof/>
          <w:sz w:val="24"/>
        </w:rPr>
        <w:t>Въведение</w:t>
      </w:r>
      <w:bookmarkEnd w:id="1"/>
      <w:bookmarkEnd w:id="2"/>
      <w:bookmarkEnd w:id="3"/>
      <w:bookmarkEnd w:id="4"/>
    </w:p>
    <w:p w:rsidR="006E7045" w:rsidRDefault="00930F6E">
      <w:pPr>
        <w:autoSpaceDE w:val="0"/>
        <w:autoSpaceDN w:val="0"/>
        <w:adjustRightInd w:val="0"/>
        <w:spacing w:after="240"/>
        <w:rPr>
          <w:rStyle w:val="Corpsdutexte"/>
          <w:noProof/>
        </w:rPr>
      </w:pPr>
      <w:r>
        <w:rPr>
          <w:noProof/>
        </w:rPr>
        <w:t>В Директива 2006/117/ЕВРАТОМ на Съвета</w:t>
      </w:r>
      <w:r>
        <w:rPr>
          <w:rStyle w:val="FootnoteReference"/>
          <w:noProof/>
        </w:rPr>
        <w:footnoteReference w:id="1"/>
      </w:r>
      <w:r>
        <w:rPr>
          <w:noProof/>
        </w:rPr>
        <w:t xml:space="preserve"> се установява система на Общността за надзор и контрол на трансграничния превоз на радиоактивни отпадъци и отработено гориво с оглед</w:t>
      </w:r>
      <w:r>
        <w:rPr>
          <w:noProof/>
        </w:rPr>
        <w:t xml:space="preserve"> осигуряване на адекватна защита на населението. С нея се гарантира, че засегнатите държави членки са уведомявани за превоза на радиоактивни отпадъци и отработено гориво до тяхната територия или през нея, като са задължени да предоставят своето съгласие ил</w:t>
      </w:r>
      <w:r>
        <w:rPr>
          <w:noProof/>
        </w:rPr>
        <w:t>и мотивиран отказ за превоз.</w:t>
      </w:r>
      <w:r>
        <w:rPr>
          <w:rStyle w:val="Corpsdutexte"/>
          <w:noProof/>
        </w:rPr>
        <w:t xml:space="preserve"> </w:t>
      </w:r>
      <w:r>
        <w:rPr>
          <w:noProof/>
        </w:rPr>
        <w:t xml:space="preserve">Директивата </w:t>
      </w:r>
      <w:r>
        <w:rPr>
          <w:rStyle w:val="Corpsdutexte"/>
          <w:noProof/>
        </w:rPr>
        <w:t>допълва Директива 2011/70/ЕВРАТОМ на Съвета</w:t>
      </w:r>
      <w:r>
        <w:rPr>
          <w:rStyle w:val="FootnoteReference"/>
          <w:noProof/>
        </w:rPr>
        <w:footnoteReference w:id="2"/>
      </w:r>
      <w:r>
        <w:rPr>
          <w:rStyle w:val="Corpsdutexte"/>
          <w:noProof/>
        </w:rPr>
        <w:t>, която е насочена към политиката и отговорностите за дългосрочно управление на радиоактивни отпадъци и отработено гориво.</w:t>
      </w:r>
    </w:p>
    <w:p w:rsidR="006E7045" w:rsidRDefault="00930F6E">
      <w:pPr>
        <w:tabs>
          <w:tab w:val="left" w:pos="720"/>
        </w:tabs>
        <w:spacing w:after="240"/>
        <w:rPr>
          <w:rStyle w:val="Corpsdutexte"/>
          <w:noProof/>
        </w:rPr>
      </w:pPr>
      <w:r>
        <w:rPr>
          <w:noProof/>
        </w:rPr>
        <w:t>Това е вторият доклад на Комисията относно прила</w:t>
      </w:r>
      <w:r>
        <w:rPr>
          <w:noProof/>
        </w:rPr>
        <w:t xml:space="preserve">гането на Директива 2006/117/ЕВРАТОМ на Съвета, </w:t>
      </w:r>
      <w:r>
        <w:rPr>
          <w:rStyle w:val="Corpsdutexte"/>
          <w:noProof/>
        </w:rPr>
        <w:t>в който се представя преглед на съответните превози и свързаните с тях аспекти. В него се предоставя допълнителна информация към доклада на Комисията относно прилагането на Директива 2011/70/ЕВРАТОМ на Съвета</w:t>
      </w:r>
      <w:r>
        <w:rPr>
          <w:rStyle w:val="FootnoteReference"/>
          <w:noProof/>
        </w:rPr>
        <w:footnoteReference w:id="3"/>
      </w:r>
      <w:r>
        <w:rPr>
          <w:rStyle w:val="Corpsdutexte"/>
          <w:noProof/>
        </w:rPr>
        <w:t>.</w:t>
      </w:r>
    </w:p>
    <w:p w:rsidR="006E7045" w:rsidRDefault="00930F6E">
      <w:pPr>
        <w:autoSpaceDE w:val="0"/>
        <w:autoSpaceDN w:val="0"/>
        <w:adjustRightInd w:val="0"/>
        <w:spacing w:after="240"/>
        <w:rPr>
          <w:noProof/>
        </w:rPr>
      </w:pPr>
      <w:r>
        <w:rPr>
          <w:noProof/>
        </w:rPr>
        <w:t>Всички държави членки в ЕС произвеждат радиоактивни отпадъци, генерирани от различни съоръжения (например ядрени електроцентрали, изследователски реактори) и дейности, като например приложенията на радиоактивни изотопи в медицината, промишлеността, селс</w:t>
      </w:r>
      <w:r>
        <w:rPr>
          <w:noProof/>
        </w:rPr>
        <w:t xml:space="preserve">кото стопанство, научните изследвания и образованието. „Радиоактивните отпадъци“ се определят като радиоактивен материал в газообразно, течно или твърдо състояние, за който не се предвижда по-нататъшна употреба от изпращащите и приемащите държави, нито от </w:t>
      </w:r>
      <w:r>
        <w:rPr>
          <w:noProof/>
        </w:rPr>
        <w:t>физическо или юридическо лице, чието решение се приема от тези държави, и който се контролира като радиоактивен отпадък от регулаторен орган съгласно законодателната и подзаконовата нормативна уредба на изпращащите и приемащите държави.</w:t>
      </w:r>
    </w:p>
    <w:p w:rsidR="006E7045" w:rsidRDefault="00930F6E">
      <w:pPr>
        <w:autoSpaceDE w:val="0"/>
        <w:autoSpaceDN w:val="0"/>
        <w:adjustRightInd w:val="0"/>
        <w:spacing w:after="240"/>
        <w:rPr>
          <w:noProof/>
        </w:rPr>
      </w:pPr>
      <w:r>
        <w:rPr>
          <w:noProof/>
        </w:rPr>
        <w:t>Освен това при експ</w:t>
      </w:r>
      <w:r>
        <w:rPr>
          <w:noProof/>
        </w:rPr>
        <w:t>лоатацията на ядрени електроцентрали и изследователски реактори се генерира също отработено гориво. „Отработеното гориво“ се определя като ядрено гориво, което е било облъчено в активната зона на ядрен реактор и е окончателно извадено от нея. То може да се</w:t>
      </w:r>
      <w:r>
        <w:rPr>
          <w:noProof/>
        </w:rPr>
        <w:t xml:space="preserve"> счита или за използваем източник, който може да се обработи допълнително, или е предназначено за окончателно погребване без предвидена по-нататъшна употреба и третирано като радиоактивен отпадък. </w:t>
      </w:r>
    </w:p>
    <w:p w:rsidR="006E7045" w:rsidRDefault="00930F6E">
      <w:pPr>
        <w:autoSpaceDE w:val="0"/>
        <w:autoSpaceDN w:val="0"/>
        <w:adjustRightInd w:val="0"/>
        <w:spacing w:after="240"/>
        <w:rPr>
          <w:noProof/>
        </w:rPr>
      </w:pPr>
      <w:r>
        <w:rPr>
          <w:noProof/>
        </w:rPr>
        <w:t>Когато се генерират отработено гориво и радиоактивни отпад</w:t>
      </w:r>
      <w:r>
        <w:rPr>
          <w:noProof/>
        </w:rPr>
        <w:t>ъци, те се съхраняват преди евентуалното обработване или преработване, и погребване. От обектите, където са генерирани или управлявани тези материали, отработеното гориво и радиоактивните отпадъци се транспортират главно с автомобилен, железопътен или морс</w:t>
      </w:r>
      <w:r>
        <w:rPr>
          <w:noProof/>
        </w:rPr>
        <w:t>ки транспорт и в ограничени случаи с въздушен транспорт.</w:t>
      </w:r>
    </w:p>
    <w:p w:rsidR="006E7045" w:rsidRDefault="00930F6E">
      <w:pPr>
        <w:tabs>
          <w:tab w:val="left" w:pos="220"/>
          <w:tab w:val="left" w:pos="720"/>
        </w:tabs>
        <w:autoSpaceDE w:val="0"/>
        <w:autoSpaceDN w:val="0"/>
        <w:adjustRightInd w:val="0"/>
        <w:spacing w:after="240"/>
        <w:rPr>
          <w:noProof/>
        </w:rPr>
      </w:pPr>
      <w:r>
        <w:rPr>
          <w:rStyle w:val="Corpsdutexte"/>
          <w:noProof/>
        </w:rPr>
        <w:t xml:space="preserve">Вносът, износът и транзитното преминаване на радиоактивни отпадъци и отработено гориво през държава(и) членка(и) представляват редовна практика в ЕС. </w:t>
      </w:r>
      <w:r>
        <w:rPr>
          <w:noProof/>
        </w:rPr>
        <w:t>Движение на такива материали, наричано също „прев</w:t>
      </w:r>
      <w:r>
        <w:rPr>
          <w:noProof/>
        </w:rPr>
        <w:t>оз“,</w:t>
      </w:r>
      <w:r>
        <w:rPr>
          <w:rStyle w:val="Corpsdutexte"/>
          <w:noProof/>
        </w:rPr>
        <w:t xml:space="preserve"> се осъществява в повечето държави членки, независимо от мащаба на техните ядрени програми.</w:t>
      </w:r>
    </w:p>
    <w:p w:rsidR="006E7045" w:rsidRDefault="00930F6E">
      <w:pPr>
        <w:autoSpaceDE w:val="0"/>
        <w:autoSpaceDN w:val="0"/>
        <w:adjustRightInd w:val="0"/>
        <w:spacing w:after="240"/>
        <w:rPr>
          <w:rStyle w:val="Corpsdutexte"/>
          <w:noProof/>
        </w:rPr>
      </w:pPr>
      <w:r>
        <w:rPr>
          <w:rStyle w:val="Corpsdutexte"/>
          <w:noProof/>
        </w:rPr>
        <w:t>Към момента 16 държави членки</w:t>
      </w:r>
      <w:r>
        <w:rPr>
          <w:rStyle w:val="FootnoteReference"/>
          <w:noProof/>
        </w:rPr>
        <w:footnoteReference w:id="4"/>
      </w:r>
      <w:r>
        <w:rPr>
          <w:rStyle w:val="Corpsdutexte"/>
          <w:noProof/>
        </w:rPr>
        <w:t xml:space="preserve"> разполагат с ядрени реактори на територията си, като функциониращите ядрени реактори се намират в 14 държави членки. Освен това в</w:t>
      </w:r>
      <w:r>
        <w:rPr>
          <w:rStyle w:val="Corpsdutexte"/>
          <w:noProof/>
        </w:rPr>
        <w:t xml:space="preserve"> 20 държави членки</w:t>
      </w:r>
      <w:r>
        <w:rPr>
          <w:rStyle w:val="FootnoteReference"/>
          <w:noProof/>
        </w:rPr>
        <w:footnoteReference w:id="5"/>
      </w:r>
      <w:r>
        <w:rPr>
          <w:rStyle w:val="Corpsdutexte"/>
          <w:noProof/>
        </w:rPr>
        <w:t xml:space="preserve"> са функционирали или все още функционират изследователски реактори в рамките на ЕС. Някои от държавите членки превозват отработено гориво за преработване в ЕС или в трети държави. </w:t>
      </w:r>
      <w:r>
        <w:rPr>
          <w:noProof/>
        </w:rPr>
        <w:t>Повечето държави членки с изследователски реактори възна</w:t>
      </w:r>
      <w:r>
        <w:rPr>
          <w:noProof/>
        </w:rPr>
        <w:t>меряват да върнат отработеното гориво на доставчика (САЩ или Руската федерация) преди 2020 г, въпреки че за редица реактори за обучителни и изследователски цели определянето на дългосрочен начин за управление на отработеното гориво (например погребване) вс</w:t>
      </w:r>
      <w:r>
        <w:rPr>
          <w:noProof/>
        </w:rPr>
        <w:t>е още предстои</w:t>
      </w:r>
      <w:r>
        <w:rPr>
          <w:rStyle w:val="Corpsdutexte"/>
          <w:noProof/>
        </w:rPr>
        <w:t>. Също така в много случаи радиоактивни отпадъци са превозвани в рамките на ЕС и извън него с оглед свеждане до минимум на радиоактивните отпадъци чрез преработване (например топене, изгаряне) преди съхраняването и/или погребването.</w:t>
      </w:r>
    </w:p>
    <w:p w:rsidR="006E7045" w:rsidRDefault="00930F6E">
      <w:pPr>
        <w:pStyle w:val="NormalWeb"/>
        <w:spacing w:before="120" w:beforeAutospacing="0" w:after="240" w:afterAutospacing="0"/>
        <w:jc w:val="both"/>
        <w:rPr>
          <w:i/>
          <w:noProof/>
        </w:rPr>
      </w:pPr>
      <w:r>
        <w:rPr>
          <w:rStyle w:val="Corpsdutexte"/>
          <w:noProof/>
        </w:rPr>
        <w:t xml:space="preserve">Съгласно </w:t>
      </w:r>
      <w:r>
        <w:rPr>
          <w:rStyle w:val="Corpsdutexte"/>
          <w:noProof/>
        </w:rPr>
        <w:t xml:space="preserve">член 20, параграф 1 от </w:t>
      </w:r>
      <w:r>
        <w:rPr>
          <w:noProof/>
        </w:rPr>
        <w:t>Директива 2006/117/ЕВРАТОМ на Съвета</w:t>
      </w:r>
      <w:r>
        <w:rPr>
          <w:rStyle w:val="Corpsdutexte"/>
          <w:noProof/>
        </w:rPr>
        <w:t xml:space="preserve"> от 25 декември 2011 г. държавите членки трябва да докладват на Комисията относно прилагането на Директивата на всеки три години. </w:t>
      </w:r>
      <w:r>
        <w:rPr>
          <w:noProof/>
          <w:sz w:val="23"/>
          <w:shd w:val="clear" w:color="auto" w:fill="FFFFFF"/>
        </w:rPr>
        <w:t xml:space="preserve">Следователно крайният срок за представяне на вторите доклади е бил </w:t>
      </w:r>
      <w:r>
        <w:rPr>
          <w:noProof/>
          <w:sz w:val="23"/>
          <w:shd w:val="clear" w:color="auto" w:fill="FFFFFF"/>
        </w:rPr>
        <w:t>25 декември 2014 г.</w:t>
      </w:r>
    </w:p>
    <w:p w:rsidR="006E7045" w:rsidRDefault="00930F6E">
      <w:pPr>
        <w:pStyle w:val="Corpsdutexte1"/>
        <w:shd w:val="clear" w:color="auto" w:fill="auto"/>
        <w:spacing w:before="120" w:after="240" w:line="240" w:lineRule="auto"/>
        <w:ind w:left="23" w:right="20" w:firstLine="0"/>
        <w:jc w:val="both"/>
        <w:rPr>
          <w:rStyle w:val="Corpsdutexte"/>
          <w:b/>
          <w:bCs/>
          <w:noProof/>
          <w:sz w:val="24"/>
          <w:szCs w:val="24"/>
        </w:rPr>
      </w:pPr>
      <w:r>
        <w:rPr>
          <w:rStyle w:val="Corpsdutexte"/>
          <w:noProof/>
          <w:sz w:val="24"/>
        </w:rPr>
        <w:t>За периода 2012—2014 г. всички държави членки представиха своя втори национален доклад относно превоза на радиоактивни отпадъци или отработено гориво на своите територии , а Хърватия докладва за първи път</w:t>
      </w:r>
      <w:r>
        <w:rPr>
          <w:rStyle w:val="FootnoteReference"/>
          <w:noProof/>
          <w:sz w:val="24"/>
        </w:rPr>
        <w:footnoteReference w:id="6"/>
      </w:r>
      <w:r>
        <w:rPr>
          <w:rStyle w:val="Corpsdutexte"/>
          <w:noProof/>
          <w:sz w:val="24"/>
        </w:rPr>
        <w:t xml:space="preserve">. По време на втория период за </w:t>
      </w:r>
      <w:r>
        <w:rPr>
          <w:rStyle w:val="Corpsdutexte"/>
          <w:noProof/>
          <w:sz w:val="24"/>
        </w:rPr>
        <w:t>докладване бяха отбелязани значителни закъснения, тъй като само три държави членки изпратиха уведомления</w:t>
      </w:r>
      <w:r>
        <w:rPr>
          <w:rStyle w:val="FootnoteReference"/>
          <w:noProof/>
          <w:sz w:val="24"/>
        </w:rPr>
        <w:footnoteReference w:id="7"/>
      </w:r>
      <w:r>
        <w:rPr>
          <w:rStyle w:val="Corpsdutexte"/>
          <w:noProof/>
          <w:sz w:val="24"/>
        </w:rPr>
        <w:t xml:space="preserve"> (други изпратиха уведомления с различни закъснения</w:t>
      </w:r>
      <w:r>
        <w:rPr>
          <w:rStyle w:val="FootnoteReference"/>
          <w:noProof/>
          <w:sz w:val="24"/>
        </w:rPr>
        <w:footnoteReference w:id="8"/>
      </w:r>
      <w:r>
        <w:rPr>
          <w:rStyle w:val="Corpsdutexte"/>
          <w:noProof/>
          <w:sz w:val="24"/>
        </w:rPr>
        <w:t>).</w:t>
      </w:r>
    </w:p>
    <w:p w:rsidR="006E7045" w:rsidRDefault="00930F6E">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sz w:val="24"/>
        </w:rPr>
        <w:t>Въз основа на националните доклади и след обмен на становища с Консултативния комитет и приемане</w:t>
      </w:r>
      <w:r>
        <w:rPr>
          <w:rStyle w:val="Corpsdutexte"/>
          <w:noProof/>
          <w:sz w:val="24"/>
        </w:rPr>
        <w:t xml:space="preserve"> от негова страна</w:t>
      </w:r>
      <w:r>
        <w:rPr>
          <w:rStyle w:val="FootnoteReference"/>
          <w:noProof/>
          <w:sz w:val="24"/>
        </w:rPr>
        <w:footnoteReference w:id="9"/>
      </w:r>
      <w:r>
        <w:rPr>
          <w:rStyle w:val="Corpsdutexte"/>
          <w:noProof/>
          <w:sz w:val="24"/>
        </w:rPr>
        <w:t xml:space="preserve"> Комисията изготви настоящия доклад до Европейския парламент, Съвета и Европейския икономически и социален комитет съгласно член 20, параграф 2 от Директивата.</w:t>
      </w:r>
      <w:r>
        <w:rPr>
          <w:noProof/>
          <w:sz w:val="24"/>
        </w:rPr>
        <w:t xml:space="preserve"> </w:t>
      </w:r>
      <w:r>
        <w:rPr>
          <w:rStyle w:val="Corpsdutexte"/>
          <w:noProof/>
          <w:sz w:val="24"/>
        </w:rPr>
        <w:t>Той се основава на уведомленията от всички държави членки и представлява продъ</w:t>
      </w:r>
      <w:r>
        <w:rPr>
          <w:rStyle w:val="Corpsdutexte"/>
          <w:noProof/>
          <w:sz w:val="24"/>
        </w:rPr>
        <w:t>лжение на първия доклад на Комисията за периода 2008—2011 г., издаден през 2013 г</w:t>
      </w:r>
      <w:r>
        <w:rPr>
          <w:rStyle w:val="FootnoteReference"/>
          <w:noProof/>
          <w:sz w:val="24"/>
        </w:rPr>
        <w:footnoteReference w:id="10"/>
      </w:r>
      <w:r>
        <w:rPr>
          <w:rStyle w:val="Corpsdutexte"/>
          <w:noProof/>
          <w:sz w:val="24"/>
        </w:rPr>
        <w:t>.</w:t>
      </w:r>
    </w:p>
    <w:p w:rsidR="006E7045" w:rsidRDefault="00930F6E">
      <w:pPr>
        <w:autoSpaceDE w:val="0"/>
        <w:autoSpaceDN w:val="0"/>
        <w:adjustRightInd w:val="0"/>
        <w:spacing w:after="240"/>
        <w:rPr>
          <w:rStyle w:val="Corpsdutexte"/>
          <w:noProof/>
        </w:rPr>
      </w:pPr>
      <w:r>
        <w:rPr>
          <w:rStyle w:val="Corpsdutexte"/>
          <w:noProof/>
        </w:rPr>
        <w:t>Предназначението на докладите е да се представи преглед на превоза на отработено гориво и радиоактивни отпадъци в Общността; на актуалните тенденции и предизвикателства пре</w:t>
      </w:r>
      <w:r>
        <w:rPr>
          <w:rStyle w:val="Corpsdutexte"/>
          <w:noProof/>
        </w:rPr>
        <w:t>д вноса, износа и транзитното преминаване на отработено гориво и радиоактивни отпадъци, на докладваните откази и неуспешни превози, както и на предложените действия.</w:t>
      </w:r>
    </w:p>
    <w:p w:rsidR="006E7045" w:rsidRDefault="00930F6E">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 xml:space="preserve">Повече подробна информация относно прилагането на Директивата във всяка държава членка е </w:t>
      </w:r>
      <w:r>
        <w:rPr>
          <w:rStyle w:val="Corpsdutexte"/>
          <w:noProof/>
          <w:sz w:val="24"/>
        </w:rPr>
        <w:t>представена в работния документ на службите на Комисията SWD(2018)4. В заключението на настоящия доклад са представени въпроси, които изискват допълнително внимание.</w:t>
      </w:r>
    </w:p>
    <w:p w:rsidR="006E7045" w:rsidRDefault="00930F6E">
      <w:pPr>
        <w:pStyle w:val="ManualHeading2"/>
        <w:rPr>
          <w:noProof/>
        </w:rPr>
      </w:pPr>
      <w:bookmarkStart w:id="5" w:name="bookmark7"/>
      <w:bookmarkStart w:id="6" w:name="_Toc498433909"/>
      <w:bookmarkStart w:id="7" w:name="_Toc499817340"/>
      <w:r>
        <w:t>1.1.</w:t>
      </w:r>
      <w:r>
        <w:tab/>
      </w:r>
      <w:r>
        <w:rPr>
          <w:rStyle w:val="En-tte3"/>
          <w:noProof/>
        </w:rPr>
        <w:t>Правна уредба</w:t>
      </w:r>
      <w:bookmarkEnd w:id="5"/>
      <w:bookmarkEnd w:id="6"/>
      <w:bookmarkEnd w:id="7"/>
      <w:r>
        <w:rPr>
          <w:rStyle w:val="En-tte3"/>
          <w:noProof/>
        </w:rPr>
        <w:t xml:space="preserve"> </w:t>
      </w:r>
    </w:p>
    <w:p w:rsidR="006E7045" w:rsidRDefault="00930F6E">
      <w:pPr>
        <w:pStyle w:val="Corpsdutexte1"/>
        <w:shd w:val="clear" w:color="auto" w:fill="auto"/>
        <w:spacing w:before="120" w:after="0" w:line="240" w:lineRule="auto"/>
        <w:ind w:left="23" w:right="40" w:firstLine="0"/>
        <w:jc w:val="both"/>
        <w:rPr>
          <w:rStyle w:val="Corpsdutexte"/>
          <w:noProof/>
          <w:sz w:val="24"/>
          <w:szCs w:val="24"/>
        </w:rPr>
      </w:pPr>
      <w:r>
        <w:rPr>
          <w:noProof/>
          <w:sz w:val="24"/>
        </w:rPr>
        <w:t xml:space="preserve">Безопасното и отговорно </w:t>
      </w:r>
      <w:r>
        <w:rPr>
          <w:rStyle w:val="Corpsdutexte"/>
          <w:noProof/>
          <w:sz w:val="24"/>
        </w:rPr>
        <w:t>управление на радиоактивните отпадъци и отрабо</w:t>
      </w:r>
      <w:r>
        <w:rPr>
          <w:rStyle w:val="Corpsdutexte"/>
          <w:noProof/>
          <w:sz w:val="24"/>
        </w:rPr>
        <w:t>теното гориво, включително безопасният превоз на тези материали на териториите на държавите членки и извън тях, е правно изискване. Това изискване произхожда както от международното право, така и от правото на ЕС.</w:t>
      </w:r>
    </w:p>
    <w:p w:rsidR="006E7045" w:rsidRDefault="00930F6E">
      <w:pPr>
        <w:pStyle w:val="NormalWeb"/>
        <w:spacing w:before="120" w:beforeAutospacing="0" w:after="240" w:afterAutospacing="0"/>
        <w:jc w:val="both"/>
        <w:rPr>
          <w:noProof/>
        </w:rPr>
      </w:pPr>
      <w:r>
        <w:rPr>
          <w:rStyle w:val="Corpsdutexte"/>
          <w:noProof/>
        </w:rPr>
        <w:t>На международно равнище главният базов док</w:t>
      </w:r>
      <w:r>
        <w:rPr>
          <w:rStyle w:val="Corpsdutexte"/>
          <w:noProof/>
        </w:rPr>
        <w:t>умент в тази област е Единната конвенция за безопасност при управление на отработено гориво и за безопасност при управление на радиоактивни отпадъци (Единната конвенция)</w:t>
      </w:r>
      <w:r>
        <w:rPr>
          <w:rStyle w:val="FootnoteReference"/>
          <w:noProof/>
        </w:rPr>
        <w:footnoteReference w:id="11"/>
      </w:r>
      <w:r>
        <w:rPr>
          <w:rStyle w:val="Corpsdutexte"/>
          <w:noProof/>
        </w:rPr>
        <w:t>. Чрез Единната конвенция, наред с други разпоредби, на договарящите се страни,  се на</w:t>
      </w:r>
      <w:r>
        <w:rPr>
          <w:rStyle w:val="Corpsdutexte"/>
          <w:noProof/>
        </w:rPr>
        <w:t>лагат задължения по отношение на безопасността при трансграничен превоз (внос, износ и транзитно преминаване) на радиоактивни отпадъци и отработено гориво</w:t>
      </w:r>
      <w:r>
        <w:rPr>
          <w:noProof/>
        </w:rPr>
        <w:t>. В член 27 от Единната конвенция се изисква всяка договаряща се страна, участвуваща в трансграничен п</w:t>
      </w:r>
      <w:r>
        <w:rPr>
          <w:noProof/>
        </w:rPr>
        <w:t>ревоз, да предприема съответните мерки, с цел да гарантира, че такъв превоз се осъществява в съответствие с разпоредбите на Конвенцията и съответните задължаващи международни документи. След първия доклад на Комисията относно прилагането от държавите членк</w:t>
      </w:r>
      <w:r>
        <w:rPr>
          <w:noProof/>
        </w:rPr>
        <w:t xml:space="preserve">и на Директива 2006/117/ЕВРАТОМ Малта стана договаряща се страна по Единната конвенция, като така всички 28 </w:t>
      </w:r>
      <w:r>
        <w:rPr>
          <w:rStyle w:val="Corpsdutexte"/>
          <w:noProof/>
        </w:rPr>
        <w:t>държави—членки на ЕС</w:t>
      </w:r>
      <w:r>
        <w:rPr>
          <w:noProof/>
        </w:rPr>
        <w:t>, станаха договарящи се страни по Конвенцията</w:t>
      </w:r>
      <w:r>
        <w:rPr>
          <w:rStyle w:val="FootnoteReference"/>
          <w:noProof/>
        </w:rPr>
        <w:footnoteReference w:id="12"/>
      </w:r>
      <w:r>
        <w:rPr>
          <w:noProof/>
        </w:rPr>
        <w:t>, което показва ангажираността на държавите членки да гарантират високо равнище на</w:t>
      </w:r>
      <w:r>
        <w:rPr>
          <w:noProof/>
        </w:rPr>
        <w:t xml:space="preserve"> безопасност по отношение на отработеното гориво и радиоактивните отпадъци — от генерирането до погребването.</w:t>
      </w:r>
    </w:p>
    <w:p w:rsidR="006E7045" w:rsidRDefault="00930F6E">
      <w:pPr>
        <w:pStyle w:val="CM1"/>
        <w:spacing w:before="120" w:after="240"/>
        <w:jc w:val="both"/>
        <w:rPr>
          <w:rStyle w:val="Corpsdutexte"/>
          <w:rFonts w:ascii="Times New Roman" w:hAnsi="Times New Roman"/>
          <w:noProof/>
          <w:color w:val="000000"/>
        </w:rPr>
      </w:pPr>
      <w:r>
        <w:rPr>
          <w:rStyle w:val="Corpsdutexte"/>
          <w:noProof/>
        </w:rPr>
        <w:t>На равнище ЕС, след първия доклад на Комисията относно прилагането от държавите членки на Директива 2006/117/ЕВРАТОМ през 2013 г. беше преразгледа</w:t>
      </w:r>
      <w:r>
        <w:rPr>
          <w:rStyle w:val="Corpsdutexte"/>
          <w:noProof/>
        </w:rPr>
        <w:t>на Директива 96/29/ЕВРАТОМ на Съвета относно основните норми на безопасност, като беше запазена общата цел за подобряване на защитата срещу опасностите, произтичащи от излагане на йонизиращо лъчение, както и при транспорт на отработено гориво и радиоактивн</w:t>
      </w:r>
      <w:r>
        <w:rPr>
          <w:rStyle w:val="Corpsdutexte"/>
          <w:noProof/>
        </w:rPr>
        <w:t>и отпадъци. С преразгледаната Директива 96/29/ЕВРАТОМ (нова Директива 2013/59/ЕВРАТОМ</w:t>
      </w:r>
      <w:r>
        <w:rPr>
          <w:rStyle w:val="FootnoteReference"/>
          <w:noProof/>
        </w:rPr>
        <w:footnoteReference w:id="13"/>
      </w:r>
      <w:r>
        <w:rPr>
          <w:rStyle w:val="Corpsdutexte"/>
          <w:noProof/>
        </w:rPr>
        <w:t>) разпоредбите на петте директиви на ЕС, включително Директива 2003/122/ЕВРАТОМ относно високоактивните закрити радиоактивни източници</w:t>
      </w:r>
      <w:r>
        <w:rPr>
          <w:rStyle w:val="FootnoteReference"/>
          <w:noProof/>
        </w:rPr>
        <w:footnoteReference w:id="14"/>
      </w:r>
      <w:r>
        <w:rPr>
          <w:rStyle w:val="Corpsdutexte"/>
          <w:noProof/>
        </w:rPr>
        <w:t>, се отменят и консолидират в едине</w:t>
      </w:r>
      <w:r>
        <w:rPr>
          <w:rStyle w:val="Corpsdutexte"/>
          <w:noProof/>
        </w:rPr>
        <w:t>н законодателен акт. В новата Директива, която следва да бъде транспонирана от държавите членки до 6 февруари 2018 г., се определят и единни критерии за освобождаване от контрол и общи нива за освобождаване на материали от регулаторен контрол. По отношение</w:t>
      </w:r>
      <w:r>
        <w:rPr>
          <w:rStyle w:val="Corpsdutexte"/>
          <w:noProof/>
        </w:rPr>
        <w:t xml:space="preserve"> на естествените радиоактивни материали (NORM), приложното поле на Директива 2013/59/ЕВРАТОМ беше разширено така, че да обхваща човешки дейности, включващи наличието на естествени радиационни източници, включително преработката на материали с естествени ра</w:t>
      </w:r>
      <w:r>
        <w:rPr>
          <w:rStyle w:val="Corpsdutexte"/>
          <w:noProof/>
        </w:rPr>
        <w:t>дионуклиди (NORM). С Директивата</w:t>
      </w:r>
      <w:r>
        <w:rPr>
          <w:noProof/>
        </w:rPr>
        <w:t xml:space="preserve"> се изисква защитата срещу естествени радиационни източници да бъде напълно интегрирана в общите изисквания, вместо да бъде разглеждана отделно в специален дял. По-специално отраслите, преработващи материали със съдържание н</w:t>
      </w:r>
      <w:r>
        <w:rPr>
          <w:noProof/>
        </w:rPr>
        <w:t>а естествени радионуклиди, за които се изисква регулаторен контрол, следва да бъдат управлявани от същата регулаторна рамка, приложима за други практики</w:t>
      </w:r>
      <w:r>
        <w:rPr>
          <w:rStyle w:val="FootnoteReference"/>
          <w:noProof/>
        </w:rPr>
        <w:footnoteReference w:id="15"/>
      </w:r>
      <w:r>
        <w:rPr>
          <w:noProof/>
        </w:rPr>
        <w:t xml:space="preserve">. </w:t>
      </w:r>
      <w:r>
        <w:rPr>
          <w:rFonts w:ascii="Times New Roman" w:hAnsi="Times New Roman"/>
          <w:noProof/>
        </w:rPr>
        <w:t xml:space="preserve">С член 23 от Директивата се изисква държавите членки да гарантират идентифицирането на класовете или </w:t>
      </w:r>
      <w:r>
        <w:rPr>
          <w:rFonts w:ascii="Times New Roman" w:hAnsi="Times New Roman"/>
          <w:noProof/>
        </w:rPr>
        <w:t>видовете на практиките, свързани с използването на NORM и водещи до облъчване на работници или лица от населението, което не може да се пренебрегне с оглед на радиационната защита.</w:t>
      </w:r>
      <w:r>
        <w:rPr>
          <w:rFonts w:ascii="Times New Roman" w:hAnsi="Times New Roman"/>
          <w:noProof/>
          <w:color w:val="000000"/>
        </w:rPr>
        <w:t xml:space="preserve"> </w:t>
      </w:r>
      <w:r>
        <w:rPr>
          <w:rFonts w:ascii="Times New Roman" w:hAnsi="Times New Roman"/>
          <w:noProof/>
        </w:rPr>
        <w:t xml:space="preserve">Списък на промишлените сектори, включващи използването на NORM, </w:t>
      </w:r>
      <w:r>
        <w:rPr>
          <w:rFonts w:ascii="Times New Roman" w:hAnsi="Times New Roman"/>
          <w:noProof/>
          <w:color w:val="000000"/>
        </w:rPr>
        <w:t>които трябв</w:t>
      </w:r>
      <w:r>
        <w:rPr>
          <w:rFonts w:ascii="Times New Roman" w:hAnsi="Times New Roman"/>
          <w:noProof/>
          <w:color w:val="000000"/>
        </w:rPr>
        <w:t xml:space="preserve">а да бъдат взети под внимание в процеса на идентифициране, </w:t>
      </w:r>
      <w:r>
        <w:rPr>
          <w:rFonts w:ascii="Times New Roman" w:hAnsi="Times New Roman"/>
          <w:noProof/>
        </w:rPr>
        <w:t>освен урановите рудници и военната промишленост, е представен в приложение VI към Директива 2013/59/ЕВРАТОМ. Ако дадена държава членка декларира отпадъци от NORM като радиоактивни отпадъци, техният</w:t>
      </w:r>
      <w:r>
        <w:rPr>
          <w:rFonts w:ascii="Times New Roman" w:hAnsi="Times New Roman"/>
          <w:noProof/>
        </w:rPr>
        <w:t xml:space="preserve"> превоз следва да бъде докладван съгласно член 20 от Директива 2006/117/ЕВРАТОМ.</w:t>
      </w:r>
    </w:p>
    <w:p w:rsidR="006E7045" w:rsidRDefault="00930F6E">
      <w:pPr>
        <w:pStyle w:val="NormalWeb"/>
        <w:spacing w:before="120" w:beforeAutospacing="0" w:after="240" w:afterAutospacing="0"/>
        <w:jc w:val="both"/>
        <w:rPr>
          <w:rStyle w:val="Corpsdutexte"/>
          <w:noProof/>
        </w:rPr>
      </w:pPr>
      <w:r>
        <w:rPr>
          <w:rStyle w:val="Corpsdutexte"/>
          <w:noProof/>
        </w:rPr>
        <w:t>В обхвата на тази широка рамка на ЕС за ядрена и радиационна безопасност Директива 2006/117/ЕВРАТОМ засяга конкретно регулаторните разрешителни и процедурните аспекти на транс</w:t>
      </w:r>
      <w:r>
        <w:rPr>
          <w:rStyle w:val="Corpsdutexte"/>
          <w:noProof/>
        </w:rPr>
        <w:t>граничния превоз на радиоактивни отпадъци и отработено гориво, генерирани от граждански съоръжения и дейности. Директивата се прилага в случаите, когато:</w:t>
      </w:r>
    </w:p>
    <w:p w:rsidR="006E7045" w:rsidRDefault="00930F6E">
      <w:pPr>
        <w:pStyle w:val="NormalWeb"/>
        <w:numPr>
          <w:ilvl w:val="0"/>
          <w:numId w:val="16"/>
        </w:numPr>
        <w:spacing w:after="0" w:afterAutospacing="0"/>
        <w:jc w:val="both"/>
        <w:rPr>
          <w:rStyle w:val="Corpsdutexte"/>
          <w:noProof/>
        </w:rPr>
      </w:pPr>
      <w:r>
        <w:rPr>
          <w:noProof/>
        </w:rPr>
        <w:t>изпращащата държава, приемащата държава или държавата на транзитно преминаване на отработеното</w:t>
      </w:r>
      <w:r>
        <w:rPr>
          <w:rStyle w:val="Corpsdutexte"/>
          <w:noProof/>
        </w:rPr>
        <w:t xml:space="preserve"> гориво </w:t>
      </w:r>
      <w:r>
        <w:rPr>
          <w:rStyle w:val="Corpsdutexte"/>
          <w:noProof/>
        </w:rPr>
        <w:t xml:space="preserve">или радиоактивните отпадъци е държава—членка на ЕС; </w:t>
      </w:r>
    </w:p>
    <w:p w:rsidR="006E7045" w:rsidRDefault="00930F6E">
      <w:pPr>
        <w:pStyle w:val="NormalWeb"/>
        <w:numPr>
          <w:ilvl w:val="0"/>
          <w:numId w:val="19"/>
        </w:numPr>
        <w:spacing w:before="120" w:beforeAutospacing="0" w:after="240" w:afterAutospacing="0"/>
        <w:jc w:val="both"/>
        <w:rPr>
          <w:noProof/>
        </w:rPr>
      </w:pPr>
      <w:r>
        <w:rPr>
          <w:rStyle w:val="Corpsdutexte"/>
          <w:noProof/>
        </w:rPr>
        <w:t>количествата и концентрацията на отработеното гориво или радиоактивните отпадъци за превоз</w:t>
      </w:r>
      <w:r>
        <w:rPr>
          <w:noProof/>
        </w:rPr>
        <w:t xml:space="preserve"> (определени като пратка) надхвърлят нивата по член 3, параграф 2, букви а) и б) от Директива 96/29/ЕВРАТОМ</w:t>
      </w:r>
      <w:r>
        <w:rPr>
          <w:noProof/>
          <w:vertAlign w:val="superscript"/>
        </w:rPr>
        <w:footnoteReference w:id="16"/>
      </w:r>
      <w:r>
        <w:rPr>
          <w:noProof/>
        </w:rPr>
        <w:t>, нео</w:t>
      </w:r>
      <w:r>
        <w:rPr>
          <w:noProof/>
        </w:rPr>
        <w:t xml:space="preserve">тдавна заменена с Директива 2013/59/ЕВРАТОМ на Съвета. </w:t>
      </w:r>
    </w:p>
    <w:p w:rsidR="006E7045" w:rsidRDefault="00930F6E">
      <w:pPr>
        <w:pStyle w:val="ManualHeading2"/>
        <w:rPr>
          <w:noProof/>
        </w:rPr>
      </w:pPr>
      <w:bookmarkStart w:id="8" w:name="bookmark9"/>
      <w:bookmarkStart w:id="9" w:name="_Toc498433910"/>
      <w:bookmarkStart w:id="10" w:name="_Toc499817341"/>
      <w:r>
        <w:t>1.2.</w:t>
      </w:r>
      <w:r>
        <w:tab/>
      </w:r>
      <w:r>
        <w:rPr>
          <w:rStyle w:val="En-tte3"/>
          <w:noProof/>
          <w:sz w:val="24"/>
        </w:rPr>
        <w:t>Общи принципи за надзор и контрол на превозите</w:t>
      </w:r>
      <w:bookmarkEnd w:id="8"/>
      <w:bookmarkEnd w:id="9"/>
      <w:bookmarkEnd w:id="10"/>
      <w:r>
        <w:rPr>
          <w:rStyle w:val="En-tte3"/>
          <w:noProof/>
          <w:sz w:val="24"/>
        </w:rPr>
        <w:t xml:space="preserve"> </w:t>
      </w:r>
    </w:p>
    <w:p w:rsidR="006E7045" w:rsidRDefault="00930F6E">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В съответствие с Директива 2011/70/ЕВРАТОМ всяка държава членка носи пълната отговорност за избора на собствена политика по отношение на управление</w:t>
      </w:r>
      <w:r>
        <w:rPr>
          <w:rStyle w:val="Corpsdutexte"/>
          <w:noProof/>
          <w:sz w:val="24"/>
        </w:rPr>
        <w:t>то на радиоактивни отпадъци и отработено гориво в рамките на своята юрисдикция, като тя може да включва износ на отработено гориво и радиоактивни отпадъци и или внос на такива материали (например за обработване или преработване) на нейната територия.</w:t>
      </w:r>
    </w:p>
    <w:p w:rsidR="006E7045" w:rsidRDefault="00930F6E">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В чле</w:t>
      </w:r>
      <w:r>
        <w:rPr>
          <w:rStyle w:val="Corpsdutexte"/>
          <w:noProof/>
          <w:sz w:val="24"/>
        </w:rPr>
        <w:t>н 17, параграф 1 от Директива 2006/117/ЕВРАТОМ се изисква държавите членки да използват стандартен документ за надзор и контрол на превози на радиоактивни отпадъци и отработено гориво. Когато се предвижда превоз на такива материали до трети държави, от дър</w:t>
      </w:r>
      <w:r>
        <w:rPr>
          <w:rStyle w:val="Corpsdutexte"/>
          <w:noProof/>
          <w:sz w:val="24"/>
        </w:rPr>
        <w:t>жавите членки се изисква да прилагат критериите за превоз съгласно член 16, параграф 2 от Директивата и препоръката на Комисията</w:t>
      </w:r>
      <w:r>
        <w:rPr>
          <w:rStyle w:val="FootnoteReference"/>
          <w:noProof/>
          <w:sz w:val="24"/>
        </w:rPr>
        <w:footnoteReference w:id="17"/>
      </w:r>
      <w:r>
        <w:rPr>
          <w:rStyle w:val="Corpsdutexte"/>
          <w:noProof/>
          <w:sz w:val="24"/>
        </w:rPr>
        <w:t>.</w:t>
      </w:r>
    </w:p>
    <w:p w:rsidR="006E7045" w:rsidRDefault="00930F6E">
      <w:pPr>
        <w:autoSpaceDE w:val="0"/>
        <w:autoSpaceDN w:val="0"/>
        <w:adjustRightInd w:val="0"/>
        <w:spacing w:after="240"/>
        <w:rPr>
          <w:rStyle w:val="Corpsdutexte"/>
          <w:noProof/>
        </w:rPr>
      </w:pPr>
      <w:r>
        <w:rPr>
          <w:noProof/>
        </w:rPr>
        <w:t>В случаите, когато даден превоз не може да бъде осъществен, или ако условията за превоза не са спазени съгласно настоящата ди</w:t>
      </w:r>
      <w:r>
        <w:rPr>
          <w:noProof/>
        </w:rPr>
        <w:t xml:space="preserve">ректива, компетентните органи от изпращащата държава членка следят съответните радиоактивни отпадъци или отработеното гориво да бъдат взети обратно от стопанисващият, освен ако не може да бъде постигната друга безопасна договореност. При необходимост тези </w:t>
      </w:r>
      <w:r>
        <w:rPr>
          <w:noProof/>
        </w:rPr>
        <w:t>компетентни органи следят за това лицето, отговарящо за превоза, да предприеме коригиращи мерки за безопасност. При тези обстоятелства стопанисващият</w:t>
      </w:r>
      <w:r>
        <w:rPr>
          <w:rStyle w:val="FootnoteReference"/>
          <w:noProof/>
        </w:rPr>
        <w:footnoteReference w:id="18"/>
      </w:r>
      <w:r>
        <w:rPr>
          <w:noProof/>
        </w:rPr>
        <w:t xml:space="preserve"> носи отговорност за разходите, възникващи в случаите, когато превозът не може да бъде извършен (член 12 о</w:t>
      </w:r>
      <w:r>
        <w:rPr>
          <w:noProof/>
        </w:rPr>
        <w:t>т Директивата).</w:t>
      </w:r>
    </w:p>
    <w:p w:rsidR="006E7045" w:rsidRDefault="00930F6E">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Всеки отказ на разрешително за превоз на отработено гориво и радиоактивни отпадъци следва i) да се обоснове на базата на критериите, изложени в Директивата; ii) да не бъде произволен; и iii) да се основава на съответното национално, Общност</w:t>
      </w:r>
      <w:r>
        <w:rPr>
          <w:rStyle w:val="Corpsdutexte"/>
          <w:noProof/>
          <w:sz w:val="24"/>
        </w:rPr>
        <w:t>но или международно право. Решенията за износ или отказите на държавите членки трябва да бъдат в съответствие с разпоредбите, установени в Единната конвенция, и член 16 от Директивата, с които се забранява износът на радиоактивни отпадъци или отработено го</w:t>
      </w:r>
      <w:r>
        <w:rPr>
          <w:rStyle w:val="Corpsdutexte"/>
          <w:noProof/>
          <w:sz w:val="24"/>
        </w:rPr>
        <w:t>риво до местоназначения, намиращи се на 60 градуса на юг географска дължина, до държави от Африка, Карибите и Тихоокеанския басейн или до трета държава, на която липсват ресурси, за да управлява безопасно радиоактивни отпадъци или отработено гориво.</w:t>
      </w:r>
    </w:p>
    <w:p w:rsidR="006E7045" w:rsidRDefault="00930F6E">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 xml:space="preserve">Освен </w:t>
      </w:r>
      <w:r>
        <w:rPr>
          <w:rStyle w:val="Corpsdutexte"/>
          <w:noProof/>
          <w:sz w:val="24"/>
        </w:rPr>
        <w:t>докладването на всеки три години пред Комисията (съгласно член 20, параграф 1 от Директива 2006/117/ЕВРАТОМ) държавите членки:</w:t>
      </w:r>
    </w:p>
    <w:p w:rsidR="006E7045" w:rsidRDefault="00930F6E">
      <w:pPr>
        <w:pStyle w:val="NormalWeb"/>
        <w:numPr>
          <w:ilvl w:val="0"/>
          <w:numId w:val="16"/>
        </w:numPr>
        <w:jc w:val="both"/>
        <w:rPr>
          <w:rStyle w:val="Corpsdutexte"/>
          <w:noProof/>
        </w:rPr>
      </w:pPr>
      <w:r>
        <w:rPr>
          <w:rStyle w:val="Corpsdutexte"/>
          <w:noProof/>
        </w:rPr>
        <w:t xml:space="preserve">уведомяват всяка година Комисията и Консултативния комитет за всеки неразрешен превоз до трета държава поради несъответствие с техническия или административния капацитет и нормативната уредба за безопасното управление на отработено гориво или радиоактивни </w:t>
      </w:r>
      <w:r>
        <w:rPr>
          <w:rStyle w:val="Corpsdutexte"/>
          <w:noProof/>
        </w:rPr>
        <w:t xml:space="preserve">отпадъци (член 16, параграф 1, буква в) от Директивата). </w:t>
      </w:r>
    </w:p>
    <w:p w:rsidR="006E7045" w:rsidRDefault="00930F6E">
      <w:pPr>
        <w:pStyle w:val="NormalWeb"/>
        <w:numPr>
          <w:ilvl w:val="0"/>
          <w:numId w:val="16"/>
        </w:numPr>
        <w:spacing w:before="120" w:beforeAutospacing="0" w:after="240" w:afterAutospacing="0"/>
        <w:jc w:val="both"/>
        <w:rPr>
          <w:rStyle w:val="Corpsdutexte"/>
          <w:noProof/>
        </w:rPr>
      </w:pPr>
      <w:r>
        <w:rPr>
          <w:rStyle w:val="Corpsdutexte"/>
          <w:noProof/>
        </w:rPr>
        <w:t xml:space="preserve">изпращат на Комисията данните за връзка с компетентния(те) орган(и), както и цялата необходима информация за установяване на бърза връзка (член 18 от Директивата). </w:t>
      </w:r>
    </w:p>
    <w:p w:rsidR="006E7045" w:rsidRDefault="00930F6E">
      <w:pPr>
        <w:pStyle w:val="ManualHeading1"/>
        <w:rPr>
          <w:rStyle w:val="En-tte32"/>
          <w:noProof/>
          <w:sz w:val="24"/>
          <w:szCs w:val="24"/>
          <w:shd w:val="clear" w:color="auto" w:fill="auto"/>
        </w:rPr>
      </w:pPr>
      <w:bookmarkStart w:id="11" w:name="_Toc498433911"/>
      <w:bookmarkStart w:id="12" w:name="_Toc499817342"/>
      <w:bookmarkStart w:id="13" w:name="bookmark10"/>
      <w:bookmarkStart w:id="14" w:name="bookmark11"/>
      <w:bookmarkStart w:id="15" w:name="bookmark12"/>
      <w:r>
        <w:rPr>
          <w:rStyle w:val="En-tte32"/>
        </w:rPr>
        <w:t>2.</w:t>
      </w:r>
      <w:r>
        <w:rPr>
          <w:rStyle w:val="En-tte32"/>
        </w:rPr>
        <w:tab/>
      </w:r>
      <w:r>
        <w:rPr>
          <w:rStyle w:val="En-tte32"/>
          <w:noProof/>
          <w:sz w:val="24"/>
          <w:shd w:val="clear" w:color="auto" w:fill="auto"/>
        </w:rPr>
        <w:t xml:space="preserve">Изпълнение на основните </w:t>
      </w:r>
      <w:r>
        <w:rPr>
          <w:rStyle w:val="En-tte32"/>
          <w:noProof/>
          <w:sz w:val="24"/>
          <w:shd w:val="clear" w:color="auto" w:fill="auto"/>
        </w:rPr>
        <w:t>разпоредби</w:t>
      </w:r>
      <w:bookmarkEnd w:id="11"/>
      <w:bookmarkEnd w:id="12"/>
      <w:r>
        <w:rPr>
          <w:rStyle w:val="En-tte32"/>
          <w:noProof/>
          <w:sz w:val="24"/>
          <w:shd w:val="clear" w:color="auto" w:fill="auto"/>
        </w:rPr>
        <w:t xml:space="preserve"> </w:t>
      </w:r>
    </w:p>
    <w:p w:rsidR="006E7045" w:rsidRDefault="00930F6E">
      <w:pPr>
        <w:pStyle w:val="ManualHeading2"/>
        <w:rPr>
          <w:rStyle w:val="En-tte3"/>
          <w:noProof/>
          <w:sz w:val="24"/>
          <w:szCs w:val="24"/>
        </w:rPr>
      </w:pPr>
      <w:bookmarkStart w:id="16" w:name="_Toc498433912"/>
      <w:bookmarkStart w:id="17" w:name="_Toc499817343"/>
      <w:bookmarkEnd w:id="13"/>
      <w:bookmarkEnd w:id="14"/>
      <w:bookmarkEnd w:id="15"/>
      <w:r>
        <w:rPr>
          <w:rStyle w:val="En-tte3"/>
        </w:rPr>
        <w:t>2.1.</w:t>
      </w:r>
      <w:r>
        <w:rPr>
          <w:rStyle w:val="En-tte3"/>
        </w:rPr>
        <w:tab/>
      </w:r>
      <w:r>
        <w:rPr>
          <w:rStyle w:val="En-tte3"/>
          <w:noProof/>
          <w:sz w:val="24"/>
        </w:rPr>
        <w:t>Транспониране на директивата</w:t>
      </w:r>
      <w:bookmarkEnd w:id="16"/>
      <w:bookmarkEnd w:id="17"/>
    </w:p>
    <w:p w:rsidR="006E7045" w:rsidRDefault="00930F6E">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През периода на докладване 2012—2014 г. към ЕС се присъедини Хърватия (на 1 юли 2013 г.) и транспонира директивата.</w:t>
      </w:r>
    </w:p>
    <w:p w:rsidR="006E7045" w:rsidRDefault="00930F6E">
      <w:pPr>
        <w:pStyle w:val="Corpsdutexte1"/>
        <w:shd w:val="clear" w:color="auto" w:fill="auto"/>
        <w:spacing w:before="120" w:after="240" w:line="240" w:lineRule="auto"/>
        <w:ind w:left="23" w:right="40" w:firstLine="0"/>
        <w:jc w:val="both"/>
        <w:rPr>
          <w:rStyle w:val="Corpsdutexte"/>
          <w:noProof/>
          <w:sz w:val="24"/>
          <w:szCs w:val="24"/>
        </w:rPr>
      </w:pPr>
      <w:r>
        <w:rPr>
          <w:rStyle w:val="Corpsdutexte"/>
          <w:noProof/>
          <w:sz w:val="24"/>
        </w:rPr>
        <w:t>Въз основа на това транспонирането на настоящата Директива се счита за завършено във всички 28</w:t>
      </w:r>
      <w:r>
        <w:rPr>
          <w:rStyle w:val="Corpsdutexte"/>
          <w:noProof/>
          <w:sz w:val="24"/>
        </w:rPr>
        <w:t xml:space="preserve"> държави членки.</w:t>
      </w:r>
    </w:p>
    <w:p w:rsidR="006E7045" w:rsidRDefault="00930F6E">
      <w:pPr>
        <w:pStyle w:val="ManualHeading2"/>
        <w:rPr>
          <w:noProof/>
        </w:rPr>
      </w:pPr>
      <w:bookmarkStart w:id="18" w:name="bookmark14"/>
      <w:bookmarkStart w:id="19" w:name="_Toc498433913"/>
      <w:bookmarkStart w:id="20" w:name="_Toc499817344"/>
      <w:r>
        <w:t>2.2.</w:t>
      </w:r>
      <w:r>
        <w:tab/>
      </w:r>
      <w:r>
        <w:rPr>
          <w:rStyle w:val="En-tte3"/>
          <w:noProof/>
          <w:sz w:val="24"/>
        </w:rPr>
        <w:t>Стандартен документ за надзор и контрол на превози</w:t>
      </w:r>
      <w:bookmarkEnd w:id="18"/>
      <w:bookmarkEnd w:id="19"/>
      <w:bookmarkEnd w:id="20"/>
    </w:p>
    <w:p w:rsidR="006E7045" w:rsidRDefault="00930F6E">
      <w:pPr>
        <w:pStyle w:val="Corpsdutexte1"/>
        <w:shd w:val="clear" w:color="auto" w:fill="auto"/>
        <w:spacing w:before="120" w:after="240" w:line="240" w:lineRule="auto"/>
        <w:ind w:left="23" w:right="23" w:firstLine="0"/>
        <w:jc w:val="both"/>
        <w:rPr>
          <w:rStyle w:val="Corpsdutexte"/>
          <w:noProof/>
          <w:sz w:val="24"/>
          <w:szCs w:val="24"/>
        </w:rPr>
      </w:pPr>
      <w:r>
        <w:rPr>
          <w:rStyle w:val="Corpsdutexte"/>
          <w:noProof/>
          <w:sz w:val="24"/>
        </w:rPr>
        <w:t>Стандартният документ (установен с решение на Комисията през 2008 г.</w:t>
      </w:r>
      <w:r>
        <w:rPr>
          <w:rStyle w:val="FootnoteReference"/>
          <w:noProof/>
          <w:sz w:val="24"/>
        </w:rPr>
        <w:footnoteReference w:id="19"/>
      </w:r>
      <w:r>
        <w:rPr>
          <w:rStyle w:val="Corpsdutexte"/>
          <w:noProof/>
          <w:sz w:val="24"/>
        </w:rPr>
        <w:t xml:space="preserve"> и изменен през 2011 г.) съдържа формуляри за:</w:t>
      </w:r>
    </w:p>
    <w:p w:rsidR="006E7045" w:rsidRDefault="00930F6E">
      <w:pPr>
        <w:pStyle w:val="NormalWeb"/>
        <w:numPr>
          <w:ilvl w:val="0"/>
          <w:numId w:val="16"/>
        </w:numPr>
        <w:jc w:val="both"/>
        <w:rPr>
          <w:rStyle w:val="Corpsdutexte"/>
          <w:noProof/>
        </w:rPr>
      </w:pPr>
      <w:r>
        <w:rPr>
          <w:rStyle w:val="Corpsdutexte"/>
          <w:noProof/>
        </w:rPr>
        <w:t>заявление за получаване на разрешително за превоз на отработено гор</w:t>
      </w:r>
      <w:r>
        <w:rPr>
          <w:rStyle w:val="Corpsdutexte"/>
          <w:noProof/>
        </w:rPr>
        <w:t>иво и радиоактивни отпадъци;</w:t>
      </w:r>
    </w:p>
    <w:p w:rsidR="006E7045" w:rsidRDefault="00930F6E">
      <w:pPr>
        <w:pStyle w:val="NormalWeb"/>
        <w:numPr>
          <w:ilvl w:val="0"/>
          <w:numId w:val="16"/>
        </w:numPr>
        <w:jc w:val="both"/>
        <w:rPr>
          <w:rStyle w:val="Corpsdutexte"/>
          <w:noProof/>
        </w:rPr>
      </w:pPr>
      <w:r>
        <w:rPr>
          <w:rStyle w:val="Corpsdutexte"/>
          <w:noProof/>
        </w:rPr>
        <w:t xml:space="preserve">потвърждение за получаване на заявление — искане във връзка с липсваща информация за отработено гориво и радиоактивни отпадъци; </w:t>
      </w:r>
    </w:p>
    <w:p w:rsidR="006E7045" w:rsidRDefault="00930F6E">
      <w:pPr>
        <w:pStyle w:val="NormalWeb"/>
        <w:numPr>
          <w:ilvl w:val="0"/>
          <w:numId w:val="16"/>
        </w:numPr>
        <w:jc w:val="both"/>
        <w:rPr>
          <w:rStyle w:val="Corpsdutexte"/>
          <w:noProof/>
        </w:rPr>
      </w:pPr>
      <w:r>
        <w:rPr>
          <w:rStyle w:val="Corpsdutexte"/>
          <w:noProof/>
        </w:rPr>
        <w:t>отказ или съгласие за превоз на радиоактивни отпадъци или отработено гориво от страна на съответни</w:t>
      </w:r>
      <w:r>
        <w:rPr>
          <w:rStyle w:val="Corpsdutexte"/>
          <w:noProof/>
        </w:rPr>
        <w:t>те компетентни органи;</w:t>
      </w:r>
    </w:p>
    <w:p w:rsidR="006E7045" w:rsidRDefault="00930F6E">
      <w:pPr>
        <w:pStyle w:val="NormalWeb"/>
        <w:numPr>
          <w:ilvl w:val="0"/>
          <w:numId w:val="16"/>
        </w:numPr>
        <w:jc w:val="both"/>
        <w:rPr>
          <w:rStyle w:val="Corpsdutexte"/>
          <w:noProof/>
        </w:rPr>
      </w:pPr>
      <w:r>
        <w:rPr>
          <w:rStyle w:val="Corpsdutexte"/>
          <w:noProof/>
        </w:rPr>
        <w:t>описание на пратката с радиоактивни отпадъци и списък на опаковките;</w:t>
      </w:r>
    </w:p>
    <w:p w:rsidR="006E7045" w:rsidRDefault="00930F6E">
      <w:pPr>
        <w:pStyle w:val="NormalWeb"/>
        <w:numPr>
          <w:ilvl w:val="0"/>
          <w:numId w:val="16"/>
        </w:numPr>
        <w:jc w:val="both"/>
        <w:rPr>
          <w:rStyle w:val="Corpsdutexte"/>
          <w:noProof/>
        </w:rPr>
      </w:pPr>
      <w:r>
        <w:rPr>
          <w:rStyle w:val="Corpsdutexte"/>
          <w:noProof/>
        </w:rPr>
        <w:t>потвърждение за получаване на радиоактивни отпадъци и отработено гориво;</w:t>
      </w:r>
    </w:p>
    <w:p w:rsidR="006E7045" w:rsidRDefault="00930F6E">
      <w:pPr>
        <w:pStyle w:val="NormalWeb"/>
        <w:numPr>
          <w:ilvl w:val="0"/>
          <w:numId w:val="16"/>
        </w:numPr>
        <w:spacing w:before="0" w:beforeAutospacing="0" w:after="240" w:afterAutospacing="0"/>
        <w:jc w:val="both"/>
        <w:rPr>
          <w:noProof/>
        </w:rPr>
      </w:pPr>
      <w:r>
        <w:rPr>
          <w:rStyle w:val="Corpsdutexte"/>
          <w:noProof/>
        </w:rPr>
        <w:t>разрешително за превоз на отработено гориво и радиоактивни отпадъци.</w:t>
      </w:r>
    </w:p>
    <w:p w:rsidR="006E7045" w:rsidRDefault="00930F6E">
      <w:pPr>
        <w:pStyle w:val="Corpsdutexte1"/>
        <w:spacing w:before="120" w:after="240" w:line="240" w:lineRule="auto"/>
        <w:ind w:left="20" w:right="23" w:firstLine="0"/>
        <w:jc w:val="both"/>
        <w:rPr>
          <w:rStyle w:val="Corpsdutexte"/>
          <w:noProof/>
          <w:sz w:val="24"/>
          <w:szCs w:val="24"/>
        </w:rPr>
      </w:pPr>
      <w:bookmarkStart w:id="21" w:name="bookmark15"/>
      <w:r>
        <w:rPr>
          <w:noProof/>
          <w:sz w:val="24"/>
        </w:rPr>
        <w:t xml:space="preserve">Някои държави членки </w:t>
      </w:r>
      <w:r>
        <w:rPr>
          <w:noProof/>
          <w:sz w:val="24"/>
        </w:rPr>
        <w:t>представиха предложения за допълнителни подобрения на стандартния документ. Например беше предложено да се разяснят обяснителните бележки и към стандартния документ да се добави специален раздел, в който да се посочва предишно разрешително/съгласие, когато</w:t>
      </w:r>
      <w:r>
        <w:rPr>
          <w:noProof/>
          <w:sz w:val="24"/>
        </w:rPr>
        <w:t xml:space="preserve"> заявлението за превоз е свързано с връщане на остатъчни вещества от този предишен превоз. Това би улеснило наблюдението и би осигурило одитна пътека между изходящите превози за обработване или преработване и превоза на получени отпадъци и странични продук</w:t>
      </w:r>
      <w:r>
        <w:rPr>
          <w:noProof/>
          <w:sz w:val="24"/>
        </w:rPr>
        <w:t>ти. Освен това беше подчертана необходимостта от по-добра съгласуваност на информацията, изисквана в раздел Б-1 „Заявление за получаване на разрешително за превоз на отработено гориво“, която не включва нивата на радиоактивност на отработеното гориво, и ин</w:t>
      </w:r>
      <w:r>
        <w:rPr>
          <w:noProof/>
          <w:sz w:val="24"/>
        </w:rPr>
        <w:t>формацията в раздел Б-5 „Описание на пратката с отработено гориво и списък на опаковките“ (където тази информация се изисква) от стандартния документ.</w:t>
      </w:r>
    </w:p>
    <w:p w:rsidR="006E7045" w:rsidRDefault="00930F6E">
      <w:pPr>
        <w:pStyle w:val="Corpsdutexte1"/>
        <w:spacing w:before="120" w:after="240" w:line="240" w:lineRule="auto"/>
        <w:ind w:left="20" w:right="23" w:firstLine="0"/>
        <w:jc w:val="both"/>
        <w:rPr>
          <w:noProof/>
          <w:sz w:val="24"/>
          <w:szCs w:val="24"/>
        </w:rPr>
      </w:pPr>
      <w:r>
        <w:rPr>
          <w:noProof/>
          <w:sz w:val="24"/>
        </w:rPr>
        <w:t>По отношение на тези предложения Комисията ще предприеме последващи действия</w:t>
      </w:r>
      <w:bookmarkEnd w:id="21"/>
      <w:r>
        <w:rPr>
          <w:noProof/>
          <w:sz w:val="24"/>
        </w:rPr>
        <w:t>.</w:t>
      </w:r>
    </w:p>
    <w:p w:rsidR="006E7045" w:rsidRDefault="00930F6E">
      <w:pPr>
        <w:pStyle w:val="ManualHeading2"/>
        <w:rPr>
          <w:noProof/>
        </w:rPr>
      </w:pPr>
      <w:bookmarkStart w:id="22" w:name="bookmark16"/>
      <w:bookmarkStart w:id="23" w:name="_Toc498433914"/>
      <w:bookmarkStart w:id="24" w:name="_Toc499817345"/>
      <w:r>
        <w:t>2.3.</w:t>
      </w:r>
      <w:r>
        <w:tab/>
      </w:r>
      <w:r>
        <w:rPr>
          <w:rStyle w:val="En-tte3"/>
          <w:noProof/>
          <w:sz w:val="24"/>
        </w:rPr>
        <w:t>Компетентни органи</w:t>
      </w:r>
      <w:bookmarkEnd w:id="22"/>
      <w:bookmarkEnd w:id="23"/>
      <w:bookmarkEnd w:id="24"/>
    </w:p>
    <w:p w:rsidR="006E7045" w:rsidRDefault="00930F6E">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sz w:val="24"/>
        </w:rPr>
        <w:t>Към</w:t>
      </w:r>
      <w:r>
        <w:rPr>
          <w:rStyle w:val="Corpsdutexte"/>
          <w:noProof/>
          <w:sz w:val="24"/>
        </w:rPr>
        <w:t xml:space="preserve"> юли 2017 г. всички държави членки са предоставили актуална информация за своите компетентните органи по смисъла на член 5, параграф 13</w:t>
      </w:r>
      <w:r>
        <w:rPr>
          <w:rStyle w:val="FootnoteReference"/>
          <w:noProof/>
          <w:sz w:val="24"/>
        </w:rPr>
        <w:footnoteReference w:id="20"/>
      </w:r>
      <w:r>
        <w:rPr>
          <w:rStyle w:val="Corpsdutexte"/>
          <w:noProof/>
          <w:sz w:val="24"/>
        </w:rPr>
        <w:t xml:space="preserve"> от Директивата, която е представена в работния документ на службите на Комисията SWD(2018)4. </w:t>
      </w:r>
    </w:p>
    <w:p w:rsidR="006E7045" w:rsidRDefault="00930F6E">
      <w:pPr>
        <w:pStyle w:val="Corpsdutexte1"/>
        <w:shd w:val="clear" w:color="auto" w:fill="auto"/>
        <w:spacing w:before="120" w:after="240" w:line="240" w:lineRule="auto"/>
        <w:ind w:left="23" w:right="20" w:firstLine="0"/>
        <w:jc w:val="both"/>
        <w:rPr>
          <w:noProof/>
          <w:sz w:val="24"/>
          <w:szCs w:val="24"/>
        </w:rPr>
      </w:pPr>
      <w:r>
        <w:rPr>
          <w:rStyle w:val="Corpsdutexte"/>
          <w:noProof/>
          <w:sz w:val="24"/>
        </w:rPr>
        <w:t>В съответствие с изискван</w:t>
      </w:r>
      <w:r>
        <w:rPr>
          <w:rStyle w:val="Corpsdutexte"/>
          <w:noProof/>
          <w:sz w:val="24"/>
        </w:rPr>
        <w:t>ето на член 19 от Директива 2006/117/ЕВРАТОМ и препоръката</w:t>
      </w:r>
      <w:r>
        <w:rPr>
          <w:rStyle w:val="FootnoteReference"/>
          <w:noProof/>
          <w:sz w:val="24"/>
        </w:rPr>
        <w:footnoteReference w:id="21"/>
      </w:r>
      <w:r>
        <w:rPr>
          <w:rStyle w:val="Corpsdutexte"/>
          <w:noProof/>
          <w:sz w:val="24"/>
        </w:rPr>
        <w:t xml:space="preserve"> за сигурна и ефективна система за предаване на документи и информация, свързани с разпоредбите на Директивата, актуалният списък на компетентните органи в държавите членки е достъпен на интерне ст</w:t>
      </w:r>
      <w:r>
        <w:rPr>
          <w:rStyle w:val="Corpsdutexte"/>
          <w:noProof/>
          <w:sz w:val="24"/>
        </w:rPr>
        <w:t xml:space="preserve">раницата на Комисията: </w:t>
      </w:r>
      <w:hyperlink r:id="rId16">
        <w:r>
          <w:rPr>
            <w:rStyle w:val="Hyperlink"/>
            <w:noProof/>
            <w:sz w:val="24"/>
          </w:rPr>
          <w:t>https://ec.europa.eu/energy/en/topics/nuclear-energy/radiation-protection/transport-radioactive-materials</w:t>
        </w:r>
      </w:hyperlink>
      <w:r>
        <w:rPr>
          <w:rStyle w:val="Corpsdutexte"/>
          <w:noProof/>
          <w:sz w:val="24"/>
        </w:rPr>
        <w:t xml:space="preserve">. </w:t>
      </w:r>
    </w:p>
    <w:p w:rsidR="006E7045" w:rsidRDefault="00930F6E">
      <w:pPr>
        <w:pStyle w:val="ManualHeading1"/>
        <w:rPr>
          <w:rStyle w:val="En-tte32"/>
          <w:noProof/>
          <w:sz w:val="24"/>
          <w:szCs w:val="24"/>
        </w:rPr>
      </w:pPr>
      <w:bookmarkStart w:id="25" w:name="_Toc498433915"/>
      <w:bookmarkStart w:id="26" w:name="_Toc499817346"/>
      <w:r>
        <w:rPr>
          <w:rStyle w:val="En-tte32"/>
        </w:rPr>
        <w:t>3.</w:t>
      </w:r>
      <w:r>
        <w:rPr>
          <w:rStyle w:val="En-tte32"/>
        </w:rPr>
        <w:tab/>
      </w:r>
      <w:r>
        <w:rPr>
          <w:rStyle w:val="En-tte32"/>
          <w:noProof/>
          <w:sz w:val="24"/>
        </w:rPr>
        <w:t>Наблюдения и тенденции при превоза на отработено гориво и радиоактивни отпадъци</w:t>
      </w:r>
      <w:bookmarkEnd w:id="25"/>
      <w:bookmarkEnd w:id="26"/>
    </w:p>
    <w:p w:rsidR="006E7045" w:rsidRDefault="00930F6E">
      <w:pPr>
        <w:pStyle w:val="Corpsdutexte1"/>
        <w:shd w:val="clear" w:color="auto" w:fill="auto"/>
        <w:spacing w:before="120" w:after="0" w:line="240" w:lineRule="auto"/>
        <w:ind w:left="23" w:right="20" w:firstLine="0"/>
        <w:jc w:val="both"/>
        <w:rPr>
          <w:rStyle w:val="Corpsdutexte"/>
          <w:noProof/>
          <w:sz w:val="24"/>
          <w:szCs w:val="24"/>
        </w:rPr>
      </w:pPr>
      <w:r>
        <w:rPr>
          <w:rStyle w:val="Corpsdutexte"/>
          <w:noProof/>
          <w:sz w:val="24"/>
        </w:rPr>
        <w:t>За периода 2012—2014 г. повечето държави членки докладваха за превоз на отработено гориво и радиоактивни отпадъци на своите територии, като използваха незадължителен образец</w:t>
      </w:r>
      <w:r>
        <w:rPr>
          <w:rStyle w:val="Corpsdutexte"/>
          <w:noProof/>
          <w:sz w:val="24"/>
        </w:rPr>
        <w:t xml:space="preserve"> с информация относно i) прилагането на Директивата; и ii) вноса, износа и транзитното преминаване на отработено гориво и радиоактивни отпадъци. </w:t>
      </w:r>
    </w:p>
    <w:p w:rsidR="006E7045" w:rsidRDefault="00930F6E">
      <w:pPr>
        <w:pStyle w:val="Corpsdutexte1"/>
        <w:shd w:val="clear" w:color="auto" w:fill="auto"/>
        <w:spacing w:before="120" w:after="240" w:line="240" w:lineRule="auto"/>
        <w:ind w:left="23" w:right="20" w:firstLine="0"/>
        <w:jc w:val="both"/>
        <w:rPr>
          <w:rStyle w:val="Corpsdutexte"/>
          <w:noProof/>
          <w:sz w:val="24"/>
          <w:szCs w:val="24"/>
        </w:rPr>
      </w:pPr>
      <w:r>
        <w:rPr>
          <w:rStyle w:val="Corpsdutexte"/>
          <w:noProof/>
          <w:sz w:val="24"/>
        </w:rPr>
        <w:t xml:space="preserve">Като цяло бяха отбелязани различия по отношение на </w:t>
      </w:r>
      <w:r>
        <w:rPr>
          <w:noProof/>
        </w:rPr>
        <w:t xml:space="preserve">формата на докладването, степента на подробност и качество </w:t>
      </w:r>
      <w:r>
        <w:rPr>
          <w:noProof/>
        </w:rPr>
        <w:t xml:space="preserve">на информацията, предоставена от държавите членки в техните доклади до Комисията. Например: </w:t>
      </w:r>
    </w:p>
    <w:p w:rsidR="006E7045" w:rsidRDefault="00930F6E">
      <w:pPr>
        <w:pStyle w:val="NormalWeb"/>
        <w:numPr>
          <w:ilvl w:val="0"/>
          <w:numId w:val="18"/>
        </w:numPr>
        <w:spacing w:after="0" w:afterAutospacing="0"/>
        <w:jc w:val="both"/>
        <w:rPr>
          <w:noProof/>
        </w:rPr>
      </w:pPr>
      <w:r>
        <w:rPr>
          <w:noProof/>
        </w:rPr>
        <w:t>терминологията, използвана в докладите на държавите членки по отношение на превозите на отработено гориво и радиоактивни отпадъци, невинаги съответства на определе</w:t>
      </w:r>
      <w:r>
        <w:rPr>
          <w:noProof/>
        </w:rPr>
        <w:t>ната в Директивата и в Директива 2008/312/ЕВРАТОМ (например внос във, износ от и преминаване през територията на Общността, както и разрешително и съгласие);</w:t>
      </w:r>
    </w:p>
    <w:p w:rsidR="006E7045" w:rsidRDefault="00930F6E">
      <w:pPr>
        <w:pStyle w:val="ListParagraph"/>
        <w:widowControl/>
        <w:numPr>
          <w:ilvl w:val="0"/>
          <w:numId w:val="17"/>
        </w:numPr>
        <w:autoSpaceDE w:val="0"/>
        <w:autoSpaceDN w:val="0"/>
        <w:adjustRightInd w:val="0"/>
        <w:contextualSpacing w:val="0"/>
        <w:jc w:val="both"/>
        <w:rPr>
          <w:rFonts w:eastAsia="Calibri"/>
          <w:noProof/>
          <w:color w:val="auto"/>
        </w:rPr>
      </w:pPr>
      <w:r>
        <w:rPr>
          <w:noProof/>
          <w:color w:val="auto"/>
        </w:rPr>
        <w:t>също така информацията, предоставена в докладите на държавите членки, невинаги включваше подробнос</w:t>
      </w:r>
      <w:r>
        <w:rPr>
          <w:noProof/>
          <w:color w:val="auto"/>
        </w:rPr>
        <w:t>ти за превозите или разграничение на отработено гориво и радиоактивни отпадъци;</w:t>
      </w:r>
    </w:p>
    <w:p w:rsidR="006E7045" w:rsidRDefault="00930F6E">
      <w:pPr>
        <w:pStyle w:val="ListParagraph"/>
        <w:widowControl/>
        <w:numPr>
          <w:ilvl w:val="0"/>
          <w:numId w:val="17"/>
        </w:numPr>
        <w:autoSpaceDE w:val="0"/>
        <w:autoSpaceDN w:val="0"/>
        <w:adjustRightInd w:val="0"/>
        <w:contextualSpacing w:val="0"/>
        <w:jc w:val="both"/>
        <w:rPr>
          <w:rFonts w:eastAsia="Calibri"/>
          <w:noProof/>
        </w:rPr>
      </w:pPr>
      <w:r>
        <w:rPr>
          <w:noProof/>
          <w:color w:val="auto"/>
        </w:rPr>
        <w:t xml:space="preserve">докладите на две държави членки, в които се отчитат 48 % от всички разрешителни за превоз на отработено гориво и радиоактивни отпадъци, в известна степен бяха представени само </w:t>
      </w:r>
      <w:r>
        <w:rPr>
          <w:noProof/>
          <w:color w:val="auto"/>
        </w:rPr>
        <w:t>като резюмета без достатъчно подробности за превозите, както се изисква в образеца за докладване;</w:t>
      </w:r>
    </w:p>
    <w:p w:rsidR="006E7045" w:rsidRDefault="00930F6E">
      <w:pPr>
        <w:pStyle w:val="ListParagraph"/>
        <w:widowControl/>
        <w:numPr>
          <w:ilvl w:val="0"/>
          <w:numId w:val="17"/>
        </w:numPr>
        <w:autoSpaceDE w:val="0"/>
        <w:autoSpaceDN w:val="0"/>
        <w:adjustRightInd w:val="0"/>
        <w:spacing w:after="240"/>
        <w:contextualSpacing w:val="0"/>
        <w:jc w:val="both"/>
        <w:rPr>
          <w:rStyle w:val="Corpsdutexte"/>
          <w:rFonts w:eastAsia="Calibri"/>
          <w:noProof/>
        </w:rPr>
      </w:pPr>
      <w:r>
        <w:rPr>
          <w:rStyle w:val="Corpsdutexte"/>
          <w:noProof/>
        </w:rPr>
        <w:t>несъответствия в националните доклади на някои държави членки по отношение на разрешителните за превоз.</w:t>
      </w:r>
    </w:p>
    <w:p w:rsidR="006E7045" w:rsidRDefault="00930F6E">
      <w:pPr>
        <w:pStyle w:val="Corpsdutexte1"/>
        <w:shd w:val="clear" w:color="auto" w:fill="auto"/>
        <w:spacing w:before="120" w:after="240" w:line="240" w:lineRule="auto"/>
        <w:ind w:right="20" w:firstLine="0"/>
        <w:jc w:val="both"/>
        <w:rPr>
          <w:rStyle w:val="Corpsdutexte"/>
          <w:noProof/>
          <w:sz w:val="24"/>
          <w:szCs w:val="24"/>
        </w:rPr>
      </w:pPr>
      <w:r>
        <w:rPr>
          <w:rStyle w:val="Corpsdutexte"/>
          <w:noProof/>
          <w:sz w:val="24"/>
        </w:rPr>
        <w:t xml:space="preserve">В контекста на настоящия втори доклад Комисията не е </w:t>
      </w:r>
      <w:r>
        <w:rPr>
          <w:rStyle w:val="Corpsdutexte"/>
          <w:noProof/>
          <w:sz w:val="24"/>
        </w:rPr>
        <w:t>била уведомявана за повторен превоз във връзка с неразрешени доставки на недекларирани радиоактивни отпадъци (съгласно член 4); неизпълнение на превоз (съгласно член 12) или забранен износ, който би попаднал в приложното поле на разпоредбите на член 16, па</w:t>
      </w:r>
      <w:r>
        <w:rPr>
          <w:rStyle w:val="Corpsdutexte"/>
          <w:noProof/>
          <w:sz w:val="24"/>
        </w:rPr>
        <w:t>раграф 1 от Директивата. Имало е само два отказа за разрешителни, свързани със замърсен метален скрап, и в един случай — с непълна информация за превоза. Всички тези случаи на отказ са били решени от съответната държава членка.</w:t>
      </w:r>
    </w:p>
    <w:p w:rsidR="006E7045" w:rsidRDefault="00930F6E">
      <w:pPr>
        <w:autoSpaceDE w:val="0"/>
        <w:autoSpaceDN w:val="0"/>
        <w:adjustRightInd w:val="0"/>
        <w:spacing w:after="240"/>
        <w:rPr>
          <w:rStyle w:val="Corpsdutexte"/>
          <w:noProof/>
        </w:rPr>
      </w:pPr>
      <w:r>
        <w:rPr>
          <w:rStyle w:val="Corpsdutexte"/>
          <w:noProof/>
        </w:rPr>
        <w:t>Повече подробности за превоз</w:t>
      </w:r>
      <w:r>
        <w:rPr>
          <w:rStyle w:val="Corpsdutexte"/>
          <w:noProof/>
        </w:rPr>
        <w:t>ите на държавите членки са представени в придружаващия работен документ на службите на Комисията SWD (2018)4.</w:t>
      </w:r>
      <w:r>
        <w:rPr>
          <w:rStyle w:val="Corpsdutexte"/>
          <w:noProof/>
          <w:color w:val="FF0000"/>
        </w:rPr>
        <w:t xml:space="preserve"> </w:t>
      </w:r>
    </w:p>
    <w:p w:rsidR="006E7045" w:rsidRDefault="00930F6E">
      <w:pPr>
        <w:pStyle w:val="ManualHeading2"/>
        <w:rPr>
          <w:rFonts w:eastAsia="Calibri"/>
          <w:noProof/>
        </w:rPr>
      </w:pPr>
      <w:bookmarkStart w:id="27" w:name="_Toc498433916"/>
      <w:bookmarkStart w:id="28" w:name="_Toc499817347"/>
      <w:r>
        <w:t>3.1.</w:t>
      </w:r>
      <w:r>
        <w:tab/>
      </w:r>
      <w:r>
        <w:rPr>
          <w:noProof/>
        </w:rPr>
        <w:t>Общи превози</w:t>
      </w:r>
      <w:bookmarkEnd w:id="27"/>
      <w:bookmarkEnd w:id="28"/>
    </w:p>
    <w:p w:rsidR="006E7045" w:rsidRDefault="00930F6E">
      <w:pPr>
        <w:autoSpaceDE w:val="0"/>
        <w:autoSpaceDN w:val="0"/>
        <w:adjustRightInd w:val="0"/>
        <w:spacing w:after="240"/>
        <w:rPr>
          <w:rFonts w:eastAsia="Calibri"/>
          <w:noProof/>
        </w:rPr>
      </w:pPr>
      <w:r>
        <w:rPr>
          <w:noProof/>
        </w:rPr>
        <w:t>Директива 2006/117/ЕВРАТОМ осигурява рамката за превоз на радиоактивни отпадъци и отработено гориво между държавите членки, кой</w:t>
      </w:r>
      <w:r>
        <w:rPr>
          <w:noProof/>
        </w:rPr>
        <w:t>то следва да се осъществява само с предварително обосновано съгласие на компетентните органи на всички участващи държави членки (включително държави членки на транзитно преминаване).</w:t>
      </w:r>
    </w:p>
    <w:p w:rsidR="006E7045" w:rsidRDefault="00930F6E">
      <w:pPr>
        <w:autoSpaceDE w:val="0"/>
        <w:autoSpaceDN w:val="0"/>
        <w:adjustRightInd w:val="0"/>
        <w:spacing w:after="240"/>
        <w:rPr>
          <w:rFonts w:eastAsia="Calibri"/>
          <w:noProof/>
        </w:rPr>
      </w:pPr>
      <w:r>
        <w:rPr>
          <w:noProof/>
        </w:rPr>
        <w:t>За периода 2012—2014 г. 20 държави членки докладваха за разрешени превози</w:t>
      </w:r>
      <w:r>
        <w:rPr>
          <w:noProof/>
        </w:rPr>
        <w:t>, попадащи в обхвата на Директивата. Държавите членки докладваха за 400 издадени одобрения</w:t>
      </w:r>
      <w:r>
        <w:rPr>
          <w:rStyle w:val="FootnoteReference"/>
          <w:noProof/>
        </w:rPr>
        <w:footnoteReference w:id="22"/>
      </w:r>
      <w:r>
        <w:rPr>
          <w:noProof/>
        </w:rPr>
        <w:t>, които включват 192 разрешителни на изпращаща държава членка и 208 съгласия</w:t>
      </w:r>
      <w:r>
        <w:rPr>
          <w:rStyle w:val="FootnoteReference"/>
          <w:noProof/>
        </w:rPr>
        <w:footnoteReference w:id="23"/>
      </w:r>
      <w:r>
        <w:rPr>
          <w:noProof/>
        </w:rPr>
        <w:t xml:space="preserve"> за превоз на отработено гориво и радиоактивни отпадъци. Пет</w:t>
      </w:r>
      <w:r>
        <w:rPr>
          <w:rStyle w:val="FootnoteReference"/>
          <w:noProof/>
        </w:rPr>
        <w:footnoteReference w:id="24"/>
      </w:r>
      <w:r>
        <w:rPr>
          <w:noProof/>
        </w:rPr>
        <w:t xml:space="preserve"> от 20-те докладвали държав</w:t>
      </w:r>
      <w:r>
        <w:rPr>
          <w:noProof/>
        </w:rPr>
        <w:t xml:space="preserve">и членки отчитат 74 % от всички 192 докладвани разрешителни за периода 2012—2014 г. </w:t>
      </w:r>
    </w:p>
    <w:p w:rsidR="006E7045" w:rsidRDefault="00930F6E">
      <w:pPr>
        <w:spacing w:after="240"/>
        <w:rPr>
          <w:rFonts w:eastAsia="Calibri"/>
          <w:noProof/>
        </w:rPr>
      </w:pPr>
      <w:r>
        <w:rPr>
          <w:noProof/>
        </w:rPr>
        <w:t>Освен това 81 % (157) от всички разрешителни са свързани с превоз на радиоактивни отпадъци; 17 % (32) с отработено гориво, а 2 % са издадени за материали, различни от ради</w:t>
      </w:r>
      <w:r>
        <w:rPr>
          <w:noProof/>
        </w:rPr>
        <w:t>оактивни отпадъци и отработено гориво. През предходния период на докладване 74 % от разрешителните са свързани с превоз на радиоактивни отпадъци, а останалите 26 % — с превоз на отработено гориво.</w:t>
      </w:r>
    </w:p>
    <w:p w:rsidR="006E7045" w:rsidRDefault="00930F6E">
      <w:pPr>
        <w:spacing w:after="240"/>
        <w:rPr>
          <w:rFonts w:eastAsia="Calibri"/>
          <w:noProof/>
        </w:rPr>
      </w:pPr>
      <w:r>
        <w:rPr>
          <w:noProof/>
        </w:rPr>
        <w:t xml:space="preserve">Комисията отбелязва, че общият брой на разрешителните се е </w:t>
      </w:r>
      <w:r>
        <w:rPr>
          <w:noProof/>
        </w:rPr>
        <w:t xml:space="preserve">увеличил (15 %) в сравнение с предходния период на докладване (2008—2011 г.), като 14 държави членки са предоставили 161 разрешителни, попадащи в обхвата на Директивата. </w:t>
      </w:r>
    </w:p>
    <w:p w:rsidR="006E7045" w:rsidRDefault="00930F6E">
      <w:pPr>
        <w:pStyle w:val="Heading2"/>
        <w:numPr>
          <w:ilvl w:val="0"/>
          <w:numId w:val="0"/>
        </w:numPr>
        <w:ind w:left="850" w:hanging="850"/>
        <w:rPr>
          <w:rStyle w:val="Corpsdutexte"/>
          <w:noProof/>
          <w:sz w:val="24"/>
          <w:szCs w:val="28"/>
          <w:shd w:val="clear" w:color="auto" w:fill="auto"/>
        </w:rPr>
      </w:pPr>
      <w:bookmarkStart w:id="29" w:name="_Toc498433917"/>
      <w:bookmarkStart w:id="30" w:name="_Toc499817348"/>
      <w:r>
        <w:rPr>
          <w:rStyle w:val="Corpsdutexte"/>
          <w:noProof/>
          <w:sz w:val="24"/>
          <w:shd w:val="clear" w:color="auto" w:fill="auto"/>
        </w:rPr>
        <w:t>3.2.</w:t>
      </w:r>
      <w:r>
        <w:rPr>
          <w:noProof/>
        </w:rPr>
        <w:tab/>
      </w:r>
      <w:r>
        <w:rPr>
          <w:rStyle w:val="Corpsdutexte"/>
          <w:noProof/>
          <w:sz w:val="24"/>
          <w:shd w:val="clear" w:color="auto" w:fill="auto"/>
        </w:rPr>
        <w:t xml:space="preserve"> Внос, износ и транзитно преминаване през територията на Общността</w:t>
      </w:r>
      <w:bookmarkEnd w:id="29"/>
      <w:bookmarkEnd w:id="30"/>
    </w:p>
    <w:p w:rsidR="006E7045" w:rsidRDefault="00930F6E">
      <w:pPr>
        <w:autoSpaceDE w:val="0"/>
        <w:autoSpaceDN w:val="0"/>
        <w:adjustRightInd w:val="0"/>
        <w:rPr>
          <w:rFonts w:eastAsia="Calibri"/>
          <w:noProof/>
        </w:rPr>
      </w:pPr>
      <w:r>
        <w:rPr>
          <w:noProof/>
        </w:rPr>
        <w:t xml:space="preserve">През периода </w:t>
      </w:r>
      <w:r>
        <w:rPr>
          <w:noProof/>
        </w:rPr>
        <w:t>на докладване 2012—2014 г. повечето от превозите на радиоактивни отпадъци и отработено гориво са извършени между държавите членки и само около 17 % от всички трансгранични превози са били за внос в Общността и износ от нея.</w:t>
      </w:r>
    </w:p>
    <w:p w:rsidR="006E7045" w:rsidRDefault="00930F6E">
      <w:pPr>
        <w:autoSpaceDE w:val="0"/>
        <w:autoSpaceDN w:val="0"/>
        <w:adjustRightInd w:val="0"/>
        <w:spacing w:after="240"/>
        <w:rPr>
          <w:rFonts w:eastAsia="Calibri"/>
          <w:noProof/>
        </w:rPr>
      </w:pPr>
      <w:r>
        <w:rPr>
          <w:noProof/>
        </w:rPr>
        <w:t>По-специално 11 държави членки</w:t>
      </w:r>
      <w:r>
        <w:rPr>
          <w:rStyle w:val="FootnoteReference"/>
          <w:noProof/>
        </w:rPr>
        <w:footnoteReference w:id="25"/>
      </w:r>
      <w:r>
        <w:rPr>
          <w:noProof/>
        </w:rPr>
        <w:t xml:space="preserve"> </w:t>
      </w:r>
      <w:r>
        <w:rPr>
          <w:noProof/>
        </w:rPr>
        <w:t xml:space="preserve">докладваха за издаване на 30 разрешителни за износ на радиоактивни отпадъци и/или отработено гориво за трети държави — Русия (47 %), САЩ (30 %), Швейцария и Япония (всяка държава по 10 %) и Норвегия (3 %). </w:t>
      </w:r>
    </w:p>
    <w:p w:rsidR="006E7045" w:rsidRDefault="00930F6E">
      <w:pPr>
        <w:autoSpaceDE w:val="0"/>
        <w:autoSpaceDN w:val="0"/>
        <w:adjustRightInd w:val="0"/>
        <w:spacing w:after="240"/>
        <w:rPr>
          <w:rFonts w:eastAsia="Calibri"/>
          <w:noProof/>
        </w:rPr>
      </w:pPr>
      <w:r>
        <w:rPr>
          <w:noProof/>
        </w:rPr>
        <w:t>Двадесет от 30-те разрешителни за износ от Общнос</w:t>
      </w:r>
      <w:r>
        <w:rPr>
          <w:noProof/>
        </w:rPr>
        <w:t>тта (т.е. 67 %) са били свързани с превоз на отработено гориво. Всички тези случаи на износ на отработено гориво, с изключение на един, бяха докладвани за преработка; а един случай на износ на отработено гориво беше докладван за научноизследователски дейно</w:t>
      </w:r>
      <w:r>
        <w:rPr>
          <w:noProof/>
        </w:rPr>
        <w:t xml:space="preserve">сти. </w:t>
      </w:r>
    </w:p>
    <w:p w:rsidR="006E7045" w:rsidRDefault="00930F6E">
      <w:pPr>
        <w:autoSpaceDE w:val="0"/>
        <w:autoSpaceDN w:val="0"/>
        <w:adjustRightInd w:val="0"/>
        <w:spacing w:after="240"/>
        <w:rPr>
          <w:rFonts w:eastAsia="Calibri"/>
          <w:noProof/>
        </w:rPr>
      </w:pPr>
      <w:r>
        <w:rPr>
          <w:noProof/>
        </w:rPr>
        <w:t>През предходния период на докладване (2008—2011 г.) девет държави членки са предоставили 29 разрешителни за износ, като 59 % от разрешителните за износ от Общността са били свързани с износ на отработено гориво, което показва увеличение на броя на дъ</w:t>
      </w:r>
      <w:r>
        <w:rPr>
          <w:noProof/>
        </w:rPr>
        <w:t>ржавите членки, изнасящи отработено гориво и/или радиоактивни отпадъци. Въпреки че е налице слабо увеличение на разрешителните за износ общо на отработено гориво и радиоактивни отпадъци, от 2011 г. насам Комисията отбелязва общо намаляване на броя на разре</w:t>
      </w:r>
      <w:r>
        <w:rPr>
          <w:noProof/>
        </w:rPr>
        <w:t>шителните за износ на отработено гориво.</w:t>
      </w:r>
    </w:p>
    <w:p w:rsidR="006E7045" w:rsidRDefault="00930F6E">
      <w:pPr>
        <w:autoSpaceDE w:val="0"/>
        <w:autoSpaceDN w:val="0"/>
        <w:adjustRightInd w:val="0"/>
        <w:spacing w:after="240"/>
        <w:rPr>
          <w:rFonts w:eastAsia="Calibri"/>
          <w:noProof/>
        </w:rPr>
      </w:pPr>
      <w:r>
        <w:rPr>
          <w:noProof/>
        </w:rPr>
        <w:t xml:space="preserve">Износ на радиоактивни отпадъци за връщане и за третиране в трети държави е докладван от пет държави членки, за което са издадени общо девет разрешителни за износ от Общността. </w:t>
      </w:r>
    </w:p>
    <w:p w:rsidR="006E7045" w:rsidRDefault="00930F6E">
      <w:pPr>
        <w:autoSpaceDE w:val="0"/>
        <w:autoSpaceDN w:val="0"/>
        <w:adjustRightInd w:val="0"/>
        <w:spacing w:after="240"/>
        <w:rPr>
          <w:rFonts w:eastAsia="Calibri"/>
          <w:noProof/>
        </w:rPr>
      </w:pPr>
      <w:r>
        <w:rPr>
          <w:noProof/>
        </w:rPr>
        <w:t>За този период три държави членки (Фра</w:t>
      </w:r>
      <w:r>
        <w:rPr>
          <w:noProof/>
        </w:rPr>
        <w:t>нция, Швеция и Обединеното кралство) докладваха за внос на радиоактивни отпадъци/отработено гориво, като не беше отчетено транзитно преминаване на отработено гориво и/или радиоактивни отпадъци през територията на Общността.</w:t>
      </w:r>
    </w:p>
    <w:p w:rsidR="006E7045" w:rsidRDefault="00930F6E">
      <w:pPr>
        <w:pStyle w:val="Heading2"/>
        <w:numPr>
          <w:ilvl w:val="0"/>
          <w:numId w:val="0"/>
        </w:numPr>
        <w:rPr>
          <w:rFonts w:eastAsia="Calibri"/>
          <w:noProof/>
        </w:rPr>
      </w:pPr>
      <w:bookmarkStart w:id="31" w:name="_Toc498433918"/>
      <w:bookmarkStart w:id="32" w:name="_Toc499817349"/>
      <w:r>
        <w:rPr>
          <w:noProof/>
        </w:rPr>
        <w:t>3.3</w:t>
      </w:r>
      <w:r>
        <w:rPr>
          <w:noProof/>
        </w:rPr>
        <w:tab/>
        <w:t>Последващи действия във връз</w:t>
      </w:r>
      <w:r>
        <w:rPr>
          <w:noProof/>
        </w:rPr>
        <w:t>ка с първия доклад на Комисията</w:t>
      </w:r>
      <w:bookmarkEnd w:id="31"/>
      <w:bookmarkEnd w:id="32"/>
    </w:p>
    <w:p w:rsidR="006E7045" w:rsidRDefault="00930F6E">
      <w:pPr>
        <w:pStyle w:val="Corpsdutexte1"/>
        <w:shd w:val="clear" w:color="auto" w:fill="auto"/>
        <w:spacing w:before="120" w:after="240" w:line="240" w:lineRule="auto"/>
        <w:ind w:right="20" w:firstLine="0"/>
        <w:jc w:val="both"/>
        <w:rPr>
          <w:rStyle w:val="Corpsdutexte"/>
          <w:noProof/>
          <w:sz w:val="24"/>
          <w:szCs w:val="24"/>
        </w:rPr>
      </w:pPr>
      <w:r>
        <w:rPr>
          <w:rStyle w:val="Corpsdutexte"/>
          <w:noProof/>
          <w:sz w:val="24"/>
        </w:rPr>
        <w:t>В резултат на първото докладване от страна на държавите членки относно прилагането на Директива 2006/117/ЕВРАТОМ бяха определени два въпроса, на които да се отдели допълнително внимание, както се посочва в доклад на Комисият</w:t>
      </w:r>
      <w:r>
        <w:rPr>
          <w:rStyle w:val="Corpsdutexte"/>
          <w:noProof/>
          <w:sz w:val="24"/>
        </w:rPr>
        <w:t>а COM (2013) 240 окончателен:</w:t>
      </w:r>
      <w:r>
        <w:rPr>
          <w:rStyle w:val="Corpsdutexte"/>
          <w:noProof/>
          <w:color w:val="FF0000"/>
          <w:sz w:val="24"/>
        </w:rPr>
        <w:t xml:space="preserve"> </w:t>
      </w:r>
    </w:p>
    <w:p w:rsidR="006E7045" w:rsidRDefault="00930F6E">
      <w:pPr>
        <w:pStyle w:val="NormalWeb"/>
        <w:numPr>
          <w:ilvl w:val="0"/>
          <w:numId w:val="16"/>
        </w:numPr>
        <w:spacing w:before="120" w:beforeAutospacing="0" w:after="0" w:afterAutospacing="0"/>
        <w:jc w:val="both"/>
        <w:rPr>
          <w:rStyle w:val="Corpsdutexte"/>
          <w:noProof/>
          <w:color w:val="000000"/>
          <w:sz w:val="24"/>
          <w:szCs w:val="24"/>
        </w:rPr>
      </w:pPr>
      <w:r>
        <w:rPr>
          <w:rStyle w:val="Corpsdutexte"/>
          <w:noProof/>
          <w:sz w:val="24"/>
          <w:szCs w:val="24"/>
        </w:rPr>
        <w:t xml:space="preserve">Беше отбелязано, че не е налице </w:t>
      </w:r>
      <w:r>
        <w:rPr>
          <w:rStyle w:val="Corpsdutexte"/>
          <w:b/>
          <w:noProof/>
          <w:sz w:val="24"/>
          <w:szCs w:val="24"/>
        </w:rPr>
        <w:t>хармонизиране на нивата за освобождаване от контрол</w:t>
      </w:r>
      <w:r>
        <w:rPr>
          <w:rStyle w:val="Corpsdutexte"/>
          <w:noProof/>
          <w:sz w:val="24"/>
          <w:szCs w:val="24"/>
        </w:rPr>
        <w:t xml:space="preserve"> на радиоактивни отпадъци в ЕС, което би могло да доведе до възможността материали, съдържащи радиоактивни вещества, да бъдат освободени в едн</w:t>
      </w:r>
      <w:r>
        <w:rPr>
          <w:rStyle w:val="Corpsdutexte"/>
          <w:noProof/>
          <w:sz w:val="24"/>
          <w:szCs w:val="24"/>
        </w:rPr>
        <w:t>а държава членка, но все още да бъдат считани за радиоактивни отпадъци в друга държава членка.</w:t>
      </w:r>
    </w:p>
    <w:p w:rsidR="006E7045" w:rsidRDefault="00930F6E">
      <w:pPr>
        <w:pStyle w:val="Corpsdutexte1"/>
        <w:shd w:val="clear" w:color="auto" w:fill="auto"/>
        <w:spacing w:before="120" w:after="0" w:line="240" w:lineRule="auto"/>
        <w:ind w:left="720" w:right="20" w:firstLine="0"/>
        <w:jc w:val="both"/>
        <w:rPr>
          <w:rStyle w:val="Corpsdutexte"/>
          <w:noProof/>
          <w:sz w:val="24"/>
          <w:szCs w:val="24"/>
        </w:rPr>
      </w:pPr>
      <w:r>
        <w:rPr>
          <w:rStyle w:val="Corpsdutexte"/>
          <w:noProof/>
          <w:sz w:val="24"/>
          <w:szCs w:val="24"/>
        </w:rPr>
        <w:t xml:space="preserve">С транспонирането от страна на държавите членки на Директива 2013/59/ЕВРАТОМ за определяне на основни норми на безопасност до февруари 2018 г. се очаква, че общите критерии за освобождаване от контрол и наборът от хармонизирани </w:t>
      </w:r>
      <w:r>
        <w:rPr>
          <w:rStyle w:val="Corpsdutexte"/>
          <w:b/>
          <w:noProof/>
          <w:sz w:val="24"/>
          <w:szCs w:val="24"/>
        </w:rPr>
        <w:t>общи нива за освобождаване о</w:t>
      </w:r>
      <w:r>
        <w:rPr>
          <w:rStyle w:val="Corpsdutexte"/>
          <w:b/>
          <w:noProof/>
          <w:sz w:val="24"/>
          <w:szCs w:val="24"/>
        </w:rPr>
        <w:t>т контрол</w:t>
      </w:r>
      <w:r>
        <w:rPr>
          <w:rStyle w:val="Corpsdutexte"/>
          <w:noProof/>
          <w:sz w:val="24"/>
          <w:szCs w:val="24"/>
        </w:rPr>
        <w:t xml:space="preserve"> в държавите членки ще станат по-съгласувани. Важно е обаче да се отбележи, че държавите членки разполагат с възможността да определят конкретни нива за освобождаване от регулаторен контрол в съответствие с критериите за освобождаване от контрол, </w:t>
      </w:r>
      <w:r>
        <w:rPr>
          <w:rStyle w:val="Corpsdutexte"/>
          <w:noProof/>
          <w:sz w:val="24"/>
          <w:szCs w:val="24"/>
        </w:rPr>
        <w:t>установени в настоящата директива</w:t>
      </w:r>
    </w:p>
    <w:p w:rsidR="006E7045" w:rsidRDefault="00930F6E">
      <w:pPr>
        <w:pStyle w:val="NormalWeb"/>
        <w:numPr>
          <w:ilvl w:val="0"/>
          <w:numId w:val="16"/>
        </w:numPr>
        <w:spacing w:before="120" w:beforeAutospacing="0" w:after="0" w:afterAutospacing="0"/>
        <w:jc w:val="both"/>
        <w:rPr>
          <w:noProof/>
        </w:rPr>
      </w:pPr>
      <w:r>
        <w:rPr>
          <w:rStyle w:val="Corpsdutexte"/>
          <w:noProof/>
          <w:sz w:val="24"/>
          <w:szCs w:val="24"/>
        </w:rPr>
        <w:t xml:space="preserve">Трансграничните превози на </w:t>
      </w:r>
      <w:r>
        <w:rPr>
          <w:rStyle w:val="Corpsdutexte"/>
          <w:b/>
          <w:noProof/>
          <w:sz w:val="24"/>
          <w:szCs w:val="24"/>
        </w:rPr>
        <w:t>отпадъци със съдържание на NORM</w:t>
      </w:r>
      <w:r>
        <w:rPr>
          <w:rStyle w:val="Corpsdutexte"/>
          <w:noProof/>
          <w:sz w:val="24"/>
          <w:szCs w:val="24"/>
        </w:rPr>
        <w:t>, които не са резултат от разрешени „практики“, както са определени в Директива 96/29/ЕВРТОМ, бяха изключени от обхвата както на Директива</w:t>
      </w:r>
      <w:r>
        <w:rPr>
          <w:noProof/>
        </w:rPr>
        <w:t> 2006/117/ЕВРАТОМ</w:t>
      </w:r>
      <w:r>
        <w:rPr>
          <w:rStyle w:val="FootnoteReference"/>
          <w:noProof/>
        </w:rPr>
        <w:footnoteReference w:id="26"/>
      </w:r>
      <w:r>
        <w:rPr>
          <w:noProof/>
        </w:rPr>
        <w:t>, така и</w:t>
      </w:r>
      <w:r>
        <w:rPr>
          <w:noProof/>
        </w:rPr>
        <w:t xml:space="preserve"> на Директива 2006/21/ЕО</w:t>
      </w:r>
      <w:r>
        <w:rPr>
          <w:rStyle w:val="FootnoteReference"/>
          <w:noProof/>
        </w:rPr>
        <w:footnoteReference w:id="27"/>
      </w:r>
      <w:r>
        <w:rPr>
          <w:noProof/>
        </w:rPr>
        <w:t xml:space="preserve"> относно управлението на отпадъците от миннодобивните индустрии.</w:t>
      </w:r>
    </w:p>
    <w:p w:rsidR="006E7045" w:rsidRDefault="00930F6E">
      <w:pPr>
        <w:pStyle w:val="NormalWeb"/>
        <w:spacing w:before="120" w:beforeAutospacing="0" w:after="0" w:afterAutospacing="0"/>
        <w:ind w:left="720"/>
        <w:jc w:val="both"/>
        <w:rPr>
          <w:noProof/>
        </w:rPr>
      </w:pPr>
      <w:r>
        <w:rPr>
          <w:rStyle w:val="Corpsdutexte"/>
          <w:noProof/>
          <w:sz w:val="24"/>
          <w:szCs w:val="24"/>
        </w:rPr>
        <w:t>Приложното поле на Директива 2013/59/ЕВРАТОМ беше разширено така, че да обхваща всички човешки дейности, включващи наличието на естествени радиационни източници, вклю</w:t>
      </w:r>
      <w:r>
        <w:rPr>
          <w:rStyle w:val="Corpsdutexte"/>
          <w:noProof/>
          <w:sz w:val="24"/>
          <w:szCs w:val="24"/>
        </w:rPr>
        <w:t xml:space="preserve">чително преработката на материали с естествени радионуклиди (NORM). </w:t>
      </w:r>
      <w:r>
        <w:rPr>
          <w:noProof/>
        </w:rPr>
        <w:t xml:space="preserve">Следователно, от правна гледна точка, всички </w:t>
      </w:r>
      <w:r>
        <w:rPr>
          <w:rStyle w:val="Corpsdutexte"/>
          <w:noProof/>
          <w:sz w:val="24"/>
          <w:szCs w:val="24"/>
        </w:rPr>
        <w:t>отпадъци със съдържание на NORM</w:t>
      </w:r>
      <w:r>
        <w:rPr>
          <w:noProof/>
        </w:rPr>
        <w:t>, за които се изисква регулаторен контрол и са категоризирани като радиоактивни отпадъци</w:t>
      </w:r>
      <w:r>
        <w:rPr>
          <w:rStyle w:val="FootnoteReference"/>
          <w:noProof/>
        </w:rPr>
        <w:footnoteReference w:id="28"/>
      </w:r>
      <w:r>
        <w:rPr>
          <w:noProof/>
        </w:rPr>
        <w:t xml:space="preserve">, попадат в приложното </w:t>
      </w:r>
      <w:r>
        <w:rPr>
          <w:noProof/>
        </w:rPr>
        <w:t xml:space="preserve">поле на Директива 2006/117/ЕВРАТОМ. </w:t>
      </w:r>
    </w:p>
    <w:p w:rsidR="006E7045" w:rsidRDefault="00930F6E">
      <w:pPr>
        <w:pStyle w:val="NormalWeb"/>
        <w:spacing w:before="120" w:beforeAutospacing="0" w:after="240" w:afterAutospacing="0"/>
        <w:jc w:val="both"/>
        <w:rPr>
          <w:noProof/>
        </w:rPr>
      </w:pPr>
      <w:r>
        <w:rPr>
          <w:rStyle w:val="Corpsdutexte"/>
          <w:noProof/>
          <w:sz w:val="24"/>
          <w:szCs w:val="24"/>
        </w:rPr>
        <w:t>За да се гарантира безпроблемно прилагане както на Директива 2006/117/ЕВРАТОМ, така и на Директива 2013/59/ЕВРАТОМ и да бъдат засегнати горепосочените въпроси, през 2016 г. Комисията предприе проучване</w:t>
      </w:r>
      <w:r>
        <w:rPr>
          <w:rStyle w:val="FootnoteReference"/>
          <w:noProof/>
        </w:rPr>
        <w:footnoteReference w:id="29"/>
      </w:r>
      <w:r>
        <w:rPr>
          <w:rStyle w:val="Corpsdutexte"/>
          <w:noProof/>
          <w:sz w:val="24"/>
          <w:szCs w:val="24"/>
        </w:rPr>
        <w:t>.</w:t>
      </w:r>
      <w:r>
        <w:rPr>
          <w:noProof/>
        </w:rPr>
        <w:t xml:space="preserve"> Целта на проучването беше да се разгледат настоящите практики на държавите членки при прилагането на нива за освобождаване от контрол и превоз на радиоактивни </w:t>
      </w:r>
      <w:r>
        <w:rPr>
          <w:rStyle w:val="Corpsdutexte"/>
          <w:noProof/>
          <w:sz w:val="24"/>
          <w:szCs w:val="24"/>
        </w:rPr>
        <w:t>отпадъци със съдържание на естествени радиоактивни материали</w:t>
      </w:r>
      <w:r>
        <w:rPr>
          <w:noProof/>
        </w:rPr>
        <w:t>, чрез което да се постигне по-добро</w:t>
      </w:r>
      <w:r>
        <w:rPr>
          <w:noProof/>
        </w:rPr>
        <w:t xml:space="preserve"> познаване на практиките, предизвикателствата, добрите примери на държавите членки за превоз на такива материали в обхвата на новата правна рамка на ЕС, както и на потребностите от </w:t>
      </w:r>
      <w:r>
        <w:rPr>
          <w:rStyle w:val="Corpsdutexte"/>
          <w:noProof/>
          <w:sz w:val="24"/>
          <w:szCs w:val="24"/>
        </w:rPr>
        <w:t>законодателство и/или инициативи на ЕС</w:t>
      </w:r>
      <w:r>
        <w:rPr>
          <w:noProof/>
        </w:rPr>
        <w:t xml:space="preserve"> в тази област.</w:t>
      </w:r>
    </w:p>
    <w:p w:rsidR="006E7045" w:rsidRDefault="00930F6E">
      <w:pPr>
        <w:pStyle w:val="ManualHeading1"/>
        <w:rPr>
          <w:rStyle w:val="En-tte32NonPetitesmajuscules1"/>
          <w:noProof/>
          <w:sz w:val="24"/>
          <w:szCs w:val="24"/>
        </w:rPr>
      </w:pPr>
      <w:bookmarkStart w:id="33" w:name="_Toc498433919"/>
      <w:bookmarkStart w:id="34" w:name="_Toc499817350"/>
      <w:r>
        <w:rPr>
          <w:rStyle w:val="En-tte32NonPetitesmajuscules1"/>
        </w:rPr>
        <w:t>4.</w:t>
      </w:r>
      <w:r>
        <w:rPr>
          <w:rStyle w:val="En-tte32NonPetitesmajuscules1"/>
        </w:rPr>
        <w:tab/>
      </w:r>
      <w:r>
        <w:rPr>
          <w:rStyle w:val="En-tte32NonPetitesmajuscules1"/>
          <w:smallCaps/>
          <w:noProof/>
          <w:sz w:val="24"/>
        </w:rPr>
        <w:t>Заключения</w:t>
      </w:r>
      <w:bookmarkEnd w:id="33"/>
      <w:bookmarkEnd w:id="34"/>
    </w:p>
    <w:p w:rsidR="006E7045" w:rsidRDefault="00930F6E">
      <w:pPr>
        <w:tabs>
          <w:tab w:val="left" w:pos="720"/>
        </w:tabs>
        <w:spacing w:after="240"/>
        <w:ind w:left="23"/>
        <w:rPr>
          <w:noProof/>
        </w:rPr>
      </w:pPr>
      <w:r>
        <w:rPr>
          <w:noProof/>
        </w:rPr>
        <w:t>Настоящ</w:t>
      </w:r>
      <w:r>
        <w:rPr>
          <w:noProof/>
        </w:rPr>
        <w:t>ата правна рамка на ЕС, състояща се от Директива 2006/117/ЕВРСТОМ, новата Директива 2013/59/ЕВРАТОМ и Директива 2011/70/ЕВРАТОМ, осигурява всеобхватна правна основа за гарантиране на защита на здравето на работниците и на населението от рисковете, произтич</w:t>
      </w:r>
      <w:r>
        <w:rPr>
          <w:noProof/>
        </w:rPr>
        <w:t>ащи от йонизиращи лъчения, включително по време на превоз на отработено гориво и радиоактивни отпадъци.</w:t>
      </w:r>
    </w:p>
    <w:p w:rsidR="006E7045" w:rsidRDefault="00930F6E">
      <w:pPr>
        <w:tabs>
          <w:tab w:val="left" w:pos="720"/>
        </w:tabs>
        <w:spacing w:after="240"/>
        <w:ind w:left="23"/>
        <w:rPr>
          <w:noProof/>
        </w:rPr>
      </w:pPr>
      <w:r>
        <w:rPr>
          <w:noProof/>
        </w:rPr>
        <w:t xml:space="preserve">Държавите членки докладваха за превози в обхвата на националните рамки за надзор и контрол на превозите на отработено гориво и радиоактивни отпадъци. В </w:t>
      </w:r>
      <w:r>
        <w:rPr>
          <w:noProof/>
        </w:rPr>
        <w:t>тези рамки се изисква трансграничните превози на радиоактивни отпадъци и отработено гориво да се осъществяват само с предварително обосновано съгласие на компетентните органи на всички участващи държави членки и да се използва стандартният документ за внос</w:t>
      </w:r>
      <w:r>
        <w:rPr>
          <w:noProof/>
        </w:rPr>
        <w:t xml:space="preserve"> във, износ от и преминаване през територията на Общността.</w:t>
      </w:r>
    </w:p>
    <w:p w:rsidR="006E7045" w:rsidRDefault="00930F6E">
      <w:pPr>
        <w:autoSpaceDE w:val="0"/>
        <w:autoSpaceDN w:val="0"/>
        <w:adjustRightInd w:val="0"/>
        <w:spacing w:after="240"/>
        <w:rPr>
          <w:noProof/>
        </w:rPr>
      </w:pPr>
      <w:r>
        <w:rPr>
          <w:noProof/>
        </w:rPr>
        <w:t>През настоящия период на докладване държавите членки не докладваха за неизпълнение на превоз при трансгранично движение на радиоактивни отпадъци или отработено гориво. Докладвано беше за два отказ</w:t>
      </w:r>
      <w:r>
        <w:rPr>
          <w:noProof/>
        </w:rPr>
        <w:t>а поради недеклариране на радиоактивен материал като радиоактивен отпадък и недостатъчна информация, но проблемът беше решен от съответните държави членки.</w:t>
      </w:r>
    </w:p>
    <w:p w:rsidR="006E7045" w:rsidRDefault="00930F6E">
      <w:pPr>
        <w:tabs>
          <w:tab w:val="left" w:pos="720"/>
        </w:tabs>
        <w:spacing w:after="240"/>
        <w:ind w:left="23"/>
        <w:rPr>
          <w:noProof/>
        </w:rPr>
      </w:pPr>
      <w:r>
        <w:rPr>
          <w:noProof/>
        </w:rPr>
        <w:t xml:space="preserve">Повечето от националните доклади на държавите членки за този период бяха представени със закъснениe </w:t>
      </w:r>
      <w:r>
        <w:rPr>
          <w:noProof/>
        </w:rPr>
        <w:t xml:space="preserve">и в тях се виждат различията в степента на подробност на информацията и различните подходи към докладването за превозите на отработено гориво и радиоактивни отпадъци. </w:t>
      </w:r>
    </w:p>
    <w:p w:rsidR="006E7045" w:rsidRDefault="00930F6E">
      <w:pPr>
        <w:tabs>
          <w:tab w:val="left" w:pos="720"/>
        </w:tabs>
        <w:spacing w:after="240"/>
        <w:ind w:left="23"/>
        <w:rPr>
          <w:noProof/>
        </w:rPr>
      </w:pPr>
      <w:r>
        <w:rPr>
          <w:noProof/>
        </w:rPr>
        <w:t>Комисията ще вземе под внимание констатациите, представени в настоящия доклад, и ще пред</w:t>
      </w:r>
      <w:r>
        <w:rPr>
          <w:noProof/>
        </w:rPr>
        <w:t>приеме размисъл или необходимите мерки за:</w:t>
      </w:r>
    </w:p>
    <w:p w:rsidR="006E7045" w:rsidRDefault="00930F6E">
      <w:pPr>
        <w:pStyle w:val="NormalWeb"/>
        <w:numPr>
          <w:ilvl w:val="0"/>
          <w:numId w:val="16"/>
        </w:numPr>
        <w:jc w:val="both"/>
        <w:rPr>
          <w:noProof/>
        </w:rPr>
      </w:pPr>
      <w:r>
        <w:rPr>
          <w:noProof/>
        </w:rPr>
        <w:t>усъвършенстване на стандартния документ за надзор и контрол на превози на радиоактивни отпадъци и отработено гориво, посочен в Директива 2006/117/ЕВРАТОМ на Съвета, с оглед на обратната информация, предоставена от</w:t>
      </w:r>
      <w:r>
        <w:rPr>
          <w:noProof/>
        </w:rPr>
        <w:t xml:space="preserve"> държавите членки и в препоръките на Консултативния комитет;  </w:t>
      </w:r>
    </w:p>
    <w:p w:rsidR="006E7045" w:rsidRDefault="00930F6E">
      <w:pPr>
        <w:pStyle w:val="NormalWeb"/>
        <w:numPr>
          <w:ilvl w:val="0"/>
          <w:numId w:val="16"/>
        </w:numPr>
        <w:spacing w:before="0" w:beforeAutospacing="0" w:after="240" w:afterAutospacing="0"/>
        <w:jc w:val="both"/>
        <w:rPr>
          <w:noProof/>
        </w:rPr>
      </w:pPr>
      <w:r>
        <w:rPr>
          <w:noProof/>
        </w:rPr>
        <w:t>предоставяне на подкрепа на държавите членки за уеднаквяване на докладването на държавите членки за превози на отработено гориво и радиоактивни отпадъци (член 20 от Директивата), като по този н</w:t>
      </w:r>
      <w:r>
        <w:rPr>
          <w:noProof/>
        </w:rPr>
        <w:t>ачин в крайна сметка се подобрява и степента на съгласуваност и подробност на бъдещото докладване от страна на Комисията пред Съвета, Европейския парламент и Европейския икономически и социален комитет.</w:t>
      </w:r>
    </w:p>
    <w:p w:rsidR="006E7045" w:rsidRDefault="00930F6E">
      <w:pPr>
        <w:pStyle w:val="NormalWeb"/>
        <w:spacing w:before="0" w:beforeAutospacing="0" w:after="240" w:afterAutospacing="0"/>
        <w:jc w:val="both"/>
        <w:rPr>
          <w:rStyle w:val="Corpsdutexte"/>
          <w:noProof/>
        </w:rPr>
      </w:pPr>
      <w:r>
        <w:rPr>
          <w:rStyle w:val="Corpsdutexte"/>
          <w:noProof/>
        </w:rPr>
        <w:t>Освен това Комисията ще предприеме необходимите мерки</w:t>
      </w:r>
      <w:r>
        <w:rPr>
          <w:rStyle w:val="Corpsdutexte"/>
          <w:noProof/>
        </w:rPr>
        <w:t xml:space="preserve"> въз основа на констатациите от текущото проучване във връзка с прегледа на сегашното положение при транспортирането на радиоактивни материали в държавите — членки на ЕС. Проучването включва превозите на материали с естествени радионуклиди и прилагането на</w:t>
      </w:r>
      <w:r>
        <w:rPr>
          <w:rStyle w:val="Corpsdutexte"/>
          <w:noProof/>
        </w:rPr>
        <w:t xml:space="preserve"> нива за освобождаване от контрол, с цел да бъдат определени конкретни действия, необходими за подобряване на транспортирането в ЕС и на национално равнище, увеличаване на прозрачността и засилване на общественото доверие.</w:t>
      </w:r>
    </w:p>
    <w:p w:rsidR="006E7045" w:rsidRDefault="00930F6E">
      <w:pPr>
        <w:pStyle w:val="Corpsdutexte1"/>
        <w:shd w:val="clear" w:color="auto" w:fill="auto"/>
        <w:spacing w:before="120" w:after="0" w:line="240" w:lineRule="auto"/>
        <w:ind w:right="40" w:firstLine="0"/>
        <w:jc w:val="both"/>
        <w:rPr>
          <w:rStyle w:val="Corpsdutexte"/>
          <w:noProof/>
          <w:sz w:val="24"/>
          <w:szCs w:val="24"/>
        </w:rPr>
      </w:pPr>
      <w:r>
        <w:rPr>
          <w:rStyle w:val="Corpsdutexte"/>
          <w:noProof/>
          <w:sz w:val="24"/>
        </w:rPr>
        <w:t xml:space="preserve">Комисията ще следи отблизо </w:t>
      </w:r>
      <w:r>
        <w:rPr>
          <w:rStyle w:val="Corpsdutexte"/>
          <w:noProof/>
          <w:sz w:val="24"/>
        </w:rPr>
        <w:t>прилагането на Директивата и определените мерки, с цел да се гарантира своевременно докладване за предстоящия период на докладване 2015—2017 г. (доклади на държавите членки до 25 декември 2017 г.) в тясно сътрудничество с държавите — членки на ЕС.</w:t>
      </w:r>
    </w:p>
    <w:p w:rsidR="006E7045" w:rsidRDefault="006E7045">
      <w:pPr>
        <w:rPr>
          <w:noProof/>
        </w:rPr>
      </w:pPr>
      <w:bookmarkStart w:id="35" w:name="_GoBack"/>
      <w:bookmarkEnd w:id="35"/>
    </w:p>
    <w:sectPr w:rsidR="006E704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45" w:rsidRDefault="00930F6E">
      <w:pPr>
        <w:spacing w:before="0" w:after="0"/>
      </w:pPr>
      <w:r>
        <w:separator/>
      </w:r>
    </w:p>
  </w:endnote>
  <w:endnote w:type="continuationSeparator" w:id="0">
    <w:p w:rsidR="006E7045" w:rsidRDefault="00930F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930F6E">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930F6E">
    <w:pPr>
      <w:pStyle w:val="Footer"/>
      <w:jc w:val="center"/>
    </w:pPr>
    <w:r>
      <w:fldChar w:fldCharType="begin"/>
    </w:r>
    <w:r>
      <w:instrText xml:space="preserve"> PAG</w:instrText>
    </w:r>
    <w:r>
      <w:instrText xml:space="preserve">E   \* MERGEFORMAT </w:instrText>
    </w:r>
    <w:r>
      <w:fldChar w:fldCharType="separate"/>
    </w:r>
    <w:r>
      <w:rPr>
        <w:noProof/>
      </w:rPr>
      <w:t>14</w:t>
    </w:r>
    <w:r>
      <w:rPr>
        <w:noProof/>
      </w:rPr>
      <w:fldChar w:fldCharType="end"/>
    </w:r>
  </w:p>
  <w:p w:rsidR="006E7045" w:rsidRDefault="006E70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45" w:rsidRDefault="00930F6E">
      <w:pPr>
        <w:spacing w:before="0" w:after="0"/>
      </w:pPr>
      <w:r>
        <w:separator/>
      </w:r>
    </w:p>
  </w:footnote>
  <w:footnote w:type="continuationSeparator" w:id="0">
    <w:p w:rsidR="006E7045" w:rsidRDefault="00930F6E">
      <w:pPr>
        <w:spacing w:before="0" w:after="0"/>
      </w:pPr>
      <w:r>
        <w:continuationSeparator/>
      </w:r>
    </w:p>
  </w:footnote>
  <w:footnote w:id="1">
    <w:p w:rsidR="006E7045" w:rsidRDefault="00930F6E">
      <w:pPr>
        <w:pStyle w:val="NormalWeb"/>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 xml:space="preserve">Директива 2006/117/ЕВРАТОМ на Съвета от 20 ноември 2006 г. относно надзор и контрол на превоза на радиоактивни отпадъци и отработено гориво, </w:t>
      </w:r>
      <w:r>
        <w:rPr>
          <w:rStyle w:val="Notedebasdepage"/>
          <w:sz w:val="20"/>
        </w:rPr>
        <w:t>ОВ L 337, 5.12.2006 г., стр. 21—32.</w:t>
      </w:r>
    </w:p>
  </w:footnote>
  <w:footnote w:id="2">
    <w:p w:rsidR="006E7045" w:rsidRDefault="00930F6E">
      <w:pPr>
        <w:pStyle w:val="FootnoteText"/>
      </w:pPr>
      <w:r>
        <w:rPr>
          <w:rStyle w:val="FootnoteReference"/>
        </w:rPr>
        <w:footnoteRef/>
      </w:r>
      <w:r>
        <w:t xml:space="preserve"> </w:t>
      </w:r>
      <w:r>
        <w:tab/>
        <w:t>Директива 2011/70/ЕВРАТОМ на Съвета от 19 </w:t>
      </w:r>
      <w:r>
        <w:t>юли 2011 г. за създаване на рамка на Общността за отговорно и безопасно управление на отработено гориво и радиоактивни отпадъци, ОВ L 199, 2.8.2011 г., стр. 48—56.</w:t>
      </w:r>
    </w:p>
  </w:footnote>
  <w:footnote w:id="3">
    <w:p w:rsidR="006E7045" w:rsidRDefault="00930F6E">
      <w:pPr>
        <w:pStyle w:val="FootnoteText"/>
        <w:ind w:left="709" w:hanging="709"/>
      </w:pPr>
      <w:r>
        <w:rPr>
          <w:rStyle w:val="FootnoteReference"/>
        </w:rPr>
        <w:footnoteRef/>
      </w:r>
      <w:r>
        <w:t xml:space="preserve"> </w:t>
      </w:r>
      <w:r>
        <w:tab/>
        <w:t xml:space="preserve">Доклад на Комисията до Съвета и Европейския парламент относно напредъка в прилагането на </w:t>
      </w:r>
      <w:r>
        <w:t>Директива 2011/70/Евратом на Съвета, инвентар на радиоактивните отпадъци и отработеното гориво на територията на Общността и прогнози за бъдещето, COM(2017)236 final от 15.5.2017 г.</w:t>
      </w:r>
    </w:p>
  </w:footnote>
  <w:footnote w:id="4">
    <w:p w:rsidR="006E7045" w:rsidRDefault="00930F6E">
      <w:pPr>
        <w:pStyle w:val="FootnoteText"/>
      </w:pPr>
      <w:r>
        <w:rPr>
          <w:rStyle w:val="FootnoteReference"/>
        </w:rPr>
        <w:footnoteRef/>
      </w:r>
      <w:r>
        <w:t xml:space="preserve"> </w:t>
      </w:r>
      <w:r>
        <w:tab/>
        <w:t>Белгия, България, Чешката република, Финландия, Франция, Германия, Унга</w:t>
      </w:r>
      <w:r>
        <w:t>рия, Нидерландия, Румъния, Испания, Швеция Словения, Словакия и Обединеното кралство (Литва и Италия са спрели реакторите).</w:t>
      </w:r>
    </w:p>
  </w:footnote>
  <w:footnote w:id="5">
    <w:p w:rsidR="006E7045" w:rsidRDefault="00930F6E">
      <w:pPr>
        <w:pStyle w:val="FootnoteText"/>
      </w:pPr>
      <w:r>
        <w:rPr>
          <w:rStyle w:val="FootnoteReference"/>
        </w:rPr>
        <w:footnoteRef/>
      </w:r>
      <w:r>
        <w:t xml:space="preserve"> </w:t>
      </w:r>
      <w:r>
        <w:tab/>
        <w:t xml:space="preserve">Австрия, Белгия, България, Чешката република, Финландия, Франция, Германия, Дания, Гърция, Унгария, Италия, Латвия, Нидерландия, </w:t>
      </w:r>
      <w:r>
        <w:t>Полша, Португалия, Румъния, Испания, Швеция, Словения и Обединеното кралство.</w:t>
      </w:r>
    </w:p>
  </w:footnote>
  <w:footnote w:id="6">
    <w:p w:rsidR="006E7045" w:rsidRDefault="00930F6E">
      <w:pPr>
        <w:pStyle w:val="FootnoteText"/>
      </w:pPr>
      <w:r>
        <w:rPr>
          <w:rStyle w:val="FootnoteReference"/>
        </w:rPr>
        <w:footnoteRef/>
      </w:r>
      <w:r>
        <w:t xml:space="preserve"> </w:t>
      </w:r>
      <w:r>
        <w:tab/>
        <w:t>Хърватия се присъедини към ЕС на 1 юли 2013 г.</w:t>
      </w:r>
    </w:p>
  </w:footnote>
  <w:footnote w:id="7">
    <w:p w:rsidR="006E7045" w:rsidRDefault="00930F6E">
      <w:pPr>
        <w:pStyle w:val="FootnoteText"/>
      </w:pPr>
      <w:r>
        <w:rPr>
          <w:rStyle w:val="FootnoteReference"/>
        </w:rPr>
        <w:footnoteRef/>
      </w:r>
      <w:r>
        <w:t xml:space="preserve"> </w:t>
      </w:r>
      <w:r>
        <w:tab/>
        <w:t>Дания, Литва и Румъния.</w:t>
      </w:r>
    </w:p>
  </w:footnote>
  <w:footnote w:id="8">
    <w:p w:rsidR="006E7045" w:rsidRDefault="00930F6E">
      <w:pPr>
        <w:pStyle w:val="FootnoteText"/>
      </w:pPr>
      <w:r>
        <w:rPr>
          <w:rStyle w:val="FootnoteReference"/>
        </w:rPr>
        <w:footnoteRef/>
      </w:r>
      <w:r>
        <w:t xml:space="preserve"> </w:t>
      </w:r>
      <w:r>
        <w:tab/>
        <w:t>В рамките на 6 месеца: България, Чешката република, Гърция, Естония, Финландия, Латвия, Люксембург</w:t>
      </w:r>
      <w:r>
        <w:t xml:space="preserve">, Полша, Португалия, Словения, Словакия, Швеция, Обединеното кралство; в рамките на 6—12 месеца: Австрия, Белгия, Хърватия, Кипър, Франция, Германия, Унгария, Ирландия, Малта, Нидерландия и Испания; по-късно от 1 година: Италия. </w:t>
      </w:r>
    </w:p>
  </w:footnote>
  <w:footnote w:id="9">
    <w:p w:rsidR="006E7045" w:rsidRDefault="00930F6E">
      <w:pPr>
        <w:pStyle w:val="FootnoteText"/>
      </w:pPr>
      <w:r>
        <w:rPr>
          <w:rStyle w:val="FootnoteReference"/>
        </w:rPr>
        <w:footnoteRef/>
      </w:r>
      <w:r>
        <w:t xml:space="preserve"> </w:t>
      </w:r>
      <w:r>
        <w:tab/>
      </w:r>
      <w:r>
        <w:rPr>
          <w:rStyle w:val="Corpsdutexte"/>
        </w:rPr>
        <w:t>Консултативният комитет</w:t>
      </w:r>
      <w:r>
        <w:rPr>
          <w:rStyle w:val="Corpsdutexte"/>
        </w:rPr>
        <w:t xml:space="preserve"> беше създаден през 2007 г. съгласно член 21 от Директивата.</w:t>
      </w:r>
    </w:p>
  </w:footnote>
  <w:footnote w:id="10">
    <w:p w:rsidR="006E7045" w:rsidRDefault="00930F6E">
      <w:pPr>
        <w:pStyle w:val="NormalWeb"/>
        <w:tabs>
          <w:tab w:val="left" w:pos="720"/>
        </w:tabs>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COM(2013) 240 final, Доклад на Комисията до Европейския парламент, Съвета и Европейския икономически и социален комитет относно прилагането от държавите членки на Директива 2006/117/ЕВРАТОМ на</w:t>
      </w:r>
      <w:r>
        <w:rPr>
          <w:sz w:val="20"/>
        </w:rPr>
        <w:t xml:space="preserve"> Съвета относно надзор и контрол на превоза на радиоактивни отпадъци и отработено гориво, 25.4.2013 г. и SWD(2013) 150 окончателен.</w:t>
      </w:r>
    </w:p>
  </w:footnote>
  <w:footnote w:id="11">
    <w:p w:rsidR="006E7045" w:rsidRDefault="00930F6E">
      <w:pPr>
        <w:pStyle w:val="FootnoteText"/>
      </w:pPr>
      <w:r>
        <w:rPr>
          <w:rStyle w:val="FootnoteReference"/>
        </w:rPr>
        <w:footnoteRef/>
      </w:r>
      <w:r>
        <w:t xml:space="preserve"> </w:t>
      </w:r>
      <w:r>
        <w:tab/>
      </w:r>
      <w:r>
        <w:rPr>
          <w:rStyle w:val="Notedebasdepage"/>
        </w:rPr>
        <w:t>Единната конвенция влезе в сила на 18 юни 2001 г. Тя се прилага по отношение на отработено гориво и радиоактивни отпадъци</w:t>
      </w:r>
      <w:r>
        <w:rPr>
          <w:rStyle w:val="Notedebasdepage"/>
        </w:rPr>
        <w:t xml:space="preserve"> от цивилни ядрени реактори и приложения и на отработено гориво и радиоактивни отпадъци от военни или отбранителни програми, ако и в случай че такива материали се пренасят за постоянно и се управляват изключително в рамките на програми за граждански цели, </w:t>
      </w:r>
      <w:r>
        <w:rPr>
          <w:rStyle w:val="Notedebasdepage"/>
        </w:rPr>
        <w:t>или когато са декларирани като отработено гориво или радиоактивни отпадъци за целите на Конвенцията от договарящата се страна. Конвенцията се прилага и по отношение на планирано и контролирано изпускане в околната среда на течни или газообразни радиоактивн</w:t>
      </w:r>
      <w:r>
        <w:rPr>
          <w:rStyle w:val="Notedebasdepage"/>
        </w:rPr>
        <w:t>и материали от регламентирани ядрени съоръжения.</w:t>
      </w:r>
    </w:p>
  </w:footnote>
  <w:footnote w:id="12">
    <w:p w:rsidR="006E7045" w:rsidRDefault="00930F6E">
      <w:pPr>
        <w:pStyle w:val="FootnoteText"/>
      </w:pPr>
      <w:r>
        <w:rPr>
          <w:rStyle w:val="FootnoteReference"/>
        </w:rPr>
        <w:footnoteRef/>
      </w:r>
      <w:r>
        <w:t xml:space="preserve"> </w:t>
      </w:r>
      <w:r>
        <w:tab/>
      </w:r>
      <w:r>
        <w:rPr>
          <w:rStyle w:val="Notedebasdepage"/>
        </w:rPr>
        <w:t>Към 26 септември 2016 г. договарящите се страни по Конвенцията са 73 (http://www.iaea.org/Publications/Documents/Conventions/jointconv_status.pdf).</w:t>
      </w:r>
    </w:p>
  </w:footnote>
  <w:footnote w:id="13">
    <w:p w:rsidR="006E7045" w:rsidRDefault="00930F6E">
      <w:pPr>
        <w:pStyle w:val="FootnoteText"/>
      </w:pPr>
      <w:r>
        <w:rPr>
          <w:rStyle w:val="FootnoteReference"/>
        </w:rPr>
        <w:footnoteRef/>
      </w:r>
      <w:r>
        <w:t xml:space="preserve"> </w:t>
      </w:r>
      <w:r>
        <w:tab/>
      </w:r>
      <w:r>
        <w:rPr>
          <w:rStyle w:val="Notedebasdepage"/>
        </w:rPr>
        <w:t>Директива 2013/59/ЕВРАТОМ от 5 декември 2013 г. за оп</w:t>
      </w:r>
      <w:r>
        <w:rPr>
          <w:rStyle w:val="Notedebasdepage"/>
        </w:rPr>
        <w:t>ределяне на основни норми на безопасност за защита срещу опасностите, произтичащи от излагане на йонизиращо лъчение, и за отмяна на директиви 89/618/ЕВРАТОМ, 90/641/ЕВРАТОМ, 96/29/ЕВРАТОМ, 97/43/ЕВРАТОМ и 2003/122/ЕВРАТОМ, ОВ L 13, 17.1.2014 г., стр. 1—73.</w:t>
      </w:r>
    </w:p>
  </w:footnote>
  <w:footnote w:id="14">
    <w:p w:rsidR="006E7045" w:rsidRDefault="00930F6E">
      <w:pPr>
        <w:pStyle w:val="NormalWeb"/>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 xml:space="preserve">Директива 2003/122/ЕВРАТОМ на Съвета от 22 декември 2003 г. относно контрола на високоактивните закрити радиоактивни източници и безстопанствените източници, ОВ L 346, 31.12.2003 г., стр. 57—64. </w:t>
      </w:r>
    </w:p>
  </w:footnote>
  <w:footnote w:id="15">
    <w:p w:rsidR="006E7045" w:rsidRDefault="00930F6E">
      <w:pPr>
        <w:pStyle w:val="FootnoteText"/>
        <w:rPr>
          <w:i/>
        </w:rPr>
      </w:pPr>
      <w:r>
        <w:rPr>
          <w:rStyle w:val="FootnoteReference"/>
        </w:rPr>
        <w:footnoteRef/>
      </w:r>
      <w:r>
        <w:rPr>
          <w:rStyle w:val="Notedebasdepage"/>
        </w:rPr>
        <w:t xml:space="preserve"> </w:t>
      </w:r>
      <w:r>
        <w:tab/>
      </w:r>
      <w:r>
        <w:rPr>
          <w:rStyle w:val="Notedebasdepage"/>
        </w:rPr>
        <w:t xml:space="preserve">Определението за „практика“ в член 4(65) е следното: </w:t>
      </w:r>
      <w:r>
        <w:rPr>
          <w:rStyle w:val="Notedebasdepage"/>
          <w:i/>
        </w:rPr>
        <w:t>„човешка дейност, която може да доведе до увеличаване на облъчването на лица от източник на йонизиращо лъчение и която се управлява като ситуация на планирано облъчване.“</w:t>
      </w:r>
    </w:p>
  </w:footnote>
  <w:footnote w:id="16">
    <w:p w:rsidR="006E7045" w:rsidRDefault="00930F6E">
      <w:pPr>
        <w:pStyle w:val="NormalWeb"/>
        <w:spacing w:before="0" w:beforeAutospacing="0" w:after="0" w:afterAutospacing="0"/>
        <w:ind w:left="720" w:hanging="720"/>
        <w:jc w:val="both"/>
        <w:rPr>
          <w:sz w:val="20"/>
          <w:szCs w:val="20"/>
        </w:rPr>
      </w:pPr>
      <w:r>
        <w:rPr>
          <w:rStyle w:val="FootnoteReference"/>
          <w:sz w:val="20"/>
        </w:rPr>
        <w:footnoteRef/>
      </w:r>
      <w:r>
        <w:rPr>
          <w:sz w:val="20"/>
        </w:rPr>
        <w:t xml:space="preserve"> </w:t>
      </w:r>
      <w:r>
        <w:tab/>
      </w:r>
      <w:r>
        <w:rPr>
          <w:sz w:val="20"/>
        </w:rPr>
        <w:t>Директива 96/29/ЕВРАТОМ на Съвета от 13 май 1996 г. относно постановяване на основ</w:t>
      </w:r>
      <w:r>
        <w:rPr>
          <w:sz w:val="20"/>
        </w:rPr>
        <w:t>ните норми на безопасност за защита на здравето на работниците и населението срещу опасностите, произтичащи от йонизиращото лъчение, ОВ L 159, 29.6.1996 г., стр. 1—114.</w:t>
      </w:r>
    </w:p>
  </w:footnote>
  <w:footnote w:id="17">
    <w:p w:rsidR="006E7045" w:rsidRDefault="00930F6E">
      <w:pPr>
        <w:autoSpaceDE w:val="0"/>
        <w:autoSpaceDN w:val="0"/>
        <w:adjustRightInd w:val="0"/>
        <w:ind w:left="720" w:hanging="720"/>
        <w:rPr>
          <w:bCs/>
          <w:sz w:val="18"/>
          <w:szCs w:val="18"/>
        </w:rPr>
      </w:pPr>
      <w:r>
        <w:rPr>
          <w:rStyle w:val="FootnoteReference"/>
          <w:sz w:val="20"/>
        </w:rPr>
        <w:footnoteRef/>
      </w:r>
      <w:r>
        <w:rPr>
          <w:sz w:val="20"/>
        </w:rPr>
        <w:t xml:space="preserve"> </w:t>
      </w:r>
      <w:r>
        <w:tab/>
      </w:r>
      <w:r>
        <w:rPr>
          <w:sz w:val="20"/>
        </w:rPr>
        <w:t>Препоръка на Комисията от 4 декември 2008 г. относно критериите за износ на радиоакт</w:t>
      </w:r>
      <w:r>
        <w:rPr>
          <w:sz w:val="20"/>
        </w:rPr>
        <w:t>ивни отпадъци и отработено гориво за трети страни (нотифицирано под номер C(2008) 7570) (2008/956/ЕВРАТОМ).</w:t>
      </w:r>
    </w:p>
  </w:footnote>
  <w:footnote w:id="18">
    <w:p w:rsidR="006E7045" w:rsidRDefault="00930F6E">
      <w:pPr>
        <w:autoSpaceDE w:val="0"/>
        <w:autoSpaceDN w:val="0"/>
        <w:adjustRightInd w:val="0"/>
        <w:ind w:left="720" w:hanging="720"/>
      </w:pPr>
      <w:r>
        <w:rPr>
          <w:rStyle w:val="FootnoteReference"/>
        </w:rPr>
        <w:footnoteRef/>
      </w:r>
      <w:r>
        <w:t xml:space="preserve"> </w:t>
      </w:r>
      <w:r>
        <w:tab/>
      </w:r>
      <w:r>
        <w:rPr>
          <w:sz w:val="20"/>
        </w:rPr>
        <w:t>„стопанисващ“ означава физическо или юридическо лице, което преди да осъществи превоз на радиоактивен отпадък или отработено гориво, носи отговор</w:t>
      </w:r>
      <w:r>
        <w:rPr>
          <w:sz w:val="20"/>
        </w:rPr>
        <w:t>ност съгласно действащото национално законодателство за този вид материали и планира да извърши превоз до получателя.</w:t>
      </w:r>
    </w:p>
  </w:footnote>
  <w:footnote w:id="19">
    <w:p w:rsidR="006E7045" w:rsidRDefault="00930F6E">
      <w:pPr>
        <w:pStyle w:val="NormalWeb"/>
        <w:spacing w:before="0" w:beforeAutospacing="0" w:after="0" w:afterAutospacing="0"/>
        <w:ind w:left="720" w:hanging="720"/>
        <w:jc w:val="both"/>
      </w:pPr>
      <w:r>
        <w:rPr>
          <w:rStyle w:val="FootnoteReference"/>
          <w:sz w:val="20"/>
        </w:rPr>
        <w:footnoteRef/>
      </w:r>
      <w:r>
        <w:rPr>
          <w:sz w:val="20"/>
        </w:rPr>
        <w:t xml:space="preserve"> </w:t>
      </w:r>
      <w:r>
        <w:tab/>
      </w:r>
      <w:r>
        <w:rPr>
          <w:sz w:val="20"/>
        </w:rPr>
        <w:t>Решение на Комисията от 5 март 2008 г. за установяване на стандартен документ за надзор и контрол на превоза на радиоактивни отпадъци и</w:t>
      </w:r>
      <w:r>
        <w:rPr>
          <w:sz w:val="20"/>
        </w:rPr>
        <w:t xml:space="preserve"> отработено гориво съгласно Директива 2006/117/ЕВРАТОМ на Съвета (нотифицирано под номер C(2008) 793), (2008/312/ЕВРАТОМ), </w:t>
      </w:r>
      <w:r>
        <w:rPr>
          <w:rStyle w:val="Notedebasdepage"/>
          <w:sz w:val="20"/>
        </w:rPr>
        <w:t>ОВ L 107, 17.4.2008 г., стр. 32—59.</w:t>
      </w:r>
    </w:p>
  </w:footnote>
  <w:footnote w:id="20">
    <w:p w:rsidR="006E7045" w:rsidRDefault="00930F6E">
      <w:pPr>
        <w:pStyle w:val="FootnoteText"/>
        <w:ind w:left="709" w:hanging="709"/>
      </w:pPr>
      <w:r>
        <w:rPr>
          <w:rStyle w:val="FootnoteReference"/>
        </w:rPr>
        <w:footnoteRef/>
      </w:r>
      <w:r>
        <w:t xml:space="preserve"> </w:t>
      </w:r>
      <w:r>
        <w:tab/>
      </w:r>
      <w:r>
        <w:rPr>
          <w:rStyle w:val="Corpsdutexte"/>
        </w:rPr>
        <w:t>В член 5, параграф 13 от Директива 2006/117/ЕВРАТОМ „компетентни органи“ се определя като „орг</w:t>
      </w:r>
      <w:r>
        <w:rPr>
          <w:rStyle w:val="Corpsdutexte"/>
        </w:rPr>
        <w:t xml:space="preserve">ан, който съгласно законодателството или подзаконовите нормативни актове на изпращащата или приемащата страна или страната на транзитно преминаване имат право да прилагат системата за наблюдение и контрол на превоза на радиоактивни отпадъци или отработено </w:t>
      </w:r>
      <w:r>
        <w:rPr>
          <w:rStyle w:val="Corpsdutexte"/>
        </w:rPr>
        <w:t>гориво“.</w:t>
      </w:r>
    </w:p>
  </w:footnote>
  <w:footnote w:id="21">
    <w:p w:rsidR="006E7045" w:rsidRDefault="00930F6E">
      <w:pPr>
        <w:pStyle w:val="NormalWeb"/>
        <w:spacing w:before="0" w:beforeAutospacing="0" w:after="0" w:afterAutospacing="0"/>
        <w:ind w:left="709" w:hanging="709"/>
        <w:jc w:val="both"/>
      </w:pPr>
      <w:r>
        <w:rPr>
          <w:rStyle w:val="FootnoteReference"/>
          <w:sz w:val="20"/>
        </w:rPr>
        <w:footnoteRef/>
      </w:r>
      <w:r>
        <w:rPr>
          <w:sz w:val="20"/>
        </w:rPr>
        <w:t xml:space="preserve"> </w:t>
      </w:r>
      <w:r>
        <w:tab/>
      </w:r>
      <w:r>
        <w:rPr>
          <w:sz w:val="20"/>
        </w:rPr>
        <w:t xml:space="preserve">Препоръка на Комисията от 7 юли 2009 г. за сигурна и ефективна система за предаване на документи и информация, свързани с разпоредбите на Директива 2006/117/ЕВРАТОМ на Съвета, </w:t>
      </w:r>
      <w:r>
        <w:rPr>
          <w:rStyle w:val="Notedebasdepage"/>
          <w:sz w:val="20"/>
        </w:rPr>
        <w:t>ОВ L 177, 8.7.2009 г., стр. 5—6.</w:t>
      </w:r>
    </w:p>
  </w:footnote>
  <w:footnote w:id="22">
    <w:p w:rsidR="006E7045" w:rsidRDefault="00930F6E">
      <w:pPr>
        <w:pStyle w:val="FootnoteText"/>
        <w:ind w:left="709" w:hanging="709"/>
      </w:pPr>
      <w:r>
        <w:rPr>
          <w:rStyle w:val="FootnoteReference"/>
        </w:rPr>
        <w:footnoteRef/>
      </w:r>
      <w:r>
        <w:t xml:space="preserve"> </w:t>
      </w:r>
      <w:r>
        <w:tab/>
      </w:r>
      <w:r>
        <w:rPr>
          <w:sz w:val="19"/>
        </w:rPr>
        <w:t>Въпреки че в Директивата терминът „одобрение“ не се определя, а изрично се посочва само „разрешително“ на изпращащата държава членка, „съгласие“ и „отказ“ на държавата членка на транзитно преминаване и приемащата държава членка, в националните доклади на д</w:t>
      </w:r>
      <w:r>
        <w:rPr>
          <w:sz w:val="19"/>
        </w:rPr>
        <w:t xml:space="preserve">ържавите членки невинаги се прави разграничение между разрешително и съгласие. Поради това, за целите на настоящия доклад на Комисията, терминът „одобрение“ се използва, </w:t>
      </w:r>
      <w:r>
        <w:t>като се имат предвид както „разрешително“, така и „съгласие“.</w:t>
      </w:r>
    </w:p>
  </w:footnote>
  <w:footnote w:id="23">
    <w:p w:rsidR="006E7045" w:rsidRDefault="00930F6E">
      <w:pPr>
        <w:autoSpaceDE w:val="0"/>
        <w:autoSpaceDN w:val="0"/>
        <w:adjustRightInd w:val="0"/>
        <w:ind w:left="709" w:hanging="709"/>
        <w:rPr>
          <w:sz w:val="20"/>
          <w:szCs w:val="20"/>
        </w:rPr>
      </w:pPr>
      <w:r>
        <w:rPr>
          <w:rStyle w:val="FootnoteReference"/>
          <w:sz w:val="20"/>
        </w:rPr>
        <w:footnoteRef/>
      </w:r>
      <w:r>
        <w:rPr>
          <w:sz w:val="20"/>
        </w:rPr>
        <w:t xml:space="preserve"> </w:t>
      </w:r>
      <w:r>
        <w:tab/>
      </w:r>
      <w:r>
        <w:rPr>
          <w:sz w:val="20"/>
        </w:rPr>
        <w:t>Съгласно член 9 не по</w:t>
      </w:r>
      <w:r>
        <w:rPr>
          <w:sz w:val="20"/>
        </w:rPr>
        <w:t>-късно от два месеца от датата на потвърждението за приемане компетентните органи от всички съответни държави членки уведомяват компетентните органи на изпращащата държава членка за своето съгласие или за условията, изпълнението на които считат за необходи</w:t>
      </w:r>
      <w:r>
        <w:rPr>
          <w:sz w:val="20"/>
        </w:rPr>
        <w:t>ми, за да предоставят съгласието си или за отказа си да предоставят съгласие.</w:t>
      </w:r>
    </w:p>
  </w:footnote>
  <w:footnote w:id="24">
    <w:p w:rsidR="006E7045" w:rsidRDefault="00930F6E">
      <w:pPr>
        <w:pStyle w:val="FootnoteText"/>
        <w:ind w:left="709" w:hanging="709"/>
      </w:pPr>
      <w:r>
        <w:rPr>
          <w:rStyle w:val="FootnoteReference"/>
        </w:rPr>
        <w:footnoteRef/>
      </w:r>
      <w:r>
        <w:t xml:space="preserve"> </w:t>
      </w:r>
      <w:r>
        <w:tab/>
        <w:t>Белгия, Германия, Франция, Швеция и Обединеното кралство.</w:t>
      </w:r>
    </w:p>
  </w:footnote>
  <w:footnote w:id="25">
    <w:p w:rsidR="006E7045" w:rsidRDefault="00930F6E">
      <w:pPr>
        <w:pStyle w:val="FootnoteText"/>
      </w:pPr>
      <w:r>
        <w:rPr>
          <w:rStyle w:val="FootnoteReference"/>
        </w:rPr>
        <w:footnoteRef/>
      </w:r>
      <w:r>
        <w:t xml:space="preserve"> </w:t>
      </w:r>
      <w:r>
        <w:tab/>
        <w:t>Австрия, България, Чешката република, Германия, Франция, Унгария, Италия, Полша, Румъния, Швеция и Обединеното кра</w:t>
      </w:r>
      <w:r>
        <w:t xml:space="preserve">лство. </w:t>
      </w:r>
    </w:p>
  </w:footnote>
  <w:footnote w:id="26">
    <w:p w:rsidR="006E7045" w:rsidRDefault="00930F6E">
      <w:pPr>
        <w:pStyle w:val="FootnoteText"/>
      </w:pPr>
      <w:r>
        <w:rPr>
          <w:rStyle w:val="FootnoteReference"/>
        </w:rPr>
        <w:footnoteRef/>
      </w:r>
      <w:r>
        <w:t xml:space="preserve"> </w:t>
      </w:r>
      <w:r>
        <w:tab/>
        <w:t>Вж. член 1, параграф 5 от Директива 2006/117/ЕВРАТОМ.</w:t>
      </w:r>
    </w:p>
  </w:footnote>
  <w:footnote w:id="27">
    <w:p w:rsidR="006E7045" w:rsidRDefault="00930F6E">
      <w:pPr>
        <w:pStyle w:val="NormalWeb"/>
        <w:spacing w:before="0" w:beforeAutospacing="0" w:after="0" w:afterAutospacing="0"/>
        <w:ind w:left="720" w:hanging="720"/>
        <w:jc w:val="both"/>
      </w:pPr>
      <w:r>
        <w:rPr>
          <w:rStyle w:val="FootnoteReference"/>
          <w:sz w:val="20"/>
        </w:rPr>
        <w:footnoteRef/>
      </w:r>
      <w:r>
        <w:rPr>
          <w:sz w:val="20"/>
        </w:rPr>
        <w:t xml:space="preserve"> </w:t>
      </w:r>
      <w:r>
        <w:tab/>
      </w:r>
      <w:r>
        <w:rPr>
          <w:sz w:val="20"/>
        </w:rPr>
        <w:t>Директива 2006/21/ЕО на Европейския парламент и на Съвета от 15 март 2006 г. относно управлението на отпадъците от миннодобивните индустрии и за изменение на Директива 2004/35/ЕО, ОВ L102,</w:t>
      </w:r>
      <w:r>
        <w:rPr>
          <w:sz w:val="20"/>
        </w:rPr>
        <w:t xml:space="preserve"> 11.4.2006 г., стр. 15—33.</w:t>
      </w:r>
    </w:p>
  </w:footnote>
  <w:footnote w:id="28">
    <w:p w:rsidR="006E7045" w:rsidRDefault="00930F6E">
      <w:pPr>
        <w:autoSpaceDE w:val="0"/>
        <w:autoSpaceDN w:val="0"/>
        <w:adjustRightInd w:val="0"/>
        <w:ind w:left="709" w:hanging="709"/>
        <w:rPr>
          <w:sz w:val="20"/>
          <w:szCs w:val="20"/>
        </w:rPr>
      </w:pPr>
      <w:r>
        <w:rPr>
          <w:rStyle w:val="FootnoteReference"/>
          <w:sz w:val="20"/>
        </w:rPr>
        <w:footnoteRef/>
      </w:r>
      <w:r>
        <w:t xml:space="preserve"> </w:t>
      </w:r>
      <w:r>
        <w:tab/>
      </w:r>
      <w:r>
        <w:rPr>
          <w:sz w:val="20"/>
        </w:rPr>
        <w:t>„радиоактивни отпадъци“ означава радиоактивен материал в газообразно, течно или твърдо състояние, за който не се предвижда по-нататъшна употреба от изпращащите и приемащите държави, нито от физическо или юридическо лице, чието</w:t>
      </w:r>
      <w:r>
        <w:rPr>
          <w:sz w:val="20"/>
        </w:rPr>
        <w:t xml:space="preserve"> решение се приема от тези държави, и което се контролира като радиоактивен отпадък от регулаторен орган съгласно законодателната и подзаконова нормативна уредба на изпращащите и приемащите държави (член 5, параграф 1 от Директива 2006/117/ЕВРАТОМ).</w:t>
      </w:r>
    </w:p>
  </w:footnote>
  <w:footnote w:id="29">
    <w:p w:rsidR="006E7045" w:rsidRDefault="00930F6E">
      <w:pPr>
        <w:pStyle w:val="FootnoteText"/>
      </w:pPr>
      <w:r>
        <w:rPr>
          <w:rStyle w:val="FootnoteReference"/>
        </w:rPr>
        <w:footnoteRef/>
      </w:r>
      <w:r>
        <w:t xml:space="preserve"> </w:t>
      </w:r>
      <w:r>
        <w:tab/>
      </w:r>
      <w:r>
        <w:rPr>
          <w:rStyle w:val="Corpsdutexte"/>
        </w:rPr>
        <w:t>Пре</w:t>
      </w:r>
      <w:r>
        <w:rPr>
          <w:rStyle w:val="Corpsdutexte"/>
        </w:rPr>
        <w:t xml:space="preserve">глед на текущото състояние на транспортирането на радиоактивни материали в държавите — членки на ЕС.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45" w:rsidRDefault="006E7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2EE8"/>
    <w:multiLevelType w:val="hybridMultilevel"/>
    <w:tmpl w:val="779E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
    <w:nsid w:val="364530DF"/>
    <w:multiLevelType w:val="hybridMultilevel"/>
    <w:tmpl w:val="10A83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49FD2631"/>
    <w:multiLevelType w:val="hybridMultilevel"/>
    <w:tmpl w:val="31EA4C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71989"/>
    <w:multiLevelType w:val="hybridMultilevel"/>
    <w:tmpl w:val="84C05E4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1">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4">
    <w:nsid w:val="62CE3243"/>
    <w:multiLevelType w:val="multilevel"/>
    <w:tmpl w:val="E1A881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C26F71"/>
    <w:multiLevelType w:val="multilevel"/>
    <w:tmpl w:val="31AE3BB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9"/>
  </w:num>
  <w:num w:numId="2">
    <w:abstractNumId w:val="1"/>
  </w:num>
  <w:num w:numId="3">
    <w:abstractNumId w:val="12"/>
  </w:num>
  <w:num w:numId="4">
    <w:abstractNumId w:val="11"/>
  </w:num>
  <w:num w:numId="5">
    <w:abstractNumId w:val="6"/>
  </w:num>
  <w:num w:numId="6">
    <w:abstractNumId w:val="15"/>
  </w:num>
  <w:num w:numId="7">
    <w:abstractNumId w:val="17"/>
  </w:num>
  <w:num w:numId="8">
    <w:abstractNumId w:val="16"/>
  </w:num>
  <w:num w:numId="9">
    <w:abstractNumId w:val="18"/>
  </w:num>
  <w:num w:numId="10">
    <w:abstractNumId w:val="4"/>
  </w:num>
  <w:num w:numId="11">
    <w:abstractNumId w:val="3"/>
  </w:num>
  <w:num w:numId="12">
    <w:abstractNumId w:val="13"/>
  </w:num>
  <w:num w:numId="13">
    <w:abstractNumId w:val="5"/>
  </w:num>
  <w:num w:numId="14">
    <w:abstractNumId w:val="10"/>
  </w:num>
  <w:num w:numId="15">
    <w:abstractNumId w:val="14"/>
  </w:num>
  <w:num w:numId="16">
    <w:abstractNumId w:val="7"/>
  </w:num>
  <w:num w:numId="17">
    <w:abstractNumId w:val="8"/>
  </w:num>
  <w:num w:numId="18">
    <w:abstractNumId w:val="0"/>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FigNum" w:val="1"/>
    <w:docVar w:name="LW_CORRIGENDUM" w:val="&lt;UNUSED&gt;"/>
    <w:docVar w:name="LW_COVERPAGE_EXISTS" w:val="True"/>
    <w:docVar w:name="LW_COVERPAGE_GUID" w:val="9F81FFF1-6422-46CE-A93F-CAD7EBA07117"/>
    <w:docVar w:name="LW_COVERPAGE_TYPE" w:val="1"/>
    <w:docVar w:name="LW_CROSSREFERENCE" w:val="{SWD(2018) 4 final}"/>
    <w:docVar w:name="LW_DocType" w:val="NORMAL"/>
    <w:docVar w:name="LW_EMISSION" w:val="19.1.2018"/>
    <w:docVar w:name="LW_EMISSION_ISODATE" w:val="2018-01-19"/>
    <w:docVar w:name="LW_EMISSION_LOCATION" w:val="BRX"/>
    <w:docVar w:name="LW_EMISSION_PREFIX" w:val="Брюксел, "/>
    <w:docVar w:name="LW_EMISSION_SUFFIX" w:val="\u1075?."/>
    <w:docVar w:name="LW_ID_DOCTYPE_NONLW" w:val="CP-007"/>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Lucida Sans Unicode Cyr&gt;\u1086?\u1090?\u1085?\u1086?\u1089?\u1085?\u1086? \u1087?\u1088?\u1080?\u1083?\u1072?\u1075?\u1072?\u1085?\u1077?\u1090?\u1086? \u1086?\u1090? \u1076?\u1098?\u1088?\u1078?\u1072?\u1074?\u1080?\u1090?\u1077? \u1095?\u1083?\u1077?\u1085?\u1082?\u1080? \u1085?\u1072? \u1044?\u1080?\u1088?\u1077?\u1082?\u1090?\u1080?\u1074?\u1072?&lt;/FMT&gt;&lt;FMT:Font=Lucida Sans Unicode&gt; &lt;/FMT&gt;&lt;FMT:Font=Lucida Sans Unicode Cyr&gt;2006/117/\u1045?\u1042?\u1056?\u1040?\u1058?\u1054?\u1052? \u1085?\u1072? \u1057?\u1098?\u1074?\u1077?\u1090?\u1072? \u1086?\u1090?\u1085?\u1086?\u1089?\u1085?\u1086? \u1085?\u1072?\u1076?\u1079?\u1086?\u1088? \u1080? \u1082?\u1086?\u1085?\u1090?\u1088?\u1086?\u1083? \u1085?\u1072? \u1087?\u1088?\u1077?\u1074?\u1086?\u1079?\u1072? \u1085?\u1072? \u1088?\u1072?\u1076?\u1080?\u1086?\u1072?\u1082?\u1090?\u1080?\u1074?\u1085?\u1080? \u1086?\u1090?\u1087?\u1072?\u1076?\u1098?\u1094?\u1080? \u1080? \u1086?\u1090?\u1088?\u1072?\u1073?\u1086?\u1090?\u1077?\u1085?\u1086? \u1075?\u1086?\u1088?\u1080?\u1074?\u1086?&lt;/FMT&gt;_x000b_&lt;FMT:Font=Lucida Sans Unicode Cyr&gt;\u1042?\u1090?\u1086?\u1088?\u1080? \u1076?\u1086?\u1082?\u1083?\u1072?\u1076?&lt;/FMT&gt;_x000b_"/>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w:rsids>
    <w:rsidRoot w:val="006E7045"/>
    <w:rsid w:val="006E7045"/>
    <w:rsid w:val="0093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uiPriority w:val="9"/>
    <w:qFormat/>
    <w:pPr>
      <w:keepNext/>
      <w:numPr>
        <w:numId w:val="7"/>
      </w:numPr>
      <w:spacing w:before="360"/>
      <w:outlineLvl w:val="0"/>
    </w:pPr>
    <w:rPr>
      <w:b/>
      <w:bCs/>
      <w:smallCaps/>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spacing w:before="0"/>
      <w:outlineLvl w:val="2"/>
    </w:pPr>
    <w:rPr>
      <w:rFonts w:eastAsia="Calibri"/>
      <w:bCs/>
      <w:i/>
      <w:szCs w:val="26"/>
    </w:rPr>
  </w:style>
  <w:style w:type="paragraph" w:styleId="Heading4">
    <w:name w:val="heading 4"/>
    <w:basedOn w:val="Normal"/>
    <w:next w:val="Normal"/>
    <w:qFormat/>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link w:val="TOC3Char"/>
    <w:uiPriority w:val="39"/>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Notedebasdepage">
    <w:name w:val="Note de bas de page_"/>
    <w:link w:val="Notedebasdepage0"/>
    <w:rPr>
      <w:sz w:val="19"/>
      <w:szCs w:val="19"/>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Exact">
    <w:name w:val="En-tête #1 Exact"/>
    <w:link w:val="En-tte1"/>
    <w:rPr>
      <w:rFonts w:ascii="Arial" w:eastAsia="Arial" w:hAnsi="Arial" w:cs="Arial"/>
      <w:spacing w:val="-6"/>
      <w:sz w:val="45"/>
      <w:szCs w:val="45"/>
      <w:shd w:val="clear" w:color="auto" w:fill="FFFFFF"/>
    </w:rPr>
  </w:style>
  <w:style w:type="character" w:customStyle="1" w:styleId="Corpsdutexte">
    <w:name w:val="Corps du texte_"/>
    <w:link w:val="Corpsdutexte1"/>
    <w:rPr>
      <w:sz w:val="23"/>
      <w:szCs w:val="23"/>
      <w:shd w:val="clear" w:color="auto" w:fill="FFFFFF"/>
    </w:rPr>
  </w:style>
  <w:style w:type="character" w:customStyle="1" w:styleId="Corpsdutexte2">
    <w:name w:val="Corps du texte (2)_"/>
    <w:link w:val="Corpsdutexte21"/>
    <w:rPr>
      <w:sz w:val="23"/>
      <w:szCs w:val="23"/>
      <w:shd w:val="clear" w:color="auto" w:fill="FFFFFF"/>
    </w:rPr>
  </w:style>
  <w:style w:type="character" w:customStyle="1" w:styleId="Corpsdutexte20">
    <w:name w:val="Corps du texte (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Corpsdutexte22">
    <w:name w:val="Corps du texte (2)2"/>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auto"/>
    </w:rPr>
  </w:style>
  <w:style w:type="character" w:customStyle="1" w:styleId="En-tteoupieddepage">
    <w:name w:val="En-tête ou pied de page_"/>
    <w:link w:val="En-tteoupieddepage0"/>
    <w:rPr>
      <w:shd w:val="clear" w:color="auto" w:fill="FFFFFF"/>
    </w:rPr>
  </w:style>
  <w:style w:type="character" w:customStyle="1" w:styleId="En-tteoupieddepageArial">
    <w:name w:val="En-tête ou pied de page + Arial"/>
    <w:aliases w:val="24 pt,Gras"/>
    <w:rPr>
      <w:rFonts w:ascii="Arial" w:eastAsia="Arial" w:hAnsi="Arial" w:cs="Arial"/>
      <w:b/>
      <w:bCs/>
      <w:i w:val="0"/>
      <w:iCs w:val="0"/>
      <w:smallCaps w:val="0"/>
      <w:strike w:val="0"/>
      <w:color w:val="000000"/>
      <w:spacing w:val="0"/>
      <w:w w:val="100"/>
      <w:position w:val="0"/>
      <w:sz w:val="48"/>
      <w:szCs w:val="48"/>
      <w:u w:val="none"/>
      <w:shd w:val="clear" w:color="auto" w:fill="auto"/>
      <w:lang w:val="bg-BG"/>
    </w:rPr>
  </w:style>
  <w:style w:type="character" w:customStyle="1" w:styleId="En-tteoupieddepage11pt">
    <w:name w:val="En-tête ou pied de page + 11 p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style>
  <w:style w:type="character" w:customStyle="1" w:styleId="En-tte2">
    <w:name w:val="En-tête #2_"/>
    <w:link w:val="En-tte20"/>
    <w:rPr>
      <w:sz w:val="27"/>
      <w:szCs w:val="27"/>
      <w:shd w:val="clear" w:color="auto" w:fill="FFFFFF"/>
      <w:lang w:val="bg-BG"/>
    </w:rPr>
  </w:style>
  <w:style w:type="character" w:customStyle="1" w:styleId="TOC3Char">
    <w:name w:val="TOC 3 Char"/>
    <w:link w:val="TOC3"/>
    <w:uiPriority w:val="39"/>
    <w:rPr>
      <w:sz w:val="24"/>
      <w:szCs w:val="24"/>
      <w:lang w:eastAsia="bg-BG"/>
    </w:rPr>
  </w:style>
  <w:style w:type="character" w:customStyle="1" w:styleId="En-tte32">
    <w:name w:val="En-tête #3 (2)_"/>
    <w:link w:val="En-tte320"/>
    <w:rPr>
      <w:sz w:val="23"/>
      <w:szCs w:val="23"/>
      <w:shd w:val="clear" w:color="auto" w:fill="FFFFFF"/>
    </w:rPr>
  </w:style>
  <w:style w:type="character" w:customStyle="1" w:styleId="En-tte32NonPetitesmajuscules">
    <w:name w:val="En-tête #3 (2) + Non Petites majuscules"/>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character" w:customStyle="1" w:styleId="En-tte3">
    <w:name w:val="En-tête #3_"/>
    <w:link w:val="En-tte30"/>
    <w:rPr>
      <w:sz w:val="23"/>
      <w:szCs w:val="23"/>
      <w:shd w:val="clear" w:color="auto" w:fill="FFFFFF"/>
    </w:rPr>
  </w:style>
  <w:style w:type="character" w:customStyle="1" w:styleId="En-tte32NonPetitesmajuscules3">
    <w:name w:val="En-tête #3 (2) + Non Petites majuscules3"/>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character" w:customStyle="1" w:styleId="CorpsdutexteItalique">
    <w:name w:val="Corps du texte + Italiqu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Corpsdutexte0">
    <w:name w:val="Corps du texte"/>
    <w:rPr>
      <w:rFonts w:ascii="Times New Roman" w:eastAsia="Times New Roman" w:hAnsi="Times New Roman" w:cs="Times New Roman"/>
      <w:b w:val="0"/>
      <w:bCs w:val="0"/>
      <w:i w:val="0"/>
      <w:iCs w:val="0"/>
      <w:smallCaps w:val="0"/>
      <w:strike w:val="0"/>
      <w:color w:val="0000FF"/>
      <w:spacing w:val="0"/>
      <w:w w:val="100"/>
      <w:position w:val="0"/>
      <w:sz w:val="23"/>
      <w:szCs w:val="23"/>
      <w:u w:val="single"/>
      <w:shd w:val="clear" w:color="auto" w:fill="auto"/>
      <w:lang w:val="bg-BG"/>
    </w:rPr>
  </w:style>
  <w:style w:type="character" w:customStyle="1" w:styleId="Corpsdutexte30">
    <w:name w:val="Corps du text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bg-BG"/>
    </w:rPr>
  </w:style>
  <w:style w:type="character" w:customStyle="1" w:styleId="CorpsdutexteItalique3">
    <w:name w:val="Corps du texte + Italique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En-tte32NonPetitesmajuscules2">
    <w:name w:val="En-tête #3 (2) + Non Petites majuscules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character" w:customStyle="1" w:styleId="Corpsdutexte23">
    <w:name w:val="Corps du texte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auto"/>
      <w:lang w:val="bg-BG"/>
    </w:rPr>
  </w:style>
  <w:style w:type="character" w:customStyle="1" w:styleId="CorpsdutexteItalique2">
    <w:name w:val="Corps du texte + Italique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CorpsdutexteItalique1">
    <w:name w:val="Corps du texte + Italiqu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auto"/>
      <w:lang w:val="bg-BG"/>
    </w:rPr>
  </w:style>
  <w:style w:type="character" w:customStyle="1" w:styleId="En-tte32NonPetitesmajuscules1">
    <w:name w:val="En-tête #3 (2) + Non Petites majuscules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auto"/>
      <w:lang w:val="bg-BG"/>
    </w:rPr>
  </w:style>
  <w:style w:type="paragraph" w:customStyle="1" w:styleId="Notedebasdepage0">
    <w:name w:val="Note de bas de page"/>
    <w:basedOn w:val="Normal"/>
    <w:link w:val="Notedebasdepage"/>
    <w:pPr>
      <w:widowControl w:val="0"/>
      <w:shd w:val="clear" w:color="auto" w:fill="FFFFFF"/>
      <w:spacing w:before="0" w:after="0" w:line="230" w:lineRule="exact"/>
      <w:ind w:hanging="720"/>
      <w:jc w:val="left"/>
    </w:pPr>
    <w:rPr>
      <w:sz w:val="19"/>
      <w:szCs w:val="19"/>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rPr>
  </w:style>
  <w:style w:type="paragraph" w:customStyle="1" w:styleId="En-tte1">
    <w:name w:val="En-tête #1"/>
    <w:basedOn w:val="Normal"/>
    <w:link w:val="En-tte1Exact"/>
    <w:pPr>
      <w:widowControl w:val="0"/>
      <w:shd w:val="clear" w:color="auto" w:fill="FFFFFF"/>
      <w:spacing w:before="0" w:after="0" w:line="0" w:lineRule="atLeast"/>
      <w:jc w:val="left"/>
      <w:outlineLvl w:val="0"/>
    </w:pPr>
    <w:rPr>
      <w:rFonts w:ascii="Arial" w:eastAsia="Arial" w:hAnsi="Arial" w:cs="Arial"/>
      <w:spacing w:val="-6"/>
      <w:sz w:val="45"/>
      <w:szCs w:val="45"/>
    </w:rPr>
  </w:style>
  <w:style w:type="paragraph" w:customStyle="1" w:styleId="Corpsdutexte1">
    <w:name w:val="Corps du texte1"/>
    <w:basedOn w:val="Normal"/>
    <w:link w:val="Corpsdutexte"/>
    <w:pPr>
      <w:widowControl w:val="0"/>
      <w:shd w:val="clear" w:color="auto" w:fill="FFFFFF"/>
      <w:spacing w:before="0" w:after="1380" w:line="274" w:lineRule="exact"/>
      <w:ind w:hanging="860"/>
      <w:jc w:val="left"/>
    </w:pPr>
    <w:rPr>
      <w:sz w:val="23"/>
      <w:szCs w:val="23"/>
    </w:rPr>
  </w:style>
  <w:style w:type="paragraph" w:customStyle="1" w:styleId="Corpsdutexte21">
    <w:name w:val="Corps du texte (2)1"/>
    <w:basedOn w:val="Normal"/>
    <w:link w:val="Corpsdutexte2"/>
    <w:pPr>
      <w:widowControl w:val="0"/>
      <w:shd w:val="clear" w:color="auto" w:fill="FFFFFF"/>
      <w:spacing w:before="1380" w:after="300" w:line="274" w:lineRule="exact"/>
      <w:jc w:val="center"/>
    </w:pPr>
    <w:rPr>
      <w:sz w:val="23"/>
      <w:szCs w:val="23"/>
    </w:rPr>
  </w:style>
  <w:style w:type="paragraph" w:customStyle="1" w:styleId="En-tteoupieddepage0">
    <w:name w:val="En-tête ou pied de page"/>
    <w:basedOn w:val="Normal"/>
    <w:link w:val="En-tteoupieddepage"/>
    <w:pPr>
      <w:widowControl w:val="0"/>
      <w:shd w:val="clear" w:color="auto" w:fill="FFFFFF"/>
      <w:spacing w:before="0" w:after="0"/>
      <w:jc w:val="left"/>
    </w:pPr>
    <w:rPr>
      <w:sz w:val="20"/>
      <w:szCs w:val="20"/>
    </w:rPr>
  </w:style>
  <w:style w:type="paragraph" w:customStyle="1" w:styleId="En-tte20">
    <w:name w:val="En-tête #2"/>
    <w:basedOn w:val="Normal"/>
    <w:link w:val="En-tte2"/>
    <w:pPr>
      <w:widowControl w:val="0"/>
      <w:shd w:val="clear" w:color="auto" w:fill="FFFFFF"/>
      <w:spacing w:before="0" w:after="300" w:line="0" w:lineRule="atLeast"/>
      <w:jc w:val="center"/>
      <w:outlineLvl w:val="1"/>
    </w:pPr>
    <w:rPr>
      <w:sz w:val="27"/>
      <w:szCs w:val="27"/>
    </w:rPr>
  </w:style>
  <w:style w:type="paragraph" w:customStyle="1" w:styleId="En-tte320">
    <w:name w:val="En-tête #3 (2)"/>
    <w:basedOn w:val="Normal"/>
    <w:link w:val="En-tte32"/>
    <w:pPr>
      <w:widowControl w:val="0"/>
      <w:shd w:val="clear" w:color="auto" w:fill="FFFFFF"/>
      <w:spacing w:before="0" w:after="180" w:line="0" w:lineRule="atLeast"/>
      <w:outlineLvl w:val="2"/>
    </w:pPr>
    <w:rPr>
      <w:sz w:val="23"/>
      <w:szCs w:val="23"/>
    </w:rPr>
  </w:style>
  <w:style w:type="paragraph" w:customStyle="1" w:styleId="En-tte30">
    <w:name w:val="En-tête #3"/>
    <w:basedOn w:val="Normal"/>
    <w:link w:val="En-tte3"/>
    <w:pPr>
      <w:widowControl w:val="0"/>
      <w:shd w:val="clear" w:color="auto" w:fill="FFFFFF"/>
      <w:spacing w:before="60" w:after="180" w:line="0" w:lineRule="atLeast"/>
      <w:outlineLvl w:val="2"/>
    </w:pPr>
    <w:rPr>
      <w:sz w:val="23"/>
      <w:szCs w:val="23"/>
    </w:rPr>
  </w:style>
  <w:style w:type="paragraph" w:styleId="BalloonText">
    <w:name w:val="Balloon Text"/>
    <w:basedOn w:val="Normal"/>
    <w:link w:val="BalloonTextChar"/>
    <w:uiPriority w:val="99"/>
    <w:unhideWhenUsed/>
    <w:pPr>
      <w:widowControl w:val="0"/>
      <w:spacing w:before="0" w:after="0"/>
      <w:jc w:val="left"/>
    </w:pPr>
    <w:rPr>
      <w:rFonts w:ascii="Tahoma" w:hAnsi="Tahoma" w:cs="Tahoma"/>
      <w:color w:val="000000"/>
      <w:sz w:val="16"/>
      <w:szCs w:val="16"/>
    </w:rPr>
  </w:style>
  <w:style w:type="character" w:customStyle="1" w:styleId="BalloonTextChar">
    <w:name w:val="Balloon Text Char"/>
    <w:link w:val="BalloonText"/>
    <w:uiPriority w:val="99"/>
    <w:rPr>
      <w:rFonts w:ascii="Tahoma" w:hAnsi="Tahoma" w:cs="Tahoma"/>
      <w:color w:val="000000"/>
      <w:sz w:val="16"/>
      <w:szCs w:val="16"/>
      <w:shd w:val="clear" w:color="auto" w:fill="auto"/>
    </w:rPr>
  </w:style>
  <w:style w:type="character" w:customStyle="1" w:styleId="FootnoteTextChar">
    <w:name w:val="Footnote Text Char"/>
    <w:link w:val="FootnoteText"/>
    <w:rPr>
      <w:lang w:eastAsia="bg-BG"/>
    </w:rPr>
  </w:style>
  <w:style w:type="paragraph" w:customStyle="1" w:styleId="cell">
    <w:name w:val="cell"/>
    <w:basedOn w:val="Normal"/>
    <w:pPr>
      <w:spacing w:before="60" w:after="60"/>
      <w:jc w:val="center"/>
    </w:pPr>
  </w:style>
  <w:style w:type="character" w:styleId="Hyperlink">
    <w:name w:val="Hyperlink"/>
    <w:uiPriority w:val="99"/>
    <w:unhideWhenUsed/>
    <w:rPr>
      <w:color w:val="0000FF"/>
      <w:u w:val="single"/>
      <w:shd w:val="clear" w:color="auto" w:fill="auto"/>
    </w:rPr>
  </w:style>
  <w:style w:type="character" w:styleId="CommentReference">
    <w:name w:val="annotation reference"/>
    <w:uiPriority w:val="99"/>
    <w:unhideWhenUsed/>
    <w:rPr>
      <w:sz w:val="16"/>
      <w:szCs w:val="16"/>
      <w:shd w:val="clear" w:color="auto" w:fill="auto"/>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link w:val="CommentText"/>
    <w:uiPriority w:val="99"/>
    <w:rPr>
      <w:rFonts w:ascii="Calibri" w:eastAsia="Calibri" w:hAnsi="Calibri"/>
      <w:shd w:val="clear" w:color="auto" w:fill="auto"/>
      <w:lang w:eastAsia="bg-BG"/>
    </w:rPr>
  </w:style>
  <w:style w:type="paragraph" w:styleId="ListParagraph">
    <w:name w:val="List Paragraph"/>
    <w:basedOn w:val="Normal"/>
    <w:uiPriority w:val="34"/>
    <w:qFormat/>
    <w:pPr>
      <w:widowControl w:val="0"/>
      <w:spacing w:before="0" w:after="0"/>
      <w:ind w:left="720"/>
      <w:contextualSpacing/>
      <w:jc w:val="left"/>
    </w:pPr>
    <w:rPr>
      <w:color w:val="000000"/>
    </w:rPr>
  </w:style>
  <w:style w:type="paragraph" w:styleId="CommentSubject">
    <w:name w:val="annotation subject"/>
    <w:basedOn w:val="CommentText"/>
    <w:next w:val="CommentText"/>
    <w:link w:val="CommentSubjectChar"/>
    <w:uiPriority w:val="99"/>
    <w:unhideWhenUsed/>
    <w:pPr>
      <w:widowControl w:val="0"/>
      <w:spacing w:after="0"/>
    </w:pPr>
    <w:rPr>
      <w:rFonts w:ascii="Times New Roman" w:eastAsia="Times New Roman" w:hAnsi="Times New Roman"/>
      <w:b/>
      <w:bCs/>
      <w:color w:val="000000"/>
    </w:rPr>
  </w:style>
  <w:style w:type="character" w:customStyle="1" w:styleId="CommentSubjectChar">
    <w:name w:val="Comment Subject Char"/>
    <w:link w:val="CommentSubject"/>
    <w:uiPriority w:val="99"/>
    <w:rPr>
      <w:rFonts w:ascii="Calibri" w:eastAsia="Calibri" w:hAnsi="Calibri"/>
      <w:b/>
      <w:bCs/>
      <w:color w:val="000000"/>
      <w:shd w:val="clear" w:color="auto" w:fill="auto"/>
      <w:lang w:val="bg-BG" w:eastAsia="bg-BG"/>
    </w:rPr>
  </w:style>
  <w:style w:type="paragraph" w:styleId="Title">
    <w:name w:val="Title"/>
    <w:basedOn w:val="Normal"/>
    <w:next w:val="Normal"/>
    <w:link w:val="TitleChar"/>
    <w:uiPriority w:val="10"/>
    <w:qFormat/>
    <w:pPr>
      <w:widowControl w:val="0"/>
      <w:pBdr>
        <w:bottom w:val="single" w:sz="8" w:space="4" w:color="4F81BD"/>
      </w:pBdr>
      <w:spacing w:before="0" w:after="300"/>
      <w:contextualSpacing/>
      <w:jc w:val="left"/>
    </w:pPr>
    <w:rPr>
      <w:rFonts w:ascii="Cambria" w:hAnsi="Cambria"/>
      <w:color w:val="17365D"/>
      <w:spacing w:val="5"/>
      <w:kern w:val="28"/>
      <w:sz w:val="52"/>
      <w:szCs w:val="52"/>
    </w:rPr>
  </w:style>
  <w:style w:type="character" w:customStyle="1" w:styleId="TitleChar">
    <w:name w:val="Title Char"/>
    <w:link w:val="Title"/>
    <w:uiPriority w:val="10"/>
    <w:rPr>
      <w:rFonts w:ascii="Cambria" w:hAnsi="Cambria"/>
      <w:color w:val="17365D"/>
      <w:spacing w:val="5"/>
      <w:kern w:val="28"/>
      <w:sz w:val="52"/>
      <w:szCs w:val="52"/>
      <w:shd w:val="clear" w:color="auto" w:fill="auto"/>
    </w:rPr>
  </w:style>
  <w:style w:type="character" w:customStyle="1" w:styleId="Heading2Char">
    <w:name w:val="Heading 2 Char"/>
    <w:link w:val="Heading2"/>
    <w:uiPriority w:val="9"/>
    <w:rPr>
      <w:b/>
      <w:bCs/>
      <w:iCs/>
      <w:sz w:val="24"/>
      <w:szCs w:val="28"/>
      <w:lang w:eastAsia="bg-BG"/>
    </w:rPr>
  </w:style>
  <w:style w:type="paragraph" w:styleId="NoSpacing">
    <w:name w:val="No Spacing"/>
    <w:uiPriority w:val="1"/>
    <w:qFormat/>
    <w:pPr>
      <w:widowControl w:val="0"/>
    </w:pPr>
    <w:rPr>
      <w:color w:val="000000"/>
      <w:sz w:val="24"/>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jc w:val="left"/>
    </w:pPr>
  </w:style>
  <w:style w:type="character" w:customStyle="1" w:styleId="HeaderChar">
    <w:name w:val="Header Char"/>
    <w:link w:val="Header"/>
    <w:uiPriority w:val="99"/>
    <w:rPr>
      <w:sz w:val="24"/>
      <w:szCs w:val="24"/>
      <w:lang w:eastAsia="bg-BG"/>
    </w:rPr>
  </w:style>
  <w:style w:type="character" w:customStyle="1" w:styleId="FooterChar">
    <w:name w:val="Footer Char"/>
    <w:link w:val="Footer"/>
    <w:uiPriority w:val="99"/>
    <w:rPr>
      <w:sz w:val="24"/>
      <w:szCs w:val="24"/>
      <w:lang w:eastAsia="bg-BG"/>
    </w:rPr>
  </w:style>
  <w:style w:type="paragraph" w:styleId="Revision">
    <w:name w:val="Revision"/>
    <w:hidden/>
    <w:uiPriority w:val="99"/>
    <w:semiHidden/>
    <w:rPr>
      <w:color w:val="000000"/>
      <w:sz w:val="24"/>
      <w:szCs w:val="24"/>
    </w:rPr>
  </w:style>
  <w:style w:type="character" w:customStyle="1" w:styleId="Heading1Char">
    <w:name w:val="Heading 1 Char"/>
    <w:link w:val="Heading1"/>
    <w:uiPriority w:val="9"/>
    <w:rPr>
      <w:b/>
      <w:bCs/>
      <w:smallCaps/>
      <w:sz w:val="24"/>
      <w:szCs w:val="24"/>
      <w:lang w:val="bg-BG" w:eastAsia="bg-BG"/>
    </w:rPr>
  </w:style>
  <w:style w:type="character" w:customStyle="1" w:styleId="Heading3Char">
    <w:name w:val="Heading 3 Char"/>
    <w:link w:val="Heading3"/>
    <w:uiPriority w:val="9"/>
    <w:rPr>
      <w:rFonts w:eastAsia="Calibri"/>
      <w:bCs/>
      <w:i/>
      <w:sz w:val="24"/>
      <w:szCs w:val="26"/>
      <w:lang w:eastAsia="bg-BG"/>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widowControl w:val="0"/>
      <w:tabs>
        <w:tab w:val="center" w:pos="4535"/>
        <w:tab w:val="right" w:pos="9071"/>
      </w:tabs>
      <w:spacing w:before="0"/>
    </w:pPr>
  </w:style>
  <w:style w:type="character" w:customStyle="1" w:styleId="HeaderCoverPageChar">
    <w:name w:val="Header Cover Page Char"/>
    <w:link w:val="HeaderCoverPage"/>
    <w:rPr>
      <w:sz w:val="24"/>
      <w:szCs w:val="24"/>
    </w:rPr>
  </w:style>
  <w:style w:type="character" w:styleId="PageNumber">
    <w:name w:val="page number"/>
    <w:uiPriority w:val="99"/>
    <w:unhideWhenUsed/>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energy/en/topics/nuclear-energy/radiation-protection/transport-radioactive-material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972D-930D-4260-96F5-DD91882A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28007</CharactersWithSpaces>
  <SharedDoc>false</SharedDoc>
  <HLinks>
    <vt:vector size="78" baseType="variant">
      <vt:variant>
        <vt:i4>5898255</vt:i4>
      </vt:variant>
      <vt:variant>
        <vt:i4>75</vt:i4>
      </vt:variant>
      <vt:variant>
        <vt:i4>0</vt:i4>
      </vt:variant>
      <vt:variant>
        <vt:i4>5</vt:i4>
      </vt:variant>
      <vt:variant>
        <vt:lpwstr>https://ec.europa.eu/energy/en/topics/nuclear-energy/radiation-protection/transport-radioactive-materials</vt:lpwstr>
      </vt:variant>
      <vt:variant>
        <vt:lpwstr/>
      </vt:variant>
      <vt:variant>
        <vt:i4>1769531</vt:i4>
      </vt:variant>
      <vt:variant>
        <vt:i4>68</vt:i4>
      </vt:variant>
      <vt:variant>
        <vt:i4>0</vt:i4>
      </vt:variant>
      <vt:variant>
        <vt:i4>5</vt:i4>
      </vt:variant>
      <vt:variant>
        <vt:lpwstr/>
      </vt:variant>
      <vt:variant>
        <vt:lpwstr>_Toc498070054</vt:lpwstr>
      </vt:variant>
      <vt:variant>
        <vt:i4>1769531</vt:i4>
      </vt:variant>
      <vt:variant>
        <vt:i4>62</vt:i4>
      </vt:variant>
      <vt:variant>
        <vt:i4>0</vt:i4>
      </vt:variant>
      <vt:variant>
        <vt:i4>5</vt:i4>
      </vt:variant>
      <vt:variant>
        <vt:lpwstr/>
      </vt:variant>
      <vt:variant>
        <vt:lpwstr>_Toc498070053</vt:lpwstr>
      </vt:variant>
      <vt:variant>
        <vt:i4>1769531</vt:i4>
      </vt:variant>
      <vt:variant>
        <vt:i4>56</vt:i4>
      </vt:variant>
      <vt:variant>
        <vt:i4>0</vt:i4>
      </vt:variant>
      <vt:variant>
        <vt:i4>5</vt:i4>
      </vt:variant>
      <vt:variant>
        <vt:lpwstr/>
      </vt:variant>
      <vt:variant>
        <vt:lpwstr>_Toc498070052</vt:lpwstr>
      </vt:variant>
      <vt:variant>
        <vt:i4>1769531</vt:i4>
      </vt:variant>
      <vt:variant>
        <vt:i4>50</vt:i4>
      </vt:variant>
      <vt:variant>
        <vt:i4>0</vt:i4>
      </vt:variant>
      <vt:variant>
        <vt:i4>5</vt:i4>
      </vt:variant>
      <vt:variant>
        <vt:lpwstr/>
      </vt:variant>
      <vt:variant>
        <vt:lpwstr>_Toc498070051</vt:lpwstr>
      </vt:variant>
      <vt:variant>
        <vt:i4>1769531</vt:i4>
      </vt:variant>
      <vt:variant>
        <vt:i4>44</vt:i4>
      </vt:variant>
      <vt:variant>
        <vt:i4>0</vt:i4>
      </vt:variant>
      <vt:variant>
        <vt:i4>5</vt:i4>
      </vt:variant>
      <vt:variant>
        <vt:lpwstr/>
      </vt:variant>
      <vt:variant>
        <vt:lpwstr>_Toc498070050</vt:lpwstr>
      </vt:variant>
      <vt:variant>
        <vt:i4>1703995</vt:i4>
      </vt:variant>
      <vt:variant>
        <vt:i4>38</vt:i4>
      </vt:variant>
      <vt:variant>
        <vt:i4>0</vt:i4>
      </vt:variant>
      <vt:variant>
        <vt:i4>5</vt:i4>
      </vt:variant>
      <vt:variant>
        <vt:lpwstr/>
      </vt:variant>
      <vt:variant>
        <vt:lpwstr>_Toc498070049</vt:lpwstr>
      </vt:variant>
      <vt:variant>
        <vt:i4>1703995</vt:i4>
      </vt:variant>
      <vt:variant>
        <vt:i4>32</vt:i4>
      </vt:variant>
      <vt:variant>
        <vt:i4>0</vt:i4>
      </vt:variant>
      <vt:variant>
        <vt:i4>5</vt:i4>
      </vt:variant>
      <vt:variant>
        <vt:lpwstr/>
      </vt:variant>
      <vt:variant>
        <vt:lpwstr>_Toc498070048</vt:lpwstr>
      </vt:variant>
      <vt:variant>
        <vt:i4>1703995</vt:i4>
      </vt:variant>
      <vt:variant>
        <vt:i4>26</vt:i4>
      </vt:variant>
      <vt:variant>
        <vt:i4>0</vt:i4>
      </vt:variant>
      <vt:variant>
        <vt:i4>5</vt:i4>
      </vt:variant>
      <vt:variant>
        <vt:lpwstr/>
      </vt:variant>
      <vt:variant>
        <vt:lpwstr>_Toc498070047</vt:lpwstr>
      </vt:variant>
      <vt:variant>
        <vt:i4>1703995</vt:i4>
      </vt:variant>
      <vt:variant>
        <vt:i4>20</vt:i4>
      </vt:variant>
      <vt:variant>
        <vt:i4>0</vt:i4>
      </vt:variant>
      <vt:variant>
        <vt:i4>5</vt:i4>
      </vt:variant>
      <vt:variant>
        <vt:lpwstr/>
      </vt:variant>
      <vt:variant>
        <vt:lpwstr>_Toc498070046</vt:lpwstr>
      </vt:variant>
      <vt:variant>
        <vt:i4>1703995</vt:i4>
      </vt:variant>
      <vt:variant>
        <vt:i4>14</vt:i4>
      </vt:variant>
      <vt:variant>
        <vt:i4>0</vt:i4>
      </vt:variant>
      <vt:variant>
        <vt:i4>5</vt:i4>
      </vt:variant>
      <vt:variant>
        <vt:lpwstr/>
      </vt:variant>
      <vt:variant>
        <vt:lpwstr>_Toc498070045</vt:lpwstr>
      </vt:variant>
      <vt:variant>
        <vt:i4>1703995</vt:i4>
      </vt:variant>
      <vt:variant>
        <vt:i4>8</vt:i4>
      </vt:variant>
      <vt:variant>
        <vt:i4>0</vt:i4>
      </vt:variant>
      <vt:variant>
        <vt:i4>5</vt:i4>
      </vt:variant>
      <vt:variant>
        <vt:lpwstr/>
      </vt:variant>
      <vt:variant>
        <vt:lpwstr>_Toc498070044</vt:lpwstr>
      </vt:variant>
      <vt:variant>
        <vt:i4>1703995</vt:i4>
      </vt:variant>
      <vt:variant>
        <vt:i4>2</vt:i4>
      </vt:variant>
      <vt:variant>
        <vt:i4>0</vt:i4>
      </vt:variant>
      <vt:variant>
        <vt:i4>5</vt:i4>
      </vt:variant>
      <vt:variant>
        <vt:lpwstr/>
      </vt:variant>
      <vt:variant>
        <vt:lpwstr>_Toc498070043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27</cp:revision>
  <dcterms:created xsi:type="dcterms:W3CDTF">2017-11-14T14:12:00Z</dcterms:created>
  <dcterms:modified xsi:type="dcterms:W3CDTF">2018-01-15T10:50:00Z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