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64" w:rsidRDefault="009D4E6C" w:rsidP="009D4E6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09B75E0A-E4DF-4101-9AE6-863E1C73255C" style="width:450.75pt;height:391.5pt">
            <v:imagedata r:id="rId9" o:title=""/>
          </v:shape>
        </w:pict>
      </w:r>
    </w:p>
    <w:p w:rsidR="00AA4E64" w:rsidRDefault="00AA4E64">
      <w:pPr>
        <w:rPr>
          <w:noProof/>
        </w:rPr>
        <w:sectPr w:rsidR="00AA4E64" w:rsidSect="009D4E6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A4E64" w:rsidRDefault="009D4E6C">
      <w:pPr>
        <w:pStyle w:val="Exposdesmotifstitre"/>
        <w:rPr>
          <w:noProof/>
        </w:rPr>
      </w:pPr>
      <w:bookmarkStart w:id="0" w:name="_GoBack"/>
      <w:bookmarkEnd w:id="0"/>
      <w:r>
        <w:rPr>
          <w:noProof/>
        </w:rPr>
        <w:lastRenderedPageBreak/>
        <w:t>ОБЯСНИТЕЛЕН МЕМОРАНДУМ</w:t>
      </w:r>
    </w:p>
    <w:p w:rsidR="00AA4E64" w:rsidRDefault="009D4E6C">
      <w:pPr>
        <w:pStyle w:val="ManualHeading1"/>
        <w:rPr>
          <w:rFonts w:eastAsia="Calibri"/>
          <w:noProof/>
        </w:rPr>
      </w:pPr>
      <w:r>
        <w:rPr>
          <w:noProof/>
        </w:rPr>
        <w:t>1.</w:t>
      </w:r>
      <w:r>
        <w:rPr>
          <w:noProof/>
        </w:rPr>
        <w:tab/>
        <w:t>КОНТЕКСТ НА ПРЕДЛОЖЕНИЕТО</w:t>
      </w:r>
    </w:p>
    <w:p w:rsidR="00AA4E64" w:rsidRDefault="009D4E6C">
      <w:pPr>
        <w:rPr>
          <w:noProof/>
        </w:rPr>
      </w:pPr>
      <w:r>
        <w:rPr>
          <w:noProof/>
        </w:rPr>
        <w:t>От 70-те години на миналия век въпросите, свързани с експортните кредити, са обект на вниманието на ОИСР, като целта е да се осигури подходяща рамка за надлежното използване на официално подкрепяните експортни кредити и съответно да се способства за осигур</w:t>
      </w:r>
      <w:r>
        <w:rPr>
          <w:noProof/>
        </w:rPr>
        <w:t>яването на условия на равнопоставеност и лоялна конкуренция между износителите в световен мащаб. Основният инструмент, използван в рамките на тези усилия за регулиране на международната търговия, е Споразумението на ОИСР за официално подкрепяните експортни</w:t>
      </w:r>
      <w:r>
        <w:rPr>
          <w:noProof/>
        </w:rPr>
        <w:t xml:space="preserve"> кредити („споразумението“), което представлява джентълменско споразумение между ЕС, САЩ, Канада, Япония, Корея, Норвегия, Швейцария, Нова Зеландия и Австралия. </w:t>
      </w:r>
    </w:p>
    <w:p w:rsidR="00AA4E64" w:rsidRDefault="009D4E6C">
      <w:pPr>
        <w:rPr>
          <w:noProof/>
        </w:rPr>
      </w:pPr>
      <w:r>
        <w:rPr>
          <w:noProof/>
        </w:rPr>
        <w:t>Споразумението подлежи на редовна актуализация, за да се вземат предвид новите моменти от техн</w:t>
      </w:r>
      <w:r>
        <w:rPr>
          <w:noProof/>
        </w:rPr>
        <w:t>ически и политически характер, които засягат експортните кредити в различни сектори. Споразумението бе транспонирано с Регламент (ЕС) № 1233/2011 на Европейския парламент и на Съвета</w:t>
      </w:r>
      <w:r>
        <w:rPr>
          <w:rStyle w:val="FootnoteReference"/>
          <w:noProof/>
        </w:rPr>
        <w:footnoteReference w:id="1"/>
      </w:r>
      <w:r>
        <w:rPr>
          <w:noProof/>
        </w:rPr>
        <w:t xml:space="preserve"> </w:t>
      </w:r>
      <w:r>
        <w:rPr>
          <w:rStyle w:val="FootnoteReference"/>
          <w:noProof/>
        </w:rPr>
        <w:footnoteReference w:id="2"/>
      </w:r>
      <w:r>
        <w:rPr>
          <w:noProof/>
        </w:rPr>
        <w:t xml:space="preserve"> и поради това има задължителна правна сила в ЕС. Неговите актуализации</w:t>
      </w:r>
      <w:r>
        <w:rPr>
          <w:noProof/>
        </w:rPr>
        <w:t>, включително и сегашната, стават неразделна част от законодателството на ЕС посредством приемането на делегирани актове съгласно член 2 от посочения регламент.</w:t>
      </w:r>
    </w:p>
    <w:p w:rsidR="00AA4E64" w:rsidRDefault="009D4E6C">
      <w:pPr>
        <w:rPr>
          <w:noProof/>
        </w:rPr>
      </w:pPr>
      <w:r>
        <w:rPr>
          <w:noProof/>
        </w:rPr>
        <w:t>В момента е в процес на обсъждане актуализация, чиято главна цел е въвеждането сред участниците</w:t>
      </w:r>
      <w:r>
        <w:rPr>
          <w:noProof/>
        </w:rPr>
        <w:t xml:space="preserve"> на финансова дисциплина по отношение на експортните кредити за въглищни електроцентрали. Очаква се въпросните правила за финансовата дисциплина да насърчат онези експортни сделки, които в по-голяма степен щадят климата и се вписват изцяло в политиката на </w:t>
      </w:r>
      <w:r>
        <w:rPr>
          <w:noProof/>
        </w:rPr>
        <w:t>ЕС за борба с изменението на климата. На заседанието си в Париж, проведено на 6 и 7 май 2014 г., Съветът на ОИСР прие „Декларацията на министрите от ОИСР от 2014 г. относно изменението на климата“, в която наред с другите мерки за борба с изменението на кл</w:t>
      </w:r>
      <w:r>
        <w:rPr>
          <w:noProof/>
        </w:rPr>
        <w:t xml:space="preserve">имата, се препоръчва </w:t>
      </w:r>
    </w:p>
    <w:p w:rsidR="00AA4E64" w:rsidRDefault="009D4E6C">
      <w:pPr>
        <w:rPr>
          <w:i/>
          <w:noProof/>
        </w:rPr>
      </w:pPr>
      <w:r>
        <w:rPr>
          <w:i/>
          <w:noProof/>
        </w:rPr>
        <w:t>„да продължи обсъждането на въпроса по какъв начин експортните кредити могат да допринесат за общата ни цел за борба с изменението на климата“.</w:t>
      </w:r>
    </w:p>
    <w:p w:rsidR="00AA4E64" w:rsidRDefault="009D4E6C">
      <w:pPr>
        <w:rPr>
          <w:noProof/>
        </w:rPr>
      </w:pPr>
      <w:r>
        <w:rPr>
          <w:noProof/>
        </w:rPr>
        <w:t>В системата на ОИСР съществуват два комитета по въпросите на експортните кредити: 1. „</w:t>
      </w:r>
      <w:r>
        <w:rPr>
          <w:i/>
          <w:noProof/>
        </w:rPr>
        <w:t>Рабо</w:t>
      </w:r>
      <w:r>
        <w:rPr>
          <w:i/>
          <w:noProof/>
        </w:rPr>
        <w:t>тната група за експортни кредити и кредитни гаранции</w:t>
      </w:r>
      <w:r>
        <w:rPr>
          <w:noProof/>
        </w:rPr>
        <w:t>“, която се занимава с препоръките на ОИСР относно експортните кредити и за общи подходи към надлежните екологични и социални проверки, корупцията и устойчивото кредитиране; 2. „</w:t>
      </w:r>
      <w:r>
        <w:rPr>
          <w:i/>
          <w:noProof/>
        </w:rPr>
        <w:t>Участниците в Споразумение</w:t>
      </w:r>
      <w:r>
        <w:rPr>
          <w:i/>
          <w:noProof/>
        </w:rPr>
        <w:t>то за официално подкрепяните експортни кредити</w:t>
      </w:r>
      <w:r>
        <w:rPr>
          <w:noProof/>
        </w:rPr>
        <w:t>“, към чиито отговорности спада обсъждането на измененията в споразумението на ОИСР. В момента предмет на усилено обсъждане са експортните кредити във връзка с изменението на климата, и по-специално експортните</w:t>
      </w:r>
      <w:r>
        <w:rPr>
          <w:noProof/>
        </w:rPr>
        <w:t xml:space="preserve"> кредити за въглищни електроцентрали. След проведеното през юни 2014 г. 135-о заседание на работната група за експортни кредити председателят на работната група излезе със заключения, които включват „</w:t>
      </w:r>
      <w:r>
        <w:rPr>
          <w:i/>
          <w:noProof/>
        </w:rPr>
        <w:t>Рамка на председателя във връзка с експортните кредити и</w:t>
      </w:r>
      <w:r>
        <w:rPr>
          <w:i/>
          <w:noProof/>
        </w:rPr>
        <w:t xml:space="preserve"> изменението на климата</w:t>
      </w:r>
      <w:r>
        <w:rPr>
          <w:noProof/>
        </w:rPr>
        <w:t>“, чиято цел е „</w:t>
      </w:r>
      <w:r>
        <w:rPr>
          <w:i/>
          <w:noProof/>
        </w:rPr>
        <w:t xml:space="preserve">комитетите по въпросите на експортните кредити да постигнат общо съгласие по набор от мерки, насърчаващи и подкрепящи щадящите климата износни сделки, включително най-добрите налични технологии. </w:t>
      </w:r>
      <w:r>
        <w:rPr>
          <w:i/>
          <w:noProof/>
        </w:rPr>
        <w:lastRenderedPageBreak/>
        <w:t xml:space="preserve">Въпросната рамка може </w:t>
      </w:r>
      <w:r>
        <w:rPr>
          <w:i/>
          <w:noProof/>
        </w:rPr>
        <w:t xml:space="preserve">в това отношение да включва както стимулите, така и условията за подкрепа“. </w:t>
      </w:r>
      <w:r>
        <w:rPr>
          <w:noProof/>
        </w:rPr>
        <w:t>На този въпрос е отредено приоритетно място в дневния ред на заседанията на комитетите по въпросите на експортните кредити през 2014 и 2015 година. Настоящото предложение за решени</w:t>
      </w:r>
      <w:r>
        <w:rPr>
          <w:noProof/>
        </w:rPr>
        <w:t>е се отнася само до измененията в споразумението на ОИСР (одобрени от „участниците“), а не до евентуалните изменения в „общите подходи по отношение на околната среда“ (тъй като последните не са задължителни по силата на законодателството на ЕС и поради тов</w:t>
      </w:r>
      <w:r>
        <w:rPr>
          <w:noProof/>
        </w:rPr>
        <w:t xml:space="preserve">а не попадат в приложното поле на настоящото решение).След задълбочено обсъждане в рамките на комитетите на ОИСР по въпросите на експортните кредити, на 7 април 2015 г. на вниманието на членовете на работната група за експортни кредити и кредитни гаранции </w:t>
      </w:r>
      <w:r>
        <w:rPr>
          <w:noProof/>
        </w:rPr>
        <w:t>и на участниците в Споразумението за официално подкрепяните експортни кредити бе изпратено „Преработено предложение на председателя за споразумение относно експортните кредити и изменението на климата“ (вж. документ TAD/XCR(2015)1/PROV на ОИСР, приложен къ</w:t>
      </w:r>
      <w:r>
        <w:rPr>
          <w:noProof/>
        </w:rPr>
        <w:t>м настоящото решение), което да бъде обсъдено на заседанията им, насрочени за 9—12 юни 2015 г.</w:t>
      </w:r>
    </w:p>
    <w:p w:rsidR="00AA4E64" w:rsidRDefault="009D4E6C">
      <w:pPr>
        <w:rPr>
          <w:noProof/>
        </w:rPr>
      </w:pPr>
      <w:r>
        <w:rPr>
          <w:noProof/>
        </w:rPr>
        <w:t>Европейският съюз е много активен член на комитетите на ОИСР по въпросите на експортните кредити и е сред участниците в Споразумението на ОИСР за официално подкр</w:t>
      </w:r>
      <w:r>
        <w:rPr>
          <w:noProof/>
        </w:rPr>
        <w:t xml:space="preserve">епяните експортни кредити („споразумението“) от полагането на неговите основи през 70-те години на миналия век. Споразумението си остава и до днес най-важният набор от международни правила относно експортните кредити. Приблизително две трети от субектите, </w:t>
      </w:r>
      <w:r>
        <w:rPr>
          <w:noProof/>
        </w:rPr>
        <w:t>предоставящи експортни кредити в рамките на ОИСР, са от Европейския съюз.</w:t>
      </w:r>
    </w:p>
    <w:p w:rsidR="00AA4E64" w:rsidRDefault="009D4E6C">
      <w:pPr>
        <w:rPr>
          <w:noProof/>
        </w:rPr>
      </w:pPr>
      <w:r>
        <w:rPr>
          <w:noProof/>
        </w:rPr>
        <w:t>Описаните по-горе инициативи в рамките на ОИСР във връзка с експортните кредити са напълно в съответствие с приоритетите на политиката на ЕС. Преработеното предложение на председател</w:t>
      </w:r>
      <w:r>
        <w:rPr>
          <w:noProof/>
        </w:rPr>
        <w:t>я ще играе ключова роля в продължаващите обсъждания на равнището на ОИСР и представлява основа за възможно изменение на споразумението на ОИСР по отношение на въглищните електроцентрали. Упражняваният политически натиск за своевременното приключване на тоз</w:t>
      </w:r>
      <w:r>
        <w:rPr>
          <w:noProof/>
        </w:rPr>
        <w:t>и процес преди 21-ата конференция на страните по Рамковата конвенция на Обединените нации по изменение на климата (Париж, 30 ноември — 12 декември 2015 г.) ще се засили през идните месеци.</w:t>
      </w:r>
    </w:p>
    <w:p w:rsidR="00AA4E64" w:rsidRDefault="009D4E6C">
      <w:pPr>
        <w:rPr>
          <w:noProof/>
        </w:rPr>
      </w:pPr>
      <w:r>
        <w:rPr>
          <w:noProof/>
        </w:rPr>
        <w:t>Комитетите на ОИСР по въпросите на експортните кредити ще бъдат при</w:t>
      </w:r>
      <w:r>
        <w:rPr>
          <w:noProof/>
        </w:rPr>
        <w:t>канени да приемат изменения в споразумението на ОИСР по време на една от следващите си сесии (по време на специална сесия през септември 2015 г. или на друго заседание през есента на 2015 г.). Поради това е от съществено значение по време на посочените по</w:t>
      </w:r>
      <w:r>
        <w:rPr>
          <w:noProof/>
        </w:rPr>
        <w:noBreakHyphen/>
      </w:r>
      <w:r>
        <w:rPr>
          <w:noProof/>
        </w:rPr>
        <w:t xml:space="preserve">горе предстоящи заседания на ОИСР Европейският съюз да излезе със своя позиция по предложението на председателя и по измененията в споразумението на ОИСР в светлината на предложението на председателя. </w:t>
      </w:r>
    </w:p>
    <w:p w:rsidR="00AA4E64" w:rsidRDefault="009D4E6C">
      <w:pPr>
        <w:pStyle w:val="ManualHeading1"/>
        <w:rPr>
          <w:noProof/>
        </w:rPr>
      </w:pPr>
      <w:r>
        <w:rPr>
          <w:noProof/>
        </w:rPr>
        <w:t>2.</w:t>
      </w:r>
      <w:r>
        <w:rPr>
          <w:noProof/>
        </w:rPr>
        <w:tab/>
        <w:t>ПРАВНО ОСНОВАНИЕ, СУБСИДИАРНОСТ И ПРОПОРЦИОНАЛНОСТ</w:t>
      </w:r>
    </w:p>
    <w:p w:rsidR="00AA4E64" w:rsidRDefault="009D4E6C">
      <w:pPr>
        <w:rPr>
          <w:noProof/>
        </w:rPr>
      </w:pPr>
      <w:r>
        <w:rPr>
          <w:noProof/>
        </w:rPr>
        <w:t xml:space="preserve">Споразумението на ОИСР е джентълменско споразумение между ЕС и 8 други участници (САЩ, Канада, Япония, Корея, Норвегия, Швейцария, Нова Зеландия и Австралия). Споразумението и неговите последователни изменения са неразделна част от законодателството на ЕС </w:t>
      </w:r>
      <w:r>
        <w:rPr>
          <w:noProof/>
        </w:rPr>
        <w:t>по силата на членове 1 и 2 от Регламент (ЕС) № 1233/2011 на Европейския парламент и на Съвета. Регламент (ЕС) № 1233/2011 гласи, че „Комисията приема делегирани актове в съответствие с член 3 за изменение на приложение II в резултат на измененията на насок</w:t>
      </w:r>
      <w:r>
        <w:rPr>
          <w:noProof/>
        </w:rPr>
        <w:t>ите, договорени от участниците в споразумението“. По този начин споразумението и измененията в него пораждат правно действие по смисъла на член 218, параграф 9 от ДФЕС</w:t>
      </w:r>
      <w:r>
        <w:rPr>
          <w:rStyle w:val="FootnoteReference"/>
          <w:noProof/>
        </w:rPr>
        <w:footnoteReference w:id="3"/>
      </w:r>
      <w:r>
        <w:rPr>
          <w:noProof/>
        </w:rPr>
        <w:t xml:space="preserve">. По същество, в съответствие с предвиденото в параграф 1, целта на споразумението е да </w:t>
      </w:r>
      <w:r>
        <w:rPr>
          <w:noProof/>
        </w:rPr>
        <w:t>се осигури подходяща рамка за надлежното използване на официално подкрепяните експортни кредити и съответно да се способства за осигуряването на условия на равнопоставеност и лоялна конкуренция между износителите в световен мащаб, и по този начин да се уле</w:t>
      </w:r>
      <w:r>
        <w:rPr>
          <w:noProof/>
        </w:rPr>
        <w:t>сни и регламентира международната търговия, и по-специално експортната политика, по смисъла на член 207 от ДФЕС. Поради гореизложените причини е необходимо на основание член 207 и член 218, параграф 9 от ДФЕС Съветът да приеме решение, с което да се опреде</w:t>
      </w:r>
      <w:r>
        <w:rPr>
          <w:noProof/>
        </w:rPr>
        <w:t xml:space="preserve">ли позицията, която да се заеме от името на Европейския съюз в рамките на комитетите на ОИСР по въпросите на експортните кредити. </w:t>
      </w:r>
    </w:p>
    <w:p w:rsidR="00AA4E64" w:rsidRDefault="009D4E6C">
      <w:pPr>
        <w:rPr>
          <w:noProof/>
        </w:rPr>
      </w:pPr>
      <w:r>
        <w:rPr>
          <w:noProof/>
        </w:rPr>
        <w:t>От формална гледна точка текстът на председателя, доколкото се отнася до споразумението, следва да бъде представен под формат</w:t>
      </w:r>
      <w:r>
        <w:rPr>
          <w:noProof/>
        </w:rPr>
        <w:t>а на поредица от предложени изменения в споразумението.</w:t>
      </w:r>
    </w:p>
    <w:p w:rsidR="00AA4E64" w:rsidRDefault="009D4E6C">
      <w:pPr>
        <w:pStyle w:val="ManualHeading1"/>
        <w:rPr>
          <w:rFonts w:eastAsia="Calibri"/>
          <w:smallCaps w:val="0"/>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AA4E64" w:rsidRDefault="009D4E6C">
      <w:pPr>
        <w:keepNext/>
        <w:tabs>
          <w:tab w:val="left" w:pos="850"/>
        </w:tabs>
        <w:spacing w:before="360"/>
        <w:outlineLvl w:val="0"/>
        <w:rPr>
          <w:noProof/>
        </w:rPr>
      </w:pPr>
      <w:r>
        <w:rPr>
          <w:noProof/>
        </w:rPr>
        <w:t>Не е правена оценка на въздействието във връзка с настоящото предложение, тъй като предлаганите и</w:t>
      </w:r>
      <w:r>
        <w:rPr>
          <w:noProof/>
        </w:rPr>
        <w:t>зменения се вписват в дългогодишната политика на ЕС в областта на експортните кредити и се транспонират, след изменение на споразумението, в законодателството на ЕС с делегиран акт.</w:t>
      </w:r>
    </w:p>
    <w:p w:rsidR="00AA4E64" w:rsidRDefault="009D4E6C">
      <w:pPr>
        <w:pStyle w:val="ManualHeading1"/>
        <w:rPr>
          <w:rFonts w:eastAsia="Calibri"/>
          <w:smallCaps w:val="0"/>
          <w:noProof/>
        </w:rPr>
      </w:pPr>
      <w:r>
        <w:rPr>
          <w:noProof/>
        </w:rPr>
        <w:t>4.</w:t>
      </w:r>
      <w:r>
        <w:rPr>
          <w:noProof/>
        </w:rPr>
        <w:tab/>
        <w:t>ОТРАЖЕНИЕ ВЪРХУ БЮДЖЕТА</w:t>
      </w:r>
    </w:p>
    <w:p w:rsidR="00AA4E64" w:rsidRDefault="009D4E6C">
      <w:pPr>
        <w:keepNext/>
        <w:tabs>
          <w:tab w:val="left" w:pos="850"/>
        </w:tabs>
        <w:spacing w:before="360"/>
        <w:outlineLvl w:val="0"/>
        <w:rPr>
          <w:noProof/>
        </w:rPr>
      </w:pPr>
      <w:r>
        <w:rPr>
          <w:noProof/>
        </w:rPr>
        <w:t>Отражението върху бюджета се свежда до админист</w:t>
      </w:r>
      <w:r>
        <w:rPr>
          <w:noProof/>
        </w:rPr>
        <w:t>ративните разходи.</w:t>
      </w:r>
    </w:p>
    <w:p w:rsidR="00AA4E64" w:rsidRDefault="009D4E6C">
      <w:pPr>
        <w:pStyle w:val="ManualHeading1"/>
        <w:rPr>
          <w:rFonts w:eastAsia="Calibri"/>
          <w:smallCaps w:val="0"/>
          <w:noProof/>
        </w:rPr>
      </w:pPr>
      <w:r>
        <w:rPr>
          <w:noProof/>
        </w:rPr>
        <w:t>5.</w:t>
      </w:r>
      <w:r>
        <w:rPr>
          <w:noProof/>
        </w:rPr>
        <w:tab/>
        <w:t>ДРУГИ ЕЛЕМЕНТИ</w:t>
      </w:r>
    </w:p>
    <w:p w:rsidR="00AA4E64" w:rsidRDefault="009D4E6C">
      <w:pPr>
        <w:pStyle w:val="Text1"/>
        <w:rPr>
          <w:rFonts w:eastAsia="Arial Unicode MS"/>
          <w:b/>
          <w:noProof/>
          <w:u w:color="000000"/>
          <w:bdr w:val="nil"/>
        </w:rPr>
      </w:pPr>
      <w:r>
        <w:rPr>
          <w:b/>
          <w:noProof/>
        </w:rPr>
        <w:t>ПОДРОБНО РАЗЯСНЕНИЕ НА СПЕЦИАЛНИТЕ РАЗПОРЕДБИ НА ПРЕДЛОЖЕНИЕТО — ОБОБЩЕНИЕ НА ПРЕДЛОЖЕНИТЕ ИЗМЕНЕНИЯ В СПОРАЗУМЕНИЕТО НА ОИСР И ПРЕПОРЪЧАНА ПОЗИЦИЯ НА ЕВРОПЕЙСКИЯ СЪЮЗ</w:t>
      </w:r>
    </w:p>
    <w:p w:rsidR="00AA4E64" w:rsidRDefault="009D4E6C">
      <w:pPr>
        <w:rPr>
          <w:noProof/>
        </w:rPr>
      </w:pPr>
      <w:r>
        <w:rPr>
          <w:noProof/>
        </w:rPr>
        <w:t xml:space="preserve">В компромисното предложение на председателя не са </w:t>
      </w:r>
      <w:r>
        <w:rPr>
          <w:noProof/>
        </w:rPr>
        <w:t>изрично уточнени измененията в споразумението, които визира неговият текст. При все това, те могат да бъдат обобщени, както следва:</w:t>
      </w:r>
    </w:p>
    <w:p w:rsidR="00AA4E64" w:rsidRDefault="009D4E6C">
      <w:pPr>
        <w:pStyle w:val="Tiret0"/>
        <w:numPr>
          <w:ilvl w:val="0"/>
          <w:numId w:val="10"/>
        </w:numPr>
        <w:rPr>
          <w:i/>
          <w:noProof/>
        </w:rPr>
      </w:pPr>
      <w:r>
        <w:rPr>
          <w:i/>
          <w:noProof/>
        </w:rPr>
        <w:t>Подкрепа за износа на нови въглищни електроцентрали в държавите с висок доход може да се предоставя само за централи с дейст</w:t>
      </w:r>
      <w:r>
        <w:rPr>
          <w:i/>
          <w:noProof/>
        </w:rPr>
        <w:t>ваща технология за улавяне и съхранение на въглероден диоксид (т.е. проекти, отговарящи на условията за финансиране съгласно вече съществуващата отраслова договореност на ОИСР за експортните кредити по проекти в областта на възобновяемите източници на енер</w:t>
      </w:r>
      <w:r>
        <w:rPr>
          <w:i/>
          <w:noProof/>
        </w:rPr>
        <w:t>гия, смекчаването на последиците от изменението на климата и адаптацията към него, и водните ресурси).</w:t>
      </w:r>
    </w:p>
    <w:p w:rsidR="00AA4E64" w:rsidRDefault="009D4E6C">
      <w:pPr>
        <w:pStyle w:val="Tiret0"/>
        <w:rPr>
          <w:i/>
          <w:noProof/>
        </w:rPr>
      </w:pPr>
      <w:r>
        <w:rPr>
          <w:i/>
          <w:noProof/>
        </w:rPr>
        <w:t xml:space="preserve">Не е възможно предоставянето на подкрепа за нови въглищни електроцентрали с технология за подкритични параметри на парата (т.е. с налягане под 221 бара) </w:t>
      </w:r>
      <w:r>
        <w:rPr>
          <w:i/>
          <w:noProof/>
        </w:rPr>
        <w:t>в държавите с висок доход.</w:t>
      </w:r>
    </w:p>
    <w:p w:rsidR="00AA4E64" w:rsidRDefault="009D4E6C">
      <w:pPr>
        <w:pStyle w:val="Tiret0"/>
        <w:rPr>
          <w:i/>
          <w:noProof/>
        </w:rPr>
      </w:pPr>
      <w:r>
        <w:rPr>
          <w:i/>
          <w:noProof/>
        </w:rPr>
        <w:t xml:space="preserve">Във всички други държави: </w:t>
      </w:r>
    </w:p>
    <w:p w:rsidR="00AA4E64" w:rsidRDefault="009D4E6C">
      <w:pPr>
        <w:pStyle w:val="Text2"/>
        <w:rPr>
          <w:i/>
          <w:noProof/>
        </w:rPr>
      </w:pPr>
      <w:r>
        <w:rPr>
          <w:i/>
          <w:noProof/>
        </w:rPr>
        <w:t>за нови въглищни електроцентрали с технология за свръхкритични и още по-високи параметри на парата (т.е. налягане над 221 бара и температура на парата 550 градуса по Целзий) максималният срок за погасяв</w:t>
      </w:r>
      <w:r>
        <w:rPr>
          <w:i/>
          <w:noProof/>
        </w:rPr>
        <w:t>ане е 12 години;</w:t>
      </w:r>
    </w:p>
    <w:p w:rsidR="00AA4E64" w:rsidRDefault="009D4E6C">
      <w:pPr>
        <w:pStyle w:val="Text2"/>
        <w:rPr>
          <w:i/>
          <w:noProof/>
        </w:rPr>
      </w:pPr>
      <w:r>
        <w:rPr>
          <w:i/>
          <w:noProof/>
        </w:rPr>
        <w:t>за нови въглищни електроцентрали с технология за подкритични параметри на парата не би трябвало да се предоставя подкрепа за експортни кредити, освен ако тези централи са с действаща технология за улавяне и съхранение на въглероден диоксид</w:t>
      </w:r>
      <w:r>
        <w:rPr>
          <w:i/>
          <w:noProof/>
        </w:rPr>
        <w:t xml:space="preserve"> или ако по друг начин попадат в обхвата на съществуващата отраслова договореност на ОИСР във връзка с изменението на климата;</w:t>
      </w:r>
    </w:p>
    <w:p w:rsidR="00AA4E64" w:rsidRDefault="009D4E6C">
      <w:pPr>
        <w:pStyle w:val="Text2"/>
        <w:rPr>
          <w:i/>
          <w:noProof/>
        </w:rPr>
      </w:pPr>
      <w:r>
        <w:rPr>
          <w:i/>
          <w:noProof/>
        </w:rPr>
        <w:t>в случай на малки проекти (с инсталирана мощност до 300 MW</w:t>
      </w:r>
      <w:r>
        <w:rPr>
          <w:i/>
          <w:noProof/>
          <w:vertAlign w:val="subscript"/>
        </w:rPr>
        <w:t>ел.</w:t>
      </w:r>
      <w:r>
        <w:rPr>
          <w:i/>
          <w:noProof/>
        </w:rPr>
        <w:t xml:space="preserve">  включително) обаче новите въглищни електроцентрали ще могат да пол</w:t>
      </w:r>
      <w:r>
        <w:rPr>
          <w:i/>
          <w:noProof/>
        </w:rPr>
        <w:t>учат подкрепа за експортни кредити, дори ако са с технология за подкритични параметри на парата, като максималният срок за погасяване в подобни случаи е 10 години.</w:t>
      </w:r>
    </w:p>
    <w:p w:rsidR="00AA4E64" w:rsidRDefault="009D4E6C">
      <w:pPr>
        <w:pStyle w:val="Tiret0"/>
        <w:rPr>
          <w:i/>
          <w:noProof/>
        </w:rPr>
      </w:pPr>
      <w:r>
        <w:rPr>
          <w:i/>
          <w:noProof/>
        </w:rPr>
        <w:t>По отношение на съществуващите въглищни електроцентрали, включително тяхната реконструкция и</w:t>
      </w:r>
      <w:r>
        <w:rPr>
          <w:i/>
          <w:noProof/>
        </w:rPr>
        <w:t xml:space="preserve"> модернизация, се прилагат стандартните условия за финансиране, предвидени в споразумението (максималният срок за погасяване за държавите от ОИСР с висок доход е 5 — а в някои случаи и 8,5 — години и 10 години — за всички други държави). </w:t>
      </w:r>
    </w:p>
    <w:p w:rsidR="00AA4E64" w:rsidRDefault="009D4E6C">
      <w:pPr>
        <w:pStyle w:val="Tiret0"/>
        <w:rPr>
          <w:noProof/>
        </w:rPr>
      </w:pPr>
      <w:r>
        <w:rPr>
          <w:i/>
          <w:noProof/>
        </w:rPr>
        <w:t>Две години след н</w:t>
      </w:r>
      <w:r>
        <w:rPr>
          <w:i/>
          <w:noProof/>
        </w:rPr>
        <w:t>ачалото на прилагането им се предвижда задълбочен преглед на новите разпоредби за експортните кредити и изменението на климата, с цел да се направи оценка на това в каква степен са били постигнати заложените цели, дали е целесъобразно да се договорят опред</w:t>
      </w:r>
      <w:r>
        <w:rPr>
          <w:i/>
          <w:noProof/>
        </w:rPr>
        <w:t>елени изменения, за да се подобри изпълнението на тези цели, и доколко е необходимо да се набележат нови цели.</w:t>
      </w:r>
      <w:r>
        <w:rPr>
          <w:noProof/>
        </w:rPr>
        <w:t xml:space="preserve"> </w:t>
      </w:r>
    </w:p>
    <w:p w:rsidR="00AA4E64" w:rsidRDefault="009D4E6C">
      <w:pPr>
        <w:rPr>
          <w:noProof/>
        </w:rPr>
      </w:pPr>
      <w:r>
        <w:rPr>
          <w:noProof/>
        </w:rPr>
        <w:t>Комисията счита, че преработеното предложение на председателя по принцип представлява добре балансиран пакет и съответно препоръчва ЕС да подкре</w:t>
      </w:r>
      <w:r>
        <w:rPr>
          <w:noProof/>
        </w:rPr>
        <w:t>пи постигането на компромис между участниците от ОИСР на тази основа. Доколкото е възможно, ЕС трябва да се стреми към подобряване на предложението въз основа на изложените по-долу препоръки. В случай че това не е възможно, следва да се подкрепи евентуален</w:t>
      </w:r>
      <w:r>
        <w:rPr>
          <w:noProof/>
        </w:rPr>
        <w:t xml:space="preserve"> компромисен вариант, който да се опре на основните насоки от преработеното предложение на председателя.</w:t>
      </w:r>
    </w:p>
    <w:p w:rsidR="00AA4E64" w:rsidRDefault="009D4E6C">
      <w:pPr>
        <w:rPr>
          <w:noProof/>
        </w:rPr>
      </w:pPr>
      <w:r>
        <w:rPr>
          <w:noProof/>
        </w:rPr>
        <w:t>Препоръчана позиция по отделните точки:</w:t>
      </w:r>
    </w:p>
    <w:p w:rsidR="00AA4E64" w:rsidRDefault="009D4E6C">
      <w:pPr>
        <w:rPr>
          <w:b/>
          <w:i/>
          <w:noProof/>
        </w:rPr>
      </w:pPr>
      <w:r>
        <w:rPr>
          <w:b/>
          <w:i/>
          <w:noProof/>
        </w:rPr>
        <w:t>Предложение подкрепа за износа по отношение на нови въглищни електроцентрали в държави с висок доход да може да</w:t>
      </w:r>
      <w:r>
        <w:rPr>
          <w:b/>
          <w:i/>
          <w:noProof/>
        </w:rPr>
        <w:t xml:space="preserve"> се предоставя само за централи с действаща технология за улавяне и съхранение на въглероден диоксид</w:t>
      </w:r>
      <w:r>
        <w:rPr>
          <w:i/>
          <w:noProof/>
        </w:rPr>
        <w:t xml:space="preserve"> (т.е. проекти, отговарящи на условията за финансиране съгласно вече съществуващата отраслова договореност на ОИСР за експортните кредити по проекти в облас</w:t>
      </w:r>
      <w:r>
        <w:rPr>
          <w:i/>
          <w:noProof/>
        </w:rPr>
        <w:t>тта на възобновяемите източници на енергия, смекчаването на последиците от изменението на климата и адаптацията към него, и водните ресурси)</w:t>
      </w:r>
      <w:r>
        <w:rPr>
          <w:noProof/>
        </w:rPr>
        <w:t xml:space="preserve"> </w:t>
      </w:r>
      <w:r>
        <w:rPr>
          <w:b/>
          <w:i/>
          <w:noProof/>
        </w:rPr>
        <w:t>и Предложение да не бъде възможна подкрепа за износа по отношение на новите въглищни електроцентрали с технология з</w:t>
      </w:r>
      <w:r>
        <w:rPr>
          <w:b/>
          <w:i/>
          <w:noProof/>
        </w:rPr>
        <w:t>а подкритични параметри на парата в държави с висок доход</w:t>
      </w:r>
    </w:p>
    <w:p w:rsidR="00AA4E64" w:rsidRDefault="009D4E6C">
      <w:pPr>
        <w:rPr>
          <w:noProof/>
        </w:rPr>
      </w:pPr>
      <w:r>
        <w:rPr>
          <w:noProof/>
          <w:u w:val="single"/>
        </w:rPr>
        <w:t>Препоръчана позиция:</w:t>
      </w:r>
      <w:r>
        <w:rPr>
          <w:noProof/>
        </w:rPr>
        <w:t xml:space="preserve"> При все че тези две мерки и без това би трябвало съществено да ограничат възможностите за финансиране на износа по отношение на въглищните електроцентрали (предвид определението</w:t>
      </w:r>
      <w:r>
        <w:rPr>
          <w:noProof/>
        </w:rPr>
        <w:t xml:space="preserve"> на Световната банка за „икономика с висок доход“, според което като такива се определят държавите с брутен национален доход (БНД) на глава от населението в размер на 12 746 USD, се счита, че то обхваща 75 държави), ЕС следва да подкрепи засилването на цял</w:t>
      </w:r>
      <w:r>
        <w:rPr>
          <w:noProof/>
        </w:rPr>
        <w:t>остното въздействие, което предложената мярка може да има, като в същото време въведе съответно разграничение според използваната технология и разширяване на нейния географски обхват: 1. Наистина изглежда уместно да се ограничи възможността за предоставяне</w:t>
      </w:r>
      <w:r>
        <w:rPr>
          <w:noProof/>
        </w:rPr>
        <w:t xml:space="preserve"> на експортни кредити за нови централи, изграждани с технология за свръхкритични параметри на парата (налягане над 221 бара, температура на парата 550 градуса по Целзий) до случаите, в които въпросната централа е с действаща технология за улавяне и съхране</w:t>
      </w:r>
      <w:r>
        <w:rPr>
          <w:noProof/>
        </w:rPr>
        <w:t>ние на въглероден диоксид (УСВД). Максималният срок за погасяване следва да се фиксира на 18 години в съответствие с условията, определени в Отрасловата договореност във връзка с изменението на климата. По отношение на централите с ултра свръхкритични пара</w:t>
      </w:r>
      <w:r>
        <w:rPr>
          <w:noProof/>
        </w:rPr>
        <w:t>метри на парата (налягане над 221 бара, температура на парата около 600 градуса по Целзий и повече) би било разумно да се позволи предоставянето на подкрепа за експортни кредити, ако те са подходящи за прилагането на технология за УСВД в бъдеще. Максимални</w:t>
      </w:r>
      <w:r>
        <w:rPr>
          <w:noProof/>
        </w:rPr>
        <w:t>ят срок за погасяване следва да се фиксира на 10 години. 2. Предлага се също така тези мерки да обхванат и всички икономики със „среден доход“. Като икономики със среден доход Световната банка определя онези икономики, чийто БНД е от порядъка на 1045 до 12</w:t>
      </w:r>
      <w:r>
        <w:rPr>
          <w:noProof/>
        </w:rPr>
        <w:t> 745 USD. Счита се, че тази категория обхваща общо 180 държави (включително всичките 28 държави — членки на ЕС, всички членове на ОИСР, както и Бразилия, Китай, Индия, Индонезия, Руската федерация, Южна Африка, Виетнам и много държави на Балканите, в Среди</w:t>
      </w:r>
      <w:r>
        <w:rPr>
          <w:noProof/>
        </w:rPr>
        <w:t>земноморския басейн, Близкия изток, Азия и Латинска Америка).</w:t>
      </w:r>
    </w:p>
    <w:p w:rsidR="00AA4E64" w:rsidRDefault="009D4E6C">
      <w:pPr>
        <w:rPr>
          <w:noProof/>
        </w:rPr>
      </w:pPr>
      <w:r>
        <w:rPr>
          <w:noProof/>
        </w:rPr>
        <w:t xml:space="preserve">Някои държави със среден доход (по-специално Южна Африка, Индия, Виетнам, Индонезия и Турция) през последното десетилетие бяха сред основните получатели на подкрепа за експортни кредити за нови </w:t>
      </w:r>
      <w:r>
        <w:rPr>
          <w:noProof/>
        </w:rPr>
        <w:t>въглищни електроцентрали; същевременно има изгледи и дори направени съобщения за изграждането през следващите години на крупни въглищни електроцентрали в Индия, Индонезия и Виетнам. При все това държавите с висок и среден доход вече са в състояние да пости</w:t>
      </w:r>
      <w:r>
        <w:rPr>
          <w:noProof/>
        </w:rPr>
        <w:t>гнат още по-голям напредък по отношение на декарбонизирането на своите енергийни системи посредством подходящ достъп до щадящи в по-голяма степен климата алтернативни технологии; ето защо се счита, че продължаването на официалната подкрепа за експортни кре</w:t>
      </w:r>
      <w:r>
        <w:rPr>
          <w:noProof/>
        </w:rPr>
        <w:t>дити за производството на електроенергия с висока въглеродна интензивност в тези държави би обезкуражило техния преход към енергетика с ниски въглеродни емисии, чрез потенциално насърчаване на изместване на финансирани от частния сектор алтернативи и на по</w:t>
      </w:r>
      <w:r>
        <w:rPr>
          <w:noProof/>
        </w:rPr>
        <w:t>-благоприятни за климата алтернативни технологии. Очакванията са предложените мерки да изпратят в целия свят ясен политически сигнал за това, че ЕС и другите осем участници в споразумението на ОИСР повече не могат да подкрепят проекти за експортни кредити,</w:t>
      </w:r>
      <w:r>
        <w:rPr>
          <w:noProof/>
        </w:rPr>
        <w:t xml:space="preserve"> водещи до обвързване с високовъглеродни технологии, които биха могли да доведат до осуетяване в световен мащаб постигането на целта за преустановяване на увеличаването на емисиите на парникови газове до 2020 г. и за намаляването им с 60 % до 2050 г. спрям</w:t>
      </w:r>
      <w:r>
        <w:rPr>
          <w:noProof/>
        </w:rPr>
        <w:t>о равнището от 2010 г. Що се отнася до държавите с нисък доход — при условие че остава непроменена препоръчаната по-долу позиция — императивната им нужда от достъп до енергия в съчетание с макроикономическата им ситуация и ограничените възможности за изпол</w:t>
      </w:r>
      <w:r>
        <w:rPr>
          <w:noProof/>
        </w:rPr>
        <w:t>зване на съпоставими алтернативни решения за използване на газ и/или възобновяеми енергийни източници евентуално биха могли да послужат като основание за предоставянето на подкрепа за износа за нови въглищни електроцентрали, също и поради техния изключител</w:t>
      </w:r>
      <w:r>
        <w:rPr>
          <w:noProof/>
        </w:rPr>
        <w:t>но малък принос като държави с нисък доход за глобалните емисии в сегашните условия.</w:t>
      </w:r>
    </w:p>
    <w:p w:rsidR="00AA4E64" w:rsidRDefault="009D4E6C">
      <w:pPr>
        <w:rPr>
          <w:noProof/>
        </w:rPr>
      </w:pPr>
      <w:r>
        <w:rPr>
          <w:noProof/>
        </w:rPr>
        <w:t>Като се има предвид, че търговската жизнеспособност на технологията за УСВД все още не е напълно доказана и че използването ѝ не е задължително по силата на приложимото за</w:t>
      </w:r>
      <w:r>
        <w:rPr>
          <w:noProof/>
        </w:rPr>
        <w:t xml:space="preserve">конодателство на ЕС, като например директивата относно улавянето и съхранението на въглероден диоксид (ДУСВД) и директивата относно емисиите от промишлеността (ДЕП), следва да се изисква въглищните електроцентрали с ултра свръхкритични параметри на парата </w:t>
      </w:r>
      <w:r>
        <w:rPr>
          <w:noProof/>
        </w:rPr>
        <w:t>да са по-скоро „подходящи за прилагането в бъдеще на технология за УСВД“, отколкото да разполагат с действаща технология за УСВД. За да бъде призната дадена въглищна електроцентрала за подходяща за прилагането в бъдеще на технология за УСВД, съгласно опред</w:t>
      </w:r>
      <w:r>
        <w:rPr>
          <w:noProof/>
        </w:rPr>
        <w:t>еленията, съдържащи се в член 33 от ДУСВД</w:t>
      </w:r>
      <w:r>
        <w:rPr>
          <w:rStyle w:val="FootnoteReference"/>
          <w:noProof/>
        </w:rPr>
        <w:footnoteReference w:id="4"/>
      </w:r>
      <w:r>
        <w:rPr>
          <w:noProof/>
        </w:rPr>
        <w:t xml:space="preserve"> и член 36 от ДЕП, трябва да са изпълнени следните условия: i) наличие на подходящи места за съхранение на въглероден диоксид; ii) техническа и икономическа осъществимост на съоръженията за пренос на въглероден дио</w:t>
      </w:r>
      <w:r>
        <w:rPr>
          <w:noProof/>
        </w:rPr>
        <w:t xml:space="preserve">ксид; iii) техническа и икономическа осъществимост на адаптиране към режим на работа с улавяне на въглероден диоксид и iv) в рамките на инсталацията да е отделено подходящо пространство за разполагане на оборудването, необходимо за улавяне и сгъстяване на </w:t>
      </w:r>
      <w:r>
        <w:rPr>
          <w:noProof/>
        </w:rPr>
        <w:t xml:space="preserve">въглероден диоксид. </w:t>
      </w:r>
    </w:p>
    <w:p w:rsidR="00AA4E64" w:rsidRDefault="009D4E6C">
      <w:pPr>
        <w:rPr>
          <w:b/>
          <w:i/>
          <w:noProof/>
        </w:rPr>
      </w:pPr>
      <w:r>
        <w:rPr>
          <w:b/>
          <w:i/>
          <w:noProof/>
        </w:rPr>
        <w:t>Предложение за фиксиране във всички други държави на максималния срок за погасяване на 12 години за нови въглищни електроцентрали с „технология за свръхкритични или по-високи параметри на парата“ (т.е. налягане над 221 бара и температу</w:t>
      </w:r>
      <w:r>
        <w:rPr>
          <w:b/>
          <w:i/>
          <w:noProof/>
        </w:rPr>
        <w:t>ра на парата 550 градуса по Целзий)</w:t>
      </w:r>
    </w:p>
    <w:p w:rsidR="00AA4E64" w:rsidRDefault="009D4E6C">
      <w:pPr>
        <w:rPr>
          <w:noProof/>
        </w:rPr>
      </w:pPr>
      <w:r>
        <w:rPr>
          <w:noProof/>
          <w:u w:val="single"/>
        </w:rPr>
        <w:t xml:space="preserve">Препоръчана позиция: </w:t>
      </w:r>
      <w:r>
        <w:rPr>
          <w:noProof/>
        </w:rPr>
        <w:t xml:space="preserve">Предложението е насочено в правилната посока, тъй като се основава на идеята за диференциране на условията за финансиране в зависимост от класа на използваната технология. ЕС следва да подкрепи като </w:t>
      </w:r>
      <w:r>
        <w:rPr>
          <w:noProof/>
        </w:rPr>
        <w:t>цяло предложения подход и да потърси по-добър резултат в следните два аспекта: 1. Допълнително подобряване на диференциацията посредством добавянето на допълнителни класове технологии; 2. По мнение на Комисията е целесъобразно фиксирането на по-строги макс</w:t>
      </w:r>
      <w:r>
        <w:rPr>
          <w:noProof/>
        </w:rPr>
        <w:t>имални срокове за погасяване за въглищните електроцентрали в сравнение с други, по-малко замърсяващи централи, като тези, които използват газ (понастоящем максималният срок за погасяване за всички неядрени централи вече е фиксиран на 12 години).</w:t>
      </w:r>
    </w:p>
    <w:p w:rsidR="00AA4E64" w:rsidRDefault="009D4E6C">
      <w:pPr>
        <w:rPr>
          <w:noProof/>
        </w:rPr>
      </w:pPr>
      <w:r>
        <w:rPr>
          <w:noProof/>
        </w:rPr>
        <w:t>Поради тов</w:t>
      </w:r>
      <w:r>
        <w:rPr>
          <w:noProof/>
        </w:rPr>
        <w:t>а се препоръчва максималният срок за погасяване да стане 8 години за всички държави, които не изпълняват критериите за икономики с висок или среден доход (според определенията на Световната банка), по отношение на новите въглищни  електроцентрали с техноло</w:t>
      </w:r>
      <w:r>
        <w:rPr>
          <w:noProof/>
        </w:rPr>
        <w:t>гия за свръхкритични параметри на парата (налягане над 221 бара, температура на парата 550 градуса по Целзий). По отношение на новите централи с технология за ултра свръхкритични параметри на парата (налягане над 221 бара, температура на парата около 600 г</w:t>
      </w:r>
      <w:r>
        <w:rPr>
          <w:noProof/>
        </w:rPr>
        <w:t>радуса по Целзий и повече) е препоръчително максималният срок за погасяване да бъде 10 години.</w:t>
      </w:r>
    </w:p>
    <w:p w:rsidR="00AA4E64" w:rsidRDefault="009D4E6C">
      <w:pPr>
        <w:rPr>
          <w:b/>
          <w:i/>
          <w:noProof/>
        </w:rPr>
      </w:pPr>
      <w:r>
        <w:rPr>
          <w:b/>
          <w:i/>
          <w:noProof/>
        </w:rPr>
        <w:t xml:space="preserve">Предложение да не бъде възможно предоставянето на подкрепа за експортни кредити във всички други държави за нови въглищни електроцентрали с  технология за </w:t>
      </w:r>
      <w:r>
        <w:rPr>
          <w:b/>
          <w:i/>
          <w:noProof/>
        </w:rPr>
        <w:t>подкритични параметри на парата (т.е. налягане под 221 бара), освен ако тези централи са с действаща технология за улавяне и съхранение на въглероден диоксид или ако по друг начин те попадат в обхвата на съществуващата отраслова договореност във връзка с и</w:t>
      </w:r>
      <w:r>
        <w:rPr>
          <w:b/>
          <w:i/>
          <w:noProof/>
        </w:rPr>
        <w:t>зменението на климата</w:t>
      </w:r>
    </w:p>
    <w:p w:rsidR="00AA4E64" w:rsidRDefault="009D4E6C">
      <w:pPr>
        <w:rPr>
          <w:noProof/>
        </w:rPr>
      </w:pPr>
      <w:r>
        <w:rPr>
          <w:noProof/>
          <w:u w:val="single"/>
        </w:rPr>
        <w:t>Препоръчана позиция:</w:t>
      </w:r>
      <w:r>
        <w:rPr>
          <w:noProof/>
        </w:rPr>
        <w:t xml:space="preserve"> При условие че бъде наново дефинирано приложното поле на понятието „всички други държави“, както е обяснено по-горе, ЕС следва да подкрепи резултата, който се цели с настоящото предложение.</w:t>
      </w:r>
    </w:p>
    <w:p w:rsidR="00AA4E64" w:rsidRDefault="009D4E6C">
      <w:pPr>
        <w:rPr>
          <w:b/>
          <w:i/>
          <w:noProof/>
        </w:rPr>
      </w:pPr>
      <w:r>
        <w:rPr>
          <w:b/>
          <w:i/>
          <w:noProof/>
        </w:rPr>
        <w:t xml:space="preserve">Предложение във всички </w:t>
      </w:r>
      <w:r>
        <w:rPr>
          <w:b/>
          <w:i/>
          <w:noProof/>
        </w:rPr>
        <w:t>други държави да се разреши предоставянето на подкрепа за експортни кредити за нови въглищни електроцентрали по отношение на малките проекти (с инсталирана електрогенерираща мощност до 300 MW</w:t>
      </w:r>
      <w:r>
        <w:rPr>
          <w:b/>
          <w:i/>
          <w:noProof/>
          <w:vertAlign w:val="subscript"/>
        </w:rPr>
        <w:t xml:space="preserve">ел. </w:t>
      </w:r>
      <w:r>
        <w:rPr>
          <w:b/>
          <w:i/>
          <w:noProof/>
        </w:rPr>
        <w:t>включително), дори ако са изграждани с технология за подкрити</w:t>
      </w:r>
      <w:r>
        <w:rPr>
          <w:b/>
          <w:i/>
          <w:noProof/>
        </w:rPr>
        <w:t xml:space="preserve">чни параметри на парата, като максималният срок за погасяване в подобни случаи се фиксира на 10 години </w:t>
      </w:r>
    </w:p>
    <w:p w:rsidR="00AA4E64" w:rsidRDefault="009D4E6C">
      <w:pPr>
        <w:rPr>
          <w:noProof/>
        </w:rPr>
      </w:pPr>
      <w:r>
        <w:rPr>
          <w:noProof/>
          <w:u w:val="single"/>
        </w:rPr>
        <w:t>Препоръчана позиция</w:t>
      </w:r>
      <w:r>
        <w:rPr>
          <w:noProof/>
        </w:rPr>
        <w:t>:</w:t>
      </w:r>
      <w:r>
        <w:rPr>
          <w:noProof/>
          <w:u w:val="single"/>
        </w:rPr>
        <w:t xml:space="preserve"> </w:t>
      </w:r>
      <w:r>
        <w:rPr>
          <w:noProof/>
        </w:rPr>
        <w:t xml:space="preserve">По изключение, за новите въглищни електроцентрали с технология за подкритични параметри на парата и с електрогенерираща мощност до </w:t>
      </w:r>
      <w:r>
        <w:rPr>
          <w:noProof/>
        </w:rPr>
        <w:t>300 MW</w:t>
      </w:r>
      <w:r>
        <w:rPr>
          <w:noProof/>
          <w:vertAlign w:val="subscript"/>
        </w:rPr>
        <w:t>eл.</w:t>
      </w:r>
      <w:r>
        <w:rPr>
          <w:noProof/>
        </w:rPr>
        <w:t xml:space="preserve"> включително, максималният срок за погасяване следва да бъде 8 години.</w:t>
      </w:r>
    </w:p>
    <w:p w:rsidR="00AA4E64" w:rsidRDefault="009D4E6C">
      <w:pPr>
        <w:rPr>
          <w:noProof/>
        </w:rPr>
      </w:pPr>
      <w:r>
        <w:rPr>
          <w:noProof/>
        </w:rPr>
        <w:t>Въпреки че данните в исторически план показват, че не е имало експортно финансиране за въглищни мощности при държавите с нисък доход, императивната им нужда от достъп до енерги</w:t>
      </w:r>
      <w:r>
        <w:rPr>
          <w:noProof/>
        </w:rPr>
        <w:t>я в съчетание с макроикономическата им ситуация и ограничените възможности за използване на съпоставими алтернативни решения за използване на газ и/или на възобновяеми енергийни източници евентуално биха могли да послужат като основание за предоставянето н</w:t>
      </w:r>
      <w:r>
        <w:rPr>
          <w:noProof/>
        </w:rPr>
        <w:t>а подкрепа за износа на нови въглищни електроцентрали, доколкото предмет на цялостна оценка са алтернативни нисковъглеродни решения. В подобни случаи рационализирането на експортните кредитни субсидии би могло да бъде първата стъпка, която да бъде предвиде</w:t>
      </w:r>
      <w:r>
        <w:rPr>
          <w:noProof/>
        </w:rPr>
        <w:t>на в краткосрочен план. Евентуален способ за тяхното рационализиране би могла да бъде диференциацията на условията за субсидиране в зависимост от равнището на въглеродната интензивност на ключовите технологии, използващи изкопаеми горива, т.е. диференциран</w:t>
      </w:r>
      <w:r>
        <w:rPr>
          <w:noProof/>
        </w:rPr>
        <w:t xml:space="preserve">ите условия за погасяване. Освен това, както установи и Международната агенция по енергетика съответно в своя </w:t>
      </w:r>
      <w:r>
        <w:rPr>
          <w:i/>
          <w:noProof/>
        </w:rPr>
        <w:t>2013 World Energy Outlook Special Report Redrawing the Energy and Climate Map (Специален доклад от 2013 г. За перспективите на световната енергети</w:t>
      </w:r>
      <w:r>
        <w:rPr>
          <w:i/>
          <w:noProof/>
        </w:rPr>
        <w:t xml:space="preserve">ка „Преначертаване на енергийно-климатичната карта“) </w:t>
      </w:r>
      <w:r>
        <w:rPr>
          <w:noProof/>
        </w:rPr>
        <w:t xml:space="preserve">и в </w:t>
      </w:r>
      <w:r>
        <w:rPr>
          <w:i/>
          <w:noProof/>
        </w:rPr>
        <w:t xml:space="preserve">2012 Technology Roadmap for High-efficiency Low-emissions Coal-fired Power Generation (Пътната карта от 2012 г. на технологиите за опазване на околната среда посредством високоефективно производство </w:t>
      </w:r>
      <w:r>
        <w:rPr>
          <w:i/>
          <w:noProof/>
        </w:rPr>
        <w:t>на енергия чрез изгаряне на въглища с ниски емисии)</w:t>
      </w:r>
      <w:r>
        <w:rPr>
          <w:noProof/>
        </w:rPr>
        <w:t>, повече не трябва да се изграждат нови блокове във въглищни електроцентрали с технология за подкритични параметри на парата или с електрогенерираща мощност до 300 MW</w:t>
      </w:r>
      <w:r>
        <w:rPr>
          <w:noProof/>
          <w:vertAlign w:val="subscript"/>
        </w:rPr>
        <w:t>ел.,</w:t>
      </w:r>
      <w:r>
        <w:rPr>
          <w:noProof/>
        </w:rPr>
        <w:t xml:space="preserve"> включително, и поради това е оправ</w:t>
      </w:r>
      <w:r>
        <w:rPr>
          <w:noProof/>
        </w:rPr>
        <w:t>дано да не се допуска по-нататъшна подкрепа за експортни кредити за подобни централи. При все това, в отделни случаи в държавите с нисък доход е възможно единствено жизнеспособен вариант за производството на електроенергия да се окажат малките въглищни еле</w:t>
      </w:r>
      <w:r>
        <w:rPr>
          <w:noProof/>
        </w:rPr>
        <w:t>ктроцентрали с електрогенерираща мощност до 300 MW</w:t>
      </w:r>
      <w:r>
        <w:rPr>
          <w:noProof/>
          <w:vertAlign w:val="subscript"/>
        </w:rPr>
        <w:t>ел.</w:t>
      </w:r>
      <w:r>
        <w:rPr>
          <w:noProof/>
        </w:rPr>
        <w:t xml:space="preserve"> включително. В тези изключителни случаи следва да е възможна подкрепата за експортни кредити.</w:t>
      </w:r>
    </w:p>
    <w:p w:rsidR="00AA4E64" w:rsidRDefault="009D4E6C">
      <w:pPr>
        <w:rPr>
          <w:noProof/>
          <w:szCs w:val="24"/>
          <w:u w:val="single"/>
        </w:rPr>
      </w:pPr>
      <w:r>
        <w:rPr>
          <w:noProof/>
          <w:u w:val="single"/>
        </w:rPr>
        <w:t>Други препоръчани позиции във връзка с новите електроцентрали, работещи на базата на изкопаеми горива</w:t>
      </w:r>
      <w:r>
        <w:rPr>
          <w:b/>
          <w:noProof/>
        </w:rPr>
        <w:t>:</w:t>
      </w:r>
    </w:p>
    <w:p w:rsidR="00AA4E64" w:rsidRDefault="009D4E6C">
      <w:pPr>
        <w:pStyle w:val="Bullet0"/>
        <w:numPr>
          <w:ilvl w:val="0"/>
          <w:numId w:val="11"/>
        </w:numPr>
        <w:rPr>
          <w:noProof/>
        </w:rPr>
      </w:pPr>
      <w:r>
        <w:rPr>
          <w:noProof/>
        </w:rPr>
        <w:t>По от</w:t>
      </w:r>
      <w:r>
        <w:rPr>
          <w:noProof/>
        </w:rPr>
        <w:t>ношение на новите електроцентрали, които не са нито ядрени, нито въглищни, максималният срок за погасяване следва да остане 12 години.</w:t>
      </w:r>
    </w:p>
    <w:p w:rsidR="00AA4E64" w:rsidRDefault="009D4E6C">
      <w:pPr>
        <w:pStyle w:val="Bullet0"/>
        <w:rPr>
          <w:noProof/>
        </w:rPr>
      </w:pPr>
      <w:r>
        <w:rPr>
          <w:noProof/>
        </w:rPr>
        <w:t xml:space="preserve">При условие че не се накърнява прилагането на горните условия, може да се предвиди подкрепа за експортни кредити за нови </w:t>
      </w:r>
      <w:r>
        <w:rPr>
          <w:noProof/>
        </w:rPr>
        <w:t>електроцентрали, работещи на базата на изкопаеми горива, включително електроцентрали, работещи със или без изгаряне на въглища, само ако е извършена оценка на сравнимите алтернативни варианти с по-ниски въглеродни емисии и такава е представена като част от</w:t>
      </w:r>
      <w:r>
        <w:rPr>
          <w:noProof/>
        </w:rPr>
        <w:t xml:space="preserve"> заявление във връзка с поемането на ангажимент за експортно кредитиране. Целесъобразно е агенциите за експортно кредитиране да предоставят на авторите на проекта обща методология за оценяване. В случаите, когато са технически осъществими други възможности</w:t>
      </w:r>
      <w:r>
        <w:rPr>
          <w:noProof/>
        </w:rPr>
        <w:t xml:space="preserve"> при умерено по-високи разходи, преди да бъде подадено заявлението във връзка с поемането на ангажимент за експортно кредитиране следва да бъдат проучени съизмерими финансови решения. Освен това подобна подкрепа за експортни кредити може да бъде предоставе</w:t>
      </w:r>
      <w:r>
        <w:rPr>
          <w:noProof/>
        </w:rPr>
        <w:t>на единствено ако въпросният проект е съвместим с националната политика и стратегия за смекчаване на изменението на климата.</w:t>
      </w:r>
    </w:p>
    <w:p w:rsidR="00AA4E64" w:rsidRDefault="009D4E6C">
      <w:pPr>
        <w:rPr>
          <w:b/>
          <w:i/>
          <w:noProof/>
        </w:rPr>
      </w:pPr>
      <w:r>
        <w:rPr>
          <w:b/>
          <w:i/>
          <w:noProof/>
        </w:rPr>
        <w:t>Предложение стандартните условия за финансиране, предвидени в споразумението, да се прилагат при предоставянето на подкрепа за съще</w:t>
      </w:r>
      <w:r>
        <w:rPr>
          <w:b/>
          <w:i/>
          <w:noProof/>
        </w:rPr>
        <w:t>ствуващите въглищни електроцентрали, включително за тяхната реконструкция и модернизация</w:t>
      </w:r>
    </w:p>
    <w:p w:rsidR="00AA4E64" w:rsidRDefault="009D4E6C">
      <w:pPr>
        <w:rPr>
          <w:noProof/>
        </w:rPr>
      </w:pPr>
      <w:r>
        <w:rPr>
          <w:noProof/>
          <w:u w:val="single"/>
        </w:rPr>
        <w:t>Препоръчана позиция</w:t>
      </w:r>
      <w:r>
        <w:rPr>
          <w:noProof/>
        </w:rPr>
        <w:t xml:space="preserve">: </w:t>
      </w:r>
    </w:p>
    <w:p w:rsidR="00AA4E64" w:rsidRDefault="009D4E6C">
      <w:pPr>
        <w:rPr>
          <w:rFonts w:eastAsia="Calibri"/>
          <w:noProof/>
          <w:szCs w:val="24"/>
        </w:rPr>
      </w:pPr>
      <w:r>
        <w:rPr>
          <w:noProof/>
        </w:rPr>
        <w:t>ЕС следва да подкрепи прилагането на стандартните условия за финансиране, предвидени в споразумението, при предоставянето на подкрепа за експортн</w:t>
      </w:r>
      <w:r>
        <w:rPr>
          <w:noProof/>
        </w:rPr>
        <w:t>и кредити за съществуващите въглищни електроцентрали, включително за реконструкция и модернизация, при условие че к.п.д. на конкретната въглищна електроцентрала ще бъде увеличен до 38 % (на база долната топлина на изгаряне) при следните параметри на парата</w:t>
      </w:r>
      <w:r>
        <w:rPr>
          <w:noProof/>
        </w:rPr>
        <w:t>: налягане 165 бара и температура 540 градуса по Целзий/прегряване до 540 градуса по Целзий. В случай на реконструкция за целите на прилагането на УСВД технология, подобни проекти ще бъдат допустими за финансиране по линия на отрасловата договореност за ек</w:t>
      </w:r>
      <w:r>
        <w:rPr>
          <w:noProof/>
        </w:rPr>
        <w:t>спортните кредити по проекти в областта на възобновяемите източници на енергия, смекчаването на последиците от изменението на климата и адаптацията към него, и водните ресурси.</w:t>
      </w:r>
    </w:p>
    <w:p w:rsidR="00AA4E64" w:rsidRDefault="009D4E6C">
      <w:pPr>
        <w:rPr>
          <w:noProof/>
          <w:szCs w:val="24"/>
        </w:rPr>
      </w:pPr>
      <w:r>
        <w:rPr>
          <w:noProof/>
          <w:u w:val="single"/>
        </w:rPr>
        <w:t>Обосновка</w:t>
      </w:r>
      <w:r>
        <w:rPr>
          <w:noProof/>
        </w:rPr>
        <w:t>: Съществува значителен потенциал за смекчаване на изменението на клим</w:t>
      </w:r>
      <w:r>
        <w:rPr>
          <w:noProof/>
        </w:rPr>
        <w:t>ата при експлоатирането на въглищните електроцентрали в целия свят. Инвестициите, насочени към използването на този потенциал за смекчаване на изменението на климата, са възможна алтернатива на новите въглищни електроцентрали, имащи същия к.п.д. и водещи д</w:t>
      </w:r>
      <w:r>
        <w:rPr>
          <w:noProof/>
        </w:rPr>
        <w:t>о по-дълго обвързване с високо въглеродни технологии, поради което подобни инвестиции могат да бъдат подкрепени, доколкото те водят до постигане на минималните стандарти за ефективност.</w:t>
      </w:r>
    </w:p>
    <w:p w:rsidR="00AA4E64" w:rsidRDefault="009D4E6C">
      <w:pPr>
        <w:rPr>
          <w:b/>
          <w:bCs/>
          <w:i/>
          <w:iCs/>
          <w:noProof/>
        </w:rPr>
      </w:pPr>
      <w:r>
        <w:rPr>
          <w:b/>
          <w:i/>
          <w:noProof/>
        </w:rPr>
        <w:t>Предложение за подлагане на съществен преглед след изтичане на две год</w:t>
      </w:r>
      <w:r>
        <w:rPr>
          <w:b/>
          <w:i/>
          <w:noProof/>
        </w:rPr>
        <w:t>ини</w:t>
      </w:r>
    </w:p>
    <w:p w:rsidR="00AA4E64" w:rsidRDefault="009D4E6C">
      <w:pPr>
        <w:rPr>
          <w:bCs/>
          <w:iCs/>
          <w:noProof/>
        </w:rPr>
      </w:pPr>
      <w:r>
        <w:rPr>
          <w:noProof/>
          <w:u w:val="single"/>
        </w:rPr>
        <w:t>Препоръчана позиция</w:t>
      </w:r>
      <w:r>
        <w:rPr>
          <w:noProof/>
        </w:rPr>
        <w:t>: Добавянето на силна клауза за преглед винаги е било една от основните цели на Европейския съюз. Този преглед ще даде възможност за адаптиране на новия набор от правила по динамичен начин, и то в близко бъдеще, с оглед отчитане на н</w:t>
      </w:r>
      <w:r>
        <w:rPr>
          <w:noProof/>
        </w:rPr>
        <w:t>овите моменти в областта на политиката за климата. ЕС следва да отстоява идеята прегледът да бъде предшестван от аналитично проучване на ОИСР и МАЕ за въздействието на експортните кредити върху изменението на климата.</w:t>
      </w:r>
    </w:p>
    <w:p w:rsidR="00AA4E64" w:rsidRDefault="00AA4E64">
      <w:pPr>
        <w:rPr>
          <w:noProof/>
        </w:rPr>
        <w:sectPr w:rsidR="00AA4E64" w:rsidSect="009D4E6C">
          <w:footerReference w:type="default" r:id="rId16"/>
          <w:footerReference w:type="first" r:id="rId17"/>
          <w:pgSz w:w="11907" w:h="16839"/>
          <w:pgMar w:top="1134" w:right="1417" w:bottom="1134" w:left="1417" w:header="709" w:footer="709" w:gutter="0"/>
          <w:cols w:space="708"/>
          <w:docGrid w:linePitch="360"/>
        </w:sectPr>
      </w:pPr>
    </w:p>
    <w:p w:rsidR="00AA4E64" w:rsidRDefault="009D4E6C" w:rsidP="009D4E6C">
      <w:pPr>
        <w:pStyle w:val="Rfrenceinterinstitutionnelle"/>
        <w:rPr>
          <w:noProof/>
        </w:rPr>
      </w:pPr>
      <w:r w:rsidRPr="009D4E6C">
        <w:t>2015/0155 (NLE)</w:t>
      </w:r>
    </w:p>
    <w:p w:rsidR="00AA4E64" w:rsidRDefault="009D4E6C" w:rsidP="009D4E6C">
      <w:pPr>
        <w:pStyle w:val="Statut"/>
        <w:rPr>
          <w:noProof/>
        </w:rPr>
      </w:pPr>
      <w:r w:rsidRPr="009D4E6C">
        <w:t>Предложение за</w:t>
      </w:r>
    </w:p>
    <w:p w:rsidR="00AA4E64" w:rsidRDefault="009D4E6C" w:rsidP="009D4E6C">
      <w:pPr>
        <w:pStyle w:val="Typedudocument"/>
        <w:rPr>
          <w:noProof/>
        </w:rPr>
      </w:pPr>
      <w:r w:rsidRPr="009D4E6C">
        <w:t>РЕШЕНИЕ НА СЪВЕТА</w:t>
      </w:r>
    </w:p>
    <w:p w:rsidR="00AA4E64" w:rsidRDefault="009D4E6C" w:rsidP="009D4E6C">
      <w:pPr>
        <w:pStyle w:val="Titreobjet"/>
        <w:rPr>
          <w:noProof/>
        </w:rPr>
      </w:pPr>
      <w:r w:rsidRPr="009D4E6C">
        <w:t>относно позицията, която да заеме Европейският съюз в рамките на комитетите на ОИСР по въпросите на експортните кредити, във връзка с измененията на Споразумението на ОИСР за официално подкрепяните експортни кредити</w:t>
      </w:r>
    </w:p>
    <w:p w:rsidR="00AA4E64" w:rsidRDefault="009D4E6C">
      <w:pPr>
        <w:pStyle w:val="Institutionquiagit"/>
        <w:rPr>
          <w:noProof/>
        </w:rPr>
      </w:pPr>
      <w:r>
        <w:rPr>
          <w:noProof/>
        </w:rPr>
        <w:t>СЪВЕТЪТ НА ЕВРОПЕЙСКИЯ СЪЮЗ,</w:t>
      </w:r>
    </w:p>
    <w:p w:rsidR="00AA4E64" w:rsidRDefault="009D4E6C">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rsidR="00AA4E64" w:rsidRDefault="009D4E6C">
      <w:pPr>
        <w:rPr>
          <w:noProof/>
        </w:rPr>
      </w:pPr>
      <w:r>
        <w:rPr>
          <w:noProof/>
        </w:rPr>
        <w:t>като взе предвид предложението на Европейската комисия,</w:t>
      </w:r>
    </w:p>
    <w:p w:rsidR="00AA4E64" w:rsidRDefault="009D4E6C">
      <w:pPr>
        <w:rPr>
          <w:noProof/>
        </w:rPr>
      </w:pPr>
      <w:r>
        <w:rPr>
          <w:noProof/>
        </w:rPr>
        <w:t>като и</w:t>
      </w:r>
      <w:r>
        <w:rPr>
          <w:noProof/>
        </w:rPr>
        <w:t>ма предвид, че:</w:t>
      </w:r>
    </w:p>
    <w:p w:rsidR="00AA4E64" w:rsidRDefault="009D4E6C">
      <w:pPr>
        <w:pStyle w:val="ManualConsidrant"/>
        <w:rPr>
          <w:rFonts w:eastAsia="Batang"/>
          <w:noProof/>
        </w:rPr>
      </w:pPr>
      <w:r>
        <w:rPr>
          <w:noProof/>
        </w:rPr>
        <w:t>(1)</w:t>
      </w:r>
      <w:r>
        <w:rPr>
          <w:noProof/>
        </w:rPr>
        <w:tab/>
        <w:t>Наличието на международна рамка за надлежното използване на експортните кредити е от съществено значение за постигането на равнопоставеност в световен мащаб и за улесняване на международната търговия. Подобна рамка трябва да бъде редовн</w:t>
      </w:r>
      <w:r>
        <w:rPr>
          <w:noProof/>
        </w:rPr>
        <w:t>о актуализирана, за да се отчетат технологичният напредък и обществените промени и потребности, като например — в рамките на тазгодишната актуализация, отнасяща се до въглищните електроцентрали — борбата с изменението на климата.</w:t>
      </w:r>
    </w:p>
    <w:p w:rsidR="00AA4E64" w:rsidRDefault="009D4E6C">
      <w:pPr>
        <w:pStyle w:val="ManualConsidrant"/>
        <w:rPr>
          <w:rFonts w:eastAsia="Batang"/>
          <w:noProof/>
        </w:rPr>
      </w:pPr>
      <w:r>
        <w:rPr>
          <w:noProof/>
        </w:rPr>
        <w:t>(2)</w:t>
      </w:r>
      <w:r>
        <w:rPr>
          <w:noProof/>
        </w:rPr>
        <w:tab/>
        <w:t>В своята Декларация на</w:t>
      </w:r>
      <w:r>
        <w:rPr>
          <w:noProof/>
        </w:rPr>
        <w:t xml:space="preserve"> министрите от 6—7 май 2014 г. относно изменението на климата Съветът на Организацията за икономическо сътрудничество и развитие (ОИСР) се ангажира да продължи обсъждането на начина, по който експортните кредити могат да допринесат за общата цел за борба с</w:t>
      </w:r>
      <w:r>
        <w:rPr>
          <w:noProof/>
        </w:rPr>
        <w:t xml:space="preserve"> изменението на климата.</w:t>
      </w:r>
    </w:p>
    <w:p w:rsidR="00AA4E64" w:rsidRDefault="009D4E6C">
      <w:pPr>
        <w:pStyle w:val="ManualConsidrant"/>
        <w:rPr>
          <w:noProof/>
        </w:rPr>
      </w:pPr>
      <w:r>
        <w:rPr>
          <w:noProof/>
        </w:rPr>
        <w:t>(3)</w:t>
      </w:r>
      <w:r>
        <w:rPr>
          <w:noProof/>
        </w:rPr>
        <w:tab/>
        <w:t xml:space="preserve">През 2014 и 2015 година в рамките на комитетите на ОИСР по въпросите на експортните кредити („работната група за експортни кредити и кредитни гаранции“ и „участниците в Споразумението за официално подкрепяните експортни </w:t>
      </w:r>
      <w:r>
        <w:rPr>
          <w:noProof/>
        </w:rPr>
        <w:t>кредити“) бе проведено обсъждане с широко участие на въпроси, свързани с експортните кредити и изменението на климата. На 7 април 2015 г. до членовете на комитетите по експортните кредити бе изпратено „Преработено предложение на председателя за споразумени</w:t>
      </w:r>
      <w:r>
        <w:rPr>
          <w:noProof/>
        </w:rPr>
        <w:t>е относно експортните кредити и изменението на климата“, с оглед да се улесни постигането на компромис.</w:t>
      </w:r>
    </w:p>
    <w:p w:rsidR="00AA4E64" w:rsidRDefault="009D4E6C">
      <w:pPr>
        <w:pStyle w:val="ManualConsidrant"/>
        <w:rPr>
          <w:noProof/>
        </w:rPr>
      </w:pPr>
      <w:r>
        <w:rPr>
          <w:noProof/>
        </w:rPr>
        <w:t>(4)</w:t>
      </w:r>
      <w:r>
        <w:rPr>
          <w:noProof/>
        </w:rPr>
        <w:tab/>
        <w:t xml:space="preserve">Правилата, които предстои да бъдат договорени, ще трябва да бъдат въведени посредством изменения в Споразумението на ОИСР за официално подкрепяните </w:t>
      </w:r>
      <w:r>
        <w:rPr>
          <w:noProof/>
        </w:rPr>
        <w:t>експортни кредити („споразумението“). Очакванията са тези изменения да бъдат приети своевременно — преди 21-ата конференция на страните по Рамковата конвенция на Обединените нации по изменение на климата.</w:t>
      </w:r>
    </w:p>
    <w:p w:rsidR="00AA4E64" w:rsidRDefault="009D4E6C">
      <w:pPr>
        <w:pStyle w:val="ManualConsidrant"/>
        <w:rPr>
          <w:noProof/>
        </w:rPr>
      </w:pPr>
      <w:r>
        <w:rPr>
          <w:noProof/>
        </w:rPr>
        <w:t>(5)</w:t>
      </w:r>
      <w:r>
        <w:rPr>
          <w:noProof/>
        </w:rPr>
        <w:tab/>
        <w:t>Измененията на споразумението пораждат правни п</w:t>
      </w:r>
      <w:r>
        <w:rPr>
          <w:noProof/>
        </w:rPr>
        <w:t>оследици в Съюза по силата на член 2 от Регламент (ЕС) № 1233/2011 на Европейския парламент и на Съвета</w:t>
      </w:r>
      <w:r>
        <w:rPr>
          <w:rStyle w:val="FootnoteReference"/>
          <w:noProof/>
        </w:rPr>
        <w:footnoteReference w:id="5"/>
      </w:r>
      <w:r>
        <w:rPr>
          <w:noProof/>
        </w:rPr>
        <w:t>, в който се предвижда, че „Комисията приема делегирани актове в съответствие с член 3 за изменение на приложение II в резултат на измененията на насоки</w:t>
      </w:r>
      <w:r>
        <w:rPr>
          <w:noProof/>
        </w:rPr>
        <w:t>те, договорени от участниците в споразумението.“</w:t>
      </w:r>
    </w:p>
    <w:p w:rsidR="00AA4E64" w:rsidRDefault="009D4E6C">
      <w:pPr>
        <w:pStyle w:val="ManualConsidrant"/>
        <w:rPr>
          <w:noProof/>
        </w:rPr>
      </w:pPr>
      <w:r>
        <w:rPr>
          <w:noProof/>
        </w:rPr>
        <w:t>(6)</w:t>
      </w:r>
      <w:r>
        <w:rPr>
          <w:noProof/>
        </w:rPr>
        <w:tab/>
        <w:t>В съответствие с това е необходимо да бъде определена позицията, която да заеме Съюзът в рамките на комитетите на ОИСР по въпросите на експортните кредити във връзка с измененията в споразумението на ОИС</w:t>
      </w:r>
      <w:r>
        <w:rPr>
          <w:noProof/>
        </w:rPr>
        <w:t>Р.</w:t>
      </w:r>
    </w:p>
    <w:p w:rsidR="00AA4E64" w:rsidRDefault="009D4E6C">
      <w:pPr>
        <w:pStyle w:val="ManualConsidrant"/>
        <w:rPr>
          <w:noProof/>
        </w:rPr>
      </w:pPr>
      <w:r>
        <w:rPr>
          <w:noProof/>
        </w:rPr>
        <w:t>(7)</w:t>
      </w:r>
      <w:r>
        <w:rPr>
          <w:noProof/>
        </w:rPr>
        <w:tab/>
        <w:t xml:space="preserve">Предложението на ОИСР може също така да съдържа позоваване на понятието „най-добри налични техники“, като произтичащите от това изменения в споразумението не следва да накърняват съществуващото законодателство на ЕС, а именно справочния документ за </w:t>
      </w:r>
      <w:r>
        <w:rPr>
          <w:noProof/>
        </w:rPr>
        <w:t>най-добрите налични техники за големите горивни инсталации (LCP BREF) съгласно Директивата за емисиите от промишлеността (ДЕП).</w:t>
      </w:r>
    </w:p>
    <w:p w:rsidR="00AA4E64" w:rsidRDefault="009D4E6C">
      <w:pPr>
        <w:pStyle w:val="ManualConsidrant"/>
        <w:rPr>
          <w:noProof/>
        </w:rPr>
      </w:pPr>
      <w:r>
        <w:rPr>
          <w:noProof/>
        </w:rPr>
        <w:t>(8)</w:t>
      </w:r>
      <w:r>
        <w:rPr>
          <w:noProof/>
        </w:rPr>
        <w:tab/>
        <w:t>За да се гарантира ефективността на мерките, предвидени в настоящото решение, то следва да влезе в сила незабавно,</w:t>
      </w:r>
    </w:p>
    <w:p w:rsidR="00AA4E64" w:rsidRDefault="009D4E6C">
      <w:pPr>
        <w:pStyle w:val="Formuledadoption"/>
        <w:rPr>
          <w:noProof/>
        </w:rPr>
      </w:pPr>
      <w:r>
        <w:rPr>
          <w:noProof/>
        </w:rPr>
        <w:t>ПРИЕ НАСТ</w:t>
      </w:r>
      <w:r>
        <w:rPr>
          <w:noProof/>
        </w:rPr>
        <w:t xml:space="preserve">ОЯЩОТО РЕШЕНИЕ: </w:t>
      </w:r>
    </w:p>
    <w:p w:rsidR="00AA4E64" w:rsidRDefault="009D4E6C">
      <w:pPr>
        <w:pStyle w:val="Titrearticle"/>
        <w:rPr>
          <w:noProof/>
        </w:rPr>
      </w:pPr>
      <w:r>
        <w:rPr>
          <w:noProof/>
        </w:rPr>
        <w:t>Член 1</w:t>
      </w:r>
    </w:p>
    <w:p w:rsidR="00AA4E64" w:rsidRDefault="009D4E6C">
      <w:pPr>
        <w:rPr>
          <w:noProof/>
        </w:rPr>
      </w:pPr>
      <w:r>
        <w:rPr>
          <w:noProof/>
        </w:rPr>
        <w:t>Позицията, която Европейският съюз следва да заеме в рамките на комитетите на ОИСР по въпросите на експортните кредити, е да подкрепи и приеме компромисно изменение в Споразумението на ОИСР за официално подкрепяните експортни кредит</w:t>
      </w:r>
      <w:r>
        <w:rPr>
          <w:noProof/>
        </w:rPr>
        <w:t xml:space="preserve">и във връзка с подкрепата за експортни кредити за въглищни електроцентрали въз основа на основните насоки, залегнали в Преработеното предложение на председателя за споразумение относно експортните кредити и изменението на климата. Доколкото е възможно, ЕС </w:t>
      </w:r>
      <w:r>
        <w:rPr>
          <w:noProof/>
        </w:rPr>
        <w:t xml:space="preserve">трябва да се стреми към подобряване на предложението, изхождайки от следните принципни положения: </w:t>
      </w:r>
    </w:p>
    <w:p w:rsidR="00AA4E64" w:rsidRDefault="009D4E6C">
      <w:pPr>
        <w:pStyle w:val="Point1"/>
        <w:rPr>
          <w:noProof/>
        </w:rPr>
      </w:pPr>
      <w:r>
        <w:rPr>
          <w:noProof/>
        </w:rPr>
        <w:t>а)</w:t>
      </w:r>
      <w:r>
        <w:rPr>
          <w:noProof/>
        </w:rPr>
        <w:tab/>
        <w:t>Подкрепа за експортни кредити за нови въглищни електроцентрали в икономиките с висок доход и в икономиките със среден доход (в съответствие с определениет</w:t>
      </w:r>
      <w:r>
        <w:rPr>
          <w:noProof/>
        </w:rPr>
        <w:t xml:space="preserve">о на Световната банка) следва да се предоставя единствено за: </w:t>
      </w:r>
    </w:p>
    <w:p w:rsidR="00AA4E64" w:rsidRDefault="009D4E6C">
      <w:pPr>
        <w:pStyle w:val="Point2"/>
        <w:rPr>
          <w:noProof/>
        </w:rPr>
      </w:pPr>
      <w:r>
        <w:rPr>
          <w:noProof/>
        </w:rPr>
        <w:t>i)</w:t>
      </w:r>
      <w:r>
        <w:rPr>
          <w:noProof/>
        </w:rPr>
        <w:tab/>
        <w:t>централи, изграждани с технология за свръхкритични параметри на парата (определени като централи със следните работни параметри на парния цикъл: налягане над 221 бара и температура около 550</w:t>
      </w:r>
      <w:r>
        <w:rPr>
          <w:noProof/>
        </w:rPr>
        <w:t xml:space="preserve"> градуса по Целзий) с улавяне и съхранение на въглероден диоксид (тези проекти отговарят на условията за финансиране съгласно вече съществуващата отраслова договореност на ОИСР за експортните кредити по проекти в областта на възобновяемите източници на ене</w:t>
      </w:r>
      <w:r>
        <w:rPr>
          <w:noProof/>
        </w:rPr>
        <w:t>ргия, смекчаването на последиците от изменението на климата и адаптацията към него, и водните ресурси);</w:t>
      </w:r>
    </w:p>
    <w:p w:rsidR="00AA4E64" w:rsidRDefault="009D4E6C">
      <w:pPr>
        <w:pStyle w:val="Point2"/>
        <w:rPr>
          <w:noProof/>
        </w:rPr>
      </w:pPr>
      <w:r>
        <w:rPr>
          <w:noProof/>
        </w:rPr>
        <w:t>ii)</w:t>
      </w:r>
      <w:r>
        <w:rPr>
          <w:noProof/>
        </w:rPr>
        <w:tab/>
        <w:t>централи с ултра свръхкритична технология (определени като централи със следните работни параметри на парния цикъл: налягане над 221 бара и температ</w:t>
      </w:r>
      <w:r>
        <w:rPr>
          <w:noProof/>
        </w:rPr>
        <w:t>ура 600 градуса по Целзий и повече), които са подходящи за прилагане в бъдеще на технология за УСВД. При подобни централи максималният срок за погасяване е 10 години.</w:t>
      </w:r>
    </w:p>
    <w:p w:rsidR="00AA4E64" w:rsidRDefault="009D4E6C">
      <w:pPr>
        <w:pStyle w:val="Text2"/>
        <w:rPr>
          <w:noProof/>
        </w:rPr>
      </w:pPr>
      <w:r>
        <w:rPr>
          <w:noProof/>
        </w:rPr>
        <w:t xml:space="preserve">В тези държави не трябва да се предоставя подкрепа за експортни кредити за нови въглищни </w:t>
      </w:r>
      <w:r>
        <w:rPr>
          <w:noProof/>
        </w:rPr>
        <w:t>електроцентрали с технология за подкритични параметри на парата (определени като централи с налягане под 221 бара).</w:t>
      </w:r>
    </w:p>
    <w:p w:rsidR="00AA4E64" w:rsidRDefault="009D4E6C">
      <w:pPr>
        <w:pStyle w:val="Point1"/>
        <w:rPr>
          <w:noProof/>
        </w:rPr>
      </w:pPr>
      <w:r>
        <w:rPr>
          <w:noProof/>
        </w:rPr>
        <w:t>б)</w:t>
      </w:r>
      <w:r>
        <w:rPr>
          <w:noProof/>
        </w:rPr>
        <w:tab/>
        <w:t>Що се отнася до подкрепата за експортни кредити за нови въглищни електроцентрали във всички други държави (икономики с нисък доход в съот</w:t>
      </w:r>
      <w:r>
        <w:rPr>
          <w:noProof/>
        </w:rPr>
        <w:t xml:space="preserve">ветствие с определението на Световната банка), максималният срок за погасяване за централите с технология за свръхкритични параметри на парата трябва да бъде 8 години. За централите с ултра свръхкритични параметри на парата максималният срок за погасяване </w:t>
      </w:r>
      <w:r>
        <w:rPr>
          <w:noProof/>
        </w:rPr>
        <w:t xml:space="preserve">трябва да бъде 10 години. </w:t>
      </w:r>
    </w:p>
    <w:p w:rsidR="00AA4E64" w:rsidRDefault="009D4E6C">
      <w:pPr>
        <w:pStyle w:val="Point1"/>
        <w:rPr>
          <w:noProof/>
        </w:rPr>
      </w:pPr>
      <w:r>
        <w:rPr>
          <w:noProof/>
        </w:rPr>
        <w:t>в)</w:t>
      </w:r>
      <w:r>
        <w:rPr>
          <w:noProof/>
        </w:rPr>
        <w:tab/>
        <w:t>В икономиките с нисък доход (в съответствие с определението на Световната банка) не трябва да е възможна подкрепата за експортни кредити за нови въглищни електроцентрали с технология за подкритични параметри на парата, освен а</w:t>
      </w:r>
      <w:r>
        <w:rPr>
          <w:noProof/>
        </w:rPr>
        <w:t xml:space="preserve">ко: </w:t>
      </w:r>
    </w:p>
    <w:p w:rsidR="00AA4E64" w:rsidRDefault="009D4E6C">
      <w:pPr>
        <w:pStyle w:val="Point2"/>
        <w:rPr>
          <w:noProof/>
        </w:rPr>
      </w:pPr>
      <w:r>
        <w:rPr>
          <w:noProof/>
        </w:rPr>
        <w:t>i)</w:t>
      </w:r>
      <w:r>
        <w:rPr>
          <w:noProof/>
        </w:rPr>
        <w:tab/>
        <w:t>тези централи са с действаща технология за улавяне и съхраняване на въглероден диоксид или по друг начин попадат в обхвата на съществуващата отраслова договореност на ОИСР във връзка с експортните кредити и изменението на климата; или</w:t>
      </w:r>
    </w:p>
    <w:p w:rsidR="00AA4E64" w:rsidRDefault="009D4E6C">
      <w:pPr>
        <w:pStyle w:val="Point2"/>
        <w:rPr>
          <w:noProof/>
        </w:rPr>
      </w:pPr>
      <w:r>
        <w:rPr>
          <w:noProof/>
        </w:rPr>
        <w:t>ii)</w:t>
      </w:r>
      <w:r>
        <w:rPr>
          <w:noProof/>
        </w:rPr>
        <w:tab/>
        <w:t>по изключ</w:t>
      </w:r>
      <w:r>
        <w:rPr>
          <w:noProof/>
        </w:rPr>
        <w:t>ение, за блокове от централи с електрическа мощност до 300 MW</w:t>
      </w:r>
      <w:r>
        <w:rPr>
          <w:noProof/>
          <w:vertAlign w:val="subscript"/>
        </w:rPr>
        <w:t>ел.</w:t>
      </w:r>
      <w:r>
        <w:rPr>
          <w:noProof/>
        </w:rPr>
        <w:t xml:space="preserve"> включително (за подобни малки централи максималният срок за погасяване трябва да бъде 8 години).</w:t>
      </w:r>
    </w:p>
    <w:p w:rsidR="00AA4E64" w:rsidRDefault="009D4E6C">
      <w:pPr>
        <w:pStyle w:val="Point1"/>
        <w:rPr>
          <w:noProof/>
        </w:rPr>
      </w:pPr>
      <w:r>
        <w:rPr>
          <w:noProof/>
        </w:rPr>
        <w:t>г)</w:t>
      </w:r>
      <w:r>
        <w:rPr>
          <w:noProof/>
        </w:rPr>
        <w:tab/>
        <w:t>За новите електроцентрали, които не са нито ядрени, нито въглищни, максималният срок за пог</w:t>
      </w:r>
      <w:r>
        <w:rPr>
          <w:noProof/>
        </w:rPr>
        <w:t>асяване остава 12 години;</w:t>
      </w:r>
    </w:p>
    <w:p w:rsidR="00AA4E64" w:rsidRDefault="009D4E6C">
      <w:pPr>
        <w:pStyle w:val="Point1"/>
        <w:rPr>
          <w:noProof/>
        </w:rPr>
      </w:pPr>
      <w:r>
        <w:rPr>
          <w:noProof/>
        </w:rPr>
        <w:t>д)</w:t>
      </w:r>
      <w:r>
        <w:rPr>
          <w:noProof/>
        </w:rPr>
        <w:tab/>
        <w:t>При условие че не се накърнява прилагането на горните условия, може да се предвиди подкрепа за експортни кредити за нови електроцентрали, работещи на базата на изкопаеми горива, включително електроцентрали, работещи със или без</w:t>
      </w:r>
      <w:r>
        <w:rPr>
          <w:noProof/>
        </w:rPr>
        <w:t xml:space="preserve"> изгаряне на въглища, само ако е извършена оценка на сравнимите алтернативни варианти с по-ниски въглеродни емисии и такава е представена като част от заявление във връзка с поемането на ангажимент за експортно кредитиране. Освен това подобна подкрепа за е</w:t>
      </w:r>
      <w:r>
        <w:rPr>
          <w:noProof/>
        </w:rPr>
        <w:t>кспортни кредити може да бъде предоставена единствено ако въпросният проект е съвместим с националната политика и стратегия за смекчаване на изменението на климата.</w:t>
      </w:r>
    </w:p>
    <w:p w:rsidR="00AA4E64" w:rsidRDefault="009D4E6C">
      <w:pPr>
        <w:pStyle w:val="Point1"/>
        <w:rPr>
          <w:noProof/>
        </w:rPr>
      </w:pPr>
      <w:r>
        <w:rPr>
          <w:noProof/>
        </w:rPr>
        <w:t>е)</w:t>
      </w:r>
      <w:r>
        <w:rPr>
          <w:noProof/>
        </w:rPr>
        <w:tab/>
        <w:t>При подкрепата за експортни кредити за всички съществуващи въглищни електроцентрали, вкл</w:t>
      </w:r>
      <w:r>
        <w:rPr>
          <w:noProof/>
        </w:rPr>
        <w:t>ючително за реконструкция и модернизация, трябва да се прилагат стандартните максимални срокове за погасяване по смисъла на член 12 от споразумението на ОИСР (5 или 8,5 години за държавите от ОИСР с висок доход и 10 години за всички други държави), като та</w:t>
      </w:r>
      <w:r>
        <w:rPr>
          <w:noProof/>
        </w:rPr>
        <w:t>зи подкрепа трябва да се предоставя, при условие че к.п.д. на конкретната въглищна електроцентрала ще бъде увеличен до минимум 38 % (на база долната топлина на изгаряне) въз основа на параметри на парата от 165 бара и 540 градуса по Целзий/прегрев до 540 г</w:t>
      </w:r>
      <w:r>
        <w:rPr>
          <w:noProof/>
        </w:rPr>
        <w:t xml:space="preserve">радуса по Целзий. </w:t>
      </w:r>
    </w:p>
    <w:p w:rsidR="00AA4E64" w:rsidRDefault="009D4E6C">
      <w:pPr>
        <w:pStyle w:val="Point1"/>
        <w:rPr>
          <w:noProof/>
        </w:rPr>
      </w:pPr>
      <w:r>
        <w:rPr>
          <w:noProof/>
        </w:rPr>
        <w:t>ж)</w:t>
      </w:r>
      <w:r>
        <w:rPr>
          <w:noProof/>
        </w:rPr>
        <w:tab/>
        <w:t>Целесъобразно е да се предвиди подходящ мониторинг и докладване за експортните кредитни сделки, свързани с въглищни електроцентрали, както и съответен преглед след изтичането на първия двегодишен период на прилагане. Трябва да се пров</w:t>
      </w:r>
      <w:r>
        <w:rPr>
          <w:noProof/>
        </w:rPr>
        <w:t>еде аналитично проучване на въздействието на експортните кредити върху изменението на климата, за да се подготви този преглед по оптимален начин.</w:t>
      </w:r>
    </w:p>
    <w:p w:rsidR="00AA4E64" w:rsidRDefault="009D4E6C">
      <w:pPr>
        <w:rPr>
          <w:noProof/>
        </w:rPr>
      </w:pPr>
      <w:r>
        <w:rPr>
          <w:noProof/>
        </w:rPr>
        <w:t>Представителите на Съюза в рамките на комитетите на ОИСР по въпросите на експортните кредити могат да договоря</w:t>
      </w:r>
      <w:r>
        <w:rPr>
          <w:noProof/>
        </w:rPr>
        <w:t>т, без да е необходимо допълнително решение на Съвета, изменение на Споразумението на ОИСР за официално подкрепяните експортни кредити на базата на основните насоки от преработеното предложение на председателя, включително промени по отделни точки, които н</w:t>
      </w:r>
      <w:r>
        <w:rPr>
          <w:noProof/>
        </w:rPr>
        <w:t>е променят основните насоки, и/или посочените по-горе принципни положения.</w:t>
      </w:r>
    </w:p>
    <w:p w:rsidR="00AA4E64" w:rsidRDefault="009D4E6C">
      <w:pPr>
        <w:pStyle w:val="Titrearticle"/>
        <w:rPr>
          <w:noProof/>
        </w:rPr>
      </w:pPr>
      <w:r>
        <w:rPr>
          <w:noProof/>
        </w:rPr>
        <w:t>Член 2</w:t>
      </w:r>
    </w:p>
    <w:p w:rsidR="00AA4E64" w:rsidRDefault="009D4E6C">
      <w:pPr>
        <w:keepLines/>
        <w:rPr>
          <w:noProof/>
        </w:rPr>
      </w:pPr>
      <w:r>
        <w:rPr>
          <w:noProof/>
        </w:rPr>
        <w:t>Адресат на настоящото решение е Европейската комисия.</w:t>
      </w:r>
    </w:p>
    <w:p w:rsidR="00AA4E64" w:rsidRDefault="009D4E6C" w:rsidP="009D4E6C">
      <w:pPr>
        <w:pStyle w:val="Fait"/>
        <w:rPr>
          <w:noProof/>
        </w:rPr>
      </w:pPr>
      <w:r w:rsidRPr="009D4E6C">
        <w:t xml:space="preserve">Съставено в Брюксел на </w:t>
      </w:r>
      <w:r w:rsidRPr="009D4E6C">
        <w:rPr>
          <w:rStyle w:val="Marker"/>
        </w:rPr>
        <w:t>[…]</w:t>
      </w:r>
      <w:r w:rsidRPr="009D4E6C">
        <w:t xml:space="preserve"> година.</w:t>
      </w:r>
    </w:p>
    <w:p w:rsidR="00AA4E64" w:rsidRDefault="009D4E6C">
      <w:pPr>
        <w:pStyle w:val="Institutionquisigne"/>
        <w:rPr>
          <w:noProof/>
        </w:rPr>
      </w:pPr>
      <w:r>
        <w:rPr>
          <w:noProof/>
        </w:rPr>
        <w:tab/>
        <w:t>За Съвета</w:t>
      </w:r>
    </w:p>
    <w:p w:rsidR="00AA4E64" w:rsidRDefault="009D4E6C">
      <w:pPr>
        <w:pStyle w:val="Personnequisigne"/>
        <w:rPr>
          <w:noProof/>
        </w:rPr>
      </w:pPr>
      <w:r>
        <w:rPr>
          <w:noProof/>
        </w:rPr>
        <w:tab/>
        <w:t>Председател</w:t>
      </w:r>
    </w:p>
    <w:sectPr w:rsidR="00AA4E64" w:rsidSect="009D4E6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64" w:rsidRDefault="009D4E6C">
      <w:pPr>
        <w:spacing w:before="0" w:after="0"/>
      </w:pPr>
      <w:r>
        <w:separator/>
      </w:r>
    </w:p>
  </w:endnote>
  <w:endnote w:type="continuationSeparator" w:id="0">
    <w:p w:rsidR="00AA4E64" w:rsidRDefault="009D4E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Footer"/>
      <w:rPr>
        <w:rFonts w:ascii="Arial" w:hAnsi="Arial" w:cs="Arial"/>
        <w:b/>
        <w:sz w:val="48"/>
      </w:rPr>
    </w:pPr>
    <w:r w:rsidRPr="009D4E6C">
      <w:rPr>
        <w:rFonts w:ascii="Arial" w:hAnsi="Arial" w:cs="Arial"/>
        <w:b/>
        <w:sz w:val="48"/>
      </w:rPr>
      <w:t>BG</w:t>
    </w:r>
    <w:r w:rsidRPr="009D4E6C">
      <w:rPr>
        <w:rFonts w:ascii="Arial" w:hAnsi="Arial" w:cs="Arial"/>
        <w:b/>
        <w:sz w:val="48"/>
      </w:rPr>
      <w:tab/>
    </w:r>
    <w:r w:rsidRPr="009D4E6C">
      <w:rPr>
        <w:rFonts w:ascii="Arial" w:hAnsi="Arial" w:cs="Arial"/>
        <w:b/>
        <w:sz w:val="48"/>
      </w:rPr>
      <w:tab/>
    </w:r>
    <w:r w:rsidRPr="009D4E6C">
      <w:tab/>
    </w:r>
    <w:r w:rsidRPr="009D4E6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Footer"/>
      <w:rPr>
        <w:rFonts w:ascii="Arial" w:hAnsi="Arial" w:cs="Arial"/>
        <w:b/>
        <w:sz w:val="48"/>
      </w:rPr>
    </w:pPr>
    <w:r w:rsidRPr="009D4E6C">
      <w:rPr>
        <w:rFonts w:ascii="Arial" w:hAnsi="Arial" w:cs="Arial"/>
        <w:b/>
        <w:sz w:val="48"/>
      </w:rPr>
      <w:t>BG</w:t>
    </w:r>
    <w:r w:rsidRPr="009D4E6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9D4E6C">
      <w:tab/>
    </w:r>
    <w:r w:rsidRPr="009D4E6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64" w:rsidRDefault="009D4E6C">
      <w:pPr>
        <w:spacing w:before="0" w:after="0"/>
      </w:pPr>
      <w:r>
        <w:separator/>
      </w:r>
    </w:p>
  </w:footnote>
  <w:footnote w:type="continuationSeparator" w:id="0">
    <w:p w:rsidR="00AA4E64" w:rsidRDefault="009D4E6C">
      <w:pPr>
        <w:spacing w:before="0" w:after="0"/>
      </w:pPr>
      <w:r>
        <w:continuationSeparator/>
      </w:r>
    </w:p>
  </w:footnote>
  <w:footnote w:id="1">
    <w:p w:rsidR="00AA4E64" w:rsidRDefault="009D4E6C">
      <w:pPr>
        <w:pStyle w:val="FootnoteText"/>
      </w:pPr>
      <w:r>
        <w:rPr>
          <w:rStyle w:val="FootnoteReference"/>
        </w:rPr>
        <w:footnoteRef/>
      </w:r>
      <w:r>
        <w:tab/>
        <w:t xml:space="preserve">Регламент (ЕС) № 1233/2011 на Европейския парламент и </w:t>
      </w:r>
      <w:r>
        <w:t>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 (ОВ L 326, 8.12.2011 г., стр. 45).</w:t>
      </w:r>
    </w:p>
  </w:footnote>
  <w:footnote w:id="2">
    <w:p w:rsidR="00AA4E64" w:rsidRDefault="009D4E6C">
      <w:pPr>
        <w:pStyle w:val="FootnoteText"/>
      </w:pPr>
      <w:r>
        <w:rPr>
          <w:rStyle w:val="FootnoteReference"/>
        </w:rPr>
        <w:footnoteRef/>
      </w:r>
      <w:r>
        <w:tab/>
        <w:t>В миналото предишните редакции на спора</w:t>
      </w:r>
      <w:r>
        <w:t>зумението на ОИСР са транспонирани в законодателството на ЕС посредством решения на Съвета.</w:t>
      </w:r>
    </w:p>
  </w:footnote>
  <w:footnote w:id="3">
    <w:p w:rsidR="00AA4E64" w:rsidRDefault="009D4E6C">
      <w:pPr>
        <w:pStyle w:val="FootnoteText"/>
      </w:pPr>
      <w:r>
        <w:rPr>
          <w:rStyle w:val="FootnoteReference"/>
        </w:rPr>
        <w:footnoteRef/>
      </w:r>
      <w:r>
        <w:tab/>
        <w:t xml:space="preserve">Вж. по-специално решението на Съда от 7 октомври 2014 г. по дело </w:t>
      </w:r>
      <w:r>
        <w:rPr>
          <w:rStyle w:val="affairetitle"/>
        </w:rPr>
        <w:t>C-399/12 — Германия/Съвет (OIV), точка 63.</w:t>
      </w:r>
    </w:p>
  </w:footnote>
  <w:footnote w:id="4">
    <w:p w:rsidR="00AA4E64" w:rsidRDefault="009D4E6C">
      <w:pPr>
        <w:pStyle w:val="FootnoteText"/>
      </w:pPr>
      <w:r>
        <w:rPr>
          <w:rStyle w:val="FootnoteReference"/>
        </w:rPr>
        <w:footnoteRef/>
      </w:r>
      <w:r>
        <w:tab/>
        <w:t>ОВ L 140, 5.6.2009 г. и ОВ L 334, 17.12.2010 г.</w:t>
      </w:r>
    </w:p>
  </w:footnote>
  <w:footnote w:id="5">
    <w:p w:rsidR="00AA4E64" w:rsidRDefault="009D4E6C">
      <w:pPr>
        <w:pStyle w:val="FootnoteText"/>
      </w:pPr>
      <w:r>
        <w:rPr>
          <w:rStyle w:val="FootnoteReference"/>
        </w:rPr>
        <w:footnoteRef/>
      </w:r>
      <w:r>
        <w:tab/>
        <w:t>Ре</w:t>
      </w:r>
      <w:r>
        <w:t>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 (ОВ L 326, 8.12.2011 г.,</w:t>
      </w:r>
      <w:r>
        <w:t xml:space="preserve"> стр.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C" w:rsidRPr="009D4E6C" w:rsidRDefault="009D4E6C" w:rsidP="009D4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666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2626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02D8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C1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9E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029A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6E9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E4D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4"/>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5-07-20 11:14:35"/>
    <w:docVar w:name="DQCRepairStyles" w:val=";Disclaimer;"/>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2"/>
    <w:docVar w:name="DQCWithWarnings" w:val="0"/>
    <w:docVar w:name="LW_CORRIGENDUM" w:val="Desensitised on 19.01.2018"/>
    <w:docVar w:name="LW_COVERPAGE_EXISTS" w:val="True"/>
    <w:docVar w:name="LW_COVERPAGE_GUID" w:val="09B75E0A-E4DF-4101-9AE6-863E1C73255C"/>
    <w:docVar w:name="LW_COVERPAGE_TYPE" w:val="1"/>
    <w:docVar w:name="LW_CROSSREFERENCE" w:val="&lt;UNUSED&gt;"/>
    <w:docVar w:name="LW_DocType" w:val="COM"/>
    <w:docVar w:name="LW_EMISSION" w:val="20.7.2015"/>
    <w:docVar w:name="LW_EMISSION_ISODATE" w:val="2015-07-20"/>
    <w:docVar w:name="LW_EMISSION_LOCATION" w:val="BRX"/>
    <w:docVar w:name="LW_EMISSION_PREFIX" w:val="\u1041?\u1088?\u1102?\u1082?\u1089?\u1077?\u1083?,"/>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5"/>
    <w:docVar w:name="LW_REF.II.NEW.CP_YEAR" w:val="2015"/>
    <w:docVar w:name="LW_REF.INST.NEW" w:val="COM"/>
    <w:docVar w:name="LW_REF.INST.NEW_ADOPTED" w:val="final/2"/>
    <w:docVar w:name="LW_REF.INST.NEW_TEXT" w:val="(2015)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9?\u1072?\u1077?\u1084?\u1077? \u1045?\u1074?\u1088?\u1086?\u1087?\u1077?\u1081?\u1089?\u1082?\u1080?\u1103?\u1090? \u1089?\u1098?\u1102?\u1079? \u1074? \u1088?\u1072?\u1084?\u1082?\u1080?\u1090?\u1077? \u1085?\u1072? \u1082?\u1086?\u1084?\u1080?\u1090?\u1077?\u1090?\u1080?\u1090?\u1077? \u1085?\u1072? \u1054?\u1048?\u1057?\u1056? \u1087?\u1086? \u1074?\u1098?\u1087?\u1088?\u1086?\u1089?\u1080?\u1090?\u1077? \u1085?\u1072? \u1077?\u1082?\u1089?\u1087?\u1086?\u1088?\u1090?\u1085?\u1080?\u1090?\u1077? \u1082?\u1088?\u1077?\u1076?\u1080?\u1090?\u1080?, \u1074?\u1098?\u1074? \u1074?\u1088?\u1098?\u1079?\u1082?\u1072? \u1089? \u1080?\u1079?\u1084?\u1077?\u1085?\u1077?\u1085?\u1080?\u1103?\u1090?\u1072? \u1085?\u1072? \u1057?\u1087?\u1086?\u1088?\u1072?\u1079?\u1091?\u1084?\u1077?\u1085?\u1080?\u1077?\u1090?\u1086? \u1085?\u1072? \u1054?\u1048?\u1057?\u1056? \u1079?\u1072? \u1086?\u1092?\u1080?\u1094?\u1080?\u1072?\u1083?\u1085?\u1086? \u1087?\u1086?\u1076?\u1082?\u1088?\u1077?\u1087?\u1103?\u1085?\u1080?\u1090?\u1077? \u1077?\u1082?\u1089?\u1087?\u1086?\u1088?\u1090?\u1085?\u1080? \u1082?\u1088?\u1077?\u1076?\u1080?\u1090?\u1080?"/>
    <w:docVar w:name="LW_TYPE.DOC.CP" w:val="\u1056?\u1045?\u1064?\u1045?\u1053?\u1048?\u1045? \u1053?\u1040? \u1057?\u1066?\u1042?\u1045?\u1058?\u1040?"/>
  </w:docVars>
  <w:rsids>
    <w:rsidRoot w:val="00AA4E64"/>
    <w:rsid w:val="009D4E6C"/>
    <w:rsid w:val="00A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pPr>
      <w:numPr>
        <w:numId w:val="1"/>
      </w:numPr>
    </w:pPr>
  </w:style>
  <w:style w:type="character" w:customStyle="1" w:styleId="yiv1929598160apple-converted-space">
    <w:name w:val="yiv1929598160apple-converted-space"/>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character" w:customStyle="1" w:styleId="affairetitle">
    <w:name w:val="affaire_title"/>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9D4E6C"/>
    <w:pPr>
      <w:tabs>
        <w:tab w:val="center" w:pos="4535"/>
        <w:tab w:val="right" w:pos="9071"/>
      </w:tabs>
      <w:spacing w:before="0"/>
    </w:pPr>
    <w:rPr>
      <w:rFonts w:eastAsia="Calibri"/>
      <w:lang w:eastAsia="en-US" w:bidi="ar-SA"/>
    </w:rPr>
  </w:style>
  <w:style w:type="character" w:customStyle="1" w:styleId="HeaderChar">
    <w:name w:val="Header Char"/>
    <w:link w:val="Header"/>
    <w:uiPriority w:val="99"/>
    <w:rsid w:val="009D4E6C"/>
    <w:rPr>
      <w:rFonts w:eastAsia="Calibri"/>
      <w:sz w:val="24"/>
      <w:lang w:eastAsia="en-US" w:bidi="ar-SA"/>
    </w:rPr>
  </w:style>
  <w:style w:type="paragraph" w:styleId="Footer">
    <w:name w:val="footer"/>
    <w:basedOn w:val="Normal"/>
    <w:link w:val="FooterChar"/>
    <w:uiPriority w:val="99"/>
    <w:unhideWhenUsed/>
    <w:rsid w:val="009D4E6C"/>
    <w:pPr>
      <w:tabs>
        <w:tab w:val="center" w:pos="4535"/>
        <w:tab w:val="right" w:pos="9071"/>
        <w:tab w:val="right" w:pos="9921"/>
      </w:tabs>
      <w:spacing w:before="360" w:after="0"/>
      <w:ind w:left="-850" w:right="-850"/>
      <w:jc w:val="left"/>
    </w:pPr>
    <w:rPr>
      <w:rFonts w:eastAsia="Calibri"/>
      <w:lang w:eastAsia="en-US" w:bidi="ar-SA"/>
    </w:rPr>
  </w:style>
  <w:style w:type="character" w:customStyle="1" w:styleId="FooterChar">
    <w:name w:val="Footer Char"/>
    <w:link w:val="Footer"/>
    <w:uiPriority w:val="99"/>
    <w:rsid w:val="009D4E6C"/>
    <w:rPr>
      <w:rFonts w:eastAsia="Calibr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D4E6C"/>
    <w:pPr>
      <w:tabs>
        <w:tab w:val="center" w:pos="7285"/>
        <w:tab w:val="right" w:pos="14003"/>
      </w:tabs>
      <w:spacing w:before="0"/>
    </w:pPr>
    <w:rPr>
      <w:rFonts w:eastAsiaTheme="minorHAnsi"/>
      <w:lang w:eastAsia="en-US" w:bidi="ar-SA"/>
    </w:rPr>
  </w:style>
  <w:style w:type="paragraph" w:customStyle="1" w:styleId="FooterLandscape">
    <w:name w:val="FooterLandscape"/>
    <w:basedOn w:val="Normal"/>
    <w:rsid w:val="009D4E6C"/>
    <w:pPr>
      <w:tabs>
        <w:tab w:val="center" w:pos="7285"/>
        <w:tab w:val="center" w:pos="10913"/>
        <w:tab w:val="right" w:pos="15137"/>
      </w:tabs>
      <w:spacing w:before="360" w:after="0"/>
      <w:ind w:left="-567" w:right="-567"/>
      <w:jc w:val="left"/>
    </w:pPr>
    <w:rPr>
      <w:rFonts w:eastAsiaTheme="minorHAns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9D4E6C"/>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9D4E6C"/>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rsid w:val="009D4E6C"/>
    <w:pPr>
      <w:pBdr>
        <w:top w:val="single" w:sz="4" w:space="1" w:color="auto"/>
        <w:left w:val="single" w:sz="4" w:space="4" w:color="auto"/>
        <w:bottom w:val="single" w:sz="4" w:space="1" w:color="auto"/>
        <w:right w:val="single" w:sz="4" w:space="4" w:color="auto"/>
      </w:pBdr>
      <w:spacing w:before="0"/>
      <w:ind w:left="113" w:right="113"/>
      <w:jc w:val="center"/>
    </w:pPr>
    <w:rPr>
      <w:rFonts w:eastAsiaTheme="minorHAnsi"/>
      <w:b/>
      <w:sz w:val="32"/>
      <w:lang w:eastAsia="en-US" w:bidi="ar-SA"/>
    </w:rPr>
  </w:style>
  <w:style w:type="paragraph" w:customStyle="1" w:styleId="FooterSensitivity">
    <w:name w:val="Footer Sensitivity"/>
    <w:basedOn w:val="Normal"/>
    <w:rsid w:val="009D4E6C"/>
    <w:pPr>
      <w:pBdr>
        <w:top w:val="single" w:sz="4" w:space="1" w:color="auto"/>
        <w:left w:val="single" w:sz="4" w:space="4" w:color="auto"/>
        <w:bottom w:val="single" w:sz="4" w:space="1" w:color="auto"/>
        <w:right w:val="single" w:sz="4" w:space="4" w:color="auto"/>
      </w:pBdr>
      <w:spacing w:before="360" w:after="0"/>
      <w:ind w:left="113" w:right="113"/>
      <w:jc w:val="center"/>
    </w:pPr>
    <w:rPr>
      <w:rFonts w:eastAsiaTheme="minorHAns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5989-8FD9-4C9E-83D0-2081D40F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4981</Words>
  <Characters>29244</Characters>
  <Application>Microsoft Office Word</Application>
  <DocSecurity>0</DocSecurity>
  <Lines>504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KUDRYK Katarzyna (SG)</cp:lastModifiedBy>
  <cp:revision>35</cp:revision>
  <cp:lastPrinted>2015-06-30T10:12:00Z</cp:lastPrinted>
  <dcterms:created xsi:type="dcterms:W3CDTF">2015-07-20T07:04:00Z</dcterms:created>
  <dcterms:modified xsi:type="dcterms:W3CDTF">2018-01-18T16:04:00Z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DQCStatus">
    <vt:lpwstr>Yellow (DQC version 02)</vt:lpwstr>
  </property>
  <property fmtid="{D5CDD505-2E9C-101B-9397-08002B2CF9AE}" pid="11" name="Level of sensitivity">
    <vt:lpwstr>Standard treatment</vt:lpwstr>
  </property>
</Properties>
</file>