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alt="4A458AD3-4882-461C-BA60-1176D0EB0220" style="width:450.75pt;height:366pt">
            <v:imagedata r:id="rId9" o:title=""/>
          </v:shape>
        </w:pict>
      </w:r>
    </w:p>
    <w:p>
      <w:pPr>
        <w:pStyle w:val="Pagedecouverture"/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pStyle w:val="Exposdesmotifstitre"/>
        <w:rPr>
          <w:noProof/>
        </w:rPr>
      </w:pPr>
      <w:bookmarkStart w:id="0" w:name="_GoBack"/>
      <w:bookmarkEnd w:id="0"/>
      <w:r>
        <w:rPr>
          <w:noProof/>
        </w:rPr>
        <w:lastRenderedPageBreak/>
        <w:t>ОБЯСНИТЕЛЕН МЕМОРАНДУМ</w:t>
      </w:r>
    </w:p>
    <w:p>
      <w:pPr>
        <w:pStyle w:val="ManualHeading1"/>
        <w:spacing w:before="120"/>
        <w:rPr>
          <w:noProof/>
        </w:rPr>
      </w:pPr>
      <w:r>
        <w:rPr>
          <w:noProof/>
        </w:rPr>
        <w:t>1.</w:t>
      </w:r>
      <w:r>
        <w:rPr>
          <w:noProof/>
        </w:rPr>
        <w:tab/>
        <w:t>КОНТЕКСТ НА ПРЕДЛОЖЕНИЕТО</w:t>
      </w:r>
    </w:p>
    <w:p>
      <w:pPr>
        <w:pStyle w:val="ManualHeading2"/>
        <w:rPr>
          <w:rFonts w:eastAsia="Arial Unicode MS"/>
          <w:noProof/>
          <w:szCs w:val="24"/>
        </w:rPr>
      </w:pPr>
      <w:r>
        <w:rPr>
          <w:noProof/>
          <w:color w:val="000000"/>
          <w:u w:color="000000"/>
          <w:bdr w:val="nil"/>
        </w:rPr>
        <w:t>•</w:t>
      </w:r>
      <w:r>
        <w:rPr>
          <w:noProof/>
        </w:rPr>
        <w:tab/>
        <w:t>Основания и цели на предложението</w:t>
      </w:r>
    </w:p>
    <w:p>
      <w:pPr>
        <w:rPr>
          <w:noProof/>
          <w:spacing w:val="-4"/>
        </w:rPr>
      </w:pPr>
      <w:r>
        <w:rPr>
          <w:noProof/>
          <w:spacing w:val="-4"/>
        </w:rPr>
        <w:t xml:space="preserve">Както председателят Юнкер изтъква в речта си за състоянието на Съюза за 2017 г. </w:t>
      </w:r>
      <w:r>
        <w:rPr>
          <w:i/>
          <w:noProof/>
          <w:spacing w:val="-4"/>
        </w:rPr>
        <w:t>„Европа е нещо повече от единен пазар. Нещо повече от пари, нещо повече от еврото. В основата ѝ винаги са стояли ценности</w:t>
      </w:r>
      <w:r>
        <w:rPr>
          <w:noProof/>
          <w:spacing w:val="-4"/>
        </w:rPr>
        <w:t>“</w:t>
      </w:r>
      <w:r>
        <w:rPr>
          <w:rStyle w:val="FootnoteReference"/>
          <w:noProof/>
          <w:spacing w:val="-4"/>
        </w:rPr>
        <w:footnoteReference w:id="2"/>
      </w:r>
      <w:r>
        <w:rPr>
          <w:noProof/>
          <w:spacing w:val="-4"/>
        </w:rPr>
        <w:t>. Както се посочва в член 2 от Договора за Европейския съюз „</w:t>
      </w:r>
      <w:r>
        <w:rPr>
          <w:i/>
          <w:noProof/>
          <w:spacing w:val="-4"/>
        </w:rPr>
        <w:t>Съюзът се основава на ценностите на зачитане на човешкото достойнство, на свободата, демокрацията, равенството, правовата държава, както и на зачитането на правата на човека, включително правата на лицата, които принадлежат към малцинства. Тези ценности са общи за държавите членки в общество, чиито характеристики са плурализмът, недискриминацията, толерантността, справедливостта, солидарността и равенството между жените и мъжете.“</w:t>
      </w:r>
      <w:r>
        <w:rPr>
          <w:noProof/>
          <w:spacing w:val="-4"/>
        </w:rPr>
        <w:t xml:space="preserve"> </w:t>
      </w:r>
    </w:p>
    <w:p>
      <w:pPr>
        <w:rPr>
          <w:i/>
          <w:noProof/>
          <w:szCs w:val="24"/>
        </w:rPr>
      </w:pPr>
      <w:r>
        <w:rPr>
          <w:noProof/>
        </w:rPr>
        <w:t xml:space="preserve">Тези общи ценности стоят в основата на нашите национални демокрации и отразяват кои сме. Освен това те съставляват тъканта на нашия Съюз, обединил държави, общности и хора в един уникален политически проект, даващ възможност за най-дългия мирен период за Европа. Той обхваща времето от преодоляването на най-дълбоките разделения в Европа непосредствено след Втората световна война до повторното обединяване със страните от Централна и Източна Европа след 1989 г. Един мирен, социален и демократичен Съюз е изграден на основата на тези ценности, които не само са валидни навсякъде в Европа, но и представляват Съюза в света.   </w:t>
      </w:r>
    </w:p>
    <w:p>
      <w:pPr>
        <w:autoSpaceDE w:val="0"/>
        <w:autoSpaceDN w:val="0"/>
        <w:adjustRightInd w:val="0"/>
        <w:spacing w:before="0" w:after="0"/>
        <w:rPr>
          <w:rFonts w:cs="Garamond"/>
          <w:noProof/>
          <w:color w:val="000000"/>
          <w:szCs w:val="24"/>
        </w:rPr>
      </w:pPr>
      <w:r>
        <w:rPr>
          <w:noProof/>
          <w:color w:val="000000"/>
        </w:rPr>
        <w:t>Както се посочва в Документа за размисъл относно социалното измерение на Европа, „</w:t>
      </w:r>
      <w:r>
        <w:rPr>
          <w:i/>
          <w:noProof/>
          <w:color w:val="000000"/>
        </w:rPr>
        <w:t>на фона на световните стандарти европейските общества са проспериращи и богати — добро място за живот. Те са с най-високи равнища на социална закрила в света и се нареждат на много добри позиции по отношение на благосъстоянието, човешкото развитие и качеството на живот</w:t>
      </w:r>
      <w:r>
        <w:rPr>
          <w:noProof/>
          <w:color w:val="000000"/>
        </w:rPr>
        <w:t>“</w:t>
      </w:r>
      <w:r>
        <w:rPr>
          <w:rStyle w:val="FootnoteReference"/>
          <w:noProof/>
          <w:color w:val="000000"/>
        </w:rPr>
        <w:footnoteReference w:id="3"/>
      </w:r>
      <w:r>
        <w:rPr>
          <w:noProof/>
          <w:color w:val="000000"/>
        </w:rPr>
        <w:t xml:space="preserve">. И все пак, въпреки че Съюзът отчита силен растеж и безработицата е на най-ниското си равнище от 2009 г. насам, когато бъдат запитани за бъдещето, мнозина изразяват безпокойство и загриженост, особено за следващите поколения. </w:t>
      </w:r>
      <w:r>
        <w:rPr>
          <w:noProof/>
        </w:rPr>
        <w:t>Съюзът и неговите държави членки са изправени пред различни предизвикателства, включително популизъм, ксенофобия, национализъм, причиняващ разделение, дискриминация, разпространяването на фалшиви новини и погрешна информация, както и радикализация. Тези явления могат да представляват сериозна заплаха за основите на нашите демокрации, да нарушат доверието в правовата държава и демократичните институции и да пречат на общото чувство на принадлежност в рамките на нашите европейски общества и между тях.</w:t>
      </w:r>
    </w:p>
    <w:p>
      <w:pPr>
        <w:spacing w:before="100" w:beforeAutospacing="1" w:after="100" w:afterAutospacing="1"/>
        <w:rPr>
          <w:noProof/>
          <w:spacing w:val="-4"/>
        </w:rPr>
      </w:pPr>
      <w:r>
        <w:rPr>
          <w:noProof/>
          <w:spacing w:val="-4"/>
        </w:rPr>
        <w:t>Демокрацията ни може да функционира само ако е легитимна в очите на гражданите, на които служи, както на национално равнище, така и за Съюза като цяло. Има тревожни признаци, че необходимите знания за нашите общи ценности и за ролята на националната и европейската демокрация не са достатъчно усвоени. Съществува опасност това да доведе до тяхната ерозия и се подлага на изпитание сближаването на обществата ни както в държавите членки, така и на равнище ЕС. Популяризирането на тези общи ценности, залегнали в член 2 от Договора за Европейския съюз, е жизненоважно за заздравяването на националните ни демокрации и укрепването на нашия Съюз.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Times New Roman"/>
          <w:bCs/>
          <w:noProof/>
        </w:rPr>
      </w:pPr>
      <w:r>
        <w:rPr>
          <w:noProof/>
        </w:rPr>
        <w:t xml:space="preserve">Висококачественото и приобщаващо образование и обучение на всички равнища са от съществено значение за осигуряване на социална мобилност и социално приобщаване, за предлагане на нашите граждани на знания и умения за постигане на успех на пазара на труда, а също така и за насърчаване на компетентностите за критично мислене и по-дълбоко разбиране на общите ни ценности. </w:t>
      </w:r>
    </w:p>
    <w:p>
      <w:pPr>
        <w:spacing w:before="100" w:beforeAutospacing="1" w:after="100" w:afterAutospacing="1"/>
        <w:rPr>
          <w:noProof/>
        </w:rPr>
      </w:pPr>
      <w:r>
        <w:rPr>
          <w:noProof/>
        </w:rPr>
        <w:t>Образованието в някои държави членки включва национално гражданско обучение. То може да включва обучение относно причините, поради които държавите членки са избрали доброволно да си сътрудничат и да се обединят в европейски съюз. Липсата на осведоменост относно произхода на ЕС, причините за неговото създаване и основните му функции благоприятства разпространението на невярна информация и пречи на формирането на информирани мнения относно действията на Съюза. Освен това познаването на социалното, религиозното и културното многообразие и на наследството, традициите и политическата реалност на собствената държава, на други държави членки и на други държави в света е от съществено значение за взаимното уважение, разбирателството и сътрудничеството в рамките на държавите членки и между тях, както и с целия свят.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Times New Roman"/>
          <w:bCs/>
          <w:noProof/>
        </w:rPr>
      </w:pPr>
      <w:r>
        <w:rPr>
          <w:noProof/>
        </w:rPr>
        <w:t>Това ще спомогне за защита на демокрацията на всички равнища и на свой ред ще допринесе за общо чувство на принадлежност на европейско равнище.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Times New Roman"/>
          <w:bCs/>
          <w:noProof/>
        </w:rPr>
      </w:pPr>
      <w:r>
        <w:rPr>
          <w:noProof/>
        </w:rPr>
        <w:t xml:space="preserve">Настоящата препоръка се основава на четири цели: популяризиране на общите ценности на всички образователни равнища; насърчаване на по-приобщаващото образование; поощряване на европейското измерение на преподаването, без да се засягат националните прерогативи в тази сфера; и подкрепа за учителите и преподаването. </w:t>
      </w:r>
      <w:r>
        <w:rPr>
          <w:noProof/>
          <w:color w:val="000000" w:themeColor="text1"/>
        </w:rPr>
        <w:t>Тя насърчава държавите членки и Комисията да обменят добри практики и информация; и да разработват политики</w:t>
      </w:r>
      <w:r>
        <w:rPr>
          <w:noProof/>
        </w:rPr>
        <w:t xml:space="preserve"> както на национално равнище, така и на равнището на ЕС. Ангажиментите на държавите членки са доброволни и всяка държава членка решава какъв подход да предприеме при тяхното изпълнение.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noProof/>
          <w:szCs w:val="24"/>
        </w:rPr>
      </w:pPr>
      <w:r>
        <w:rPr>
          <w:noProof/>
        </w:rPr>
        <w:t xml:space="preserve">За постигането на тези цели и за подпомагане на държавите членки в техните усилия Комисията ще предприеме мерки за увеличаване на виртуалния обмен между училищата, по-конкретно чрез мрежата e-Twinning, и за стимулиране на училищната мобилност по програмата „Еразъм+“. Европейските структурни и инвестиционни фондове могат да допринесат за подпомагане на подготовката на учители или за финансиране на инфраструктура, даваща възможност за приобщаващо образование. </w:t>
      </w:r>
    </w:p>
    <w:p>
      <w:pPr>
        <w:rPr>
          <w:rFonts w:eastAsia="Arial Unicode MS"/>
          <w:b/>
          <w:noProof/>
          <w:szCs w:val="24"/>
        </w:rPr>
      </w:pPr>
      <w:r>
        <w:rPr>
          <w:b/>
          <w:noProof/>
        </w:rPr>
        <w:t>•</w:t>
      </w:r>
      <w:r>
        <w:rPr>
          <w:noProof/>
        </w:rPr>
        <w:tab/>
      </w:r>
      <w:r>
        <w:rPr>
          <w:b/>
          <w:noProof/>
        </w:rPr>
        <w:t>Контекст</w:t>
      </w:r>
    </w:p>
    <w:p>
      <w:pPr>
        <w:suppressAutoHyphens/>
        <w:rPr>
          <w:rFonts w:eastAsia="Times New Roman"/>
          <w:noProof/>
          <w:szCs w:val="24"/>
        </w:rPr>
      </w:pPr>
      <w:r>
        <w:rPr>
          <w:noProof/>
        </w:rPr>
        <w:t xml:space="preserve">Настоящата препоръка се основава на </w:t>
      </w:r>
      <w:hyperlink r:id="rId16">
        <w:r>
          <w:rPr>
            <w:rStyle w:val="Hyperlink"/>
            <w:i/>
            <w:noProof/>
            <w:u w:color="000000"/>
            <w:bdr w:val="nil"/>
          </w:rPr>
          <w:t>Парижката декларация относно популяризирането чрез образование на гражданските и общите ценности — свобода, толерантност и недискриминация</w:t>
        </w:r>
      </w:hyperlink>
      <w:r>
        <w:rPr>
          <w:noProof/>
        </w:rPr>
        <w:t>, приета на неофициална среща на министрите, проведена на 17 март 2015 г. в Париж. В Парижката декларация министрите на образованието призоваха за действия на всички равнища на управление, с които да се утвърди ролята на образованието за насърчаване на гражданското участие и общите ценности, за засилване на социалното сближаване и за помагане на младите хора да се превърнат в отговорни, свободомислещи и активни членове на нашите разнообразни и приобщаващи общества</w:t>
      </w:r>
      <w:r>
        <w:rPr>
          <w:rStyle w:val="FootnoteReference"/>
          <w:noProof/>
        </w:rPr>
        <w:footnoteReference w:id="4"/>
      </w:r>
      <w:r>
        <w:rPr>
          <w:noProof/>
        </w:rPr>
        <w:t>. Те също така определиха четири всеобхващащи цели за сътрудничеството на равнище ЕС:</w:t>
      </w:r>
    </w:p>
    <w:p>
      <w:pPr>
        <w:pStyle w:val="Bullet1"/>
        <w:numPr>
          <w:ilvl w:val="0"/>
          <w:numId w:val="9"/>
        </w:numPr>
        <w:rPr>
          <w:noProof/>
        </w:rPr>
      </w:pPr>
      <w:r>
        <w:rPr>
          <w:noProof/>
        </w:rPr>
        <w:t>гарантиране, че децата и младите хора придобиват социални, граждански и междукултурни компетентности, чрез насърчаване на демократичните ценности и основните права, социалното приобщаване и недискриминацията, както и активното гражданско участие;</w:t>
      </w:r>
    </w:p>
    <w:p>
      <w:pPr>
        <w:pStyle w:val="Bullet1"/>
        <w:numPr>
          <w:ilvl w:val="0"/>
          <w:numId w:val="9"/>
        </w:numPr>
        <w:rPr>
          <w:noProof/>
        </w:rPr>
      </w:pPr>
      <w:r>
        <w:rPr>
          <w:noProof/>
        </w:rPr>
        <w:t>подобряване на критичното мислене и медийната грамотност, по-специално при използването на интернет и социалните медии, за да се развива устойчивост към послания, подхранващи разделение, към поляризация и към индоктриниране;</w:t>
      </w:r>
    </w:p>
    <w:p>
      <w:pPr>
        <w:pStyle w:val="Bullet1"/>
        <w:numPr>
          <w:ilvl w:val="0"/>
          <w:numId w:val="9"/>
        </w:numPr>
        <w:rPr>
          <w:noProof/>
        </w:rPr>
      </w:pPr>
      <w:r>
        <w:rPr>
          <w:noProof/>
        </w:rPr>
        <w:t>подобряване на образованието за децата и младежите в неравностойно положение, като се гарантира, че системите ни на образование и обучение отговарят на потребностите им;</w:t>
      </w:r>
    </w:p>
    <w:p>
      <w:pPr>
        <w:pStyle w:val="Bullet1"/>
        <w:numPr>
          <w:ilvl w:val="0"/>
          <w:numId w:val="9"/>
        </w:numPr>
        <w:rPr>
          <w:noProof/>
        </w:rPr>
      </w:pPr>
      <w:r>
        <w:rPr>
          <w:noProof/>
        </w:rPr>
        <w:t>насърчаване на междукултурния диалог чрез всички форми на обучение в сътрудничество с други имащи отношение с това политики и заинтересовани страни.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noProof/>
          <w:szCs w:val="24"/>
        </w:rPr>
      </w:pPr>
      <w:r>
        <w:rPr>
          <w:noProof/>
        </w:rPr>
        <w:t xml:space="preserve">Настоящата препоръка продължава също така работата, описана в </w:t>
      </w:r>
      <w:r>
        <w:rPr>
          <w:i/>
          <w:noProof/>
        </w:rPr>
        <w:t>съобщението на Комисията „Подпомагане на предотвратяването на радикализацията, водеща до насилнически екстремизъм“</w:t>
      </w:r>
      <w:r>
        <w:rPr>
          <w:rStyle w:val="FootnoteReference"/>
          <w:noProof/>
        </w:rPr>
        <w:footnoteReference w:id="5"/>
      </w:r>
      <w:r>
        <w:rPr>
          <w:noProof/>
        </w:rPr>
        <w:t>, прието след терористичните нападения в Европа. В него бе подчертана важната роля на образованието за подпомагането на идентифицирането и предпазването на младите хора, изложени на риск от радикализация, и за подпомагането на премахването на първопричините за нея.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noProof/>
          <w:szCs w:val="24"/>
        </w:rPr>
      </w:pPr>
      <w:r>
        <w:rPr>
          <w:noProof/>
        </w:rPr>
        <w:t xml:space="preserve">Нещо повече, в </w:t>
      </w:r>
      <w:hyperlink r:id="rId17">
        <w:r>
          <w:rPr>
            <w:rStyle w:val="Hyperlink"/>
            <w:noProof/>
          </w:rPr>
          <w:t>Римската декларация</w:t>
        </w:r>
      </w:hyperlink>
      <w:r>
        <w:rPr>
          <w:rStyle w:val="FootnoteReference"/>
        </w:rPr>
        <w:footnoteReference w:id="6"/>
      </w:r>
      <w:r>
        <w:rPr>
          <w:noProof/>
        </w:rPr>
        <w:t xml:space="preserve"> от 25 март 2017 г. се заявява, че ЕС би трябвало да е такъв съюз, в който</w:t>
      </w:r>
      <w:r>
        <w:rPr>
          <w:i/>
          <w:noProof/>
        </w:rPr>
        <w:t xml:space="preserve"> „младите хора получават най-доброто образование и обучение и могат да следват и да намират работа навсякъде на континента“ </w:t>
      </w:r>
      <w:r>
        <w:rPr>
          <w:noProof/>
        </w:rPr>
        <w:t>и който</w:t>
      </w:r>
      <w:r>
        <w:rPr>
          <w:i/>
          <w:noProof/>
        </w:rPr>
        <w:t xml:space="preserve"> „съхранява културното наследство на Европа и насърчава културното многообразие</w:t>
      </w:r>
      <w:r>
        <w:rPr>
          <w:noProof/>
        </w:rPr>
        <w:t>.“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noProof/>
          <w:szCs w:val="24"/>
        </w:rPr>
      </w:pPr>
      <w:r>
        <w:rPr>
          <w:noProof/>
        </w:rPr>
        <w:t xml:space="preserve">В </w:t>
      </w:r>
      <w:hyperlink r:id="rId18">
        <w:r>
          <w:rPr>
            <w:rStyle w:val="Hyperlink"/>
            <w:noProof/>
          </w:rPr>
          <w:t>Бялата книга за бъдещето на Европа</w:t>
        </w:r>
      </w:hyperlink>
      <w:r>
        <w:rPr>
          <w:rStyle w:val="FootnoteReference"/>
        </w:rPr>
        <w:footnoteReference w:id="7"/>
      </w:r>
      <w:r>
        <w:rPr>
          <w:noProof/>
        </w:rPr>
        <w:t xml:space="preserve"> Комисията подчертава ролята на ценностите в създаването на обща история, посочвайки, че </w:t>
      </w:r>
      <w:r>
        <w:rPr>
          <w:i/>
          <w:noProof/>
        </w:rPr>
        <w:t>„жертвите на миналите поколения не трябва никога да бъдат забравяни. Човешкото достойнство, свободата и демокрацията бяха постигнати с огромни усилия и не трябва никога да се отказваме от тях. Независимо от това, че любовта към мира, която изпитват днешните европейци, не може да се сравнява с тази на техните родители или баби и дядовци, тези основни ценности продължават да ни обединяват</w:t>
      </w:r>
      <w:r>
        <w:rPr>
          <w:noProof/>
        </w:rPr>
        <w:t>.“ Този възглед допълнително се подчертава от виждането, че 70 години траен мир са свидетелство за общите ни ценности и взаимно разбирателство.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noProof/>
          <w:szCs w:val="24"/>
        </w:rPr>
      </w:pPr>
      <w:r>
        <w:rPr>
          <w:noProof/>
        </w:rPr>
        <w:t xml:space="preserve">В своя </w:t>
      </w:r>
      <w:hyperlink r:id="rId19">
        <w:r>
          <w:rPr>
            <w:rStyle w:val="Hyperlink"/>
            <w:noProof/>
          </w:rPr>
          <w:t>Документ за размисъл относно извличането на ползите от глобализацията</w:t>
        </w:r>
      </w:hyperlink>
      <w:r>
        <w:rPr>
          <w:rStyle w:val="FootnoteReference"/>
          <w:noProof/>
        </w:rPr>
        <w:footnoteReference w:id="8"/>
      </w:r>
      <w:r>
        <w:rPr>
          <w:noProof/>
        </w:rPr>
        <w:t xml:space="preserve"> Комисията напомня, че „</w:t>
      </w:r>
      <w:r>
        <w:rPr>
          <w:i/>
          <w:noProof/>
        </w:rPr>
        <w:t>равният достъп до висококачествено образование и обучение е мощно средство за постигане на преразпределение на богатството в обществото. Това следва да започне с отговарящо на високи стандарти основно образование и достъп до обучение и развитие на умения във всяка възраст</w:t>
      </w:r>
      <w:r>
        <w:rPr>
          <w:noProof/>
        </w:rPr>
        <w:t>“.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Times New Roman"/>
          <w:bCs/>
          <w:i/>
          <w:noProof/>
        </w:rPr>
      </w:pPr>
      <w:r>
        <w:rPr>
          <w:noProof/>
        </w:rPr>
        <w:t>Преди дискусиите по програмата на лидерите относно образованието и културата, проведени през ноември 2017 г. в Гьотеборг, като свой принос към дискусиите Комисията публикува съобщението „</w:t>
      </w:r>
      <w:hyperlink r:id="rId20">
        <w:r>
          <w:rPr>
            <w:rStyle w:val="Hyperlink"/>
            <w:noProof/>
          </w:rPr>
          <w:t>Укрепване на европейската идентичност чрез образование и култура</w:t>
        </w:r>
      </w:hyperlink>
      <w:r>
        <w:rPr>
          <w:noProof/>
        </w:rPr>
        <w:t>“</w:t>
      </w:r>
      <w:r>
        <w:rPr>
          <w:rStyle w:val="FootnoteReference"/>
          <w:noProof/>
        </w:rPr>
        <w:footnoteReference w:id="9"/>
      </w:r>
      <w:r>
        <w:rPr>
          <w:noProof/>
        </w:rPr>
        <w:t>. В текста се подчертава, че „</w:t>
      </w:r>
      <w:r>
        <w:rPr>
          <w:i/>
          <w:noProof/>
        </w:rPr>
        <w:t>в интерес на всички държави членки е да се използва напълно потенциалът на образованието и културата като движеща сила за създаването на работни места, социална справедливост и активно гражданско участие, както и като начин да изживеем европейската си идентичност в цялото ѝ многообразие.“</w:t>
      </w:r>
    </w:p>
    <w:p>
      <w:pPr>
        <w:pStyle w:val="ManualHeading2"/>
        <w:rPr>
          <w:rFonts w:eastAsia="Arial Unicode MS"/>
          <w:noProof/>
          <w:color w:val="000000"/>
          <w:szCs w:val="24"/>
          <w:u w:color="000000"/>
          <w:bdr w:val="nil"/>
        </w:rPr>
      </w:pPr>
      <w:r>
        <w:rPr>
          <w:noProof/>
          <w:color w:val="000000"/>
          <w:u w:color="000000"/>
          <w:bdr w:val="nil"/>
        </w:rPr>
        <w:t>•</w:t>
      </w:r>
      <w:r>
        <w:rPr>
          <w:noProof/>
        </w:rPr>
        <w:tab/>
        <w:t xml:space="preserve">Съгласуваност с действащите разпоредби в тази област на политиката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noProof/>
        </w:rPr>
      </w:pPr>
      <w:r>
        <w:rPr>
          <w:noProof/>
        </w:rPr>
        <w:t xml:space="preserve">В допълнение към посочените по-горе инициативи в </w:t>
      </w:r>
      <w:hyperlink r:id="rId21">
        <w:r>
          <w:rPr>
            <w:rStyle w:val="Hyperlink"/>
            <w:noProof/>
            <w:color w:val="auto"/>
          </w:rPr>
          <w:t>Съвместния доклад</w:t>
        </w:r>
        <w:r>
          <w:rPr>
            <w:rStyle w:val="Hyperlink"/>
            <w:noProof/>
            <w:color w:val="auto"/>
            <w:u w:val="none"/>
          </w:rPr>
          <w:t xml:space="preserve"> за 2015 г.</w:t>
        </w:r>
      </w:hyperlink>
      <w:r>
        <w:rPr>
          <w:noProof/>
        </w:rPr>
        <w:t xml:space="preserve"> на Съвета и на Комисията относно прилагането на стратегическата рамка за европейско сътрудничество в областта на образованието и обучението („Образование и обучение 2020“)</w:t>
      </w:r>
      <w:r>
        <w:rPr>
          <w:rStyle w:val="FootnoteReference"/>
          <w:noProof/>
        </w:rPr>
        <w:footnoteReference w:id="10"/>
      </w:r>
      <w:r>
        <w:rPr>
          <w:noProof/>
        </w:rPr>
        <w:t xml:space="preserve"> се изтъква, че „</w:t>
      </w:r>
      <w:r>
        <w:rPr>
          <w:i/>
          <w:noProof/>
        </w:rPr>
        <w:t>образованието и обучението играят важна роля, за да се гарантира, че човешките и гражданските ценности, които споделяме, ще бъдат защитени и предавани на бъдещите поколения, с оглед насърчаване на свободата на мисълта и на изразяване, социалното приобщаване и уважението към другите, както и за предотвратяване и борба с дискриминацията във всички нейни форми,</w:t>
      </w:r>
      <w:r>
        <w:rPr>
          <w:noProof/>
        </w:rPr>
        <w:t>“ и се предлага</w:t>
      </w:r>
      <w:r>
        <w:rPr>
          <w:i/>
          <w:noProof/>
        </w:rPr>
        <w:t xml:space="preserve"> „приобщаващо образование, равенство, справедливост, недискриминация и насърчаване на гражданските компетентности</w:t>
      </w:r>
      <w:r>
        <w:rPr>
          <w:noProof/>
        </w:rPr>
        <w:t>“ за нова приоритетна област за европейско сътрудничество в образованието и обучението.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noProof/>
          <w:spacing w:val="-2"/>
        </w:rPr>
      </w:pPr>
      <w:r>
        <w:rPr>
          <w:noProof/>
          <w:spacing w:val="-2"/>
        </w:rPr>
        <w:t>Комисията изпълни широк кръг конкретни мерки и действия. Това включва създаването на работната група по рамката „Образование и обучение 2020“ за насърчаване на активното гражданско участие и общите ценности; организирането на инициативата „</w:t>
      </w:r>
      <w:r>
        <w:rPr>
          <w:noProof/>
          <w:color w:val="000000"/>
          <w:spacing w:val="-2"/>
        </w:rPr>
        <w:t>Примери за подражание“ на лица, участващи в дейности за насърчаване на социалното приобщаване и предотвратяване на изключването и радикализацията</w:t>
      </w:r>
      <w:r>
        <w:rPr>
          <w:noProof/>
          <w:spacing w:val="-2"/>
        </w:rPr>
        <w:t>; набор от инструменти за младежките работници и организации, работещи с млади хора, изправени пред риск от маргинализация; европейска награда за социално приобщаване чрез спорт; и предоставяне чрез „Еразъм+“ на финансиране от над 400 милиона евро годишно за транснационални партньорства за разработване на новаторски подходи и практики в политиката на най-близко до гражданите равнище, даване на приоритет на социалното приобщаване и популяризиране на общите ценности и междукултурното разбирателство.</w:t>
      </w:r>
    </w:p>
    <w:p>
      <w:pPr>
        <w:suppressAutoHyphens/>
        <w:rPr>
          <w:noProof/>
          <w:szCs w:val="24"/>
        </w:rPr>
      </w:pPr>
      <w:r>
        <w:rPr>
          <w:noProof/>
        </w:rPr>
        <w:t>Освен това в пакета „Инвестиране в младежта на Европа“</w:t>
      </w:r>
      <w:r>
        <w:rPr>
          <w:rStyle w:val="FootnoteReference"/>
          <w:noProof/>
        </w:rPr>
        <w:footnoteReference w:id="11"/>
      </w:r>
      <w:r>
        <w:rPr>
          <w:rStyle w:val="A2"/>
          <w:noProof/>
          <w:sz w:val="24"/>
        </w:rPr>
        <w:t xml:space="preserve"> Комисията изложи своята стратегия за висококачествено, приобщаващо и ориентирано към бъдещето образование с конкретни инициативи.</w:t>
      </w:r>
      <w:r>
        <w:rPr>
          <w:noProof/>
        </w:rPr>
        <w:t xml:space="preserve"> Във връзка с това Комисията предложи действия, свързани с приобщаващото образование и насърчаването на общите ценности, включително непрекъснато професионално развитие на учителите, доразвиване на Европейския инструментариум за училищата, както и използването на средства по програмите „Еразъм+“ и „Хоризонт 2020“ за насърчаване на добрите практики в областта на приобщаващото обучение.</w:t>
      </w:r>
    </w:p>
    <w:p>
      <w:pPr>
        <w:suppressAutoHyphens/>
        <w:rPr>
          <w:rFonts w:eastAsia="Times New Roman"/>
          <w:noProof/>
          <w:szCs w:val="24"/>
        </w:rPr>
      </w:pPr>
      <w:r>
        <w:rPr>
          <w:noProof/>
        </w:rPr>
        <w:t>Други инициативи, свързани с настоящата препоръка, са следните:</w:t>
      </w:r>
    </w:p>
    <w:p>
      <w:pPr>
        <w:pStyle w:val="Bullet1"/>
        <w:numPr>
          <w:ilvl w:val="0"/>
          <w:numId w:val="10"/>
        </w:numPr>
        <w:rPr>
          <w:noProof/>
        </w:rPr>
      </w:pPr>
      <w:r>
        <w:rPr>
          <w:noProof/>
        </w:rPr>
        <w:t xml:space="preserve">Препоръка на Комисията от 2013 г.: </w:t>
      </w:r>
      <w:hyperlink r:id="rId22">
        <w:r>
          <w:rPr>
            <w:rStyle w:val="Hyperlink"/>
            <w:noProof/>
          </w:rPr>
          <w:t>Инвестициите в децата — изход от порочния кръг на неравностойното положение,</w:t>
        </w:r>
      </w:hyperlink>
      <w:r>
        <w:rPr>
          <w:rStyle w:val="FootnoteReference"/>
        </w:rPr>
        <w:footnoteReference w:id="12"/>
      </w:r>
      <w:r>
        <w:rPr>
          <w:rStyle w:val="Hyperlink"/>
          <w:noProof/>
          <w:u w:val="none"/>
        </w:rPr>
        <w:t xml:space="preserve"> </w:t>
      </w:r>
      <w:r>
        <w:rPr>
          <w:rStyle w:val="Hyperlink"/>
          <w:noProof/>
          <w:color w:val="auto"/>
          <w:u w:val="none"/>
        </w:rPr>
        <w:t xml:space="preserve">която </w:t>
      </w:r>
      <w:r>
        <w:rPr>
          <w:noProof/>
        </w:rPr>
        <w:t xml:space="preserve">подчертава необходимостта да се осигурят качествено образование и грижи в ранна детска възраст и да се подобри въздействието, което образователните системи имат върху равните възможности. </w:t>
      </w:r>
    </w:p>
    <w:p>
      <w:pPr>
        <w:pStyle w:val="Bullet1"/>
        <w:numPr>
          <w:ilvl w:val="0"/>
          <w:numId w:val="11"/>
        </w:numPr>
        <w:rPr>
          <w:b/>
          <w:noProof/>
          <w:spacing w:val="-6"/>
        </w:rPr>
      </w:pPr>
      <w:r>
        <w:rPr>
          <w:noProof/>
          <w:spacing w:val="-6"/>
          <w:u w:val="single"/>
        </w:rPr>
        <w:t>Заключенията на Съвета</w:t>
      </w:r>
      <w:r>
        <w:rPr>
          <w:noProof/>
          <w:spacing w:val="-6"/>
        </w:rPr>
        <w:t xml:space="preserve"> от 2014 г. </w:t>
      </w:r>
      <w:r>
        <w:rPr>
          <w:noProof/>
          <w:spacing w:val="-6"/>
          <w:u w:val="single"/>
        </w:rPr>
        <w:t>относно работния план за културата за периода 2015—2018 г.</w:t>
      </w:r>
      <w:r>
        <w:rPr>
          <w:noProof/>
          <w:spacing w:val="-6"/>
        </w:rPr>
        <w:t>,</w:t>
      </w:r>
      <w:r>
        <w:rPr>
          <w:b/>
          <w:noProof/>
          <w:spacing w:val="-6"/>
        </w:rPr>
        <w:t xml:space="preserve"> </w:t>
      </w:r>
      <w:r>
        <w:rPr>
          <w:noProof/>
          <w:spacing w:val="-6"/>
        </w:rPr>
        <w:t>които</w:t>
      </w:r>
      <w:r>
        <w:rPr>
          <w:b/>
          <w:noProof/>
          <w:spacing w:val="-6"/>
        </w:rPr>
        <w:t xml:space="preserve"> </w:t>
      </w:r>
      <w:r>
        <w:rPr>
          <w:noProof/>
          <w:spacing w:val="-6"/>
        </w:rPr>
        <w:t>определят като приоритет сътрудничеството в сферата на политиката в ЕС за принос на културата към социалното приобщаване, доразвивайки ангажиментите по отношение на културното многообразие и междукултурния диалог в Европейската програма за култура.</w:t>
      </w:r>
    </w:p>
    <w:p>
      <w:pPr>
        <w:pStyle w:val="Bullet1"/>
        <w:numPr>
          <w:ilvl w:val="0"/>
          <w:numId w:val="12"/>
        </w:numPr>
        <w:rPr>
          <w:noProof/>
        </w:rPr>
      </w:pPr>
      <w:r>
        <w:rPr>
          <w:noProof/>
        </w:rPr>
        <w:t xml:space="preserve">Заключенията на Съвета от 2016 г. </w:t>
      </w:r>
      <w:hyperlink r:id="rId23">
        <w:r>
          <w:rPr>
            <w:rStyle w:val="Hyperlink"/>
            <w:noProof/>
            <w:color w:val="auto"/>
            <w:u w:val="none"/>
          </w:rPr>
          <w:t>относно развиване на медийна грамотност и критично мислене чрез образование и обучение</w:t>
        </w:r>
      </w:hyperlink>
      <w:r>
        <w:rPr>
          <w:noProof/>
        </w:rPr>
        <w:t>, в които държавите членки изразяват общото си мнение, че медийната грамотност, критичното мислене и компетентността в областта на цифровите технологии са умения — предпоставки за активно участие в демократичния живот и за повишаване на пригодността за заетост, и поради това следва да се усвояват от учащите от всички възрасти.</w:t>
      </w:r>
    </w:p>
    <w:p>
      <w:pPr>
        <w:pStyle w:val="Bullet1"/>
        <w:numPr>
          <w:ilvl w:val="0"/>
          <w:numId w:val="13"/>
        </w:numPr>
        <w:rPr>
          <w:noProof/>
        </w:rPr>
      </w:pPr>
      <w:r>
        <w:rPr>
          <w:noProof/>
        </w:rPr>
        <w:t xml:space="preserve">Заключенията на Съвета от 2017 г. </w:t>
      </w:r>
      <w:hyperlink r:id="rId24">
        <w:r>
          <w:rPr>
            <w:rStyle w:val="Hyperlink"/>
            <w:noProof/>
            <w:color w:val="auto"/>
            <w:u w:val="none"/>
          </w:rPr>
          <w:t xml:space="preserve">относно </w:t>
        </w:r>
        <w:r>
          <w:rPr>
            <w:rStyle w:val="Hyperlink"/>
            <w:noProof/>
            <w:color w:val="auto"/>
          </w:rPr>
          <w:t>ролята на работата с младежта за подпомагане на развитието на младите хора</w:t>
        </w:r>
      </w:hyperlink>
      <w:r>
        <w:rPr>
          <w:noProof/>
        </w:rPr>
        <w:t>, в които държавите членки изразиха съгласието си да засилят сътрудничеството, партньорското обучение и обмена по отношение на насърчаването и развиването на житейски умения сред младите хора.</w:t>
      </w:r>
    </w:p>
    <w:p>
      <w:pPr>
        <w:pStyle w:val="Bullet1"/>
        <w:numPr>
          <w:ilvl w:val="0"/>
          <w:numId w:val="14"/>
        </w:numPr>
        <w:rPr>
          <w:noProof/>
        </w:rPr>
      </w:pPr>
      <w:r>
        <w:rPr>
          <w:noProof/>
        </w:rPr>
        <w:t>Обновената Рамка за ключовите компетентности за учене през целия живот</w:t>
      </w:r>
      <w:r>
        <w:rPr>
          <w:rStyle w:val="FootnoteReference"/>
          <w:noProof/>
        </w:rPr>
        <w:footnoteReference w:id="13"/>
      </w:r>
      <w:r>
        <w:rPr>
          <w:noProof/>
        </w:rPr>
        <w:t xml:space="preserve"> от 2018 г., която описва гражданските компетентности като способност за действие като отговорни хора и за пълноценно участие в гражданския и социалния живот въз основа на разбирането на социалните, икономическите и политическите понятия и структури, както и световните събития и устойчивост. По-голямото значение, което се придава на гражданските компетентности в тази редакция на Рамката за ключовите компетентности, подчертава ролята на гражданството, демократичните ценности и правата на човека в съвременното все по-свързано световно общество. Рамката признава важността на подготовката на лицата да действат като отговорни и активни граждани, които могат да допринесат за изграждането на мирни, толерантни, приобщаващи и сигурни общества. Във връзка с това допълнително се усъвършенстват медийната грамотност и междукултурните умения;</w:t>
      </w:r>
    </w:p>
    <w:p>
      <w:pPr>
        <w:pStyle w:val="Bullet1"/>
        <w:numPr>
          <w:ilvl w:val="0"/>
          <w:numId w:val="15"/>
        </w:numPr>
        <w:rPr>
          <w:noProof/>
        </w:rPr>
      </w:pPr>
      <w:hyperlink r:id="rId25">
        <w:r>
          <w:rPr>
            <w:rStyle w:val="Hyperlink"/>
            <w:noProof/>
            <w:color w:val="auto"/>
          </w:rPr>
          <w:t>Европейската година на културното наследство (2018 г.),</w:t>
        </w:r>
      </w:hyperlink>
      <w:r>
        <w:rPr>
          <w:noProof/>
        </w:rPr>
        <w:t xml:space="preserve"> която има за цел да се повиши осведомеността за общата история и общите ценности и да се насърчат хората да изучават богатото и многообразно културно наследство на Европа.</w:t>
      </w:r>
    </w:p>
    <w:p>
      <w:pPr>
        <w:pStyle w:val="Bullet1"/>
        <w:numPr>
          <w:ilvl w:val="0"/>
          <w:numId w:val="21"/>
        </w:numPr>
        <w:rPr>
          <w:noProof/>
        </w:rPr>
      </w:pPr>
      <w:hyperlink r:id="rId26">
        <w:r>
          <w:rPr>
            <w:rStyle w:val="Hyperlink"/>
            <w:noProof/>
            <w:color w:val="auto"/>
          </w:rPr>
          <w:t>Планът за действие относно интеграцията на граждани на трети държави</w:t>
        </w:r>
      </w:hyperlink>
      <w:r>
        <w:rPr>
          <w:rStyle w:val="FootnoteReference"/>
          <w:noProof/>
        </w:rPr>
        <w:footnoteReference w:id="14"/>
      </w:r>
      <w:r>
        <w:rPr>
          <w:noProof/>
        </w:rPr>
        <w:t xml:space="preserve"> на Комисията от 2016 г., в който се изтъква, че интеграцията е от основно значение за бъдещото благоденствие, просперитет и сплотеност на европейските общества, и представлява общ интерес на всички държави членки.</w:t>
      </w:r>
    </w:p>
    <w:p>
      <w:pPr>
        <w:pStyle w:val="Bullet1"/>
        <w:numPr>
          <w:ilvl w:val="0"/>
          <w:numId w:val="20"/>
        </w:numPr>
        <w:rPr>
          <w:noProof/>
        </w:rPr>
      </w:pPr>
      <w:r>
        <w:rPr>
          <w:noProof/>
        </w:rPr>
        <w:t xml:space="preserve">Заключенията на Съвета от 2017 г. относно надграждането на </w:t>
      </w:r>
      <w:hyperlink r:id="rId27">
        <w:r>
          <w:rPr>
            <w:rStyle w:val="Hyperlink"/>
            <w:noProof/>
            <w:color w:val="auto"/>
          </w:rPr>
          <w:t>Съобщението на Комисията от 12 април 2017 г. относно закрилата на децата мигранти</w:t>
        </w:r>
      </w:hyperlink>
      <w:r>
        <w:rPr>
          <w:noProof/>
        </w:rPr>
        <w:t>, в което се подчертава значението на равния, ранен достъп до приобщаващо формално образование, включително до образование и грижи в ранна детска възраст.</w:t>
      </w:r>
    </w:p>
    <w:p>
      <w:pPr>
        <w:pStyle w:val="Bullet1"/>
        <w:numPr>
          <w:ilvl w:val="0"/>
          <w:numId w:val="19"/>
        </w:numPr>
        <w:rPr>
          <w:noProof/>
        </w:rPr>
      </w:pPr>
      <w:hyperlink r:id="rId28">
        <w:r>
          <w:rPr>
            <w:rStyle w:val="Hyperlink"/>
            <w:noProof/>
          </w:rPr>
          <w:t>Заключенията на Съвета</w:t>
        </w:r>
        <w:r>
          <w:rPr>
            <w:rStyle w:val="Hyperlink"/>
            <w:noProof/>
            <w:u w:val="none"/>
          </w:rPr>
          <w:t xml:space="preserve"> от 2016 г. </w:t>
        </w:r>
        <w:r>
          <w:rPr>
            <w:rStyle w:val="Hyperlink"/>
            <w:noProof/>
          </w:rPr>
          <w:t>относно ускоряване на процеса на интеграция на ромите</w:t>
        </w:r>
      </w:hyperlink>
      <w:r>
        <w:rPr>
          <w:noProof/>
        </w:rPr>
        <w:t>, в които държавите членки се призовават да увеличат усилията си за насърчаване на равния достъп до приобщаващо и качествено общо образование.</w:t>
      </w:r>
    </w:p>
    <w:p>
      <w:pPr>
        <w:pStyle w:val="Bullet1"/>
        <w:numPr>
          <w:ilvl w:val="0"/>
          <w:numId w:val="17"/>
        </w:numPr>
        <w:rPr>
          <w:noProof/>
        </w:rPr>
      </w:pPr>
      <w:hyperlink r:id="rId29">
        <w:r>
          <w:rPr>
            <w:rStyle w:val="Hyperlink"/>
            <w:noProof/>
            <w:color w:val="auto"/>
            <w:u w:val="none"/>
          </w:rPr>
          <w:t>Заключенията на Съвета от 2017 г. относно приобщаване</w:t>
        </w:r>
        <w:r>
          <w:rPr>
            <w:rStyle w:val="Hyperlink"/>
            <w:noProof/>
            <w:color w:val="auto"/>
          </w:rPr>
          <w:t xml:space="preserve"> в условията на многообразие с цел постигане на висококачествено образование за всички</w:t>
        </w:r>
      </w:hyperlink>
      <w:r>
        <w:rPr>
          <w:noProof/>
        </w:rPr>
        <w:t>, в които държавите членки изразяват съгласието си да приложат мерки за насърчаване на демократичната и приобщаваща училищна култура, да разработят мерки, които да дадат възможност за ранно установяване и предотвратяване на социалното изключване, и да насърчават по-тясното сътрудничество между образованието и други области от значение, като културата, младежта, спорта, заетостта, социалното подпомагане, сигурността и други насоки на работата в областта на социалното приобщаване.</w:t>
      </w:r>
    </w:p>
    <w:p>
      <w:pPr>
        <w:pStyle w:val="Bullet1"/>
        <w:numPr>
          <w:ilvl w:val="0"/>
          <w:numId w:val="18"/>
        </w:numPr>
        <w:rPr>
          <w:noProof/>
        </w:rPr>
      </w:pPr>
      <w:hyperlink r:id="rId30">
        <w:r>
          <w:rPr>
            <w:rStyle w:val="Hyperlink"/>
            <w:noProof/>
          </w:rPr>
          <w:t>Европейският корпус за солидарност,</w:t>
        </w:r>
      </w:hyperlink>
      <w:r>
        <w:rPr>
          <w:noProof/>
        </w:rPr>
        <w:t xml:space="preserve"> който създава за младите хора възможности да извършват доброволческа дейност или да работят по проекти в собствената си страна или в чужбина, носещи ползи на общности и лица в цяла Европа. Той обединява млади хора за изграждането на по-приобщаващо общество, което помага на уязвимите и предприема действия във връзка с обществените предизвикателства.</w:t>
      </w:r>
    </w:p>
    <w:p>
      <w:pPr>
        <w:pStyle w:val="Bullet1"/>
        <w:numPr>
          <w:ilvl w:val="0"/>
          <w:numId w:val="16"/>
        </w:numPr>
        <w:rPr>
          <w:noProof/>
        </w:rPr>
      </w:pPr>
      <w:hyperlink r:id="rId31">
        <w:r>
          <w:rPr>
            <w:rStyle w:val="Hyperlink"/>
            <w:noProof/>
            <w:spacing w:val="4"/>
          </w:rPr>
          <w:t>Референтната рамка от компетентности за демократична култура</w:t>
        </w:r>
      </w:hyperlink>
      <w:r>
        <w:rPr>
          <w:noProof/>
        </w:rPr>
        <w:t xml:space="preserve"> на Съвета на Европа от 2016 г.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noProof/>
        </w:rPr>
      </w:pPr>
      <w:r>
        <w:rPr>
          <w:b/>
          <w:noProof/>
        </w:rPr>
        <w:t>Съгласуваност с другите политики на Съюза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noProof/>
          <w:szCs w:val="24"/>
        </w:rPr>
      </w:pPr>
      <w:r>
        <w:rPr>
          <w:noProof/>
        </w:rPr>
        <w:t xml:space="preserve">Главната цел на настоящата препоръка е да се популяризират общите ценности и да се насърчат приобщаващото образование и европейско измерение на преподаването. Тя допълва текущата работа на Комисията за реализиране на </w:t>
      </w:r>
      <w:hyperlink r:id="rId32">
        <w:r>
          <w:rPr>
            <w:rStyle w:val="Hyperlink"/>
            <w:noProof/>
          </w:rPr>
          <w:t>европейския стълб на социалните права</w:t>
        </w:r>
      </w:hyperlink>
      <w:r>
        <w:rPr>
          <w:rStyle w:val="FootnoteReference"/>
        </w:rPr>
        <w:footnoteReference w:id="15"/>
      </w:r>
      <w:r>
        <w:rPr>
          <w:noProof/>
        </w:rPr>
        <w:t xml:space="preserve"> с това, че препоръката подкрепя „</w:t>
      </w:r>
      <w:r>
        <w:rPr>
          <w:i/>
          <w:noProof/>
        </w:rPr>
        <w:t>правото на достъп до качествено и приобщаващо образование, обучение и учене през целия живот с цел да поддържа и придобива умения, които дават [на всеки] възможност да участва пълноценно в обществото и успешно да осъществява преходи на пазара на труда</w:t>
      </w:r>
      <w:r>
        <w:rPr>
          <w:noProof/>
        </w:rPr>
        <w:t>.“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noProof/>
          <w:szCs w:val="24"/>
        </w:rPr>
      </w:pPr>
      <w:r>
        <w:rPr>
          <w:noProof/>
        </w:rPr>
        <w:t xml:space="preserve">Настоящата препоръка е в съответствие и с целите, посочени в </w:t>
      </w:r>
      <w:hyperlink r:id="rId33">
        <w:r>
          <w:rPr>
            <w:rStyle w:val="Hyperlink"/>
            <w:noProof/>
          </w:rPr>
          <w:t>Доклада за гражданството на ЕС, 2017 г.</w:t>
        </w:r>
      </w:hyperlink>
      <w:r>
        <w:rPr>
          <w:rStyle w:val="FootnoteReference"/>
        </w:rPr>
        <w:footnoteReference w:id="16"/>
      </w:r>
      <w:r>
        <w:rPr>
          <w:noProof/>
        </w:rPr>
        <w:t>, в който Комисията признава, че са необходими непрекъснати усилия, за да се гарантира, че всички граждани на ЕС познават своите права и могат да участват пълноценно в европейския демократичен процес. В доклада се изтъква, че насърчаването на осведомеността относно гражданството на ЕС и ценностите, свързани с него, сред младите европейци, достигащи възраст, която им позволява да гласуват, и сред онези, които придобиват гражданството на държава членка, а и в обществото като цяло, изисква съвместни усилия от страна на всички заинтересовани страни на всички равнища — държавите членки, включително техните местни и регионални органи, институциите на ЕС и гражданското общество.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noProof/>
          <w:szCs w:val="24"/>
        </w:rPr>
      </w:pPr>
    </w:p>
    <w:p>
      <w:pPr>
        <w:pStyle w:val="ManualHeading1"/>
        <w:spacing w:before="120"/>
        <w:rPr>
          <w:noProof/>
          <w:szCs w:val="24"/>
        </w:rPr>
      </w:pPr>
      <w:r>
        <w:rPr>
          <w:noProof/>
        </w:rPr>
        <w:t>2.</w:t>
      </w:r>
      <w:r>
        <w:rPr>
          <w:noProof/>
        </w:rPr>
        <w:tab/>
        <w:t>ПРАВНО ОСНОВАНИЕ, СУБСИДИАРНОСТ И ПРОПОРЦИОНАЛНОСТ</w:t>
      </w:r>
    </w:p>
    <w:p>
      <w:pPr>
        <w:pStyle w:val="ManualHeading2"/>
        <w:rPr>
          <w:rFonts w:eastAsia="Arial Unicode MS"/>
          <w:noProof/>
          <w:szCs w:val="24"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Правно основание</w:t>
      </w:r>
    </w:p>
    <w:p>
      <w:pPr>
        <w:rPr>
          <w:noProof/>
          <w:szCs w:val="24"/>
        </w:rPr>
      </w:pPr>
      <w:r>
        <w:rPr>
          <w:noProof/>
        </w:rPr>
        <w:t>Инициативата е в съответствие с член 165 и член 166 от Договора за функционирането на Европейския съюз (ДФЕС). Съгласно член 165 Съюзът допринася за развитието на качествено обучение чрез насърчаване на сътрудничеството между държавите членки и ако е необходимо, чрез подпомагане и допълване на техните действия, като напълно зачита отговорностите на държавите членки за съдържанието и организацията на техните образователни системи. В член 166 е посочено, че Съюзът провежда политика на професионално обучение, която подкрепя и допълва действията на държавите членки, като напълно зачита отговорностите на държавите членки относно съдържанието и организацията на професионалното обучение.</w:t>
      </w:r>
    </w:p>
    <w:p>
      <w:pPr>
        <w:rPr>
          <w:noProof/>
          <w:szCs w:val="24"/>
        </w:rPr>
      </w:pPr>
      <w:r>
        <w:rPr>
          <w:noProof/>
        </w:rPr>
        <w:t xml:space="preserve">Инициативата не предвижда разширяване на регулаторните правомощия на ЕС или обвързващи ангажименти за държавите членки. Държавите членки решават, съгласно националните особености, как да изпълнят Препоръката на Съвета.  </w:t>
      </w:r>
    </w:p>
    <w:p>
      <w:pPr>
        <w:pStyle w:val="ManualHeading2"/>
        <w:rPr>
          <w:rFonts w:eastAsia="Arial Unicode MS"/>
          <w:noProof/>
          <w:szCs w:val="24"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Субсидиарност (при неизключителна компетентност)</w:t>
      </w:r>
    </w:p>
    <w:p>
      <w:pPr>
        <w:rPr>
          <w:noProof/>
          <w:spacing w:val="-4"/>
        </w:rPr>
      </w:pPr>
      <w:r>
        <w:rPr>
          <w:noProof/>
          <w:spacing w:val="-4"/>
        </w:rPr>
        <w:t xml:space="preserve">Въпреки че на национално равнище много държави членки са предприели различни действия в подкрепа на приобщаващи образователни системи и за популяризиране на общите ценности, на европейско равнище е необходимо по-интензивно сътрудничество. </w:t>
      </w:r>
    </w:p>
    <w:p>
      <w:pPr>
        <w:rPr>
          <w:noProof/>
          <w:spacing w:val="-6"/>
        </w:rPr>
      </w:pPr>
      <w:r>
        <w:rPr>
          <w:noProof/>
          <w:spacing w:val="-6"/>
        </w:rPr>
        <w:t>Добавената стойност от действията на равнището на ЕС се дължи на способността на ЕС да:</w:t>
      </w:r>
    </w:p>
    <w:p>
      <w:pPr>
        <w:pStyle w:val="Bullet1"/>
        <w:numPr>
          <w:ilvl w:val="0"/>
          <w:numId w:val="22"/>
        </w:numPr>
        <w:rPr>
          <w:noProof/>
          <w:spacing w:val="-6"/>
        </w:rPr>
      </w:pPr>
      <w:r>
        <w:rPr>
          <w:noProof/>
          <w:spacing w:val="-6"/>
        </w:rPr>
        <w:t>насърчава общото разбиране по отношение на значението на общите ценности;</w:t>
      </w:r>
    </w:p>
    <w:p>
      <w:pPr>
        <w:pStyle w:val="Bullet1"/>
        <w:numPr>
          <w:ilvl w:val="0"/>
          <w:numId w:val="23"/>
        </w:numPr>
        <w:rPr>
          <w:noProof/>
          <w:spacing w:val="-6"/>
        </w:rPr>
      </w:pPr>
      <w:r>
        <w:rPr>
          <w:noProof/>
          <w:spacing w:val="-6"/>
        </w:rPr>
        <w:t>подпомага работата на държавите членки за изпълнение на дейности на национално и на регионално равнище за популяризиране на общите ценности;</w:t>
      </w:r>
    </w:p>
    <w:p>
      <w:pPr>
        <w:pStyle w:val="Bullet1"/>
        <w:numPr>
          <w:ilvl w:val="0"/>
          <w:numId w:val="24"/>
        </w:numPr>
        <w:rPr>
          <w:noProof/>
        </w:rPr>
      </w:pPr>
      <w:r>
        <w:rPr>
          <w:noProof/>
        </w:rPr>
        <w:t>финансира инициативи за мобилност и за туининг и други транснационални проекти;</w:t>
      </w:r>
    </w:p>
    <w:p>
      <w:pPr>
        <w:pStyle w:val="Bullet1"/>
        <w:numPr>
          <w:ilvl w:val="0"/>
          <w:numId w:val="25"/>
        </w:numPr>
        <w:rPr>
          <w:noProof/>
        </w:rPr>
      </w:pPr>
      <w:r>
        <w:rPr>
          <w:noProof/>
        </w:rPr>
        <w:t>улеснява обмена на знания, експертни умения и добри практики.</w:t>
      </w:r>
    </w:p>
    <w:p>
      <w:pPr>
        <w:pStyle w:val="ManualHeading2"/>
        <w:rPr>
          <w:rFonts w:eastAsia="Arial Unicode MS"/>
          <w:noProof/>
          <w:szCs w:val="24"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Пропорционалност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noProof/>
          <w:szCs w:val="24"/>
        </w:rPr>
      </w:pPr>
      <w:r>
        <w:rPr>
          <w:noProof/>
          <w:color w:val="000000" w:themeColor="text1"/>
        </w:rPr>
        <w:t xml:space="preserve">Предложението затвърждава общо разбиране на ценностите, приобщаващото образование и европейското измерение на преподаването, като показва как те могат да бъдат насърчавани чрез образованието. То дава възможност държавите членки и Комисията да обменят добри практики и информация и да разработват политики </w:t>
      </w:r>
      <w:r>
        <w:rPr>
          <w:noProof/>
        </w:rPr>
        <w:t xml:space="preserve">както на национално равнище, така и на равнището на ЕС. Тъй като ангажиментите, които държавите членки ще поемат, са доброволни и всяка държава членка решава какъв подход да предприеме при изпълнението на действията, насочени към насърчаване на общите ценности, приобщаващото образование и европейското измерение на преподаването, мярката се счита за пропорционална. </w:t>
      </w:r>
    </w:p>
    <w:p>
      <w:pPr>
        <w:pStyle w:val="ManualHeading2"/>
        <w:rPr>
          <w:rFonts w:eastAsia="Arial Unicode MS"/>
          <w:noProof/>
          <w:szCs w:val="24"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Избор на инструмент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noProof/>
          <w:szCs w:val="24"/>
        </w:rPr>
      </w:pPr>
      <w:r>
        <w:rPr>
          <w:noProof/>
        </w:rPr>
        <w:t xml:space="preserve">Препоръката на Съвета е подходящ инструмент в областта на образованието и обучението в случаите, когато ЕС разполага с правомощие да подпомага действията на държавите членки. Този инструмент често се използва за действие на европейско равнище в сферата на образованието и обучението. Като правен инструмент тя бележи ангажирането на държавите членки с мерките от текста и осигурява по-солидна политическа основа за сътрудничество в тази област при пълно зачитане на компетентността на държавите членки в сферата на образованието и обучението. 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noProof/>
          <w:szCs w:val="24"/>
        </w:rPr>
      </w:pPr>
    </w:p>
    <w:p>
      <w:pPr>
        <w:pStyle w:val="ManualHeading1"/>
        <w:spacing w:before="120"/>
        <w:rPr>
          <w:noProof/>
          <w:szCs w:val="24"/>
        </w:rPr>
      </w:pPr>
      <w:r>
        <w:rPr>
          <w:noProof/>
        </w:rPr>
        <w:t>3.</w:t>
      </w:r>
      <w:r>
        <w:rPr>
          <w:noProof/>
        </w:rPr>
        <w:tab/>
        <w:t>РЕЗУЛТАТИ ОТ ПОСЛЕДВАЩИТЕ ОЦЕНКИ, КОНСУЛТАЦИИТЕ СЪС ЗАИНТЕРЕСОВАНИТЕ СТРАНИ И ОЦЕНКИТЕ НА ВЪЗДЕЙСТВИЕТО</w:t>
      </w:r>
    </w:p>
    <w:p>
      <w:pPr>
        <w:pStyle w:val="ManualHeading2"/>
        <w:rPr>
          <w:rFonts w:eastAsia="Arial Unicode MS"/>
          <w:noProof/>
          <w:spacing w:val="-6"/>
          <w:szCs w:val="24"/>
          <w:u w:color="000000"/>
          <w:bdr w:val="nil"/>
        </w:rPr>
      </w:pPr>
      <w:r>
        <w:rPr>
          <w:noProof/>
          <w:spacing w:val="-6"/>
        </w:rPr>
        <w:t>•</w:t>
      </w:r>
      <w:r>
        <w:rPr>
          <w:noProof/>
          <w:spacing w:val="-6"/>
        </w:rPr>
        <w:tab/>
        <w:t>Последващи оценки/проверки за пригодност на действащото законодателство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noProof/>
          <w:szCs w:val="24"/>
        </w:rPr>
      </w:pPr>
      <w:r>
        <w:rPr>
          <w:noProof/>
        </w:rPr>
        <w:t>Не е приложимо.</w:t>
      </w:r>
    </w:p>
    <w:p>
      <w:pPr>
        <w:pStyle w:val="ManualHeading2"/>
        <w:rPr>
          <w:rFonts w:eastAsia="Arial Unicode MS"/>
          <w:noProof/>
          <w:szCs w:val="24"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Консултации със заинтересованите страни</w:t>
      </w:r>
    </w:p>
    <w:p>
      <w:pPr>
        <w:rPr>
          <w:rFonts w:eastAsia="Times New Roman"/>
          <w:noProof/>
          <w:szCs w:val="24"/>
        </w:rPr>
      </w:pPr>
      <w:r>
        <w:rPr>
          <w:noProof/>
        </w:rPr>
        <w:t xml:space="preserve">Обществена консултация онлайн започна на 19 май 2017 г. и приключи на 11 август 2017 г. Получени бяха общо </w:t>
      </w:r>
      <w:r>
        <w:rPr>
          <w:b/>
          <w:noProof/>
        </w:rPr>
        <w:t>1 124 отговора</w:t>
      </w:r>
      <w:r>
        <w:rPr>
          <w:noProof/>
        </w:rPr>
        <w:t xml:space="preserve">, включително над 200 писмени становища, което илюстрира големия интерес към инициативата. Отговорите показват почти единодушно съгласие (95 %) относно ролята на образованието за подпомагане на младите хора „да разберат важността на общите ценности и да се придържат към тях“ и за това, че ЕС следва да помага на държавите членки за изпълнението на тази задача (98 %). Резултатите от консултацията са на разположение </w:t>
      </w:r>
      <w:hyperlink r:id="rId34">
        <w:r>
          <w:rPr>
            <w:rStyle w:val="Hyperlink"/>
            <w:noProof/>
          </w:rPr>
          <w:t>онлайн</w:t>
        </w:r>
      </w:hyperlink>
      <w:r>
        <w:rPr>
          <w:noProof/>
        </w:rPr>
        <w:t>.</w:t>
      </w:r>
    </w:p>
    <w:p>
      <w:pPr>
        <w:rPr>
          <w:rFonts w:eastAsia="Times New Roman"/>
          <w:noProof/>
          <w:szCs w:val="24"/>
        </w:rPr>
      </w:pPr>
      <w:r>
        <w:rPr>
          <w:noProof/>
        </w:rPr>
        <w:t>Главните заключения в резултат от консултацията включват следното:</w:t>
      </w:r>
    </w:p>
    <w:p>
      <w:pPr>
        <w:pStyle w:val="Bullet1"/>
        <w:numPr>
          <w:ilvl w:val="0"/>
          <w:numId w:val="26"/>
        </w:numPr>
        <w:rPr>
          <w:noProof/>
        </w:rPr>
      </w:pPr>
      <w:r>
        <w:rPr>
          <w:noProof/>
        </w:rPr>
        <w:t xml:space="preserve">По-голямата част от </w:t>
      </w:r>
      <w:r>
        <w:rPr>
          <w:b/>
          <w:noProof/>
        </w:rPr>
        <w:t xml:space="preserve">респондентите (62,6 %) смятат, че образованието вече играе силна </w:t>
      </w:r>
      <w:r>
        <w:rPr>
          <w:noProof/>
        </w:rPr>
        <w:t>роля, като помага на младите хора да разберат важността на общите ценности и да се придържат към тях, но един значителен дял, близо</w:t>
      </w:r>
      <w:r>
        <w:rPr>
          <w:b/>
          <w:noProof/>
        </w:rPr>
        <w:t xml:space="preserve"> 40 % от респондентите, са на мнение, че образованието може да направи повече.</w:t>
      </w:r>
    </w:p>
    <w:p>
      <w:pPr>
        <w:pStyle w:val="Bullet1"/>
        <w:numPr>
          <w:ilvl w:val="0"/>
          <w:numId w:val="27"/>
        </w:numPr>
        <w:rPr>
          <w:noProof/>
        </w:rPr>
      </w:pPr>
      <w:r>
        <w:rPr>
          <w:noProof/>
        </w:rPr>
        <w:t xml:space="preserve">Почти всички респонденти (98 %) са единодушни, че е необходимо да </w:t>
      </w:r>
      <w:r>
        <w:rPr>
          <w:b/>
          <w:noProof/>
        </w:rPr>
        <w:t>се насърчава приобщаващото образование,</w:t>
      </w:r>
      <w:r>
        <w:rPr>
          <w:noProof/>
        </w:rPr>
        <w:t xml:space="preserve"> което отговаря на нуждите на всички учащи, като само 16 % считат, че понастоящем образованието изпълнява това. Изразена беше силна цялостна подкрепа за инструментите на ЕС. За най-ефективни от тях са смятани финансирането от ЕС (93,3 %), подпомагането на сътрудничеството между училища и университети за насърчаване на иновациите и модернизацията (91,6 %), образователната мобилност на учащи (91,5 %) и краткосрочните обмени за ученици в училищата (88,2 %).</w:t>
      </w:r>
    </w:p>
    <w:p>
      <w:pPr>
        <w:pStyle w:val="Bullet1"/>
        <w:numPr>
          <w:ilvl w:val="0"/>
          <w:numId w:val="28"/>
        </w:numPr>
        <w:rPr>
          <w:noProof/>
        </w:rPr>
      </w:pPr>
      <w:r>
        <w:rPr>
          <w:noProof/>
        </w:rPr>
        <w:t xml:space="preserve">Почти всички респонденти (93,2 %) считат за важно или за много важно хората </w:t>
      </w:r>
      <w:r>
        <w:rPr>
          <w:b/>
          <w:noProof/>
        </w:rPr>
        <w:t>да се запознаят по-добре с историята, културата и ценностите на ЕС</w:t>
      </w:r>
      <w:r>
        <w:rPr>
          <w:noProof/>
        </w:rPr>
        <w:t xml:space="preserve"> и на останалите държави членки, за да разберат напълно ролята си на отговорни и активни членове на европейските общества.</w:t>
      </w:r>
    </w:p>
    <w:p>
      <w:pPr>
        <w:rPr>
          <w:rFonts w:eastAsiaTheme="minorEastAsia"/>
          <w:noProof/>
          <w:szCs w:val="24"/>
        </w:rPr>
      </w:pPr>
      <w:r>
        <w:rPr>
          <w:noProof/>
        </w:rPr>
        <w:t>В допълнение бяха проведени широк кръг консултативни срещи и събития:</w:t>
      </w:r>
    </w:p>
    <w:p>
      <w:pPr>
        <w:autoSpaceDE w:val="0"/>
        <w:autoSpaceDN w:val="0"/>
        <w:adjustRightInd w:val="0"/>
        <w:rPr>
          <w:noProof/>
          <w:color w:val="000000" w:themeColor="text1"/>
          <w:spacing w:val="-2"/>
          <w:szCs w:val="24"/>
        </w:rPr>
      </w:pPr>
      <w:r>
        <w:rPr>
          <w:noProof/>
          <w:color w:val="000000" w:themeColor="text1"/>
          <w:spacing w:val="-2"/>
        </w:rPr>
        <w:t xml:space="preserve">Срещите за събиране на становища на държавите членки включват: Среща на групата на високо равнище (високопоставени длъжностни лица в министерствата на образованието) на 15—16 юни 2017 г. (в Естония); и три срещи на генералните директори: среща по въпросите на висшето образование, 13—14 март 2016 г.; </w:t>
      </w:r>
      <w:r>
        <w:rPr>
          <w:noProof/>
          <w:spacing w:val="-2"/>
        </w:rPr>
        <w:t>и срещи по въпросите на училищата, 10—11 април 2016 г. (в Малта) и 18—19 септември 2017 г. (в Естония).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Times New Roman"/>
          <w:noProof/>
          <w:spacing w:val="-6"/>
          <w:szCs w:val="24"/>
        </w:rPr>
      </w:pPr>
      <w:r>
        <w:rPr>
          <w:noProof/>
          <w:spacing w:val="-6"/>
        </w:rPr>
        <w:t>Събитията за събиране на становища от заинтересованите страни включват: Конференцията по програмата „Жан Моне“, 15 ноември 2015 г.</w:t>
      </w:r>
      <w:r>
        <w:rPr>
          <w:rStyle w:val="FootnoteReference"/>
          <w:noProof/>
          <w:spacing w:val="-6"/>
        </w:rPr>
        <w:footnoteReference w:id="17"/>
      </w:r>
      <w:r>
        <w:rPr>
          <w:noProof/>
          <w:spacing w:val="-6"/>
        </w:rPr>
        <w:t>; колоквиум с домакин първия заместник-председател Франс Тимерманс в сътрудничество с комисари Йоурова и Йотингер по въпросите на медиите и демокрацията, включително ролята на етичната журналистика и медийната грамотност за демокрацията и плуралистичните общества</w:t>
      </w:r>
      <w:r>
        <w:rPr>
          <w:rStyle w:val="FootnoteReference"/>
          <w:noProof/>
          <w:spacing w:val="-6"/>
        </w:rPr>
        <w:footnoteReference w:id="18"/>
      </w:r>
      <w:r>
        <w:rPr>
          <w:noProof/>
          <w:spacing w:val="-6"/>
        </w:rPr>
        <w:t>; разговорите на високо равнище на Комисията с религиозни и неконфесионални организации през 2016 г. по въпросите на интеграцията и европейските ценности; колоквиум с домакин комисар Наврачич за насърчаване на приобщаването и популяризиране на основните ценности чрез образованието, 26 май 2016 г.</w:t>
      </w:r>
      <w:r>
        <w:rPr>
          <w:rStyle w:val="FootnoteReference"/>
          <w:noProof/>
          <w:spacing w:val="-6"/>
        </w:rPr>
        <w:footnoteReference w:id="19"/>
      </w:r>
      <w:r>
        <w:rPr>
          <w:noProof/>
          <w:spacing w:val="-6"/>
        </w:rPr>
        <w:t>; и Европейския форум за образованието, обучението и младежта</w:t>
      </w:r>
      <w:r>
        <w:rPr>
          <w:rStyle w:val="FootnoteReference"/>
          <w:noProof/>
          <w:spacing w:val="-6"/>
        </w:rPr>
        <w:footnoteReference w:id="20"/>
      </w:r>
      <w:r>
        <w:rPr>
          <w:noProof/>
          <w:spacing w:val="-6"/>
        </w:rPr>
        <w:t xml:space="preserve"> и специална среща с представители на гражданското общество</w:t>
      </w:r>
      <w:r>
        <w:rPr>
          <w:rStyle w:val="FootnoteReference"/>
          <w:noProof/>
          <w:spacing w:val="-6"/>
        </w:rPr>
        <w:footnoteReference w:id="21"/>
      </w:r>
      <w:r>
        <w:rPr>
          <w:noProof/>
          <w:spacing w:val="-6"/>
        </w:rPr>
        <w:t>, 19—21 октомври 2016 г. Проведени бяха и консултации с организации на гражданското общество в специален, основан на широко участие семинар през декември 2015 г. и със социални партньори и младежки организации през януари 2016 г. И накрая, настоящата препоръка прилага заключенията от колоквиума на Комисията за основните права от 2015 г., посветен на въпросите на предотвратяването и противодействието на омразата към евреите и мюсюлманите, включително чрез образованието</w:t>
      </w:r>
      <w:r>
        <w:rPr>
          <w:rStyle w:val="FootnoteReference"/>
          <w:noProof/>
          <w:spacing w:val="-6"/>
        </w:rPr>
        <w:footnoteReference w:id="22"/>
      </w:r>
      <w:r>
        <w:rPr>
          <w:noProof/>
          <w:spacing w:val="-6"/>
        </w:rPr>
        <w:t xml:space="preserve">. </w:t>
      </w:r>
    </w:p>
    <w:p>
      <w:pPr>
        <w:autoSpaceDE w:val="0"/>
        <w:autoSpaceDN w:val="0"/>
        <w:adjustRightInd w:val="0"/>
        <w:rPr>
          <w:noProof/>
          <w:color w:val="000000" w:themeColor="text1"/>
          <w:spacing w:val="-6"/>
          <w:szCs w:val="24"/>
        </w:rPr>
      </w:pPr>
      <w:r>
        <w:rPr>
          <w:noProof/>
          <w:color w:val="000000" w:themeColor="text1"/>
          <w:spacing w:val="-6"/>
        </w:rPr>
        <w:t xml:space="preserve">Участниците в посочените по-горе срещи изразиха силната си подкрепа и интерес към проучването на това как приобщаващото образование може да спомогне за популяризиране на общите ценности и ролята, която Европейският съюз може да играе във връзка с това. </w:t>
      </w:r>
    </w:p>
    <w:p>
      <w:pPr>
        <w:autoSpaceDE w:val="0"/>
        <w:autoSpaceDN w:val="0"/>
        <w:adjustRightInd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Работната група по рамката „Образование и обучение 2020“ за насърчаване чрез образованието на активното гражданско участие и общите ценности — свобода, толерантност и недискриминация, проведе серия от дейности за партньорско обучение по тези въпроси. Ключовите послания в резултат от тези дейности за партньорско обучение включват</w:t>
      </w:r>
      <w:r>
        <w:rPr>
          <w:rStyle w:val="FootnoteReference"/>
          <w:noProof/>
          <w:color w:val="000000" w:themeColor="text1"/>
        </w:rPr>
        <w:footnoteReference w:id="23"/>
      </w:r>
      <w:r>
        <w:rPr>
          <w:noProof/>
          <w:color w:val="000000" w:themeColor="text1"/>
        </w:rPr>
        <w:t>:</w:t>
      </w:r>
    </w:p>
    <w:p>
      <w:pPr>
        <w:pStyle w:val="Bullet1"/>
        <w:numPr>
          <w:ilvl w:val="0"/>
          <w:numId w:val="29"/>
        </w:numPr>
        <w:rPr>
          <w:noProof/>
        </w:rPr>
      </w:pPr>
      <w:r>
        <w:rPr>
          <w:noProof/>
        </w:rPr>
        <w:t>Образованието следва да не се ограничава до равните възможности, за да осигури приобщаването на кръг от най-различни учащи и да се развива към реална образователна равнопоставеност.</w:t>
      </w:r>
    </w:p>
    <w:p>
      <w:pPr>
        <w:pStyle w:val="Bullet1"/>
        <w:numPr>
          <w:ilvl w:val="0"/>
          <w:numId w:val="30"/>
        </w:numPr>
        <w:rPr>
          <w:noProof/>
          <w:spacing w:val="-2"/>
        </w:rPr>
      </w:pPr>
      <w:r>
        <w:rPr>
          <w:noProof/>
          <w:spacing w:val="-2"/>
        </w:rPr>
        <w:t>Нужно е учащите и преподавателите да се запознаят с ценностите от опит. Нужно е ценностите да се преживяват, не да се преподават. Необходимо е демократичните ценности да се прилагат в класната стая, например чрез обучение, основано на проекти, а училищата да използват активното участие на учащите, родителите, учителите и по-широката общественост, прилагайки така наречения „всеобхватен училищен подход“.</w:t>
      </w:r>
    </w:p>
    <w:p>
      <w:pPr>
        <w:pStyle w:val="Bullet1"/>
        <w:numPr>
          <w:ilvl w:val="0"/>
          <w:numId w:val="31"/>
        </w:numPr>
        <w:rPr>
          <w:noProof/>
        </w:rPr>
      </w:pPr>
      <w:r>
        <w:rPr>
          <w:noProof/>
        </w:rPr>
        <w:t>Би трябвало да се наблегне повече на дейности в общността, основани на ценностите, по отношение на децата, застрашени от изключване, т.е. по отношение не само на преждевременно напускащите училище, а също и на онези, които са отстранени или изключени от едно училище или от повече от едно училище и са маргинализирани. Отправени бяха също призиви за по-голяма подкрепа, включително финансова, за инициативите за предоставяне на втори/трети шанс, за индивидуалното обучение, адаптирано към индивидуалните нужди, и за наставничеството на маргинализирани и изключени деца.</w:t>
      </w:r>
    </w:p>
    <w:p>
      <w:pPr>
        <w:pStyle w:val="ManualHeading2"/>
        <w:rPr>
          <w:rFonts w:eastAsia="Arial Unicode MS"/>
          <w:noProof/>
          <w:szCs w:val="24"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Събиране и използване на експертни становища</w:t>
      </w:r>
    </w:p>
    <w:p>
      <w:pPr>
        <w:contextualSpacing/>
        <w:jc w:val="left"/>
        <w:rPr>
          <w:rFonts w:eastAsia="Times New Roman"/>
          <w:noProof/>
          <w:szCs w:val="24"/>
        </w:rPr>
      </w:pPr>
      <w:r>
        <w:rPr>
          <w:noProof/>
        </w:rPr>
        <w:t>Настоящото предложение се основава на широк кръг доклади и проучвания, както и на експертни становища, събрани чрез дейности за партньорско обучение и срещи на работната група по рамката „Образование и обучение 2020“ за насърчаване чрез образованието на активното гражданско участие и общите ценности — свобода, толерантност и недискриминация.</w:t>
      </w:r>
    </w:p>
    <w:p>
      <w:pPr>
        <w:contextualSpacing/>
        <w:jc w:val="left"/>
        <w:rPr>
          <w:rFonts w:eastAsia="Times New Roman"/>
          <w:noProof/>
          <w:szCs w:val="24"/>
        </w:rPr>
      </w:pPr>
    </w:p>
    <w:p>
      <w:pPr>
        <w:contextualSpacing/>
        <w:rPr>
          <w:noProof/>
        </w:rPr>
      </w:pPr>
      <w:r>
        <w:rPr>
          <w:noProof/>
        </w:rPr>
        <w:t xml:space="preserve">Работата на </w:t>
      </w:r>
      <w:hyperlink r:id="rId35">
        <w:r>
          <w:rPr>
            <w:rStyle w:val="Hyperlink"/>
            <w:noProof/>
          </w:rPr>
          <w:t>Европейската агенция за адаптирано и приобщаващо образование</w:t>
        </w:r>
      </w:hyperlink>
      <w:r>
        <w:rPr>
          <w:rStyle w:val="FootnoteReference"/>
        </w:rPr>
        <w:footnoteReference w:id="24"/>
      </w:r>
      <w:r>
        <w:rPr>
          <w:noProof/>
        </w:rPr>
        <w:t xml:space="preserve"> има за цел да осигури равнопоставеност, равни възможности и права за всички учащи, по-специално за онези, които са застрашени от маргинализация и изключване, като например учениците с увреждания и/или със специални образователни потребности. Тази агенция допринася за формирането на политиките на ЕС чрез различните си доклади и публикации, включително по въпросите на образованието в ранна детска възраст, преждевременното напускане на училище от учащи със специални образователни потребности и предоставянето на възможности на учителите да допринасят за постигането на приобщаващо образование.</w:t>
      </w:r>
    </w:p>
    <w:p>
      <w:pPr>
        <w:contextualSpacing/>
        <w:jc w:val="left"/>
        <w:rPr>
          <w:rFonts w:eastAsia="Times New Roman"/>
          <w:noProof/>
          <w:szCs w:val="24"/>
        </w:rPr>
      </w:pPr>
    </w:p>
    <w:p>
      <w:pPr>
        <w:rPr>
          <w:noProof/>
        </w:rPr>
      </w:pPr>
      <w:r>
        <w:rPr>
          <w:noProof/>
        </w:rPr>
        <w:t xml:space="preserve">Работата на </w:t>
      </w:r>
      <w:hyperlink r:id="rId36">
        <w:r>
          <w:rPr>
            <w:rStyle w:val="Hyperlink"/>
            <w:noProof/>
          </w:rPr>
          <w:t>Агенцията на Европейския съюз за основните права</w:t>
        </w:r>
      </w:hyperlink>
      <w:r>
        <w:rPr>
          <w:noProof/>
        </w:rPr>
        <w:t xml:space="preserve">, която има за конкретна задача да предоставя независими, основани на факти консултации във връзка с основните права и да осведомява и повишава информираността относно основните права, за да се гарантира защитата на правата на хората, живеещи в ЕС. </w:t>
      </w:r>
    </w:p>
    <w:p>
      <w:pPr>
        <w:contextualSpacing/>
        <w:jc w:val="left"/>
        <w:rPr>
          <w:rFonts w:eastAsia="Times New Roman"/>
          <w:noProof/>
          <w:szCs w:val="24"/>
        </w:rPr>
      </w:pPr>
    </w:p>
    <w:p>
      <w:pPr>
        <w:rPr>
          <w:noProof/>
          <w:color w:val="00B150"/>
        </w:rPr>
      </w:pPr>
      <w:r>
        <w:rPr>
          <w:noProof/>
        </w:rPr>
        <w:t>Данните, събрани от аналитичните доклади на академичната мрежа NESET II (Мрежа от експерти по социалните аспекти на образованието и обучението)</w:t>
      </w:r>
      <w:r>
        <w:rPr>
          <w:rStyle w:val="FootnoteReference"/>
          <w:noProof/>
        </w:rPr>
        <w:footnoteReference w:id="25"/>
      </w:r>
      <w:r>
        <w:rPr>
          <w:noProof/>
        </w:rPr>
        <w:t>, сочат, че системите за образование и обучение, които поддържат високи стандарти за качество за всички, насърчават персонализирани, приобщаващи подходи с участието на родителите, подкрепят ранната интервенция и са насочени към учащите в неравностойно положение, особено в общото образование, могат да са мощни двигатели на социалното приобщаване.</w:t>
      </w:r>
      <w:r>
        <w:rPr>
          <w:noProof/>
          <w:color w:val="23151F"/>
        </w:rPr>
        <w:t xml:space="preserve"> </w:t>
      </w:r>
      <w:r>
        <w:rPr>
          <w:noProof/>
        </w:rPr>
        <w:t>Мрежата NESET II изтъкна също, че тормозът е оскърбление за общите ценности — свобода, толерантност и недискриминация, и предостави обзор на най-ефективните стратегии и практики за предотвратяване на тормоза и насилието в училищата в целия ЕС</w:t>
      </w:r>
      <w:r>
        <w:rPr>
          <w:rStyle w:val="FootnoteReference"/>
          <w:noProof/>
        </w:rPr>
        <w:footnoteReference w:id="26"/>
      </w:r>
      <w:r>
        <w:rPr>
          <w:noProof/>
        </w:rPr>
        <w:t>.</w:t>
      </w:r>
    </w:p>
    <w:p>
      <w:pPr>
        <w:autoSpaceDE w:val="0"/>
        <w:autoSpaceDN w:val="0"/>
        <w:adjustRightInd w:val="0"/>
        <w:jc w:val="left"/>
        <w:rPr>
          <w:noProof/>
          <w:szCs w:val="24"/>
        </w:rPr>
      </w:pPr>
      <w:r>
        <w:rPr>
          <w:noProof/>
        </w:rPr>
        <w:t xml:space="preserve">Докладът на „Евридика“ за 2017 г. относно </w:t>
      </w:r>
      <w:hyperlink r:id="rId37">
        <w:r>
          <w:rPr>
            <w:rStyle w:val="Hyperlink"/>
            <w:noProof/>
          </w:rPr>
          <w:t>гражданското образование в училищата в Европа</w:t>
        </w:r>
      </w:hyperlink>
      <w:r>
        <w:rPr>
          <w:noProof/>
        </w:rPr>
        <w:t>, изготвен от името на Комисията, разглежда как може да се използва гражданското образование за създаване на ангажираща и интерактивна учебна среда чрез прилагане на иновационни педагогически методи за развиване на знанията, уменията и нагласите, нужни на младите хора, за да станат активни граждани.</w:t>
      </w:r>
    </w:p>
    <w:p>
      <w:pPr>
        <w:rPr>
          <w:noProof/>
        </w:rPr>
      </w:pPr>
      <w:r>
        <w:rPr>
          <w:noProof/>
        </w:rPr>
        <w:t xml:space="preserve">В </w:t>
      </w:r>
      <w:hyperlink r:id="rId38">
        <w:r>
          <w:rPr>
            <w:rStyle w:val="Hyperlink"/>
            <w:noProof/>
          </w:rPr>
          <w:t>Обзора на образованието и обучението</w:t>
        </w:r>
      </w:hyperlink>
      <w:r>
        <w:rPr>
          <w:noProof/>
        </w:rPr>
        <w:t xml:space="preserve"> за 2017 г. също беше подчертана необходимостта образователните системи да се направят по-приобщаващи, тъй като образователните постижения на учащите до голяма степен зависят от тяхната социално-икономическа среда.</w:t>
      </w:r>
    </w:p>
    <w:p>
      <w:pPr>
        <w:contextualSpacing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Що се отнася до работната група по рамката „Образование и обучение 2020“ и нейните специални дейности за партньорско обучение, ключовите послания, които следва да се отбележат във връзка с настоящата препоръка, включват следното:</w:t>
      </w:r>
    </w:p>
    <w:p>
      <w:pPr>
        <w:pStyle w:val="Bullet2"/>
        <w:numPr>
          <w:ilvl w:val="0"/>
          <w:numId w:val="32"/>
        </w:numPr>
        <w:rPr>
          <w:noProof/>
          <w:spacing w:val="-6"/>
        </w:rPr>
      </w:pPr>
      <w:r>
        <w:rPr>
          <w:noProof/>
          <w:spacing w:val="-6"/>
        </w:rPr>
        <w:t>Учебните институции следва да се превърнат в неделима част от местната общност и да съдействат за насърчаване на по-тясното сътрудничество с гражданското общество, младежките организации, местните органи и бизнес сектора в подкрепа на образоването на младите хора.</w:t>
      </w:r>
    </w:p>
    <w:p>
      <w:pPr>
        <w:pStyle w:val="Bullet2"/>
        <w:rPr>
          <w:noProof/>
          <w:spacing w:val="-6"/>
        </w:rPr>
      </w:pPr>
      <w:r>
        <w:rPr>
          <w:noProof/>
          <w:spacing w:val="-6"/>
        </w:rPr>
        <w:t>Демократичната и приобщаваща култура на учене, която цени различията и дава възможност за диалог и за обсъждане на спорни въпроси, е от съществено значение за социално-емоционалното учене и за придобиването на социални и граждански компетентности.</w:t>
      </w:r>
    </w:p>
    <w:p>
      <w:pPr>
        <w:pStyle w:val="Bullet2"/>
        <w:rPr>
          <w:noProof/>
        </w:rPr>
      </w:pPr>
      <w:r>
        <w:rPr>
          <w:noProof/>
        </w:rPr>
        <w:t>Необходимо е учителите да бъдат подпомагани и подготвяни да управляват различията и да развиват социалните и гражданските компетентности на учащите чрез начална подготовка на учителите, продължаващо професионално развитие, практически инструменти и постоянна подкрепа и насоки.</w:t>
      </w:r>
    </w:p>
    <w:p>
      <w:pPr>
        <w:pStyle w:val="ManualHeading2"/>
        <w:rPr>
          <w:rFonts w:eastAsia="Arial Unicode MS"/>
          <w:noProof/>
          <w:szCs w:val="24"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Оценка на въздействието</w:t>
      </w:r>
    </w:p>
    <w:p>
      <w:pPr>
        <w:rPr>
          <w:noProof/>
          <w:szCs w:val="24"/>
        </w:rPr>
      </w:pPr>
      <w:r>
        <w:rPr>
          <w:noProof/>
        </w:rPr>
        <w:t>Предвид допълващата функция на предложените дейности по отношение на инициативите на държавите членки, доброволния характер на предложените дейности и приложното поле на очакваните въздействия, оценка на въздействието не беше необходима и затова не беше извършена. По-скоро предложението беше изготвено въз основа на информация от предишни проучвания, консултации с държавите членки и обществената консултация.</w:t>
      </w:r>
    </w:p>
    <w:p>
      <w:pPr>
        <w:pStyle w:val="ManualHeading2"/>
        <w:rPr>
          <w:rFonts w:eastAsia="Arial Unicode MS"/>
          <w:noProof/>
          <w:szCs w:val="24"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Пригодност и опростяване на законодателството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noProof/>
          <w:szCs w:val="24"/>
        </w:rPr>
      </w:pPr>
      <w:r>
        <w:rPr>
          <w:noProof/>
        </w:rPr>
        <w:t>Не е приложимо.</w:t>
      </w:r>
    </w:p>
    <w:p>
      <w:pPr>
        <w:pStyle w:val="ManualHeading2"/>
        <w:rPr>
          <w:rFonts w:eastAsia="Arial Unicode MS"/>
          <w:noProof/>
          <w:szCs w:val="24"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Основни права</w:t>
      </w:r>
    </w:p>
    <w:p>
      <w:pPr>
        <w:pStyle w:val="ManualHeading1"/>
        <w:tabs>
          <w:tab w:val="clear" w:pos="850"/>
          <w:tab w:val="left" w:pos="0"/>
        </w:tabs>
        <w:spacing w:before="120"/>
        <w:ind w:left="0" w:firstLine="0"/>
        <w:jc w:val="left"/>
        <w:rPr>
          <w:b w:val="0"/>
          <w:smallCaps w:val="0"/>
          <w:noProof/>
          <w:szCs w:val="24"/>
        </w:rPr>
      </w:pPr>
      <w:r>
        <w:rPr>
          <w:b w:val="0"/>
          <w:smallCaps w:val="0"/>
          <w:noProof/>
        </w:rPr>
        <w:t>Настоящата препоръка има за цел да подпомогне държавите членки в усилията им да насърчават спазването на основните права.</w:t>
      </w:r>
    </w:p>
    <w:p>
      <w:pPr>
        <w:pStyle w:val="ManualHeading1"/>
        <w:spacing w:before="120"/>
        <w:jc w:val="left"/>
        <w:rPr>
          <w:noProof/>
          <w:szCs w:val="24"/>
        </w:rPr>
      </w:pPr>
      <w:r>
        <w:rPr>
          <w:noProof/>
        </w:rPr>
        <w:t>4.</w:t>
      </w:r>
      <w:r>
        <w:rPr>
          <w:noProof/>
        </w:rPr>
        <w:tab/>
        <w:t>ОТРАЖЕНИЕ ВЪРХУ БЮДЖЕТА</w:t>
      </w:r>
    </w:p>
    <w:p>
      <w:pPr>
        <w:rPr>
          <w:noProof/>
          <w:bdr w:val="nil"/>
        </w:rPr>
      </w:pPr>
      <w:r>
        <w:rPr>
          <w:noProof/>
        </w:rPr>
        <w:t>За тази инициатива няма да са необходими допълнителни средства от бюджета на ЕС.</w:t>
      </w:r>
    </w:p>
    <w:p>
      <w:pPr>
        <w:rPr>
          <w:noProof/>
          <w:spacing w:val="-4"/>
          <w:bdr w:val="nil"/>
        </w:rPr>
      </w:pPr>
      <w:r>
        <w:rPr>
          <w:noProof/>
          <w:spacing w:val="-4"/>
        </w:rPr>
        <w:t xml:space="preserve">Когато е уместно, ще се насърчава използването на програми на ЕС за финансиране, като „Еразъм+“, „Творческа Европа“ и „Европа за гражданите“, за подпомагане на финансирането на индивидуалната мобилност с учебна цел, виртуалния обмен, проектите за сътрудничество и доброволческите дейности, които популяризират общите ценности, приобщаването и разбирането за Европа. Това ще се извършва в съответствие с правните основания на тези програми и като се отчитат съответните им финансови възможности. </w:t>
      </w:r>
    </w:p>
    <w:p>
      <w:pPr>
        <w:pStyle w:val="ManualHeading1"/>
        <w:spacing w:before="120"/>
        <w:rPr>
          <w:noProof/>
          <w:szCs w:val="24"/>
        </w:rPr>
      </w:pPr>
      <w:r>
        <w:rPr>
          <w:noProof/>
        </w:rPr>
        <w:t>5.</w:t>
      </w:r>
      <w:r>
        <w:rPr>
          <w:noProof/>
        </w:rPr>
        <w:tab/>
        <w:t>ДРУГИ ЕЛЕМЕНТИ</w:t>
      </w:r>
    </w:p>
    <w:p>
      <w:pPr>
        <w:pStyle w:val="ManualHeading2"/>
        <w:rPr>
          <w:rFonts w:eastAsia="Arial Unicode MS"/>
          <w:noProof/>
          <w:szCs w:val="24"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Планове за изпълнение и механизми за мониторинг, оценка и докладване</w:t>
      </w:r>
    </w:p>
    <w:p>
      <w:pPr>
        <w:rPr>
          <w:noProof/>
        </w:rPr>
      </w:pPr>
      <w:r>
        <w:rPr>
          <w:noProof/>
        </w:rPr>
        <w:t>Настоящата препоръка ще бъде изпълнена чрез постоянно сътрудничество съгласно стратегическата рамка за европейско сътрудничество в областта на образованието и обучението („Образование и обучение 2020“) и всяка следваща рамка. Действията, предприети в отговор на настоящата препоръка, ще подлежат на редовен преглед чрез тези рамки, включително в Обзора на образованието и обучението.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Обяснителни документи (за директиви)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Не е приложимо.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Подробно разяснение на конкретните разпоредби на предложението</w:t>
      </w:r>
    </w:p>
    <w:p>
      <w:pPr>
        <w:rPr>
          <w:noProof/>
        </w:rPr>
      </w:pPr>
      <w:r>
        <w:rPr>
          <w:noProof/>
        </w:rPr>
        <w:t>Като взема под внимание голямото разнообразие от образователни системи и зачита принципа на субсидиарност, предложението определя няколко препоръки, от които държавите членки да се ръководят при разработването на най-ефективните мерки за популяризиране на общите ценности, осигуряване на приобщаващо образование и включване на европейско измерение на преподаването в своите специфични условия.</w:t>
      </w:r>
    </w:p>
    <w:p>
      <w:pPr>
        <w:rPr>
          <w:noProof/>
        </w:rPr>
      </w:pPr>
      <w:r>
        <w:rPr>
          <w:noProof/>
        </w:rPr>
        <w:t xml:space="preserve">Що се отнася до </w:t>
      </w:r>
      <w:r>
        <w:rPr>
          <w:b/>
          <w:noProof/>
        </w:rPr>
        <w:t>популяризирането на общите ценности</w:t>
      </w:r>
      <w:r>
        <w:rPr>
          <w:noProof/>
        </w:rPr>
        <w:t>, предложението препоръчва държавите членки:</w:t>
      </w:r>
    </w:p>
    <w:p>
      <w:pPr>
        <w:pStyle w:val="Bullet2"/>
        <w:rPr>
          <w:noProof/>
        </w:rPr>
      </w:pPr>
      <w:r>
        <w:rPr>
          <w:noProof/>
        </w:rPr>
        <w:t>да съдействат за осигуряването на специализирано гражданско образование и образование по етика;</w:t>
      </w:r>
    </w:p>
    <w:p>
      <w:pPr>
        <w:pStyle w:val="Bullet2"/>
        <w:rPr>
          <w:noProof/>
        </w:rPr>
      </w:pPr>
      <w:r>
        <w:rPr>
          <w:noProof/>
        </w:rPr>
        <w:t>да подобряват критичното мислене и медийната грамотност;</w:t>
      </w:r>
    </w:p>
    <w:p>
      <w:pPr>
        <w:pStyle w:val="Bullet2"/>
        <w:rPr>
          <w:noProof/>
        </w:rPr>
      </w:pPr>
      <w:r>
        <w:rPr>
          <w:noProof/>
        </w:rPr>
        <w:t>да насърчават активното участие на учащите, родителите и учителите в управлението на училищата и на младите хора в техните местни общности;</w:t>
      </w:r>
    </w:p>
    <w:p>
      <w:pPr>
        <w:pStyle w:val="Bullet2"/>
        <w:rPr>
          <w:noProof/>
        </w:rPr>
      </w:pPr>
      <w:r>
        <w:rPr>
          <w:noProof/>
        </w:rPr>
        <w:t xml:space="preserve">да популяризират най-добрите практики, като например посочените в Референтната рамка от компетентности за демократична култура на Съвета на Европа.  </w:t>
      </w:r>
    </w:p>
    <w:p>
      <w:pPr>
        <w:rPr>
          <w:noProof/>
          <w:spacing w:val="-2"/>
        </w:rPr>
      </w:pPr>
      <w:r>
        <w:rPr>
          <w:noProof/>
          <w:spacing w:val="-2"/>
        </w:rPr>
        <w:t xml:space="preserve">Що се отнася до </w:t>
      </w:r>
      <w:r>
        <w:rPr>
          <w:b/>
          <w:noProof/>
          <w:spacing w:val="-2"/>
        </w:rPr>
        <w:t>приобщаващото образование</w:t>
      </w:r>
      <w:r>
        <w:rPr>
          <w:noProof/>
          <w:spacing w:val="-2"/>
        </w:rPr>
        <w:t xml:space="preserve"> за всички учащи, предложението препоръчва:</w:t>
      </w:r>
    </w:p>
    <w:p>
      <w:pPr>
        <w:pStyle w:val="Bullet2"/>
        <w:rPr>
          <w:noProof/>
        </w:rPr>
      </w:pPr>
      <w:r>
        <w:rPr>
          <w:noProof/>
        </w:rPr>
        <w:t>Включване на всички деца в образованието от ранна възраст, като се подпомагат учениците със специфични образователни потребности; предлагане на гъвкавост при преходите между различните образователни равнища; и осигуряване на достатъчно образователно и професионално ориентиране.</w:t>
      </w:r>
    </w:p>
    <w:p>
      <w:pPr>
        <w:pStyle w:val="Bullet2"/>
        <w:rPr>
          <w:noProof/>
        </w:rPr>
      </w:pPr>
      <w:r>
        <w:rPr>
          <w:noProof/>
        </w:rPr>
        <w:t>Използване на експертните знания и подкрепата на Европейската агенция за адаптирано и приобщаващо образование.</w:t>
      </w:r>
    </w:p>
    <w:p>
      <w:pPr>
        <w:rPr>
          <w:noProof/>
          <w:spacing w:val="-4"/>
        </w:rPr>
      </w:pPr>
      <w:r>
        <w:rPr>
          <w:noProof/>
          <w:spacing w:val="-4"/>
        </w:rPr>
        <w:t xml:space="preserve">Що се отнася до </w:t>
      </w:r>
      <w:r>
        <w:rPr>
          <w:b/>
          <w:noProof/>
          <w:spacing w:val="-4"/>
        </w:rPr>
        <w:t>европейското измерение на преподаването</w:t>
      </w:r>
      <w:r>
        <w:rPr>
          <w:noProof/>
          <w:spacing w:val="-4"/>
        </w:rPr>
        <w:t>, предложението препоръчва:</w:t>
      </w:r>
    </w:p>
    <w:p>
      <w:pPr>
        <w:pStyle w:val="Bullet2"/>
        <w:rPr>
          <w:noProof/>
        </w:rPr>
      </w:pPr>
      <w:r>
        <w:rPr>
          <w:noProof/>
        </w:rPr>
        <w:t>Улесняване на придобиването на знания относно ЕС и неговите държави членки и насърчаване на участието в инициативи за мобилност и e-Twinning („електронно побратимяване“) и в проекти на място.</w:t>
      </w:r>
    </w:p>
    <w:p>
      <w:pPr>
        <w:rPr>
          <w:noProof/>
        </w:rPr>
      </w:pPr>
      <w:r>
        <w:rPr>
          <w:noProof/>
        </w:rPr>
        <w:t>За осъществяване на посоченото по-горе предложението препоръчва учителите да бъдат подпомагани с достатъчно начална подготовка и продължаващо обучение по гражданско образование и приобщаващи педагогически методи и да се улесни участието им в програми за обмен и обучение.</w:t>
      </w:r>
    </w:p>
    <w:p>
      <w:pPr>
        <w:rPr>
          <w:noProof/>
        </w:rPr>
      </w:pPr>
      <w:r>
        <w:rPr>
          <w:noProof/>
        </w:rPr>
        <w:t xml:space="preserve">Текстът предлага конкретни мерки за изпълнение, които ще помогнат на органите на държавите членки да постигнат тези цели.  </w:t>
      </w:r>
    </w:p>
    <w:p>
      <w:pPr>
        <w:rPr>
          <w:noProof/>
        </w:rPr>
        <w:sectPr>
          <w:footerReference w:type="default" r:id="rId39"/>
          <w:footerReference w:type="first" r:id="rId40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  <w:r>
        <w:rPr>
          <w:noProof/>
        </w:rPr>
        <w:t>Предложението също така приветства намерението на Комисията да подпомага държавите членки при изпълнението на посочените по-горе препоръки, включително чрез финансиране на образователната мобилност, взаимния обмен, проектите за сътрудничество, доброволчеството и работата с млади хора, чрез партньорско обучение и обмен на добри практики чрез рамката „Образование и обучение 2020“ и чрез разработване на фактологичната основа за реформи на политиките.</w:t>
      </w:r>
    </w:p>
    <w:p>
      <w:pPr>
        <w:pStyle w:val="Rfrenceinterinstitutionnelle"/>
        <w:rPr>
          <w:noProof/>
        </w:rPr>
      </w:pPr>
      <w:r>
        <w:rPr>
          <w:noProof/>
        </w:rPr>
        <w:t>2018/0007 (NLE)</w:t>
      </w:r>
    </w:p>
    <w:p>
      <w:pPr>
        <w:pStyle w:val="Statut"/>
        <w:rPr>
          <w:noProof/>
        </w:rPr>
      </w:pPr>
      <w:r>
        <w:rPr>
          <w:noProof/>
        </w:rPr>
        <w:t>Предложение за</w:t>
      </w:r>
    </w:p>
    <w:p>
      <w:pPr>
        <w:pStyle w:val="Typedudocument"/>
        <w:rPr>
          <w:noProof/>
        </w:rPr>
      </w:pPr>
      <w:r>
        <w:rPr>
          <w:noProof/>
        </w:rPr>
        <w:t>ПРЕПОРЪКА НА СЪВЕТА</w:t>
      </w:r>
    </w:p>
    <w:p>
      <w:pPr>
        <w:pStyle w:val="Titreobjet"/>
        <w:rPr>
          <w:noProof/>
        </w:rPr>
      </w:pPr>
      <w:r>
        <w:rPr>
          <w:noProof/>
        </w:rPr>
        <w:t>относно насърчаването на общите ценности, приобщаващото образование и европейското измерение на преподаването</w:t>
      </w:r>
    </w:p>
    <w:p>
      <w:pPr>
        <w:pStyle w:val="Institutionquiagit"/>
        <w:rPr>
          <w:noProof/>
        </w:rPr>
      </w:pPr>
      <w:r>
        <w:rPr>
          <w:noProof/>
        </w:rPr>
        <w:t>СЪВЕТЪТ НА ЕВРОПЕЙСКИЯ СЪЮЗ,</w:t>
      </w:r>
    </w:p>
    <w:p>
      <w:pPr>
        <w:rPr>
          <w:noProof/>
        </w:rPr>
      </w:pPr>
      <w:r>
        <w:rPr>
          <w:noProof/>
        </w:rPr>
        <w:t>като взе предвид Договора за функционирането на Европейския съюз, и по-специално членове 165 и 166 от него,</w:t>
      </w:r>
    </w:p>
    <w:p>
      <w:pPr>
        <w:rPr>
          <w:noProof/>
        </w:rPr>
      </w:pPr>
      <w:r>
        <w:rPr>
          <w:noProof/>
        </w:rPr>
        <w:t>като взе предвид предложението на Европейската комисия,</w:t>
      </w:r>
    </w:p>
    <w:p>
      <w:pPr>
        <w:rPr>
          <w:noProof/>
        </w:rPr>
      </w:pPr>
      <w:r>
        <w:rPr>
          <w:noProof/>
        </w:rPr>
        <w:t>като има предвид, че:</w:t>
      </w:r>
    </w:p>
    <w:p>
      <w:pPr>
        <w:pStyle w:val="ManualConsidrant"/>
        <w:rPr>
          <w:noProof/>
        </w:rPr>
      </w:pPr>
      <w:r>
        <w:t>(1)</w:t>
      </w:r>
      <w:r>
        <w:tab/>
      </w:r>
      <w:r>
        <w:rPr>
          <w:noProof/>
        </w:rPr>
        <w:t>В член 2 от Договора за Европейския съюз се посочва, че „Съюзът се основава на ценностите на зачитане на човешкото достойнство, на свободата, демокрацията, равенството, правовата държава, както и на зачитането на правата на човека, включително правата на лицата, които принадлежат към малцинства. Тези ценности са общи за държавите членки в общество, чиито характеристики са плурализмът, недискриминацията, толерантността, справедливостта, солидарността и равенството между жените и мъжете“.</w:t>
      </w:r>
    </w:p>
    <w:p>
      <w:pPr>
        <w:pStyle w:val="ManualConsidrant"/>
        <w:rPr>
          <w:noProof/>
        </w:rPr>
      </w:pPr>
      <w:r>
        <w:t>(2)</w:t>
      </w:r>
      <w:r>
        <w:tab/>
      </w:r>
      <w:r>
        <w:rPr>
          <w:noProof/>
        </w:rPr>
        <w:t>Вдъхновен от тези ценности Съюзът успя да обедини държави, общности и хора в един уникален политически проект, който направи възможен най-дългия мирен период в историята на Европа, а това на свой ред доведе до социална стабилност и икономически разцвет. Възприемането от държавите членки на ценностите, посочени в Договора, създава общата основа, която определя отличителните особености на европейския начин на живот и европейската идентичност, както и мястото на Съюза на световната сцена.</w:t>
      </w:r>
    </w:p>
    <w:p>
      <w:pPr>
        <w:pStyle w:val="ManualConsidrant"/>
        <w:rPr>
          <w:noProof/>
        </w:rPr>
      </w:pPr>
      <w:r>
        <w:t>(3)</w:t>
      </w:r>
      <w:r>
        <w:tab/>
      </w:r>
      <w:r>
        <w:rPr>
          <w:noProof/>
        </w:rPr>
        <w:t>Съюзът и неговите държави членки са изправени пред различни предизвикателства, включително популизъм, ксенофобия, национализъм, причиняващ разделение, дискриминация, разпространяването на фалшиви новини и погрешна информация, както и радикализация. Тези явления могат да представляват сериозна заплаха за основите на нашите демокрации, да нарушат доверието в правовата държава и демократичните институции и да пречат на общото чувство на принадлежност в рамките на нашите европейски общества и между тях.</w:t>
      </w:r>
    </w:p>
    <w:p>
      <w:pPr>
        <w:pStyle w:val="ManualConsidrant"/>
        <w:rPr>
          <w:noProof/>
        </w:rPr>
      </w:pPr>
      <w:r>
        <w:t>(4)</w:t>
      </w:r>
      <w:r>
        <w:tab/>
      </w:r>
      <w:r>
        <w:rPr>
          <w:noProof/>
        </w:rPr>
        <w:t>Липсата на осведоменост относно произхода на Съюза, причините за неговото създаване и основните му функции благоприятства невярната информация и пречи на формирането на информирани мнения относно неговите действия. Познаването на многообразието на Съюза и неговите държави членки спомага за взаимното уважение, разбирателството и сътрудничеството в рамките на държавите членки и между тях.</w:t>
      </w:r>
    </w:p>
    <w:p>
      <w:pPr>
        <w:pStyle w:val="ManualConsidrant"/>
        <w:rPr>
          <w:noProof/>
        </w:rPr>
      </w:pPr>
      <w:r>
        <w:t>(5)</w:t>
      </w:r>
      <w:r>
        <w:tab/>
      </w:r>
      <w:r>
        <w:rPr>
          <w:noProof/>
        </w:rPr>
        <w:t xml:space="preserve">Образованието на всички равнища и от ранна възраст играе главна роля за насърчаване на общите ценности и за приучаване към тях. То помага да се осигури социално приобщаване, като предоставя на всяко дете добри шансове за успех. То осигурява на децата възможности да станат активни граждани с критичен поглед и подобрява разбирането на европейската идентичност. </w:t>
      </w:r>
    </w:p>
    <w:p>
      <w:pPr>
        <w:pStyle w:val="ManualConsidrant"/>
        <w:rPr>
          <w:noProof/>
        </w:rPr>
      </w:pPr>
      <w:r>
        <w:t>(6)</w:t>
      </w:r>
      <w:r>
        <w:tab/>
      </w:r>
      <w:r>
        <w:rPr>
          <w:noProof/>
        </w:rPr>
        <w:t>На срещата по програмата на лидерите през ноември 2017 г. в Гьотеборг европейските лидери обсъдиха значението на образованието и културата за бъдещето на Европа. Като принос към този дебат Комисията изложи виждането си за европейско пространство за образование и предложи няколко инициативи в своето съобщение „Укрепване на европейската идентичност чрез образование и култура</w:t>
      </w:r>
      <w:r>
        <w:rPr>
          <w:rStyle w:val="FootnoteReference"/>
          <w:noProof/>
        </w:rPr>
        <w:footnoteReference w:id="27"/>
      </w:r>
      <w:r>
        <w:rPr>
          <w:noProof/>
        </w:rPr>
        <w:t xml:space="preserve">“, в което се посочва, че </w:t>
      </w:r>
      <w:r>
        <w:rPr>
          <w:i/>
          <w:noProof/>
        </w:rPr>
        <w:t>„укрепването на европейската идентичност продължава да бъде от съществено значение, а образованието и културата представляват най-добрите вектори за това“</w:t>
      </w:r>
      <w:r>
        <w:rPr>
          <w:noProof/>
        </w:rPr>
        <w:t>.</w:t>
      </w:r>
    </w:p>
    <w:p>
      <w:pPr>
        <w:pStyle w:val="ManualConsidrant"/>
        <w:rPr>
          <w:noProof/>
        </w:rPr>
      </w:pPr>
      <w:r>
        <w:t>(7)</w:t>
      </w:r>
      <w:r>
        <w:tab/>
      </w:r>
      <w:r>
        <w:rPr>
          <w:noProof/>
        </w:rPr>
        <w:t>Една от целите на рамката за европейско сътрудничество в областта на образованието и обучението „Образование и обучение 2020“</w:t>
      </w:r>
      <w:r>
        <w:rPr>
          <w:rStyle w:val="FootnoteReference"/>
          <w:noProof/>
          <w:spacing w:val="-2"/>
        </w:rPr>
        <w:footnoteReference w:id="28"/>
      </w:r>
      <w:r>
        <w:rPr>
          <w:noProof/>
        </w:rPr>
        <w:t xml:space="preserve"> — насърчаване на равнопоставеността, социалното сближаване и активното гражданско участие — е определена въз основа на необходимостта образованието да насърчава междукултурните компетентности, демократичните ценности и зачитането на основните права, да се бори срещу всички форми на дискриминация и расизъм и да подготвя младите хора за положително взаимодействие с връстниците им от различен произход.</w:t>
      </w:r>
    </w:p>
    <w:p>
      <w:pPr>
        <w:pStyle w:val="ManualConsidrant"/>
        <w:rPr>
          <w:noProof/>
        </w:rPr>
      </w:pPr>
      <w:r>
        <w:t>(8)</w:t>
      </w:r>
      <w:r>
        <w:tab/>
      </w:r>
      <w:r>
        <w:rPr>
          <w:noProof/>
        </w:rPr>
        <w:t>Парижката декларация</w:t>
      </w:r>
      <w:r>
        <w:rPr>
          <w:rStyle w:val="FootnoteReference"/>
          <w:noProof/>
        </w:rPr>
        <w:footnoteReference w:id="29"/>
      </w:r>
      <w:r>
        <w:rPr>
          <w:noProof/>
        </w:rPr>
        <w:t>, приета на 17 март 2015 г. от министрите на образованието на европейски държави, заяви ангажимента на държавите членки да популяризират общите ценности и да подобряват критичното мислене и медийната грамотност, приобщаващото образование и междукултурния диалог. Отговорите, дадени в обществена консултация в целия ЕС</w:t>
      </w:r>
      <w:r>
        <w:rPr>
          <w:rStyle w:val="FootnoteReference"/>
          <w:noProof/>
        </w:rPr>
        <w:footnoteReference w:id="30"/>
      </w:r>
      <w:r>
        <w:rPr>
          <w:noProof/>
        </w:rPr>
        <w:t>, ясно сочат, че приобщаващото образование следва да се насърчава. Едва 16 % от респондентите смятат, че понастоящем образованието постига тази цел. 95 % са на мнение, че образованието следва да помага на младите хора да разберат значимостта на общите ценности и че Съюзът следва да помогне на държавите членки да изпълнят тази задача (98 %).</w:t>
      </w:r>
    </w:p>
    <w:p>
      <w:pPr>
        <w:pStyle w:val="ManualConsidrant"/>
        <w:rPr>
          <w:noProof/>
        </w:rPr>
      </w:pPr>
      <w:r>
        <w:t>(9)</w:t>
      </w:r>
      <w:r>
        <w:tab/>
      </w:r>
      <w:r>
        <w:rPr>
          <w:noProof/>
        </w:rPr>
        <w:t>Проучването на „Евридика“ за 2017 г. относно гражданското образование в училищата в Европа</w:t>
      </w:r>
      <w:r>
        <w:rPr>
          <w:rStyle w:val="FootnoteReference"/>
          <w:noProof/>
        </w:rPr>
        <w:footnoteReference w:id="31"/>
      </w:r>
      <w:r>
        <w:rPr>
          <w:noProof/>
        </w:rPr>
        <w:t xml:space="preserve"> показва, че понастоящем гражданското образование е в центъра на вниманието на няколко европейски държави. Близо половината от държавите обаче все още нямат политика за включване на гражданското образование в началната подготовка на учителите. Затова чрез конкретни мерки учителите следва да бъдат подпомагани и подготвяни да създадат една отворена култура на учене и да се справят с разнообразни групи учащи, за да преподават граждански компетентности, да предават споделеното наследство на Европа и общите ценности и да бъдат за учащите пример за подражание.</w:t>
      </w:r>
    </w:p>
    <w:p>
      <w:pPr>
        <w:pStyle w:val="ManualConsidrant"/>
        <w:rPr>
          <w:noProof/>
        </w:rPr>
      </w:pPr>
      <w:r>
        <w:t>(10)</w:t>
      </w:r>
      <w:r>
        <w:tab/>
      </w:r>
      <w:r>
        <w:rPr>
          <w:noProof/>
        </w:rPr>
        <w:t>Радикализацията, водеща до насилнически екстремизъм, продължава да бъде сериозен проблем в няколко държави членки. Популяризирането на общите ценности като средство за социално сближаване и за интеграция, включително чрез образователните политики, е неразделна част от решението. За да се помогне на държавите членки в усилията им, през юли 2017 г. Европейската комисия създаде група на високо равнище по въпросите на радикализацията</w:t>
      </w:r>
      <w:r>
        <w:rPr>
          <w:rStyle w:val="FootnoteReference"/>
          <w:noProof/>
        </w:rPr>
        <w:footnoteReference w:id="32"/>
      </w:r>
      <w:r>
        <w:rPr>
          <w:noProof/>
        </w:rPr>
        <w:t>, която да определя мерки за подкрепа, включително в областта на образованието.</w:t>
      </w:r>
    </w:p>
    <w:p>
      <w:pPr>
        <w:pStyle w:val="ManualConsidrant"/>
        <w:rPr>
          <w:noProof/>
        </w:rPr>
      </w:pPr>
      <w:r>
        <w:t>(11)</w:t>
      </w:r>
      <w:r>
        <w:tab/>
      </w:r>
      <w:r>
        <w:rPr>
          <w:noProof/>
        </w:rPr>
        <w:t>Последните резултати от проучването на PISA</w:t>
      </w:r>
      <w:r>
        <w:rPr>
          <w:rStyle w:val="FootnoteReference"/>
          <w:noProof/>
          <w:spacing w:val="-4"/>
        </w:rPr>
        <w:footnoteReference w:id="33"/>
      </w:r>
      <w:r>
        <w:rPr>
          <w:noProof/>
        </w:rPr>
        <w:t xml:space="preserve"> и Обзора на образованието и обучението за 2017 г.</w:t>
      </w:r>
      <w:r>
        <w:rPr>
          <w:rStyle w:val="FootnoteReference"/>
          <w:noProof/>
          <w:spacing w:val="-4"/>
        </w:rPr>
        <w:footnoteReference w:id="34"/>
      </w:r>
      <w:r>
        <w:rPr>
          <w:noProof/>
        </w:rPr>
        <w:t xml:space="preserve"> подчертават връзката между неравенствата в образованието и социално-икономическата среда на учениците. Данните на PISA показват, че за учениците от по-бедни домакинства е три пъти по-вероятно да се справят по-зле отколкото техните по-заможни съученици и че за учениците от мигрантски семейства е над два пъти по-вероятно да имат слаби резултати в сравнение с останалите ученици. За предотвратяване на маргинализацията на младите хора е жизненоважно да имаме приобщаващи и справедливи образователни системи, които спомагат за развитието на сплотени общества, полагат основите за активно гражданско участие и подобряват пригодността за заетост. </w:t>
      </w:r>
    </w:p>
    <w:p>
      <w:pPr>
        <w:pStyle w:val="ManualConsidrant"/>
        <w:rPr>
          <w:noProof/>
        </w:rPr>
      </w:pPr>
      <w:r>
        <w:t>(12)</w:t>
      </w:r>
      <w:r>
        <w:tab/>
      </w:r>
      <w:r>
        <w:rPr>
          <w:noProof/>
        </w:rPr>
        <w:t>Проучванията на „Евробарометър“ показват необикновено ниско равнище на познания за Съюза. Според проучване на общественото мнение от 2014 г. 44 % от хората считат, че познанията им за начина, по който Съюзът функционира</w:t>
      </w:r>
      <w:r>
        <w:rPr>
          <w:rStyle w:val="FootnoteReference"/>
          <w:noProof/>
        </w:rPr>
        <w:footnoteReference w:id="35"/>
      </w:r>
      <w:r>
        <w:rPr>
          <w:noProof/>
        </w:rPr>
        <w:t>, са ограничени, а проучване от 2011 г. показва, че относително мнозинство от анкетираните считат, че не са добре информирани за Европейския съюз</w:t>
      </w:r>
      <w:r>
        <w:rPr>
          <w:rStyle w:val="FootnoteReference"/>
          <w:noProof/>
        </w:rPr>
        <w:footnoteReference w:id="36"/>
      </w:r>
      <w:r>
        <w:rPr>
          <w:noProof/>
        </w:rPr>
        <w:t>. Същото проучване разкрива и че една трета от хората не знаят колко точно държави членки има в Съюза</w:t>
      </w:r>
      <w:r>
        <w:rPr>
          <w:rStyle w:val="FootnoteReference"/>
          <w:noProof/>
        </w:rPr>
        <w:footnoteReference w:id="37"/>
      </w:r>
      <w:r>
        <w:rPr>
          <w:noProof/>
        </w:rPr>
        <w:t>. И накрая, последното проучване на Евробарометър</w:t>
      </w:r>
      <w:r>
        <w:rPr>
          <w:rStyle w:val="FootnoteReference"/>
          <w:noProof/>
        </w:rPr>
        <w:footnoteReference w:id="38"/>
      </w:r>
      <w:r>
        <w:rPr>
          <w:noProof/>
        </w:rPr>
        <w:t xml:space="preserve"> показва, че 35 % от респондентите считат съпоставимите образователни стандарти за най-полезни за бъдещето на Европа. </w:t>
      </w:r>
    </w:p>
    <w:p>
      <w:pPr>
        <w:pStyle w:val="ManualConsidrant"/>
        <w:rPr>
          <w:noProof/>
        </w:rPr>
      </w:pPr>
      <w:r>
        <w:t>(13)</w:t>
      </w:r>
      <w:r>
        <w:tab/>
      </w:r>
      <w:r>
        <w:rPr>
          <w:noProof/>
        </w:rPr>
        <w:t>На този фон най-важно е държавите членки да положат повече усилия за изпълнение на всички цели на Парижката декларация от 2015 г. Особено важно е да продължат да се насърчават общите ценности като средства за сближаване и приобщаване, да се благоприятства създаването на учебна среда, насърчаваща участието, на всички образователни равнища, да се подобри подготовката на учителите по въпросите на гражданското участие и многообразието и да се подобряват медийната грамотност и уменията за критично мислене на всички учащи.</w:t>
      </w:r>
    </w:p>
    <w:p>
      <w:pPr>
        <w:pStyle w:val="ManualConsidrant"/>
        <w:rPr>
          <w:noProof/>
        </w:rPr>
      </w:pPr>
      <w:r>
        <w:t>(14)</w:t>
      </w:r>
      <w:r>
        <w:tab/>
      </w:r>
      <w:r>
        <w:rPr>
          <w:noProof/>
        </w:rPr>
        <w:t xml:space="preserve">Осигуряването на ефективен равен достъп до висококачествено приобщаващо образование за всички учащи, включително за произхождащите от семейства на мигранти, за тези в неравностойно социално-икономическо положение и за тези със специални потребности, е крайно необходимо за постигането на по-сплотени общества. В тези свои усилия държавите членки могат да се възползват от съществуващите инструменти на Съюза, по-конкретно „Еразъм+“, Европейските структурни и инвестиционни фондове, „Творческа Европа“, „Европа за гражданите“, програмата „Права, равенство и гражданство“, Европейския корпус за солидарност и „Хоризонт 2020“, както и от насоките и експертния опит на Европейската агенция за адаптирано и приобщаващо образование. </w:t>
      </w:r>
    </w:p>
    <w:p>
      <w:pPr>
        <w:pStyle w:val="ManualConsidrant"/>
        <w:rPr>
          <w:noProof/>
        </w:rPr>
      </w:pPr>
      <w:r>
        <w:t>(15)</w:t>
      </w:r>
      <w:r>
        <w:tab/>
      </w:r>
      <w:r>
        <w:rPr>
          <w:noProof/>
        </w:rPr>
        <w:t>Програмата „Еразъм+“ показва, че мобилността и трансграничните контакти са най-ефективният начин да изживеем европейската си идентичност. Много важно е всички категории учащи да се възползват еднакво от възможностите, предлагани от тази програма, по-специално чрез училищен обмен между държавите членки. Виртуалната мобилност, по-специално чрез мрежата e-Twinning, е отлично средство, даващо възможност за преки контакти между учениците. Тя следва да се използва по-широко през следващите години, също така в съчетание с физическата мобилност.</w:t>
      </w:r>
    </w:p>
    <w:p>
      <w:pPr>
        <w:pStyle w:val="ManualConsidrant"/>
        <w:rPr>
          <w:noProof/>
        </w:rPr>
      </w:pPr>
      <w:r>
        <w:t>(16)</w:t>
      </w:r>
      <w:r>
        <w:tab/>
      </w:r>
      <w:r>
        <w:rPr>
          <w:noProof/>
        </w:rPr>
        <w:t>Въвеждането на европейско измерение на преподаването следва да има за цел да помага на учащите да почувстват европейската идентичност в цялото нейно многообразие и да укрепва чувството им на европейска принадлежност, допълващо техните местни, регионални и национални идентичности и традиции. То е важно също за насърчаването на по-доброто разбиране на Съюза, както и разбирането на неговите държави членки.</w:t>
      </w:r>
    </w:p>
    <w:p>
      <w:pPr>
        <w:pStyle w:val="ManualConsidrant"/>
        <w:rPr>
          <w:noProof/>
        </w:rPr>
      </w:pPr>
      <w:r>
        <w:t>(17)</w:t>
      </w:r>
      <w:r>
        <w:tab/>
      </w:r>
      <w:r>
        <w:rPr>
          <w:noProof/>
        </w:rPr>
        <w:t xml:space="preserve">Настоящата препоръка е в пълно съответствие с принципа на субсидиарност и на пропорционалност. Съдържанието на тази препоръка не засяга съществуващите национални инициативи в тези области, по-специално националното гражданско образование.  </w:t>
      </w:r>
    </w:p>
    <w:p>
      <w:pPr>
        <w:spacing w:before="0" w:after="200" w:line="276" w:lineRule="auto"/>
        <w:jc w:val="left"/>
        <w:rPr>
          <w:noProof/>
        </w:rPr>
      </w:pPr>
      <w:r>
        <w:rPr>
          <w:noProof/>
        </w:rPr>
        <w:br w:type="page"/>
      </w:r>
    </w:p>
    <w:p>
      <w:pPr>
        <w:pStyle w:val="Formuledadoption"/>
        <w:rPr>
          <w:b/>
          <w:noProof/>
        </w:rPr>
      </w:pPr>
      <w:r>
        <w:rPr>
          <w:b/>
          <w:noProof/>
        </w:rPr>
        <w:t>ПРИЕ НАСТОЯЩАТА ПРЕПОРЪКА</w:t>
      </w:r>
    </w:p>
    <w:p>
      <w:pPr>
        <w:rPr>
          <w:b/>
          <w:noProof/>
        </w:rPr>
      </w:pPr>
      <w:r>
        <w:rPr>
          <w:b/>
          <w:noProof/>
        </w:rPr>
        <w:t>Държавите членки следва:</w:t>
      </w:r>
    </w:p>
    <w:p>
      <w:pPr>
        <w:rPr>
          <w:b/>
          <w:noProof/>
        </w:rPr>
      </w:pPr>
      <w:r>
        <w:rPr>
          <w:b/>
          <w:noProof/>
        </w:rPr>
        <w:t>Насърчаване на общите ценности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>Да увеличат споделянето на общите ценности, изложени в член 2 от Договора за Европейския съюз, от ранна възраст и на всички равнища на образованието, с цел укрепване на социалното сближаване и на общо чувство на принадлежност на местно, регионално и национално равнище и на равнище ЕС.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Да продължат да изпълняват ангажиментите от Парижката декларация, по-специално чрез:</w:t>
      </w:r>
    </w:p>
    <w:p>
      <w:pPr>
        <w:pStyle w:val="Point1"/>
        <w:rPr>
          <w:noProof/>
        </w:rPr>
      </w:pPr>
      <w:r>
        <w:rPr>
          <w:noProof/>
        </w:rPr>
        <w:t>а)</w:t>
      </w:r>
      <w:r>
        <w:rPr>
          <w:noProof/>
        </w:rPr>
        <w:tab/>
        <w:t>насърчаване на гражданското образование и образованието по етика, както и атмосфера на откритост в класната стая, благоприятстваща толерантните и демократични отношения;</w:t>
      </w:r>
    </w:p>
    <w:p>
      <w:pPr>
        <w:pStyle w:val="Point1"/>
        <w:rPr>
          <w:noProof/>
        </w:rPr>
      </w:pPr>
      <w:r>
        <w:rPr>
          <w:noProof/>
        </w:rPr>
        <w:t>б)</w:t>
      </w:r>
      <w:r>
        <w:rPr>
          <w:noProof/>
        </w:rPr>
        <w:tab/>
      </w:r>
      <w:r>
        <w:rPr>
          <w:noProof/>
        </w:rPr>
        <w:tab/>
        <w:t>подобряване на критичното мислене и медийната грамотност, по-специално при използването на интернет и социалните медии, за да се повиши осведомеността относно рисковете, свързани с надеждността на източниците на информация, и да се подпомогне формирането на разумна преценка;</w:t>
      </w:r>
    </w:p>
    <w:p>
      <w:pPr>
        <w:pStyle w:val="Point1"/>
        <w:rPr>
          <w:noProof/>
        </w:rPr>
      </w:pPr>
      <w:r>
        <w:rPr>
          <w:noProof/>
        </w:rPr>
        <w:t>в)</w:t>
      </w:r>
      <w:r>
        <w:rPr>
          <w:noProof/>
        </w:rPr>
        <w:tab/>
      </w:r>
      <w:r>
        <w:rPr>
          <w:noProof/>
        </w:rPr>
        <w:tab/>
        <w:t>изграждане на структури, спомагащи за активното участие на учителите, родителите, учащите и по-широката общественост в управлението на училищата; както и</w:t>
      </w:r>
    </w:p>
    <w:p>
      <w:pPr>
        <w:pStyle w:val="Point1"/>
        <w:rPr>
          <w:noProof/>
        </w:rPr>
      </w:pPr>
      <w:r>
        <w:rPr>
          <w:noProof/>
        </w:rPr>
        <w:t>г)</w:t>
      </w:r>
      <w:r>
        <w:rPr>
          <w:noProof/>
        </w:rPr>
        <w:tab/>
      </w:r>
      <w:r>
        <w:rPr>
          <w:noProof/>
        </w:rPr>
        <w:tab/>
        <w:t>подкрепа за възможностите за демократично участие на младите хора и за активна и отговорна общностна ангажираност.</w:t>
      </w: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>Да използват ефективно съществуващите инструменти за насърчаване на гражданското образование, по-специално Рамката на Съвета на Европа за компетентности за демократична култура</w:t>
      </w:r>
      <w:r>
        <w:rPr>
          <w:rStyle w:val="FootnoteReference"/>
          <w:noProof/>
        </w:rPr>
        <w:footnoteReference w:id="39"/>
      </w:r>
      <w:r>
        <w:rPr>
          <w:noProof/>
        </w:rPr>
        <w:t>.</w:t>
      </w:r>
    </w:p>
    <w:p>
      <w:pPr>
        <w:rPr>
          <w:b/>
          <w:noProof/>
        </w:rPr>
      </w:pPr>
      <w:r>
        <w:rPr>
          <w:b/>
          <w:noProof/>
        </w:rPr>
        <w:t>Осигуряване на приобщаващо образование</w:t>
      </w:r>
    </w:p>
    <w:p>
      <w:pPr>
        <w:pStyle w:val="ManualNumPar1"/>
        <w:rPr>
          <w:noProof/>
        </w:rPr>
      </w:pPr>
      <w:r>
        <w:t>4.</w:t>
      </w:r>
      <w:r>
        <w:tab/>
      </w:r>
      <w:r>
        <w:rPr>
          <w:noProof/>
        </w:rPr>
        <w:t>Да насърчават приобщаващото образование за всички учащи, по-специално чрез:</w:t>
      </w:r>
    </w:p>
    <w:p>
      <w:pPr>
        <w:pStyle w:val="Point1"/>
        <w:rPr>
          <w:noProof/>
          <w:spacing w:val="-4"/>
        </w:rPr>
      </w:pPr>
      <w:r>
        <w:rPr>
          <w:noProof/>
        </w:rPr>
        <w:t>а)</w:t>
      </w:r>
      <w:r>
        <w:rPr>
          <w:noProof/>
        </w:rPr>
        <w:tab/>
      </w:r>
      <w:r>
        <w:rPr>
          <w:noProof/>
          <w:spacing w:val="-4"/>
        </w:rPr>
        <w:t>включването на всички ученици в качествено образование от ранна възраст;</w:t>
      </w:r>
    </w:p>
    <w:p>
      <w:pPr>
        <w:pStyle w:val="Point1"/>
        <w:rPr>
          <w:noProof/>
        </w:rPr>
      </w:pPr>
      <w:r>
        <w:rPr>
          <w:noProof/>
        </w:rPr>
        <w:t>б)</w:t>
      </w:r>
      <w:r>
        <w:rPr>
          <w:noProof/>
        </w:rPr>
        <w:tab/>
        <w:t>осигуряване на необходимата подкрепа за учениците и студентите в зависимост от техните нужди, включително за учениците и студентите в неравностойно социално-икономическо положение, от мигрантски семейства, такива със специални образователни потребности и за най-талантливите учащи;</w:t>
      </w:r>
    </w:p>
    <w:p>
      <w:pPr>
        <w:pStyle w:val="Point1"/>
        <w:rPr>
          <w:noProof/>
        </w:rPr>
      </w:pPr>
      <w:r>
        <w:rPr>
          <w:noProof/>
        </w:rPr>
        <w:t>в)</w:t>
      </w:r>
      <w:r>
        <w:rPr>
          <w:noProof/>
        </w:rPr>
        <w:tab/>
        <w:t>улесняване на прехода между различните образователни равнища и осигуряване на подходящо образователно и професионално ориентиране.</w:t>
      </w:r>
    </w:p>
    <w:p>
      <w:pPr>
        <w:pStyle w:val="ManualNumPar1"/>
        <w:rPr>
          <w:noProof/>
        </w:rPr>
      </w:pPr>
      <w:r>
        <w:t>5.</w:t>
      </w:r>
      <w:r>
        <w:tab/>
      </w:r>
      <w:r>
        <w:rPr>
          <w:noProof/>
        </w:rPr>
        <w:t>Да използват ефективно Европейската агенция за адаптирано и приобщаващо образование</w:t>
      </w:r>
      <w:r>
        <w:rPr>
          <w:rStyle w:val="FootnoteReference"/>
          <w:noProof/>
        </w:rPr>
        <w:footnoteReference w:id="40"/>
      </w:r>
      <w:r>
        <w:rPr>
          <w:noProof/>
        </w:rPr>
        <w:t xml:space="preserve"> за въвеждане и наблюдение на успешни приобщаващи подходи в своите образователни системи.</w:t>
      </w:r>
    </w:p>
    <w:p>
      <w:pPr>
        <w:rPr>
          <w:b/>
          <w:noProof/>
        </w:rPr>
      </w:pPr>
      <w:r>
        <w:rPr>
          <w:b/>
          <w:noProof/>
        </w:rPr>
        <w:t>Насърчаване на европейско измерение на преподаването</w:t>
      </w:r>
    </w:p>
    <w:p>
      <w:pPr>
        <w:pStyle w:val="ManualNumPar1"/>
        <w:rPr>
          <w:noProof/>
        </w:rPr>
      </w:pPr>
      <w:r>
        <w:t>6.</w:t>
      </w:r>
      <w:r>
        <w:tab/>
      </w:r>
      <w:r>
        <w:rPr>
          <w:noProof/>
        </w:rPr>
        <w:t xml:space="preserve">Да насърчават европейско измерение на преподаването чрез стимулиране на: </w:t>
      </w:r>
    </w:p>
    <w:p>
      <w:pPr>
        <w:pStyle w:val="Point1"/>
        <w:rPr>
          <w:noProof/>
        </w:rPr>
      </w:pPr>
      <w:r>
        <w:rPr>
          <w:noProof/>
        </w:rPr>
        <w:t>а)</w:t>
      </w:r>
      <w:r>
        <w:rPr>
          <w:noProof/>
        </w:rPr>
        <w:tab/>
        <w:t>разбиране на европейския контекст и общото наследство и информираност за многообразието на държавите — членки на Съюза;</w:t>
      </w:r>
    </w:p>
    <w:p>
      <w:pPr>
        <w:pStyle w:val="Point1"/>
        <w:rPr>
          <w:noProof/>
        </w:rPr>
      </w:pPr>
      <w:r>
        <w:rPr>
          <w:noProof/>
        </w:rPr>
        <w:t>б)</w:t>
      </w:r>
      <w:r>
        <w:rPr>
          <w:noProof/>
        </w:rPr>
        <w:tab/>
      </w:r>
      <w:r>
        <w:rPr>
          <w:noProof/>
        </w:rPr>
        <w:tab/>
        <w:t>разбиране на произхода и функционирането на Съюза;</w:t>
      </w:r>
    </w:p>
    <w:p>
      <w:pPr>
        <w:pStyle w:val="Point1"/>
        <w:rPr>
          <w:noProof/>
        </w:rPr>
      </w:pPr>
      <w:r>
        <w:rPr>
          <w:noProof/>
        </w:rPr>
        <w:t>в)</w:t>
      </w:r>
      <w:r>
        <w:rPr>
          <w:noProof/>
        </w:rPr>
        <w:tab/>
        <w:t>участие на учащи и учители в мрежата e-Twinning и в трансграничната мобилност, особено за училищата;</w:t>
      </w:r>
    </w:p>
    <w:p>
      <w:pPr>
        <w:pStyle w:val="Point1"/>
        <w:rPr>
          <w:noProof/>
        </w:rPr>
      </w:pPr>
      <w:r>
        <w:rPr>
          <w:noProof/>
        </w:rPr>
        <w:t>г)</w:t>
      </w:r>
      <w:r>
        <w:rPr>
          <w:noProof/>
        </w:rPr>
        <w:tab/>
        <w:t>проекти на място за повишаване на осведомеността за Европейския съюз в образователни центрове, по-специално чрез пряко взаимодействие с младите хора.</w:t>
      </w:r>
    </w:p>
    <w:p>
      <w:pPr>
        <w:rPr>
          <w:b/>
          <w:noProof/>
        </w:rPr>
      </w:pPr>
      <w:r>
        <w:rPr>
          <w:b/>
          <w:noProof/>
        </w:rPr>
        <w:t>Подкрепа за учителите и преподаването</w:t>
      </w:r>
    </w:p>
    <w:p>
      <w:pPr>
        <w:pStyle w:val="ManualNumPar1"/>
        <w:rPr>
          <w:noProof/>
        </w:rPr>
      </w:pPr>
      <w:r>
        <w:t>7.</w:t>
      </w:r>
      <w:r>
        <w:tab/>
      </w:r>
      <w:r>
        <w:rPr>
          <w:noProof/>
        </w:rPr>
        <w:t>Да дадат възможност на учителите, училищните ръководители и академичния състав да популяризират общите ценности и да осъществяват приобщаващо образование чрез:</w:t>
      </w:r>
    </w:p>
    <w:p>
      <w:pPr>
        <w:pStyle w:val="Point1"/>
        <w:rPr>
          <w:noProof/>
        </w:rPr>
      </w:pPr>
      <w:r>
        <w:rPr>
          <w:noProof/>
        </w:rPr>
        <w:t>а)</w:t>
      </w:r>
      <w:r>
        <w:rPr>
          <w:noProof/>
        </w:rPr>
        <w:tab/>
        <w:t>мерки, предоставящи възможност на учителите, училищните ръководители и академичния състав да предават общите ценности и да насърчават активното гражданско участие, като същевременно възпитават чувство на принадлежност и се отзовават на различните нужди на учащите; и</w:t>
      </w:r>
    </w:p>
    <w:p>
      <w:pPr>
        <w:pStyle w:val="Point1"/>
        <w:rPr>
          <w:noProof/>
        </w:rPr>
      </w:pPr>
      <w:r>
        <w:rPr>
          <w:noProof/>
        </w:rPr>
        <w:t>б)</w:t>
      </w:r>
      <w:r>
        <w:rPr>
          <w:noProof/>
        </w:rPr>
        <w:tab/>
        <w:t>насърчаване на обмена и програмите за партньорско обучение и осигуряване на насоки и наставничество за учителите и академичния персонал.</w:t>
      </w:r>
    </w:p>
    <w:p>
      <w:pPr>
        <w:rPr>
          <w:b/>
          <w:noProof/>
        </w:rPr>
      </w:pPr>
      <w:r>
        <w:rPr>
          <w:b/>
          <w:noProof/>
        </w:rPr>
        <w:t>Мерки за изпълнение</w:t>
      </w:r>
    </w:p>
    <w:p>
      <w:pPr>
        <w:pStyle w:val="ManualNumPar1"/>
        <w:rPr>
          <w:noProof/>
        </w:rPr>
      </w:pPr>
      <w:r>
        <w:t>8.</w:t>
      </w:r>
      <w:r>
        <w:tab/>
      </w:r>
      <w:r>
        <w:rPr>
          <w:noProof/>
        </w:rPr>
        <w:t>Да преразгледат и когато е необходимо, да променят съществуващите политики и практики в областта на образованието, обучението и неформалното учене, за да изпълнят настоящите препоръки.</w:t>
      </w:r>
    </w:p>
    <w:p>
      <w:pPr>
        <w:pStyle w:val="ManualNumPar1"/>
        <w:rPr>
          <w:noProof/>
        </w:rPr>
      </w:pPr>
      <w:r>
        <w:t>9.</w:t>
      </w:r>
      <w:r>
        <w:tab/>
      </w:r>
      <w:r>
        <w:rPr>
          <w:noProof/>
        </w:rPr>
        <w:t>Да установят липсите и да увеличат участието на гражданите, консултациите и събирането на данни с цел да се усъвършенства основаното на факти разработване на политики и във връзка със социалното и гражданското измерение на образованието и обучението.</w:t>
      </w:r>
    </w:p>
    <w:p>
      <w:pPr>
        <w:pStyle w:val="ManualNumPar1"/>
        <w:rPr>
          <w:noProof/>
        </w:rPr>
      </w:pPr>
      <w:r>
        <w:t>10.</w:t>
      </w:r>
      <w:r>
        <w:tab/>
      </w:r>
      <w:r>
        <w:rPr>
          <w:noProof/>
        </w:rPr>
        <w:t>Да продължат да си сътрудничат в стратегическите рамки на ЕС за сътрудничество в областта на образованието и обучението, младежта, спорта и културата чрез партньорско обучение и обмен на добри практики с цел популяризиране на общите ценности.</w:t>
      </w:r>
    </w:p>
    <w:p>
      <w:pPr>
        <w:pStyle w:val="ManualNumPar1"/>
        <w:rPr>
          <w:noProof/>
        </w:rPr>
      </w:pPr>
      <w:r>
        <w:t>11.</w:t>
      </w:r>
      <w:r>
        <w:tab/>
      </w:r>
      <w:r>
        <w:rPr>
          <w:noProof/>
        </w:rPr>
        <w:t>Да използват ефективно инструментите на ЕС за финансиране, по-конкретно „Еразъм+“, Европейските структурни и инвестиционни фондове, „Творческа Европа“, „Европа за гражданите“, програмата „Права, равенство и гражданство“ и „Хоризонт 2020“, с цел изпълнение на настоящите препоръки.</w:t>
      </w:r>
    </w:p>
    <w:p>
      <w:pPr>
        <w:spacing w:before="0" w:after="200" w:line="276" w:lineRule="auto"/>
        <w:jc w:val="left"/>
        <w:rPr>
          <w:rFonts w:eastAsiaTheme="minorEastAsia"/>
          <w:noProof/>
        </w:rPr>
      </w:pPr>
      <w:r>
        <w:rPr>
          <w:noProof/>
        </w:rPr>
        <w:br w:type="page"/>
      </w:r>
    </w:p>
    <w:p>
      <w:pPr>
        <w:spacing w:after="240"/>
        <w:ind w:left="360"/>
        <w:rPr>
          <w:noProof/>
        </w:rPr>
      </w:pPr>
      <w:r>
        <w:rPr>
          <w:b/>
          <w:noProof/>
        </w:rPr>
        <w:t>ПРИВЕТСТВА НАМЕРЕНИЕТО НА КОМИСИЯТА ДА:</w:t>
      </w:r>
    </w:p>
    <w:p>
      <w:pPr>
        <w:pStyle w:val="ManualNumPar1"/>
        <w:rPr>
          <w:noProof/>
        </w:rPr>
      </w:pPr>
      <w:r>
        <w:t>12.</w:t>
      </w:r>
      <w:r>
        <w:tab/>
      </w:r>
      <w:r>
        <w:rPr>
          <w:noProof/>
        </w:rPr>
        <w:t xml:space="preserve">подпомага държавите членки при изпълнението на разпоредбите на настоящата препоръка чрез наличните средства и наличните инструменти за финансиране, по-специално чрез училищната мобилност и мрежата e-Twinning;  </w:t>
      </w:r>
    </w:p>
    <w:p>
      <w:pPr>
        <w:pStyle w:val="ManualNumPar1"/>
        <w:rPr>
          <w:noProof/>
        </w:rPr>
      </w:pPr>
      <w:r>
        <w:t>13.</w:t>
      </w:r>
      <w:r>
        <w:tab/>
      </w:r>
      <w:r>
        <w:rPr>
          <w:noProof/>
        </w:rPr>
        <w:t>подкрепя реформирането на националните и регионалните политики и усъвършенстването на практиките посредством рамката за европейско сътрудничество в областта на образованието и обучението „Образование и обучение 2020“ и всяка следваща рамка;</w:t>
      </w:r>
    </w:p>
    <w:p>
      <w:pPr>
        <w:pStyle w:val="ManualNumPar1"/>
        <w:rPr>
          <w:noProof/>
        </w:rPr>
      </w:pPr>
      <w:r>
        <w:t>14.</w:t>
      </w:r>
      <w:r>
        <w:tab/>
      </w:r>
      <w:r>
        <w:rPr>
          <w:noProof/>
        </w:rPr>
        <w:t>разработи и редовно да преразглежда практически референтни инструменти и документи с насоки за лицата, определящи политиките, и за практикуващите лица, както и да подкрепя научните изследвания и участието на заинтересованите страни с цел попълване на пропуските в знанията;</w:t>
      </w:r>
    </w:p>
    <w:p>
      <w:pPr>
        <w:pStyle w:val="ManualNumPar1"/>
        <w:rPr>
          <w:noProof/>
        </w:rPr>
      </w:pPr>
      <w:r>
        <w:t>15.</w:t>
      </w:r>
      <w:r>
        <w:tab/>
      </w:r>
      <w:r>
        <w:rPr>
          <w:noProof/>
        </w:rPr>
        <w:t>анализира и оценява действията, предприети в отговор на настоящата препоръка, по-специално чрез рамката „Образование и обучение 2020“, включително Обзора на образованието и обучението.</w:t>
      </w:r>
    </w:p>
    <w:p>
      <w:pPr>
        <w:pStyle w:val="Fait"/>
        <w:rPr>
          <w:noProof/>
        </w:rPr>
      </w:pPr>
      <w:r>
        <w:t xml:space="preserve">Съставено в Брюксел на </w:t>
      </w:r>
      <w:r>
        <w:rPr>
          <w:rStyle w:val="Marker"/>
        </w:rPr>
        <w:t>[…]</w:t>
      </w:r>
      <w:r>
        <w:t xml:space="preserve"> година.</w:t>
      </w:r>
    </w:p>
    <w:p>
      <w:pPr>
        <w:pStyle w:val="Institutionquisigne"/>
        <w:rPr>
          <w:noProof/>
        </w:rPr>
      </w:pPr>
      <w:r>
        <w:rPr>
          <w:noProof/>
        </w:rPr>
        <w:tab/>
        <w:t>За Съвета</w:t>
      </w:r>
    </w:p>
    <w:p>
      <w:pPr>
        <w:pStyle w:val="Personnequisigne"/>
        <w:rPr>
          <w:noProof/>
        </w:rPr>
      </w:pPr>
      <w:r>
        <w:rPr>
          <w:noProof/>
        </w:rPr>
        <w:tab/>
        <w:t>Председател</w:t>
      </w:r>
    </w:p>
    <w:sectPr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  <w:endnote w:type="continuationNotice" w:id="1">
    <w:p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 Square Sans Pro">
    <w:charset w:val="00"/>
    <w:family w:val="swiss"/>
    <w:pitch w:val="variable"/>
    <w:sig w:usb0="A00002BF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21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BG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type="continuationNotice" w:id="1">
    <w:p>
      <w:pPr>
        <w:spacing w:before="0" w:after="0"/>
      </w:pPr>
    </w:p>
  </w:footnote>
  <w:footnote w:id="2">
    <w:p>
      <w:pPr>
        <w:pStyle w:val="FootnoteText"/>
        <w:rPr>
          <w:spacing w:val="-6"/>
        </w:rPr>
      </w:pPr>
      <w:r>
        <w:rPr>
          <w:rStyle w:val="FootnoteReference"/>
        </w:rPr>
        <w:footnoteRef/>
      </w:r>
      <w:r>
        <w:rPr>
          <w:spacing w:val="-6"/>
        </w:rPr>
        <w:tab/>
        <w:t>Реч за състоянието на Съюза, 13</w:t>
      </w:r>
      <w:r>
        <w:rPr>
          <w:spacing w:val="-6"/>
          <w:vertAlign w:val="superscript"/>
        </w:rPr>
        <w:t> </w:t>
      </w:r>
      <w:r>
        <w:rPr>
          <w:spacing w:val="-6"/>
        </w:rPr>
        <w:t xml:space="preserve">септември 2017 г. — </w:t>
      </w:r>
      <w:hyperlink r:id="rId1">
        <w:r>
          <w:rPr>
            <w:rStyle w:val="Hyperlink"/>
            <w:spacing w:val="-6"/>
          </w:rPr>
          <w:t>https://ec.europa.eu/commission/state-union-2017_bg</w:t>
        </w:r>
      </w:hyperlink>
      <w:r>
        <w:rPr>
          <w:rStyle w:val="Hyperlink"/>
          <w:spacing w:val="-6"/>
        </w:rPr>
        <w:t>.</w:t>
      </w:r>
    </w:p>
  </w:footnote>
  <w:footnote w:id="3">
    <w:p>
      <w:pPr>
        <w:pStyle w:val="FootnoteText"/>
        <w:rPr>
          <w:rStyle w:val="Hyperlink"/>
        </w:rPr>
      </w:pPr>
      <w:r>
        <w:rPr>
          <w:rStyle w:val="FootnoteReference"/>
        </w:rPr>
        <w:footnoteRef/>
      </w:r>
      <w:r>
        <w:tab/>
        <w:t xml:space="preserve">Вж. Документ за размисъл относно социалното измерение на Европа, COM/2017/0206 final, </w:t>
      </w:r>
      <w:r>
        <w:rPr>
          <w:rStyle w:val="Hyperlink"/>
        </w:rPr>
        <w:t xml:space="preserve">https://ec.europa.eu/commission/sites/beta-political/files/reflection-paper-social-dimension-europe_bg.pdf  </w:t>
      </w:r>
    </w:p>
  </w:footnote>
  <w:footnote w:id="4">
    <w:p>
      <w:pPr>
        <w:pStyle w:val="FootnoteText"/>
        <w:rPr>
          <w:spacing w:val="-6"/>
        </w:rPr>
      </w:pPr>
      <w:r>
        <w:rPr>
          <w:rStyle w:val="FootnoteReference"/>
        </w:rPr>
        <w:footnoteRef/>
      </w:r>
      <w:r>
        <w:rPr>
          <w:spacing w:val="-6"/>
        </w:rPr>
        <w:tab/>
        <w:t xml:space="preserve">Парижка декларация, 17 март 2015 г. — </w:t>
      </w:r>
      <w:hyperlink r:id="rId2">
        <w:r>
          <w:rPr>
            <w:rStyle w:val="Hyperlink"/>
            <w:spacing w:val="-6"/>
          </w:rPr>
          <w:t>http://ec.europa.eu/education/news/20150316-paris-education_en</w:t>
        </w:r>
      </w:hyperlink>
      <w:r>
        <w:rPr>
          <w:rStyle w:val="Hyperlink"/>
          <w:spacing w:val="-6"/>
        </w:rPr>
        <w:t>.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ab/>
        <w:t>Съобщение на Комисията „Подпомагане на предотвратяването на радикализацията, водеща до насилнически екстремизъм“ COM(2016) 379 final.</w:t>
      </w:r>
    </w:p>
  </w:footnote>
  <w:footnote w:id="6">
    <w:p>
      <w:pPr>
        <w:pStyle w:val="FootnoteText"/>
      </w:pPr>
      <w:r>
        <w:rPr>
          <w:rStyle w:val="FootnoteReference"/>
        </w:rPr>
        <w:footnoteRef/>
      </w:r>
      <w:r>
        <w:tab/>
        <w:t>http://www.consilium.europa.eu/en/press/press-releases/2017/03/25/rome-declaration#</w:t>
      </w:r>
    </w:p>
  </w:footnote>
  <w:footnote w:id="7">
    <w:p>
      <w:pPr>
        <w:pStyle w:val="FootnoteText"/>
        <w:rPr>
          <w:spacing w:val="-4"/>
        </w:rPr>
      </w:pPr>
      <w:r>
        <w:rPr>
          <w:rStyle w:val="FootnoteReference"/>
        </w:rPr>
        <w:footnoteRef/>
      </w:r>
      <w:r>
        <w:rPr>
          <w:spacing w:val="-4"/>
        </w:rPr>
        <w:tab/>
        <w:t>Бяла книга за бъдещето на Европа, Размисли и сценарии за ЕС-27 до 2025 г. (COM(2017) 2025 final).</w:t>
      </w:r>
    </w:p>
  </w:footnote>
  <w:footnote w:id="8">
    <w:p>
      <w:pPr>
        <w:pStyle w:val="FootnoteText"/>
      </w:pPr>
      <w:r>
        <w:rPr>
          <w:rStyle w:val="FootnoteReference"/>
        </w:rPr>
        <w:footnoteRef/>
      </w:r>
      <w:r>
        <w:tab/>
        <w:t xml:space="preserve">Документ за размисъл относно извличането на ползите от глобализацията, 10 май 2017 г. — </w:t>
      </w:r>
      <w:hyperlink r:id="rId3">
        <w:r>
          <w:rPr>
            <w:rStyle w:val="Hyperlink"/>
          </w:rPr>
          <w:t>https://ec.europa.eu/commission/publications/reflection-paper-harnessing-globalisation_bg</w:t>
        </w:r>
      </w:hyperlink>
      <w:r>
        <w:rPr>
          <w:rStyle w:val="Hyperlink"/>
        </w:rPr>
        <w:t>.</w:t>
      </w:r>
    </w:p>
  </w:footnote>
  <w:footnote w:id="9">
    <w:p>
      <w:pPr>
        <w:pStyle w:val="FootnoteText"/>
      </w:pPr>
      <w:r>
        <w:rPr>
          <w:rStyle w:val="FootnoteReference"/>
        </w:rPr>
        <w:footnoteRef/>
      </w:r>
      <w:r>
        <w:tab/>
        <w:t>Съобщение на Комисията относно укрепване на европейската идентичност чрез образование и култура; COM(2017) 673 final.</w:t>
      </w:r>
    </w:p>
  </w:footnote>
  <w:footnote w:id="10">
    <w:p>
      <w:pPr>
        <w:pStyle w:val="FootnoteText"/>
      </w:pPr>
      <w:r>
        <w:rPr>
          <w:rStyle w:val="FootnoteReference"/>
        </w:rPr>
        <w:footnoteRef/>
      </w:r>
      <w:r>
        <w:tab/>
        <w:t>Съвместен доклад на Съвета и на Комисията относно изпълнението на стратегическата рамка за европейско сътрудничество в областта на образованието и обучението („Образование и обучение 2020“) — Нови приоритети за европейското сътрудничество в областта на образованието и обучението (ОВ C 417, 15.12.2015 г.).</w:t>
      </w:r>
    </w:p>
  </w:footnote>
  <w:footnote w:id="11">
    <w:p>
      <w:pPr>
        <w:pStyle w:val="FootnoteText"/>
      </w:pPr>
      <w:r>
        <w:rPr>
          <w:rStyle w:val="FootnoteReference"/>
        </w:rPr>
        <w:footnoteRef/>
      </w:r>
      <w:r>
        <w:tab/>
        <w:t>Съобщение на Комисията относно подобряване и модернизиране на образованието (COM(2016) 941); Съобщение на Комисията относно училищно развитие и върхови постижения в областта на преподаването за по-добър старт в живота (COM(2017) 248); Съобщение на Комисията относно нов тласък за висшето образование в ЕС (COM(2017) 247).</w:t>
      </w:r>
    </w:p>
  </w:footnote>
  <w:footnote w:id="12">
    <w:p>
      <w:pPr>
        <w:pStyle w:val="FootnoteText"/>
      </w:pPr>
      <w:r>
        <w:rPr>
          <w:rStyle w:val="FootnoteReference"/>
        </w:rPr>
        <w:footnoteRef/>
      </w:r>
      <w:r>
        <w:tab/>
        <w:t>Препоръка на Комисията от 20 февруари 2013 г. „Инвестициите в децата — изход от порочния кръг на неравностойното положение“ (2013/112/ЕС).</w:t>
      </w:r>
    </w:p>
  </w:footnote>
  <w:footnote w:id="13">
    <w:p>
      <w:pPr>
        <w:pStyle w:val="FootnoteText"/>
      </w:pPr>
      <w:r>
        <w:rPr>
          <w:rStyle w:val="FootnoteReference"/>
        </w:rPr>
        <w:footnoteRef/>
      </w:r>
      <w:r>
        <w:tab/>
        <w:t>[</w:t>
      </w:r>
      <w:r>
        <w:rPr>
          <w:i/>
        </w:rPr>
        <w:t>СЛЕД ПРИЕМАНЕТО ДА СЕ ДОБАВИ ПРЕПРАТКА</w:t>
      </w:r>
      <w:r>
        <w:t>]</w:t>
      </w:r>
    </w:p>
  </w:footnote>
  <w:footnote w:id="14">
    <w:p>
      <w:pPr>
        <w:pStyle w:val="FootnoteText"/>
      </w:pPr>
      <w:r>
        <w:rPr>
          <w:rStyle w:val="FootnoteReference"/>
        </w:rPr>
        <w:footnoteRef/>
      </w:r>
      <w:r>
        <w:tab/>
        <w:t>Съобщение на Комисията: План за действие относно интеграцията на граждани на трети държави (COM(2016) 377 final).</w:t>
      </w:r>
    </w:p>
  </w:footnote>
  <w:footnote w:id="15">
    <w:p>
      <w:pPr>
        <w:pStyle w:val="FootnoteText"/>
        <w:rPr>
          <w:spacing w:val="-6"/>
        </w:rPr>
      </w:pPr>
      <w:r>
        <w:rPr>
          <w:rStyle w:val="FootnoteReference"/>
        </w:rPr>
        <w:footnoteRef/>
      </w:r>
      <w:r>
        <w:rPr>
          <w:spacing w:val="-6"/>
        </w:rPr>
        <w:tab/>
        <w:t>Съобщение на Комисията за създаване на европейски стълб на социалните права (COM(2017) 250 final).</w:t>
      </w:r>
    </w:p>
  </w:footnote>
  <w:footnote w:id="16">
    <w:p>
      <w:pPr>
        <w:pStyle w:val="FootnoteText"/>
      </w:pPr>
      <w:r>
        <w:rPr>
          <w:rStyle w:val="FootnoteReference"/>
        </w:rPr>
        <w:footnoteRef/>
      </w:r>
      <w:r>
        <w:tab/>
        <w:t>Доклад на Комисията относно укрепване на правата на гражданите в Съюз на демократична промяна; Доклад за гражданството на ЕС, 2017 г. (COM(2017) 030 final).</w:t>
      </w:r>
    </w:p>
  </w:footnote>
  <w:footnote w:id="17">
    <w:p>
      <w:pPr>
        <w:pStyle w:val="FootnoteText"/>
        <w:rPr>
          <w:spacing w:val="-6"/>
        </w:rPr>
      </w:pPr>
      <w:r>
        <w:rPr>
          <w:rStyle w:val="FootnoteReference"/>
        </w:rPr>
        <w:footnoteRef/>
      </w:r>
      <w:r>
        <w:tab/>
      </w:r>
      <w:r>
        <w:rPr>
          <w:spacing w:val="-6"/>
        </w:rPr>
        <w:t xml:space="preserve">Вж. подробности на адрес: </w:t>
      </w:r>
      <w:hyperlink r:id="rId4">
        <w:r>
          <w:rPr>
            <w:rStyle w:val="Hyperlink"/>
            <w:spacing w:val="-6"/>
          </w:rPr>
          <w:t>http://ec.europa.eu/education/events/20151109-jean-monnet-conference_en</w:t>
        </w:r>
      </w:hyperlink>
      <w:r>
        <w:rPr>
          <w:rStyle w:val="Hyperlink"/>
          <w:color w:val="auto"/>
          <w:spacing w:val="-6"/>
          <w:u w:val="none"/>
        </w:rPr>
        <w:t>.</w:t>
      </w:r>
    </w:p>
  </w:footnote>
  <w:footnote w:id="18">
    <w:p>
      <w:pPr>
        <w:pStyle w:val="FootnoteText"/>
        <w:rPr>
          <w:spacing w:val="-6"/>
        </w:rPr>
      </w:pPr>
      <w:r>
        <w:rPr>
          <w:rStyle w:val="FootnoteReference"/>
        </w:rPr>
        <w:footnoteRef/>
      </w:r>
      <w:r>
        <w:rPr>
          <w:spacing w:val="-6"/>
        </w:rPr>
        <w:tab/>
        <w:t xml:space="preserve">Вж. заключенията на адрес: </w:t>
      </w:r>
      <w:hyperlink r:id="rId5">
        <w:r>
          <w:rPr>
            <w:rStyle w:val="Hyperlink"/>
            <w:spacing w:val="-6"/>
          </w:rPr>
          <w:t>http://ec.europa.eu/information_society/newsroom/image/document/2016-50/2016-fundamental-colloquium-conclusions_40602.pdf</w:t>
        </w:r>
      </w:hyperlink>
      <w:r>
        <w:rPr>
          <w:rStyle w:val="Hyperlink"/>
          <w:color w:val="auto"/>
          <w:spacing w:val="-6"/>
          <w:u w:val="none"/>
        </w:rPr>
        <w:t>.</w:t>
      </w:r>
    </w:p>
  </w:footnote>
  <w:footnote w:id="19">
    <w:p>
      <w:pPr>
        <w:pStyle w:val="FootnoteText"/>
        <w:rPr>
          <w:spacing w:val="-6"/>
        </w:rPr>
      </w:pPr>
      <w:r>
        <w:rPr>
          <w:rStyle w:val="FootnoteReference"/>
        </w:rPr>
        <w:footnoteRef/>
      </w:r>
      <w:r>
        <w:rPr>
          <w:spacing w:val="-6"/>
        </w:rPr>
        <w:tab/>
        <w:t xml:space="preserve">Вж. доклада на адрес: </w:t>
      </w:r>
      <w:hyperlink r:id="rId6">
        <w:r>
          <w:rPr>
            <w:rStyle w:val="Hyperlink"/>
            <w:spacing w:val="-6"/>
          </w:rPr>
          <w:t>http://ec.europa.eu/education/sites/education/files/201605-colloquium-report-radicalisation_en.pdf</w:t>
        </w:r>
      </w:hyperlink>
      <w:r>
        <w:rPr>
          <w:rStyle w:val="Hyperlink"/>
          <w:color w:val="auto"/>
          <w:spacing w:val="-6"/>
          <w:u w:val="none"/>
        </w:rPr>
        <w:t>.</w:t>
      </w:r>
    </w:p>
  </w:footnote>
  <w:footnote w:id="20">
    <w:p>
      <w:pPr>
        <w:pStyle w:val="FootnoteText"/>
        <w:rPr>
          <w:spacing w:val="-6"/>
        </w:rPr>
      </w:pPr>
      <w:r>
        <w:rPr>
          <w:rStyle w:val="FootnoteReference"/>
        </w:rPr>
        <w:footnoteRef/>
      </w:r>
      <w:r>
        <w:rPr>
          <w:spacing w:val="-6"/>
        </w:rPr>
        <w:tab/>
        <w:t xml:space="preserve">Вж. доклада на адрес: </w:t>
      </w:r>
      <w:hyperlink r:id="rId7">
        <w:r>
          <w:rPr>
            <w:rStyle w:val="Hyperlink"/>
            <w:spacing w:val="-6"/>
          </w:rPr>
          <w:t>https://ec.europa.eu/education/sites/education/files/flash-report-ety-forum-2016_en.pdf</w:t>
        </w:r>
      </w:hyperlink>
      <w:r>
        <w:rPr>
          <w:rStyle w:val="Hyperlink"/>
          <w:color w:val="auto"/>
          <w:spacing w:val="-6"/>
          <w:u w:val="none"/>
        </w:rPr>
        <w:t>.</w:t>
      </w:r>
    </w:p>
  </w:footnote>
  <w:footnote w:id="21">
    <w:p>
      <w:pPr>
        <w:pStyle w:val="FootnoteText"/>
        <w:rPr>
          <w:spacing w:val="-6"/>
        </w:rPr>
      </w:pPr>
      <w:r>
        <w:rPr>
          <w:rStyle w:val="FootnoteReference"/>
        </w:rPr>
        <w:footnoteRef/>
      </w:r>
      <w:r>
        <w:rPr>
          <w:spacing w:val="-6"/>
        </w:rPr>
        <w:tab/>
        <w:t xml:space="preserve">Вж. доклада на адрес: </w:t>
      </w:r>
      <w:hyperlink r:id="rId8">
        <w:r>
          <w:rPr>
            <w:rStyle w:val="Hyperlink"/>
            <w:spacing w:val="-6"/>
          </w:rPr>
          <w:t>https://ec.europa.eu/education/sites/education/files/flash-report-cso-day-2016_en.pdf</w:t>
        </w:r>
      </w:hyperlink>
      <w:r>
        <w:rPr>
          <w:rStyle w:val="Hyperlink"/>
          <w:color w:val="auto"/>
          <w:spacing w:val="-6"/>
          <w:u w:val="none"/>
        </w:rPr>
        <w:t>.</w:t>
      </w:r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rPr>
          <w:spacing w:val="-6"/>
        </w:rPr>
        <w:tab/>
        <w:t xml:space="preserve">Вж. заключенията на адрес: </w:t>
      </w:r>
      <w:hyperlink r:id="rId9">
        <w:r>
          <w:rPr>
            <w:rStyle w:val="Hyperlink"/>
            <w:spacing w:val="-6"/>
          </w:rPr>
          <w:t>http://ec.europa.eu/justice/events/colloquium-fundamental-rights-2015/files/fundamental_rights_colloquium_conclusions_bg.pdf</w:t>
        </w:r>
      </w:hyperlink>
      <w:r>
        <w:rPr>
          <w:rStyle w:val="Hyperlink"/>
          <w:color w:val="auto"/>
          <w:u w:val="none"/>
        </w:rPr>
        <w:t>.</w:t>
      </w:r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ab/>
        <w:t xml:space="preserve">Вж. ключовите послания от дейностите за партньорско обучение по въпросите на критичното мислене и медийната грамотност, социалните и гражданските компетентности, приобщаващото образование и подготовката на учителите на адрес: </w:t>
      </w:r>
      <w:hyperlink r:id="rId10">
        <w:r>
          <w:rPr>
            <w:rStyle w:val="Hyperlink"/>
          </w:rPr>
          <w:t>http://ec.europa.eu/education/policy/strategic-framework/expert-groups/citizenship-common-values_en</w:t>
        </w:r>
      </w:hyperlink>
      <w:r>
        <w:rPr>
          <w:rStyle w:val="Hyperlink"/>
          <w:color w:val="auto"/>
          <w:u w:val="none"/>
        </w:rPr>
        <w:t>.</w:t>
      </w:r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ab/>
        <w:t>Тази агенция е независима организация, която функционира като платформа за сътрудничество между министерствата на образованието на държавите — членки на ЕС. Главната ѝ цел е да им помага да усъвършенстват образователната си политика и практика, като предоставя информация, основана на факти, и предлага прилагането на образователни политики, основани на приобщаване. Агенцията се финансира със средства по програма „Еразъм+“ и със средства от националните министерства. Нейни членове са 27 държави членки, както и Исландия, Норвегия и Швейцария.</w:t>
      </w:r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ab/>
      </w:r>
      <w:hyperlink r:id="rId11">
        <w:r>
          <w:rPr>
            <w:rStyle w:val="Hyperlink"/>
            <w:noProof/>
          </w:rPr>
          <w:t>Policy and Practices for Equality and Inclusion In and Through Education: Evidence and policy guidance from European research projects funded under FP6 and FP7</w:t>
        </w:r>
      </w:hyperlink>
      <w:r>
        <w:t xml:space="preserve"> (2015) </w:t>
      </w:r>
      <w:hyperlink r:id="rId12">
        <w:r>
          <w:rPr>
            <w:rStyle w:val="Hyperlink"/>
          </w:rPr>
          <w:t>http://nesetweb.eu/wp-content/uploads/2015/08/AR1_2015.pdf</w:t>
        </w:r>
      </w:hyperlink>
      <w:r>
        <w:t xml:space="preserve">; </w:t>
      </w:r>
      <w:hyperlink r:id="rId13">
        <w:r>
          <w:rPr>
            <w:rStyle w:val="Hyperlink"/>
            <w:noProof/>
          </w:rPr>
          <w:t>Education Policies and Practices to Foster Tolerance, Respect for Diversity and Civic Responsibility in Children and Young People in the EU</w:t>
        </w:r>
      </w:hyperlink>
      <w:r>
        <w:t xml:space="preserve"> (2016 г.), </w:t>
      </w:r>
      <w:hyperlink r:id="rId14">
        <w:r>
          <w:rPr>
            <w:rStyle w:val="Hyperlink"/>
          </w:rPr>
          <w:t>http://nesetweb.eu/en/library/education-policies-and-practices-to-foster-tolerance-respect-for-diversity-and-civic-responsibility-in-children-and-young-people-in-the-eu/</w:t>
        </w:r>
      </w:hyperlink>
      <w:r>
        <w:t xml:space="preserve"> </w:t>
      </w:r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ab/>
      </w:r>
      <w:hyperlink r:id="rId15">
        <w:r>
          <w:rPr>
            <w:rStyle w:val="Hyperlink"/>
            <w:noProof/>
          </w:rPr>
          <w:t>How to Prevent and Tackle Bullying and School Violence: Evidence and Practices for Strategies for Inclusive and Safe Schools</w:t>
        </w:r>
      </w:hyperlink>
      <w:r>
        <w:rPr>
          <w:color w:val="23151F"/>
        </w:rPr>
        <w:t xml:space="preserve"> (2015 г.), </w:t>
      </w:r>
      <w:hyperlink r:id="rId16">
        <w:r>
          <w:rPr>
            <w:rStyle w:val="Hyperlink"/>
          </w:rPr>
          <w:t>http://nesetweb.eu/wp-content/uploads/2015/08/AR2_2015.pdf</w:t>
        </w:r>
      </w:hyperlink>
      <w:r>
        <w:t xml:space="preserve"> </w:t>
      </w:r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ab/>
      </w:r>
      <w:hyperlink r:id="rId17">
        <w:r>
          <w:rPr>
            <w:rStyle w:val="Hyperlink"/>
          </w:rPr>
          <w:t>http://eur-lex.europa.eu/legal-content/BG/TXT/PDF/?uri=CELEX:52017DC0673&amp;qid=1515758709294&amp;from=EN</w:t>
        </w:r>
      </w:hyperlink>
      <w:r>
        <w:t xml:space="preserve"> </w:t>
      </w:r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ab/>
        <w:t>Съвместен доклад на Съвета и на Комисията от 2015 г. относно изпълнението на стратегическата рамка за европейско сътрудничество в областта на образованието и обучението („Образование и обучение 2020“) — Нови приоритети за европейското сътрудничество в областта на образованието и обучението (ОВ C 417, 15.12.2015 г.).</w:t>
      </w:r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ab/>
      </w:r>
      <w:hyperlink r:id="rId18">
        <w:r>
          <w:rPr>
            <w:rStyle w:val="Hyperlink"/>
          </w:rPr>
          <w:t>http://ec.europa.eu/dgs/education_culture/repository/education/news/2015/documents/citizenship-education-declaration_en.pdf</w:t>
        </w:r>
      </w:hyperlink>
      <w:r>
        <w:t xml:space="preserve"> </w:t>
      </w:r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ab/>
      </w:r>
      <w:hyperlink r:id="rId19">
        <w:r>
          <w:rPr>
            <w:rStyle w:val="Hyperlink"/>
          </w:rPr>
          <w:t>https://ec.europa.eu/info/sites/info/files/results-citizenship-consultation_en.pdf</w:t>
        </w:r>
      </w:hyperlink>
      <w:r>
        <w:t xml:space="preserve"> </w:t>
      </w:r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ab/>
      </w:r>
      <w:hyperlink r:id="rId20">
        <w:r>
          <w:rPr>
            <w:rStyle w:val="Hyperlink"/>
          </w:rPr>
          <w:t>https://webgate.ec.europa.eu/fpfis/mwikis/eurydice/images/6/68/215_EN_Citizenship_2017_N.pdf</w:t>
        </w:r>
      </w:hyperlink>
      <w:r>
        <w:t xml:space="preserve"> </w:t>
      </w:r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ab/>
        <w:t>Решение на Комисията от 27 юли 2017 г. за създаване на експертната група на високо равнище на Комисията по въпросите на радикализацията. ОВ C 252, 3.8.2017 г., стр. 3.</w:t>
      </w:r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ab/>
      </w:r>
      <w:hyperlink r:id="rId21">
        <w:r>
          <w:rPr>
            <w:rStyle w:val="Hyperlink"/>
          </w:rPr>
          <w:t>https://www.oecd.org/pisa/pisa-2015-results-in-focus.pdf</w:t>
        </w:r>
      </w:hyperlink>
      <w:r>
        <w:t xml:space="preserve"> </w:t>
      </w:r>
    </w:p>
  </w:footnote>
  <w:footnote w:id="34">
    <w:p>
      <w:pPr>
        <w:pStyle w:val="FootnoteText"/>
        <w:rPr>
          <w:spacing w:val="-6"/>
        </w:rPr>
      </w:pPr>
      <w:r>
        <w:rPr>
          <w:rStyle w:val="FootnoteReference"/>
        </w:rPr>
        <w:footnoteRef/>
      </w:r>
      <w:r>
        <w:tab/>
      </w:r>
      <w:hyperlink r:id="rId22">
        <w:r>
          <w:rPr>
            <w:rStyle w:val="Hyperlink"/>
            <w:spacing w:val="-6"/>
          </w:rPr>
          <w:t>http://ec.europa.eu/education/policy/strategic-framework/et-monitor_bg</w:t>
        </w:r>
      </w:hyperlink>
    </w:p>
  </w:footnote>
  <w:footnote w:id="35">
    <w:p>
      <w:pPr>
        <w:pStyle w:val="FootnoteText"/>
        <w:rPr>
          <w:spacing w:val="-6"/>
        </w:rPr>
      </w:pPr>
      <w:r>
        <w:rPr>
          <w:rStyle w:val="FootnoteReference"/>
        </w:rPr>
        <w:footnoteRef/>
      </w:r>
      <w:r>
        <w:rPr>
          <w:spacing w:val="-6"/>
        </w:rPr>
        <w:tab/>
        <w:t>Стандартен Евробарометър 81, пролет 2014 г., стр. 117 (</w:t>
      </w:r>
      <w:hyperlink r:id="rId23">
        <w:r>
          <w:rPr>
            <w:rStyle w:val="Hyperlink"/>
            <w:spacing w:val="-6"/>
          </w:rPr>
          <w:t>http://ec.europa.eu/commfrontoffice/publicopinion/archives/eb/eb81/eb81_publ_en.pdf</w:t>
        </w:r>
      </w:hyperlink>
      <w:r>
        <w:rPr>
          <w:spacing w:val="-6"/>
        </w:rPr>
        <w:t xml:space="preserve">). </w:t>
      </w:r>
    </w:p>
  </w:footnote>
  <w:footnote w:id="36">
    <w:p>
      <w:pPr>
        <w:pStyle w:val="FootnoteText"/>
        <w:rPr>
          <w:spacing w:val="-6"/>
        </w:rPr>
      </w:pPr>
      <w:r>
        <w:rPr>
          <w:rStyle w:val="FootnoteReference"/>
        </w:rPr>
        <w:footnoteRef/>
      </w:r>
      <w:r>
        <w:rPr>
          <w:spacing w:val="-6"/>
        </w:rPr>
        <w:tab/>
        <w:t>Стандартен Евробарометър 75, пролет 2011 г., стр. 48 (</w:t>
      </w:r>
      <w:hyperlink r:id="rId24">
        <w:r>
          <w:rPr>
            <w:rStyle w:val="Hyperlink"/>
            <w:spacing w:val="-6"/>
          </w:rPr>
          <w:t>http://ec.europa.eu/commfrontoffice/publicopinion/archives/eb/eb75/eb75_publ_en.pdf</w:t>
        </w:r>
      </w:hyperlink>
      <w:r>
        <w:rPr>
          <w:spacing w:val="-6"/>
        </w:rPr>
        <w:t xml:space="preserve">). </w:t>
      </w:r>
    </w:p>
  </w:footnote>
  <w:footnote w:id="37">
    <w:p>
      <w:pPr>
        <w:pStyle w:val="FootnoteText"/>
        <w:rPr>
          <w:spacing w:val="-6"/>
        </w:rPr>
      </w:pPr>
      <w:r>
        <w:rPr>
          <w:rStyle w:val="FootnoteReference"/>
        </w:rPr>
        <w:footnoteRef/>
      </w:r>
      <w:r>
        <w:rPr>
          <w:spacing w:val="-6"/>
        </w:rPr>
        <w:tab/>
        <w:t>Стандартен Евробарометър 75, пролет 2011 г., стр. 50 (</w:t>
      </w:r>
      <w:hyperlink r:id="rId25">
        <w:r>
          <w:rPr>
            <w:rStyle w:val="Hyperlink"/>
            <w:spacing w:val="-6"/>
          </w:rPr>
          <w:t>http://ec.europa.eu/commfrontoffice/publicopinion/archives/eb/eb75/eb75_publ_en.pdf</w:t>
        </w:r>
      </w:hyperlink>
      <w:r>
        <w:rPr>
          <w:spacing w:val="-6"/>
        </w:rPr>
        <w:t xml:space="preserve">). </w:t>
      </w:r>
    </w:p>
  </w:footnote>
  <w:footnote w:id="38">
    <w:p>
      <w:pPr>
        <w:pStyle w:val="FootnoteText"/>
        <w:jc w:val="left"/>
      </w:pPr>
      <w:r>
        <w:rPr>
          <w:rStyle w:val="FootnoteReference"/>
        </w:rPr>
        <w:footnoteRef/>
      </w:r>
      <w:r>
        <w:tab/>
        <w:t>Специален Евробарометър 467, есен 2017 г., стр. 6: „</w:t>
      </w:r>
      <w:r>
        <w:rPr>
          <w:i/>
        </w:rPr>
        <w:t>Мнозинството считат, че съпоставимите жизнени стандарти биха били най-полезни за бъдещето на Европа (52 %), а повече от една трета посочват съпоставимите образователни стандарти (35%</w:t>
      </w:r>
      <w:r>
        <w:t xml:space="preserve">)“, </w:t>
      </w:r>
      <w:hyperlink r:id="rId26">
        <w:r>
          <w:rPr>
            <w:rStyle w:val="Hyperlink"/>
          </w:rPr>
          <w:t>http://ec.europa.eu/commfrontoffice/publicopinion/index.cfm/Survey/getSurveyDetail/instruments/SPECIAL/surveyKy/2179</w:t>
        </w:r>
      </w:hyperlink>
      <w:r>
        <w:t xml:space="preserve">).   </w:t>
      </w:r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ab/>
        <w:t xml:space="preserve">Competences for democratic culture — Living together as equals in culturally diverse democratic societies, (2016 г.), </w:t>
      </w:r>
      <w:hyperlink r:id="rId27">
        <w:r>
          <w:rPr>
            <w:rStyle w:val="Hyperlink"/>
          </w:rPr>
          <w:t>https://www.coe.int/en/web/education/competences-for-democratic-culture</w:t>
        </w:r>
      </w:hyperlink>
      <w:r>
        <w:t>.</w:t>
      </w:r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ab/>
        <w:t>Както е определено в член 10 от Регламент (ЕС) № 1288/2013 за създаване на „Еразъм+“ — програма на Съюза в областта на образованието, обучението, младежта и спорта.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70FABB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81"/>
    <w:multiLevelType w:val="singleLevel"/>
    <w:tmpl w:val="C96242C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4FBA0AC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A96E6B0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9850B2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0302AA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7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9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1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2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3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4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5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6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7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9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19"/>
    <w:lvlOverride w:ilvl="0">
      <w:startOverride w:val="1"/>
    </w:lvlOverride>
  </w:num>
  <w:num w:numId="6">
    <w:abstractNumId w:val="4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14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4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4"/>
    <w:lvlOverride w:ilvl="0">
      <w:startOverride w:val="1"/>
    </w:lvlOverride>
  </w:num>
  <w:num w:numId="17">
    <w:abstractNumId w:val="14"/>
    <w:lvlOverride w:ilvl="0">
      <w:startOverride w:val="1"/>
    </w:lvlOverride>
  </w:num>
  <w:num w:numId="18">
    <w:abstractNumId w:val="14"/>
    <w:lvlOverride w:ilvl="0">
      <w:startOverride w:val="1"/>
    </w:lvlOverride>
  </w:num>
  <w:num w:numId="19">
    <w:abstractNumId w:val="14"/>
    <w:lvlOverride w:ilvl="0">
      <w:startOverride w:val="1"/>
    </w:lvlOverride>
  </w:num>
  <w:num w:numId="20">
    <w:abstractNumId w:val="14"/>
    <w:lvlOverride w:ilvl="0">
      <w:startOverride w:val="1"/>
    </w:lvlOverride>
  </w:num>
  <w:num w:numId="21">
    <w:abstractNumId w:val="14"/>
    <w:lvlOverride w:ilvl="0">
      <w:startOverride w:val="1"/>
    </w:lvlOverride>
  </w:num>
  <w:num w:numId="22">
    <w:abstractNumId w:val="14"/>
    <w:lvlOverride w:ilvl="0">
      <w:startOverride w:val="1"/>
    </w:lvlOverride>
  </w:num>
  <w:num w:numId="23">
    <w:abstractNumId w:val="14"/>
    <w:lvlOverride w:ilvl="0">
      <w:startOverride w:val="1"/>
    </w:lvlOverride>
  </w:num>
  <w:num w:numId="24">
    <w:abstractNumId w:val="14"/>
    <w:lvlOverride w:ilvl="0">
      <w:startOverride w:val="1"/>
    </w:lvlOverride>
  </w:num>
  <w:num w:numId="25">
    <w:abstractNumId w:val="14"/>
    <w:lvlOverride w:ilvl="0">
      <w:startOverride w:val="1"/>
    </w:lvlOverride>
  </w:num>
  <w:num w:numId="26">
    <w:abstractNumId w:val="14"/>
    <w:lvlOverride w:ilvl="0">
      <w:startOverride w:val="1"/>
    </w:lvlOverride>
  </w:num>
  <w:num w:numId="27">
    <w:abstractNumId w:val="14"/>
    <w:lvlOverride w:ilvl="0">
      <w:startOverride w:val="1"/>
    </w:lvlOverride>
  </w:num>
  <w:num w:numId="28">
    <w:abstractNumId w:val="14"/>
    <w:lvlOverride w:ilvl="0">
      <w:startOverride w:val="1"/>
    </w:lvlOverride>
  </w:num>
  <w:num w:numId="29">
    <w:abstractNumId w:val="14"/>
    <w:lvlOverride w:ilvl="0">
      <w:startOverride w:val="1"/>
    </w:lvlOverride>
  </w:num>
  <w:num w:numId="30">
    <w:abstractNumId w:val="14"/>
    <w:lvlOverride w:ilvl="0">
      <w:startOverride w:val="1"/>
    </w:lvlOverride>
  </w:num>
  <w:num w:numId="31">
    <w:abstractNumId w:val="14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16"/>
  </w:num>
  <w:num w:numId="34">
    <w:abstractNumId w:val="10"/>
  </w:num>
  <w:num w:numId="35">
    <w:abstractNumId w:val="18"/>
  </w:num>
  <w:num w:numId="36">
    <w:abstractNumId w:val="9"/>
  </w:num>
  <w:num w:numId="37">
    <w:abstractNumId w:val="11"/>
  </w:num>
  <w:num w:numId="38">
    <w:abstractNumId w:val="7"/>
  </w:num>
  <w:num w:numId="39">
    <w:abstractNumId w:val="17"/>
  </w:num>
  <w:num w:numId="40">
    <w:abstractNumId w:val="6"/>
  </w:num>
  <w:num w:numId="41">
    <w:abstractNumId w:val="12"/>
  </w:num>
  <w:num w:numId="42">
    <w:abstractNumId w:val="14"/>
  </w:num>
  <w:num w:numId="43">
    <w:abstractNumId w:val="15"/>
  </w:num>
  <w:num w:numId="44">
    <w:abstractNumId w:val="8"/>
  </w:num>
  <w:num w:numId="45">
    <w:abstractNumId w:val="13"/>
  </w:num>
  <w:num w:numId="46">
    <w:abstractNumId w:val="1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QCDateTime" w:val="2018-01-19 14:47:05"/>
    <w:docVar w:name="DQCResult_Distribution" w:val="0;1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2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18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4A458AD3-4882-461C-BA60-1176D0EB0220"/>
    <w:docVar w:name="LW_COVERPAGE_TYPE" w:val="1"/>
    <w:docVar w:name="LW_CROSSREFERENCE" w:val="{SWD(2018) 13 final}"/>
    <w:docVar w:name="LW_DocType" w:val="COM"/>
    <w:docVar w:name="LW_EMISSION" w:val="17.1.2018"/>
    <w:docVar w:name="LW_EMISSION_ISODATE" w:val="2018-01-17"/>
    <w:docVar w:name="LW_EMISSION_LOCATION" w:val="BRX"/>
    <w:docVar w:name="LW_EMISSION_PREFIX" w:val="Брюксел, "/>
    <w:docVar w:name="LW_EMISSION_SUFFIX" w:val="&lt;EMPTY&gt;"/>
    <w:docVar w:name="LW_ID_DOCMODEL" w:val="SJ-022"/>
    <w:docVar w:name="LW_ID_DOCSIGNATURE" w:val="SJ-022"/>
    <w:docVar w:name="LW_ID_DOCSTRUCTURE" w:val="COM/PL/ORG"/>
    <w:docVar w:name="LW_ID_DOCTYPE" w:val="SJ-022"/>
    <w:docVar w:name="LW_ID_EXP.MOTIFS.NEW" w:val="EM_PL_"/>
    <w:docVar w:name="LW_ID_STATUT" w:val="SJ-022"/>
    <w:docVar w:name="LW_INTERETEEE.CP" w:val="&lt;UNUSED&gt;"/>
    <w:docVar w:name="LW_LANGUE" w:val="BG"/>
    <w:docVar w:name="LW_LEVEL_OF_SENSITIVITY" w:val="Standard treatment"/>
    <w:docVar w:name="LW_NOM.INST" w:val="\u1045?\u1042?\u1056?\u1054?\u1055?\u1045?\u1049?\u1057?\u1050?\u1040? \u1050?\u1054?\u1052?\u1048?\u1057?\u1048?\u1071?"/>
    <w:docVar w:name="LW_NOM.INST_JOINTDOC" w:val="&lt;EMPTY&gt;"/>
    <w:docVar w:name="LW_PART_NBR" w:val="1"/>
    <w:docVar w:name="LW_PART_NBR_TOTAL" w:val="1"/>
    <w:docVar w:name="LW_REF.II.NEW.CP" w:val="NLE"/>
    <w:docVar w:name="LW_REF.II.NEW.CP_NUMBER" w:val="0007"/>
    <w:docVar w:name="LW_REF.II.NEW.CP_YEAR" w:val="2018"/>
    <w:docVar w:name="LW_REF.INST.NEW" w:val="COM"/>
    <w:docVar w:name="LW_REF.INST.NEW_ADOPTED" w:val="final"/>
    <w:docVar w:name="LW_REF.INST.NEW_TEXT" w:val="(2018) 23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TATUT.CP" w:val="\u1055?\u1088?\u1077?\u1076?\u1083?\u1086?\u1078?\u1077?\u1085?\u1080?\u1077? \u1079?\u1072?"/>
    <w:docVar w:name="LW_SUPERTITRE" w:val="&lt;UNUSED&gt;"/>
    <w:docVar w:name="LW_TITRE.OBJ.CP" w:val="\u1086?\u1090?\u1085?\u1086?\u1089?\u1085?\u1086? \u1085?\u1072?\u1089?\u1098?\u1088?\u1095?\u1072?\u1074?\u1072?\u1085?\u1077?\u1090?\u1086? \u1085?\u1072? \u1086?\u1073?\u1097?\u1080?\u1090?\u1077? \u1094?\u1077?\u1085?\u1085?\u1086?\u1089?\u1090?\u1080?, \u1087?\u1088?\u1080?\u1086?\u1073?\u1097?\u1072?\u1074?\u1072?\u1097?\u1086?\u1090?\u1086? \u1086?\u1073?\u1088?\u1072?\u1079?\u1086?\u1074?\u1072?\u1085?\u1080?\u1077? \u1080? \u1077?\u1074?\u1088?\u1086?\u1087?\u1077?\u1081?\u1089?\u1082?\u1086?\u1090?\u1086? \u1080?\u1079?\u1084?\u1077?\u1088?\u1077?\u1085?\u1080?\u1077? \u1085?\u1072? \u1087?\u1088?\u1077?\u1087?\u1086?\u1076?\u1072?\u1074?\u1072?\u1085?\u1077?\u1090?\u1086?"/>
    <w:docVar w:name="LW_TYPE.DOC.CP" w:val="\u1055?\u1056?\u1045?\u1055?\u1054?\u1056?\u1066?\u1050?\u1040? \u1053?\u1040? \u1057?\u1066?\u1042?\u1045?\u1058?\u1040?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9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9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9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9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  <w:jc w:val="left"/>
    </w:pPr>
    <w:rPr>
      <w:rFonts w:eastAsia="Times New Roman"/>
      <w:szCs w:val="24"/>
    </w:rPr>
  </w:style>
  <w:style w:type="paragraph" w:styleId="NormalWeb">
    <w:name w:val="Normal (Web)"/>
    <w:basedOn w:val="Normal"/>
    <w:uiPriority w:val="99"/>
    <w:semiHidden/>
    <w:unhideWhenUsed/>
    <w:rPr>
      <w:szCs w:val="24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A2">
    <w:name w:val="A2"/>
    <w:uiPriority w:val="99"/>
    <w:rPr>
      <w:rFonts w:cs="EC Square Sans Pro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bg-BG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bg-BG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p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pPr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  <w:rPr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  <w:lang w:eastAsia="en-US" w:bidi="ar-SA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  <w:lang w:eastAsia="en-US" w:bidi="ar-SA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33"/>
      </w:numPr>
    </w:pPr>
  </w:style>
  <w:style w:type="paragraph" w:customStyle="1" w:styleId="Tiret1">
    <w:name w:val="Tiret 1"/>
    <w:basedOn w:val="Point1"/>
    <w:pPr>
      <w:numPr>
        <w:numId w:val="34"/>
      </w:numPr>
    </w:pPr>
  </w:style>
  <w:style w:type="paragraph" w:customStyle="1" w:styleId="Tiret2">
    <w:name w:val="Tiret 2"/>
    <w:basedOn w:val="Point2"/>
    <w:pPr>
      <w:numPr>
        <w:numId w:val="35"/>
      </w:numPr>
    </w:pPr>
  </w:style>
  <w:style w:type="paragraph" w:customStyle="1" w:styleId="Tiret3">
    <w:name w:val="Tiret 3"/>
    <w:basedOn w:val="Point3"/>
    <w:pPr>
      <w:numPr>
        <w:numId w:val="36"/>
      </w:numPr>
    </w:pPr>
  </w:style>
  <w:style w:type="paragraph" w:customStyle="1" w:styleId="Tiret4">
    <w:name w:val="Tiret 4"/>
    <w:basedOn w:val="Point4"/>
    <w:pPr>
      <w:numPr>
        <w:numId w:val="37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38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38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38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38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40"/>
      </w:numPr>
    </w:pPr>
  </w:style>
  <w:style w:type="paragraph" w:customStyle="1" w:styleId="Point1number">
    <w:name w:val="Point 1 (number)"/>
    <w:basedOn w:val="Normal"/>
    <w:pPr>
      <w:numPr>
        <w:ilvl w:val="2"/>
        <w:numId w:val="40"/>
      </w:numPr>
    </w:pPr>
  </w:style>
  <w:style w:type="paragraph" w:customStyle="1" w:styleId="Point2number">
    <w:name w:val="Point 2 (number)"/>
    <w:basedOn w:val="Normal"/>
    <w:pPr>
      <w:numPr>
        <w:ilvl w:val="4"/>
        <w:numId w:val="40"/>
      </w:numPr>
    </w:pPr>
  </w:style>
  <w:style w:type="paragraph" w:customStyle="1" w:styleId="Point3number">
    <w:name w:val="Point 3 (number)"/>
    <w:basedOn w:val="Normal"/>
    <w:pPr>
      <w:numPr>
        <w:ilvl w:val="6"/>
        <w:numId w:val="40"/>
      </w:numPr>
    </w:pPr>
  </w:style>
  <w:style w:type="paragraph" w:customStyle="1" w:styleId="Point0letter">
    <w:name w:val="Point 0 (letter)"/>
    <w:basedOn w:val="Normal"/>
    <w:pPr>
      <w:numPr>
        <w:ilvl w:val="1"/>
        <w:numId w:val="40"/>
      </w:numPr>
    </w:pPr>
  </w:style>
  <w:style w:type="paragraph" w:customStyle="1" w:styleId="Point1letter">
    <w:name w:val="Point 1 (letter)"/>
    <w:basedOn w:val="Normal"/>
    <w:pPr>
      <w:numPr>
        <w:ilvl w:val="3"/>
        <w:numId w:val="40"/>
      </w:numPr>
    </w:pPr>
  </w:style>
  <w:style w:type="paragraph" w:customStyle="1" w:styleId="Point2letter">
    <w:name w:val="Point 2 (letter)"/>
    <w:basedOn w:val="Normal"/>
    <w:pPr>
      <w:numPr>
        <w:ilvl w:val="5"/>
        <w:numId w:val="40"/>
      </w:numPr>
    </w:pPr>
  </w:style>
  <w:style w:type="paragraph" w:customStyle="1" w:styleId="Point3letter">
    <w:name w:val="Point 3 (letter)"/>
    <w:basedOn w:val="Normal"/>
    <w:pPr>
      <w:numPr>
        <w:ilvl w:val="7"/>
        <w:numId w:val="40"/>
      </w:numPr>
    </w:pPr>
  </w:style>
  <w:style w:type="paragraph" w:customStyle="1" w:styleId="Point4letter">
    <w:name w:val="Point 4 (letter)"/>
    <w:basedOn w:val="Normal"/>
    <w:pPr>
      <w:numPr>
        <w:ilvl w:val="8"/>
        <w:numId w:val="40"/>
      </w:numPr>
    </w:pPr>
  </w:style>
  <w:style w:type="paragraph" w:customStyle="1" w:styleId="Bullet0">
    <w:name w:val="Bullet 0"/>
    <w:basedOn w:val="Normal"/>
    <w:pPr>
      <w:numPr>
        <w:numId w:val="41"/>
      </w:numPr>
    </w:pPr>
  </w:style>
  <w:style w:type="paragraph" w:customStyle="1" w:styleId="Bullet1">
    <w:name w:val="Bullet 1"/>
    <w:basedOn w:val="Normal"/>
    <w:pPr>
      <w:numPr>
        <w:numId w:val="42"/>
      </w:numPr>
    </w:pPr>
  </w:style>
  <w:style w:type="paragraph" w:customStyle="1" w:styleId="Bullet2">
    <w:name w:val="Bullet 2"/>
    <w:basedOn w:val="Normal"/>
    <w:pPr>
      <w:numPr>
        <w:numId w:val="43"/>
      </w:numPr>
    </w:pPr>
  </w:style>
  <w:style w:type="paragraph" w:customStyle="1" w:styleId="Bullet3">
    <w:name w:val="Bullet 3"/>
    <w:basedOn w:val="Normal"/>
    <w:pPr>
      <w:numPr>
        <w:numId w:val="44"/>
      </w:numPr>
    </w:pPr>
  </w:style>
  <w:style w:type="paragraph" w:customStyle="1" w:styleId="Bullet4">
    <w:name w:val="Bullet 4"/>
    <w:basedOn w:val="Normal"/>
    <w:pPr>
      <w:numPr>
        <w:numId w:val="45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46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9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9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9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9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  <w:jc w:val="left"/>
    </w:pPr>
    <w:rPr>
      <w:rFonts w:eastAsia="Times New Roman"/>
      <w:szCs w:val="24"/>
    </w:rPr>
  </w:style>
  <w:style w:type="paragraph" w:styleId="NormalWeb">
    <w:name w:val="Normal (Web)"/>
    <w:basedOn w:val="Normal"/>
    <w:uiPriority w:val="99"/>
    <w:semiHidden/>
    <w:unhideWhenUsed/>
    <w:rPr>
      <w:szCs w:val="24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A2">
    <w:name w:val="A2"/>
    <w:uiPriority w:val="99"/>
    <w:rPr>
      <w:rFonts w:cs="EC Square Sans Pro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bg-BG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bg-BG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p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pPr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  <w:rPr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  <w:lang w:eastAsia="en-US" w:bidi="ar-SA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  <w:lang w:eastAsia="en-US" w:bidi="ar-SA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33"/>
      </w:numPr>
    </w:pPr>
  </w:style>
  <w:style w:type="paragraph" w:customStyle="1" w:styleId="Tiret1">
    <w:name w:val="Tiret 1"/>
    <w:basedOn w:val="Point1"/>
    <w:pPr>
      <w:numPr>
        <w:numId w:val="34"/>
      </w:numPr>
    </w:pPr>
  </w:style>
  <w:style w:type="paragraph" w:customStyle="1" w:styleId="Tiret2">
    <w:name w:val="Tiret 2"/>
    <w:basedOn w:val="Point2"/>
    <w:pPr>
      <w:numPr>
        <w:numId w:val="35"/>
      </w:numPr>
    </w:pPr>
  </w:style>
  <w:style w:type="paragraph" w:customStyle="1" w:styleId="Tiret3">
    <w:name w:val="Tiret 3"/>
    <w:basedOn w:val="Point3"/>
    <w:pPr>
      <w:numPr>
        <w:numId w:val="36"/>
      </w:numPr>
    </w:pPr>
  </w:style>
  <w:style w:type="paragraph" w:customStyle="1" w:styleId="Tiret4">
    <w:name w:val="Tiret 4"/>
    <w:basedOn w:val="Point4"/>
    <w:pPr>
      <w:numPr>
        <w:numId w:val="37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38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38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38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38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40"/>
      </w:numPr>
    </w:pPr>
  </w:style>
  <w:style w:type="paragraph" w:customStyle="1" w:styleId="Point1number">
    <w:name w:val="Point 1 (number)"/>
    <w:basedOn w:val="Normal"/>
    <w:pPr>
      <w:numPr>
        <w:ilvl w:val="2"/>
        <w:numId w:val="40"/>
      </w:numPr>
    </w:pPr>
  </w:style>
  <w:style w:type="paragraph" w:customStyle="1" w:styleId="Point2number">
    <w:name w:val="Point 2 (number)"/>
    <w:basedOn w:val="Normal"/>
    <w:pPr>
      <w:numPr>
        <w:ilvl w:val="4"/>
        <w:numId w:val="40"/>
      </w:numPr>
    </w:pPr>
  </w:style>
  <w:style w:type="paragraph" w:customStyle="1" w:styleId="Point3number">
    <w:name w:val="Point 3 (number)"/>
    <w:basedOn w:val="Normal"/>
    <w:pPr>
      <w:numPr>
        <w:ilvl w:val="6"/>
        <w:numId w:val="40"/>
      </w:numPr>
    </w:pPr>
  </w:style>
  <w:style w:type="paragraph" w:customStyle="1" w:styleId="Point0letter">
    <w:name w:val="Point 0 (letter)"/>
    <w:basedOn w:val="Normal"/>
    <w:pPr>
      <w:numPr>
        <w:ilvl w:val="1"/>
        <w:numId w:val="40"/>
      </w:numPr>
    </w:pPr>
  </w:style>
  <w:style w:type="paragraph" w:customStyle="1" w:styleId="Point1letter">
    <w:name w:val="Point 1 (letter)"/>
    <w:basedOn w:val="Normal"/>
    <w:pPr>
      <w:numPr>
        <w:ilvl w:val="3"/>
        <w:numId w:val="40"/>
      </w:numPr>
    </w:pPr>
  </w:style>
  <w:style w:type="paragraph" w:customStyle="1" w:styleId="Point2letter">
    <w:name w:val="Point 2 (letter)"/>
    <w:basedOn w:val="Normal"/>
    <w:pPr>
      <w:numPr>
        <w:ilvl w:val="5"/>
        <w:numId w:val="40"/>
      </w:numPr>
    </w:pPr>
  </w:style>
  <w:style w:type="paragraph" w:customStyle="1" w:styleId="Point3letter">
    <w:name w:val="Point 3 (letter)"/>
    <w:basedOn w:val="Normal"/>
    <w:pPr>
      <w:numPr>
        <w:ilvl w:val="7"/>
        <w:numId w:val="40"/>
      </w:numPr>
    </w:pPr>
  </w:style>
  <w:style w:type="paragraph" w:customStyle="1" w:styleId="Point4letter">
    <w:name w:val="Point 4 (letter)"/>
    <w:basedOn w:val="Normal"/>
    <w:pPr>
      <w:numPr>
        <w:ilvl w:val="8"/>
        <w:numId w:val="40"/>
      </w:numPr>
    </w:pPr>
  </w:style>
  <w:style w:type="paragraph" w:customStyle="1" w:styleId="Bullet0">
    <w:name w:val="Bullet 0"/>
    <w:basedOn w:val="Normal"/>
    <w:pPr>
      <w:numPr>
        <w:numId w:val="41"/>
      </w:numPr>
    </w:pPr>
  </w:style>
  <w:style w:type="paragraph" w:customStyle="1" w:styleId="Bullet1">
    <w:name w:val="Bullet 1"/>
    <w:basedOn w:val="Normal"/>
    <w:pPr>
      <w:numPr>
        <w:numId w:val="42"/>
      </w:numPr>
    </w:pPr>
  </w:style>
  <w:style w:type="paragraph" w:customStyle="1" w:styleId="Bullet2">
    <w:name w:val="Bullet 2"/>
    <w:basedOn w:val="Normal"/>
    <w:pPr>
      <w:numPr>
        <w:numId w:val="43"/>
      </w:numPr>
    </w:pPr>
  </w:style>
  <w:style w:type="paragraph" w:customStyle="1" w:styleId="Bullet3">
    <w:name w:val="Bullet 3"/>
    <w:basedOn w:val="Normal"/>
    <w:pPr>
      <w:numPr>
        <w:numId w:val="44"/>
      </w:numPr>
    </w:pPr>
  </w:style>
  <w:style w:type="paragraph" w:customStyle="1" w:styleId="Bullet4">
    <w:name w:val="Bullet 4"/>
    <w:basedOn w:val="Normal"/>
    <w:pPr>
      <w:numPr>
        <w:numId w:val="45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46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7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5237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25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47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4889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24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951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4274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ec.europa.eu/commission/sites/beta-political/files/bjala_kniga_za_bdeshteto_na_evropa_bg.pdf" TargetMode="External"/><Relationship Id="rId26" Type="http://schemas.openxmlformats.org/officeDocument/2006/relationships/hyperlink" Target="file:///\\net1.cec.eu.int\EAC\A\A1\_From%20old%20A1%20to%20new%20A1\Post-Paris\Recommendation%20Social%20Inclusion%20and%20Common%20Values\Draft%20Outline\Commission%20Communication%20of%207%20June%202016:%20Action%20Plan%20on%20the%20integration%20of%20third%20country%20nationals;%20%D0%A1%D0%9E%D0%9C(2016)%20377." TargetMode="External"/><Relationship Id="rId39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yperlink" Target="http://eur-lex.europa.eu/legal-content/BG/TXT/PDF/?uri=CELEX:52015DC0408&amp;qid=1515759372639&amp;from=EN" TargetMode="External"/><Relationship Id="rId34" Type="http://schemas.openxmlformats.org/officeDocument/2006/relationships/hyperlink" Target="https://ec.europa.eu/info/sites/info/files/results-citizenship-consultation_en.pdf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consilium.europa.eu/en/press/press-releases/2017/03/25-rome-declaration/" TargetMode="External"/><Relationship Id="rId25" Type="http://schemas.openxmlformats.org/officeDocument/2006/relationships/hyperlink" Target="https://europa.eu/cultural-heritage/european-year-cultural-heritage_bg" TargetMode="External"/><Relationship Id="rId33" Type="http://schemas.openxmlformats.org/officeDocument/2006/relationships/hyperlink" Target="http://ec.europa.eu/newsroom/just/item-detail.cfm?item_id=51132" TargetMode="External"/><Relationship Id="rId38" Type="http://schemas.openxmlformats.org/officeDocument/2006/relationships/hyperlink" Target="https://ec.europa.eu/education/sites/education/files/monitor2017_en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c.europa.eu/dgs/education_culture/repository/education/news/2015/documents/citizenship-education-declaration_en.pdf" TargetMode="External"/><Relationship Id="rId20" Type="http://schemas.openxmlformats.org/officeDocument/2006/relationships/hyperlink" Target="http://eur-lex.europa.eu/legal-content/BG/TXT/PDF/?uri=CELEX:52017DC0673&amp;qid=1515758709294&amp;from=EN" TargetMode="External"/><Relationship Id="rId29" Type="http://schemas.openxmlformats.org/officeDocument/2006/relationships/hyperlink" Target="http://data.consilium.europa.eu/doc/document/ST-5741-2017-INIT/bg/pdf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http://data.consilium.europa.eu/doc/document/ST-8033-2017-INIT/bg/pdf" TargetMode="External"/><Relationship Id="rId32" Type="http://schemas.openxmlformats.org/officeDocument/2006/relationships/hyperlink" Target="http://eur-lex.europa.eu/legal-content/BG/TXT/HTML/?uri=CELEX:52017DC0250&amp;from=EN" TargetMode="External"/><Relationship Id="rId37" Type="http://schemas.openxmlformats.org/officeDocument/2006/relationships/hyperlink" Target="https://webgate.ec.europa.eu/fpfis/mwikis/eurydice/images/9/97/Citizenship_Study_EN_2017.pdf" TargetMode="External"/><Relationship Id="rId40" Type="http://schemas.openxmlformats.org/officeDocument/2006/relationships/footer" Target="footer5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http://data.consilium.europa.eu/doc/document/ST-9641-2016-INIT/bg/pdf" TargetMode="External"/><Relationship Id="rId28" Type="http://schemas.openxmlformats.org/officeDocument/2006/relationships/hyperlink" Target="http://data.consilium.europa.eu/doc/document/ST-14294-2016-INIT/bg/pdf" TargetMode="External"/><Relationship Id="rId36" Type="http://schemas.openxmlformats.org/officeDocument/2006/relationships/hyperlink" Target="http://fra.europa.eu/en/about-fra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ec.europa.eu/commission/publications/reflection-paper-harnessing-globalisation_bg" TargetMode="External"/><Relationship Id="rId31" Type="http://schemas.openxmlformats.org/officeDocument/2006/relationships/hyperlink" Target="https://rm.coe.int/16806ccc0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22" Type="http://schemas.openxmlformats.org/officeDocument/2006/relationships/hyperlink" Target="http://eur-lex.europa.eu/legal-content/bg/ALL/?uri=CELEX:32013H0112" TargetMode="External"/><Relationship Id="rId27" Type="http://schemas.openxmlformats.org/officeDocument/2006/relationships/hyperlink" Target="http://eur-lex.europa.eu/legal-content/BG/TXT/HTML/?uri=CELEX:52017DC0211&amp;from=DE" TargetMode="External"/><Relationship Id="rId30" Type="http://schemas.openxmlformats.org/officeDocument/2006/relationships/hyperlink" Target="https://europa.eu/youth/solidarity_bg" TargetMode="External"/><Relationship Id="rId35" Type="http://schemas.openxmlformats.org/officeDocument/2006/relationships/hyperlink" Target="https://www.european-agency.org/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ducation/sites/education/files/flash-report-cso-day-2016_en.pdf" TargetMode="External"/><Relationship Id="rId13" Type="http://schemas.openxmlformats.org/officeDocument/2006/relationships/hyperlink" Target="file:///C:\Users\Liebeth\Downloads\Education%20and%20training%20systems%20that%20uphold%20high%20standards%20of%20quality%20for%20all,%20foster%20personalised,%20inclusive%20approaches,%20support%20early%20intervention,%20and%20target%20disadvantaged%20learners,%20can%20be%20powerful%20drivers%20of%20social%20inclusion;" TargetMode="External"/><Relationship Id="rId18" Type="http://schemas.openxmlformats.org/officeDocument/2006/relationships/hyperlink" Target="http://ec.europa.eu/dgs/education_culture/repository/education/news/2015/documents/citizenship-education-declaration_en.pdf" TargetMode="External"/><Relationship Id="rId26" Type="http://schemas.openxmlformats.org/officeDocument/2006/relationships/hyperlink" Target="http://ec.europa.eu/commfrontoffice/publicopinion/index.cfm/Survey/getSurveyDetail/instruments/SPECIAL/surveyKy/2179" TargetMode="External"/><Relationship Id="rId3" Type="http://schemas.openxmlformats.org/officeDocument/2006/relationships/hyperlink" Target="https://ec.europa.eu/commission/publications/reflection-paper-harnessing-globalisation_bg" TargetMode="External"/><Relationship Id="rId21" Type="http://schemas.openxmlformats.org/officeDocument/2006/relationships/hyperlink" Target="https://www.oecd.org/pisa/pisa-2015-results-in-focus.pdf" TargetMode="External"/><Relationship Id="rId7" Type="http://schemas.openxmlformats.org/officeDocument/2006/relationships/hyperlink" Target="https://ec.europa.eu/education/sites/education/files/flash-report-ety-forum-2016_en.pdf" TargetMode="External"/><Relationship Id="rId12" Type="http://schemas.openxmlformats.org/officeDocument/2006/relationships/hyperlink" Target="http://nesetweb.eu/wp-content/uploads/2015/08/AR1_2015.pdf" TargetMode="External"/><Relationship Id="rId17" Type="http://schemas.openxmlformats.org/officeDocument/2006/relationships/hyperlink" Target="http://eur-lex.europa.eu/legal-content/BG/TXT/PDF/?uri=CELEX:52017DC0673&amp;qid=1515758709294&amp;from=EN" TargetMode="External"/><Relationship Id="rId25" Type="http://schemas.openxmlformats.org/officeDocument/2006/relationships/hyperlink" Target="http://ec.europa.eu/commfrontoffice/publicopinion/archives/eb/eb75/eb75_publ_en.pdf" TargetMode="External"/><Relationship Id="rId2" Type="http://schemas.openxmlformats.org/officeDocument/2006/relationships/hyperlink" Target="http://ec.europa.eu/education/news/20150316-paris-education_en" TargetMode="External"/><Relationship Id="rId16" Type="http://schemas.openxmlformats.org/officeDocument/2006/relationships/hyperlink" Target="http://nesetweb.eu/wp-content/uploads/2015/08/AR2_2015.pdf" TargetMode="External"/><Relationship Id="rId20" Type="http://schemas.openxmlformats.org/officeDocument/2006/relationships/hyperlink" Target="https://webgate.ec.europa.eu/fpfis/mwikis/eurydice/images/6/68/215_EN_Citizenship_2017_N.pdf" TargetMode="External"/><Relationship Id="rId1" Type="http://schemas.openxmlformats.org/officeDocument/2006/relationships/hyperlink" Target="https://ec.europa.eu/commission/state-union-2017_bg" TargetMode="External"/><Relationship Id="rId6" Type="http://schemas.openxmlformats.org/officeDocument/2006/relationships/hyperlink" Target="http://ec.europa.eu/education/sites/education/files/201605-colloquium-report-radicalisation_en.pdf" TargetMode="External"/><Relationship Id="rId11" Type="http://schemas.openxmlformats.org/officeDocument/2006/relationships/hyperlink" Target="http://nesetweb.eu/wp-content/uploads/2015/08/AR1_2015.pdf" TargetMode="External"/><Relationship Id="rId24" Type="http://schemas.openxmlformats.org/officeDocument/2006/relationships/hyperlink" Target="http://ec.europa.eu/commfrontoffice/publicopinion/archives/eb/eb75/eb75_publ_en.pdf" TargetMode="External"/><Relationship Id="rId5" Type="http://schemas.openxmlformats.org/officeDocument/2006/relationships/hyperlink" Target="http://ec.europa.eu/information_society/newsroom/image/document/2016-50/2016-fundamental-colloquium-conclusions_40602.pdf" TargetMode="External"/><Relationship Id="rId15" Type="http://schemas.openxmlformats.org/officeDocument/2006/relationships/hyperlink" Target="http://nesetweb.eu/wp-content/uploads/2015/08/AR2_2015.pdf" TargetMode="External"/><Relationship Id="rId23" Type="http://schemas.openxmlformats.org/officeDocument/2006/relationships/hyperlink" Target="http://ec.europa.eu/commfrontoffice/publicopinion/archives/eb/eb81/eb81_publ_en.pdf" TargetMode="External"/><Relationship Id="rId10" Type="http://schemas.openxmlformats.org/officeDocument/2006/relationships/hyperlink" Target="http://ec.europa.eu/education/policy/strategic-framework/expert-groups/citizenship-common-values_en" TargetMode="External"/><Relationship Id="rId19" Type="http://schemas.openxmlformats.org/officeDocument/2006/relationships/hyperlink" Target="https://ec.europa.eu/info/sites/info/files/results-citizenship-consultation_en.pdf" TargetMode="External"/><Relationship Id="rId4" Type="http://schemas.openxmlformats.org/officeDocument/2006/relationships/hyperlink" Target="http://ec.europa.eu/education/events/20151109-jean-monnet-conference_en" TargetMode="External"/><Relationship Id="rId9" Type="http://schemas.openxmlformats.org/officeDocument/2006/relationships/hyperlink" Target="http://ec.europa.eu/justice/events/colloquium-fundamental-rights-2015/files/fundamental_rights_colloquium_conclusions_bg.pdf" TargetMode="External"/><Relationship Id="rId14" Type="http://schemas.openxmlformats.org/officeDocument/2006/relationships/hyperlink" Target="http://nesetweb.eu/en/library/education-policies-and-practices-to-foster-tolerance-respect-for-diversity-and-civic-responsibility-in-children-and-young-people-in-the-eu/" TargetMode="External"/><Relationship Id="rId22" Type="http://schemas.openxmlformats.org/officeDocument/2006/relationships/hyperlink" Target="http://ec.europa.eu/education/policy/strategic-framework/et-monitor_bg" TargetMode="External"/><Relationship Id="rId27" Type="http://schemas.openxmlformats.org/officeDocument/2006/relationships/hyperlink" Target="https://www.coe.int/en/web/education/competences-for-democratic-cultur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AC0A8-6290-4AEE-8935-9D6D549F7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0</TotalTime>
  <Pages>22</Pages>
  <Words>7207</Words>
  <Characters>44327</Characters>
  <Application>Microsoft Office Word</Application>
  <DocSecurity>0</DocSecurity>
  <Lines>791</Lines>
  <Paragraphs>217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DIGIT/A3</cp:lastModifiedBy>
  <cp:revision>19</cp:revision>
  <cp:lastPrinted>2018-01-04T11:24:00Z</cp:lastPrinted>
  <dcterms:created xsi:type="dcterms:W3CDTF">2018-01-19T10:04:00Z</dcterms:created>
  <dcterms:modified xsi:type="dcterms:W3CDTF">2018-01-19T13:47:00Z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Version">
    <vt:lpwstr>6.0.1.0</vt:lpwstr>
  </property>
  <property fmtid="{D5CDD505-2E9C-101B-9397-08002B2CF9AE}" pid="4" name="Last edited using">
    <vt:lpwstr>LW 6.0, Build 20171009</vt:lpwstr>
  </property>
  <property fmtid="{D5CDD505-2E9C-101B-9397-08002B2CF9AE}" pid="5" name="Created using">
    <vt:lpwstr>LW 6.0, Build 20171009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SJ-022</vt:lpwstr>
  </property>
  <property fmtid="{D5CDD505-2E9C-101B-9397-08002B2CF9AE}" pid="10" name="DQCStatus">
    <vt:lpwstr>Green (DQC version 03)</vt:lpwstr>
  </property>
</Properties>
</file>