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31D6A84-DCA4-459E-8337-12B0813BF6A2" style="width:450pt;height:34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 Въведение</w:t>
      </w:r>
    </w:p>
    <w:p>
      <w:pPr>
        <w:jc w:val="both"/>
        <w:rPr>
          <w:rFonts w:ascii="Times New Roman" w:hAnsi="Times New Roman" w:cs="Times New Roman"/>
          <w:noProof/>
          <w:sz w:val="24"/>
          <w:szCs w:val="24"/>
        </w:rPr>
      </w:pPr>
      <w:r>
        <w:rPr>
          <w:rFonts w:ascii="Times New Roman" w:hAnsi="Times New Roman"/>
          <w:noProof/>
          <w:sz w:val="24"/>
        </w:rPr>
        <w:t xml:space="preserve">Образованието и обучението са най-добрите инвестиции в бъдещето на Европа. Те играят жизненоважна роля за насърчаването на растежа, иновациите и създаването на работни места. Системите за образование и обучение в Европа трябва да дават на хората ориентираните към бъдещето знания, умения и компетентности, които са им необходими, за да създават иновации и да просперират. Те играят важна роля и в изграждането на европейска идентичност въз основа на общи ценности и култури. Образованието трябва да помогне да се предоставят на младите хора възможности да изразяват идеите си и да се ангажират, да участват и да оформят бъдещето на една Европа, чиито характерни черти са демокрацията, солидарността и приобщаването. Цифровите технологии обогатяват ученето по различни начини и осигуряват възможности за учене, които трябва да бъдат достъпни за всички. Те дават достъп до богата информация и множество ресурси. </w:t>
      </w:r>
    </w:p>
    <w:p>
      <w:pPr>
        <w:jc w:val="both"/>
        <w:rPr>
          <w:rFonts w:ascii="Times New Roman" w:hAnsi="Times New Roman" w:cs="Times New Roman"/>
          <w:noProof/>
          <w:sz w:val="24"/>
          <w:szCs w:val="24"/>
        </w:rPr>
      </w:pPr>
      <w:r>
        <w:rPr>
          <w:rFonts w:ascii="Times New Roman" w:hAnsi="Times New Roman"/>
          <w:noProof/>
          <w:sz w:val="24"/>
        </w:rPr>
        <w:t>В Декларацията от Рим от март 2017 г. държавите — членки на ЕС, подчертаха ангажимента си да предоставят на младите хора „най-доброто образование и обучение“. На заседанието си през октомври 2017 г. Европейският съвет призова за системи за обучение и образование, които са „съобразени с цифровата ера“</w:t>
      </w:r>
      <w:r>
        <w:rPr>
          <w:rStyle w:val="FootnoteReference"/>
          <w:rFonts w:ascii="Times New Roman" w:hAnsi="Times New Roman"/>
          <w:noProof/>
        </w:rPr>
        <w:footnoteReference w:id="2"/>
      </w:r>
      <w:r>
        <w:rPr>
          <w:rFonts w:ascii="Times New Roman" w:hAnsi="Times New Roman"/>
          <w:noProof/>
          <w:sz w:val="24"/>
        </w:rPr>
        <w:t>. През ноември 2017 г. на срещата на върха в Гьотеборг Парламентът, Съветът и Комисията обявиха Европейския стълб на социалните права, в който е залегнало правото на качествено и приобщаващо образование, на обучение и на учене през целия живот. Със съобщението „</w:t>
      </w:r>
      <w:r>
        <w:rPr>
          <w:rFonts w:ascii="Times New Roman" w:hAnsi="Times New Roman"/>
          <w:b/>
          <w:noProof/>
          <w:sz w:val="24"/>
        </w:rPr>
        <w:t>Укрепване на европейската идентичност чрез образование и култура</w:t>
      </w:r>
      <w:r>
        <w:rPr>
          <w:rStyle w:val="FootnoteReference"/>
          <w:rFonts w:ascii="Times New Roman" w:hAnsi="Times New Roman"/>
          <w:noProof/>
        </w:rPr>
        <w:footnoteReference w:id="3"/>
      </w:r>
      <w:r>
        <w:rPr>
          <w:rFonts w:ascii="Times New Roman" w:hAnsi="Times New Roman"/>
          <w:noProof/>
          <w:sz w:val="24"/>
        </w:rPr>
        <w:t>“, което представлява приносът на Комисията към дискусията — в рамките на програмата на лидерите на ЕС — относно образованието и културата, проведена на срещата на върха в Гьотеборг, бе изложена визия за европейско пространство за образование и бе обявен специален план за действие в областта на цифровото образование.</w:t>
      </w:r>
    </w:p>
    <w:p>
      <w:pPr>
        <w:jc w:val="both"/>
        <w:rPr>
          <w:rFonts w:ascii="Times New Roman" w:hAnsi="Times New Roman" w:cs="Times New Roman"/>
          <w:noProof/>
          <w:sz w:val="24"/>
          <w:szCs w:val="24"/>
        </w:rPr>
      </w:pPr>
      <w:r>
        <w:rPr>
          <w:rFonts w:ascii="Times New Roman" w:hAnsi="Times New Roman"/>
          <w:noProof/>
          <w:sz w:val="24"/>
        </w:rPr>
        <w:t xml:space="preserve">Комисията ще бъде домакин на първата европейска среща на върха по въпросите на образованието през януари 2018 г., на която ще бъде обсъдена обширната тема „Полагане на основите на европейското пространство за образование: за иновационно, приобщаващо и основано на ценности образование“. В рамките на изпълнението на </w:t>
      </w:r>
      <w:r>
        <w:rPr>
          <w:rFonts w:ascii="Times New Roman" w:hAnsi="Times New Roman"/>
          <w:b/>
          <w:noProof/>
          <w:sz w:val="24"/>
        </w:rPr>
        <w:t>Новата европейска програма за умения</w:t>
      </w:r>
      <w:r>
        <w:rPr>
          <w:rStyle w:val="FootnoteReference"/>
          <w:rFonts w:ascii="Times New Roman" w:hAnsi="Times New Roman"/>
          <w:noProof/>
        </w:rPr>
        <w:footnoteReference w:id="4"/>
      </w:r>
      <w:r>
        <w:rPr>
          <w:rFonts w:ascii="Times New Roman" w:hAnsi="Times New Roman"/>
          <w:noProof/>
          <w:sz w:val="24"/>
        </w:rPr>
        <w:t xml:space="preserve"> Комисията ще предложи преработена </w:t>
      </w:r>
      <w:r>
        <w:rPr>
          <w:rFonts w:ascii="Times New Roman" w:hAnsi="Times New Roman"/>
          <w:b/>
          <w:noProof/>
          <w:sz w:val="24"/>
        </w:rPr>
        <w:t>Европейска референтна рамка за ключовите компетентности за учене през целия живот</w:t>
      </w:r>
      <w:r>
        <w:rPr>
          <w:rStyle w:val="FootnoteReference"/>
          <w:rFonts w:ascii="Times New Roman" w:hAnsi="Times New Roman"/>
          <w:noProof/>
        </w:rPr>
        <w:footnoteReference w:id="5"/>
      </w:r>
      <w:r>
        <w:rPr>
          <w:rFonts w:ascii="Times New Roman" w:hAnsi="Times New Roman"/>
          <w:noProof/>
          <w:sz w:val="24"/>
        </w:rPr>
        <w:t xml:space="preserve">, в която се посочват знанията, уменията и нагласите, от които хората се нуждаят в своя живот, включително компетентностите в сферата на цифровите технологии. Този план за действие описва начина, по който системите за образование и обучение могат </w:t>
      </w:r>
      <w:r>
        <w:rPr>
          <w:rFonts w:ascii="Times New Roman" w:hAnsi="Times New Roman"/>
          <w:b/>
          <w:noProof/>
          <w:sz w:val="24"/>
        </w:rPr>
        <w:t>да използват по-добре иновациите и цифровите технологии</w:t>
      </w:r>
      <w:r>
        <w:rPr>
          <w:rFonts w:ascii="Times New Roman" w:hAnsi="Times New Roman"/>
          <w:noProof/>
          <w:sz w:val="24"/>
        </w:rPr>
        <w:t xml:space="preserve"> и </w:t>
      </w:r>
      <w:r>
        <w:rPr>
          <w:rFonts w:ascii="Times New Roman" w:hAnsi="Times New Roman"/>
          <w:b/>
          <w:noProof/>
          <w:sz w:val="24"/>
        </w:rPr>
        <w:t xml:space="preserve">да подпомагат развитието на подходящи компетентности в областта на цифровите </w:t>
      </w:r>
      <w:r>
        <w:rPr>
          <w:rFonts w:ascii="Times New Roman" w:hAnsi="Times New Roman"/>
          <w:b/>
          <w:noProof/>
          <w:sz w:val="24"/>
        </w:rPr>
        <w:lastRenderedPageBreak/>
        <w:t>технологии</w:t>
      </w:r>
      <w:r>
        <w:rPr>
          <w:rFonts w:ascii="Times New Roman" w:hAnsi="Times New Roman"/>
          <w:noProof/>
          <w:sz w:val="24"/>
        </w:rPr>
        <w:t>, необходими за живота и работата в епоха на бързи цифрови промени. Планът за действие е насочен специално към системите за първоначално образование и обучение и се отнася за училищата, професионалното образование и обучение (ПОО) и висшето образование.</w:t>
      </w:r>
    </w:p>
    <w:p>
      <w:pPr>
        <w:jc w:val="both"/>
        <w:rPr>
          <w:rFonts w:ascii="Times New Roman" w:hAnsi="Times New Roman" w:cs="Times New Roman"/>
          <w:b/>
          <w:noProof/>
          <w:sz w:val="24"/>
          <w:szCs w:val="24"/>
        </w:rPr>
      </w:pPr>
      <w:r>
        <w:rPr>
          <w:rFonts w:ascii="Times New Roman" w:hAnsi="Times New Roman"/>
          <w:b/>
          <w:noProof/>
          <w:sz w:val="24"/>
        </w:rPr>
        <w:t>2. Предизвикателства и възможности за образованието вследствие на цифровата трансформация</w:t>
      </w:r>
    </w:p>
    <w:p>
      <w:pPr>
        <w:jc w:val="both"/>
        <w:rPr>
          <w:rFonts w:ascii="Times New Roman" w:hAnsi="Times New Roman" w:cs="Times New Roman"/>
          <w:noProof/>
          <w:sz w:val="24"/>
          <w:szCs w:val="24"/>
        </w:rPr>
      </w:pPr>
      <w:r>
        <w:rPr>
          <w:rFonts w:ascii="Times New Roman" w:hAnsi="Times New Roman"/>
          <w:noProof/>
          <w:sz w:val="24"/>
        </w:rPr>
        <w:t>Цифровата трансформация на Европа ще се ускори с бързия напредък на нови технологии като изкуствения интелект, роботиката, изчисленията в облак и блок-веригата. Подобно на по-ранни големи технологични нововъведения цифровизацията влияе на начина, по който хората живеят, общуват, учат и работят. Някои работни места ще спрат да съществуват, други ще бъдат заменени, ще бъдат създадени нови работни места, много работни места и промишлени отрасли ще претърпят промяна и ще се появят нови дейности</w:t>
      </w:r>
      <w:r>
        <w:rPr>
          <w:rStyle w:val="FootnoteReference"/>
          <w:rFonts w:ascii="Times New Roman" w:hAnsi="Times New Roman"/>
          <w:noProof/>
        </w:rPr>
        <w:footnoteReference w:id="6"/>
      </w:r>
      <w:r>
        <w:rPr>
          <w:rFonts w:ascii="Times New Roman" w:hAnsi="Times New Roman"/>
          <w:noProof/>
          <w:sz w:val="24"/>
        </w:rPr>
        <w:t>. Поради това инвестирането в цифровите умения на всеки човек през целия му живот е от първостепенно значение.</w:t>
      </w:r>
    </w:p>
    <w:p>
      <w:pPr>
        <w:jc w:val="both"/>
        <w:rPr>
          <w:rFonts w:ascii="Times New Roman" w:hAnsi="Times New Roman" w:cs="Times New Roman"/>
          <w:noProof/>
          <w:sz w:val="24"/>
          <w:szCs w:val="24"/>
        </w:rPr>
      </w:pPr>
      <w:r>
        <w:rPr>
          <w:rFonts w:ascii="Times New Roman" w:hAnsi="Times New Roman"/>
          <w:noProof/>
          <w:sz w:val="24"/>
        </w:rPr>
        <w:t>Въпреки че благодарение на цифровата трансформация се откриват много възможности, днес най-големият риск е обществото да не бъде добре подготвено за бъдещето. За да бъде образованието гръбнакът на растежа и социалното приобщаване в ЕС, основна задача е гражданите да бъдат подготвяни да се възползват в максимална степен от възможностите и да посрещат предизвикателствата на един бързо развиващ се, глобализиран и взаимосвързан свят.</w:t>
      </w:r>
    </w:p>
    <w:p>
      <w:pPr>
        <w:jc w:val="both"/>
        <w:rPr>
          <w:rFonts w:ascii="Times New Roman" w:hAnsi="Times New Roman" w:cs="Times New Roman"/>
          <w:noProof/>
          <w:sz w:val="24"/>
          <w:szCs w:val="24"/>
        </w:rPr>
      </w:pPr>
      <w:r>
        <w:rPr>
          <w:rFonts w:ascii="Times New Roman" w:hAnsi="Times New Roman"/>
          <w:noProof/>
          <w:sz w:val="24"/>
        </w:rPr>
        <w:t>Усилията за реформа продължават всяка година, но въпреки това продължава да съществува трайно разделение между и в рамките на държавите — членки на ЕС, по-специално що се отнася до цифровата инфраструктура и цифровите умения, което препятства приобщаващия растеж. Уязвимите групи са особено засегнати от тази ситуация. В допълнение това, че момичетата не проявяват интерес към изучаването на информационни и комуникационни технологии (ИКТ) и науки, технологии, инженерство и математика (НТИМ), продължава да е очевиден проблем. Това води до загуба на социални и икономически възможности и до рискове от засилване на неравенството между половете.</w:t>
      </w:r>
    </w:p>
    <w:p>
      <w:pPr>
        <w:jc w:val="both"/>
        <w:rPr>
          <w:rFonts w:ascii="Times New Roman" w:hAnsi="Times New Roman" w:cs="Times New Roman"/>
          <w:noProof/>
          <w:sz w:val="24"/>
          <w:szCs w:val="24"/>
        </w:rPr>
      </w:pPr>
      <w:r>
        <w:rPr>
          <w:rFonts w:ascii="Times New Roman" w:hAnsi="Times New Roman"/>
          <w:noProof/>
          <w:sz w:val="24"/>
        </w:rPr>
        <w:t>За образованието могат да бъдат от полза отварянето на класните стаи, опитът от реалния живот и проектите, изпълнявани в реалния живот, както и новите учебни средства, материали и образователни ресурси със свободен достъп. Учащите могат получат повече възможности благодарение на онлайн сътрудничеството. Достъпът до цифровите технологии и тяхното използване могат да помогнат за намаляване на разликите между учащите, произхождащи от благоприятна и неблагоприятна социално-икономическа среда. Персонализираното преподаване може да доведе до повишаване на мотивацията чрез съсредоточаване на вниманието върху отделните учащи. Напредъкът по отношение на включването на технологиите в образованието обаче остава ограничен.</w:t>
      </w:r>
    </w:p>
    <w:p>
      <w:pPr>
        <w:jc w:val="both"/>
        <w:rPr>
          <w:rFonts w:ascii="Times New Roman" w:hAnsi="Times New Roman" w:cs="Times New Roman"/>
          <w:noProof/>
          <w:sz w:val="24"/>
          <w:szCs w:val="24"/>
        </w:rPr>
      </w:pPr>
      <w:r>
        <w:rPr>
          <w:rFonts w:ascii="Times New Roman" w:hAnsi="Times New Roman"/>
          <w:noProof/>
          <w:sz w:val="24"/>
        </w:rPr>
        <w:t>Над 80 % от младите хора в Европа използват интернет за социални дейности</w:t>
      </w:r>
      <w:r>
        <w:rPr>
          <w:rStyle w:val="FootnoteReference"/>
          <w:rFonts w:ascii="Times New Roman" w:hAnsi="Times New Roman"/>
          <w:noProof/>
        </w:rPr>
        <w:footnoteReference w:id="7"/>
      </w:r>
      <w:r>
        <w:rPr>
          <w:rFonts w:ascii="Times New Roman" w:hAnsi="Times New Roman"/>
          <w:noProof/>
          <w:sz w:val="24"/>
        </w:rPr>
        <w:t>. Мобилният достъп до интернет се е увеличил значително през последните години</w:t>
      </w:r>
      <w:r>
        <w:rPr>
          <w:rStyle w:val="FootnoteReference"/>
          <w:rFonts w:ascii="Times New Roman" w:hAnsi="Times New Roman"/>
          <w:noProof/>
        </w:rPr>
        <w:footnoteReference w:id="8"/>
      </w:r>
      <w:r>
        <w:rPr>
          <w:rFonts w:ascii="Times New Roman" w:hAnsi="Times New Roman"/>
          <w:noProof/>
          <w:sz w:val="24"/>
        </w:rPr>
        <w:t>. Използването на технологиите за образователни цели обаче изостава. Не всички начални и средни училища в ЕС разполагат с широколентови връзки и не всички преподаватели притежават компетентности и увереност да използват цифрови средства в помощ на преподаването си</w:t>
      </w:r>
      <w:r>
        <w:rPr>
          <w:rStyle w:val="FootnoteReference"/>
          <w:rFonts w:ascii="Times New Roman" w:hAnsi="Times New Roman"/>
          <w:noProof/>
        </w:rPr>
        <w:footnoteReference w:id="9"/>
      </w:r>
      <w:r>
        <w:rPr>
          <w:rFonts w:ascii="Times New Roman" w:hAnsi="Times New Roman"/>
          <w:noProof/>
          <w:sz w:val="24"/>
        </w:rPr>
        <w:t>. Неотдавнашно проучване показа, че през 2015 г. приблизително 18 % от началните и средните училища в ЕС не са били свързани към широколентови мрежи</w:t>
      </w:r>
      <w:r>
        <w:rPr>
          <w:rStyle w:val="FootnoteReference"/>
          <w:rFonts w:ascii="Times New Roman" w:hAnsi="Times New Roman"/>
          <w:noProof/>
        </w:rPr>
        <w:footnoteReference w:id="10"/>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Иновациите в образователните системи — т.е. въвеждането на нови услуги, технологии и компетентности в образователните организации — могат да помогнат за подобряване на учебните резултати, справедливостта и ефективността</w:t>
      </w:r>
      <w:r>
        <w:rPr>
          <w:rStyle w:val="FootnoteReference"/>
          <w:rFonts w:ascii="Times New Roman" w:hAnsi="Times New Roman"/>
          <w:noProof/>
        </w:rPr>
        <w:footnoteReference w:id="11"/>
      </w:r>
      <w:r>
        <w:rPr>
          <w:rFonts w:ascii="Times New Roman" w:hAnsi="Times New Roman"/>
          <w:noProof/>
          <w:sz w:val="24"/>
        </w:rPr>
        <w:t>. Те са най-ефективни и устойчиви, когато бъдат възприети от добре обучени учители и са включени в ясни преподавателски цели. Трябва да се направи повече за определяне на начина, по който цифровите средства да се използват най-добре за постигане на целите в областта на образованието.</w:t>
      </w:r>
    </w:p>
    <w:p>
      <w:pPr>
        <w:jc w:val="both"/>
        <w:rPr>
          <w:rFonts w:ascii="Times New Roman" w:hAnsi="Times New Roman" w:cs="Times New Roman"/>
          <w:b/>
          <w:noProof/>
          <w:sz w:val="24"/>
          <w:szCs w:val="24"/>
        </w:rPr>
      </w:pPr>
      <w:r>
        <w:rPr>
          <w:rFonts w:ascii="Times New Roman" w:hAnsi="Times New Roman"/>
          <w:noProof/>
          <w:sz w:val="24"/>
        </w:rPr>
        <w:t>Напредъкът в областта на цифровите технологии поражда също така нови предизвикателства за европейските ученици, студенти и учители. Алгоритмите, използвани от сайтовете на социалните медии и от новинарските портали, могат да подсилват значително предразсъдъците или фалшивите новини, а неприкосновеността на личните данни се е превърнала в основна грижа в цифровото общество. Младите хора и възрастните могат да бъдат подложени на кибертормоз, на агресивно поведение или на пораждащо безпокойство онлайн съдържание. Ежедневното излагане на цифрови данни, предопределяни в голяма степен от неразбираеми алгоритми, създава очевидни рискове и изисква повече от всякога критично мислене и способност за положително и компетентно участие в цифровата среда. Изправени сме пред непрекъснато променяща се необходимост от медийна грамотност и от широк набор от цифрови умения и компетентности, включително в областта на безопасността, сигурността и неприкосновеността на личния живот. Придобиването им от по-широката общественост и от професиите и отраслите, в които са нужни по-напреднали умения, продължава да представлява предизвикателство.</w:t>
      </w:r>
    </w:p>
    <w:p>
      <w:pPr>
        <w:jc w:val="both"/>
        <w:rPr>
          <w:rFonts w:ascii="Times New Roman" w:hAnsi="Times New Roman" w:cs="Times New Roman"/>
          <w:b/>
          <w:noProof/>
          <w:sz w:val="24"/>
          <w:szCs w:val="24"/>
        </w:rPr>
      </w:pPr>
      <w:r>
        <w:rPr>
          <w:rFonts w:ascii="Times New Roman" w:hAnsi="Times New Roman"/>
          <w:b/>
          <w:noProof/>
          <w:sz w:val="24"/>
        </w:rPr>
        <w:t>3. Основната роля на сътрудничеството на равнище ЕС в увеличаването на иновациите в системите за образование и обучение на държавите — членки на ЕС</w:t>
      </w:r>
    </w:p>
    <w:p>
      <w:pPr>
        <w:jc w:val="both"/>
        <w:rPr>
          <w:rFonts w:ascii="Times New Roman" w:hAnsi="Times New Roman" w:cs="Times New Roman"/>
          <w:noProof/>
          <w:sz w:val="24"/>
          <w:szCs w:val="24"/>
        </w:rPr>
      </w:pPr>
      <w:r>
        <w:rPr>
          <w:rFonts w:ascii="Times New Roman" w:hAnsi="Times New Roman"/>
          <w:noProof/>
          <w:sz w:val="24"/>
        </w:rPr>
        <w:t>Сътрудничеството на равнище ЕС чрез обмен на най-добри практики, обучение между партньори и обмен на данни е доказан начин за подпомагане на системите за образование и обучение на държавите — членки на ЕС. Общите рамки помагат за откриването на ефективни решения, докато общите инструменти, като eTwinning, повишават ефикасността и разширяват въздействието. Иновационни практики в образованието, по-специално такива в областта на цифровите технологии, се използват в целия ЕС. Те приемат различни форми и в тях участват действащи страни от публичния, частния и неправителствения сектор. Иновациите в образователните системи обаче не са самоцел, а начин да се подобрят качеството и приобщаващият характер на образователните системи.</w:t>
      </w:r>
    </w:p>
    <w:p>
      <w:pPr>
        <w:jc w:val="both"/>
        <w:rPr>
          <w:rFonts w:ascii="Times New Roman" w:hAnsi="Times New Roman" w:cs="Times New Roman"/>
          <w:noProof/>
          <w:sz w:val="24"/>
          <w:szCs w:val="24"/>
        </w:rPr>
      </w:pPr>
      <w:r>
        <w:rPr>
          <w:rFonts w:ascii="Times New Roman" w:hAnsi="Times New Roman"/>
          <w:noProof/>
          <w:sz w:val="24"/>
        </w:rPr>
        <w:t>Данни от Европейския институт за иновации и технологии (EIT) показват, че вместо да чакат да настъпи промяна, заинтересованите страни активно използват възможностите, предоставяни от цифровите технологии, за подобряване на преподаването и ученето</w:t>
      </w:r>
      <w:r>
        <w:rPr>
          <w:rStyle w:val="FootnoteReference"/>
          <w:rFonts w:ascii="Times New Roman" w:hAnsi="Times New Roman"/>
          <w:noProof/>
        </w:rPr>
        <w:footnoteReference w:id="12"/>
      </w:r>
      <w:r>
        <w:rPr>
          <w:rFonts w:ascii="Times New Roman" w:hAnsi="Times New Roman"/>
          <w:noProof/>
          <w:sz w:val="24"/>
        </w:rPr>
        <w:t>. Иновационният и предприемачески дух в образованието и обучението трябва да бъде насърчаван и подкрепян с ясна политическа воля и усилия иновациите да носят ползи за всеки. Необходимо е иновационните практики да се обменят, обсъждат, популяризират и когато е възможно, да се използват по-широко. Концепциите, средствата, методите, процесите, системното мислене и проектирането трябва да бъдат по-достъпни за работещите в сферата на образованието, които обикновено не са напълно наясно с това какво се изпитва и тества на други места, понякога дори в непосредствена близост.</w:t>
      </w:r>
    </w:p>
    <w:p>
      <w:pPr>
        <w:jc w:val="both"/>
        <w:rPr>
          <w:rFonts w:ascii="Times New Roman" w:hAnsi="Times New Roman" w:cs="Times New Roman"/>
          <w:noProof/>
          <w:sz w:val="24"/>
          <w:szCs w:val="24"/>
        </w:rPr>
      </w:pPr>
      <w:r>
        <w:rPr>
          <w:rFonts w:ascii="Times New Roman" w:hAnsi="Times New Roman"/>
          <w:noProof/>
          <w:sz w:val="24"/>
        </w:rPr>
        <w:t>Данните и фактите на равнище ЕС допринасят за повишаването на прозрачността, като същевременно измерват напредъка и ученето от партньори в различните държави — членки на ЕС. Съществуват многобройни изследвания и проучвания, свързани с използването на технологиите в училищата. Повечето от тях обаче или са частични и обхващат например конкретна област, като свързаността, или са с ограничен географски обхват, т.е. обхващат конкретна държава. Основните източници за извършването на сравнителен анализ на световно равнище са проучванията на Европейската комисия, включително проучването на ИКТ в образованието от 2013 г. и годишното проучване относно използването на ИКТ от домакинствата и физическите лица, както и програмата за международно оценяване на учениците (PISA) и проучванията на уменията на възрастните (PIAAC) на ОИСР. Необходими са повече факти и съгласуван подход към събирането на данни.</w:t>
      </w:r>
    </w:p>
    <w:p>
      <w:pPr>
        <w:jc w:val="both"/>
        <w:rPr>
          <w:rFonts w:ascii="Times New Roman" w:hAnsi="Times New Roman" w:cs="Times New Roman"/>
          <w:noProof/>
          <w:sz w:val="24"/>
          <w:szCs w:val="24"/>
        </w:rPr>
      </w:pPr>
      <w:r>
        <w:rPr>
          <w:rFonts w:ascii="Times New Roman" w:hAnsi="Times New Roman"/>
          <w:noProof/>
          <w:sz w:val="24"/>
        </w:rPr>
        <w:t>Заинтересованите страни от образованието и обучението имат основна роля в интегрирането на иновациите в тази сфера. Проведените наскоро обществени консултации подчертаха необходимостта от по-специализирани действия от страна на ЕС, чрез които да се подпомогнат възприемането на иновационни подходи и цифрови технологии в образованието, както и развиването на цифрови компетентности, включително грамотност в областта на цифровите медии и безопасност и благополучие в цифровата среда</w:t>
      </w:r>
      <w:r>
        <w:rPr>
          <w:rStyle w:val="FootnoteReference"/>
          <w:rFonts w:ascii="Times New Roman" w:hAnsi="Times New Roman"/>
          <w:noProof/>
        </w:rPr>
        <w:footnoteReference w:id="13"/>
      </w:r>
      <w:r>
        <w:rPr>
          <w:rFonts w:ascii="Times New Roman" w:hAnsi="Times New Roman"/>
          <w:noProof/>
          <w:sz w:val="24"/>
        </w:rPr>
        <w:t>.</w:t>
      </w:r>
      <w:r>
        <w:rPr>
          <w:rStyle w:val="FootnoteReference"/>
          <w:noProof/>
        </w:rPr>
        <w:t xml:space="preserve"> </w:t>
      </w:r>
      <w:r>
        <w:rPr>
          <w:rFonts w:ascii="Times New Roman" w:hAnsi="Times New Roman"/>
          <w:noProof/>
          <w:sz w:val="24"/>
        </w:rPr>
        <w:t>68 % от запитаните по време на обществената консултация относно „Еразъм+“ посочиха, че иновациите са „изключително важни“ за задоволяване на нуждите на сектора на образованието. Налице е също така ясна необходимост от: i) повишаване на предприемаческите компетентности и предприемаческите нагласи; и ii) подкрепяне на цифровото предприемачество, включващо създаването на нови дружества и преобразуването на съществуващи предприятия посредством нови и бързо развиващи се цифрови технологии.</w:t>
      </w:r>
    </w:p>
    <w:p>
      <w:pPr>
        <w:jc w:val="both"/>
        <w:rPr>
          <w:rFonts w:ascii="Times New Roman" w:hAnsi="Times New Roman" w:cs="Times New Roman"/>
          <w:noProof/>
          <w:sz w:val="24"/>
          <w:szCs w:val="24"/>
        </w:rPr>
      </w:pPr>
      <w:r>
        <w:rPr>
          <w:rFonts w:ascii="Times New Roman" w:hAnsi="Times New Roman"/>
          <w:noProof/>
          <w:sz w:val="24"/>
        </w:rPr>
        <w:t xml:space="preserve">Планът за действие в областта на цифровото образование се основава на двете съобщения, приети през май 2017 г.: </w:t>
      </w:r>
      <w:r>
        <w:rPr>
          <w:rFonts w:ascii="Times New Roman" w:hAnsi="Times New Roman"/>
          <w:i/>
          <w:noProof/>
          <w:sz w:val="24"/>
        </w:rPr>
        <w:t>„Нов тласък за висшето образование в ЕС“</w:t>
      </w:r>
      <w:r>
        <w:rPr>
          <w:rFonts w:ascii="Times New Roman" w:hAnsi="Times New Roman"/>
          <w:noProof/>
          <w:sz w:val="24"/>
        </w:rPr>
        <w:t xml:space="preserve"> и </w:t>
      </w:r>
      <w:r>
        <w:rPr>
          <w:rFonts w:ascii="Times New Roman" w:hAnsi="Times New Roman"/>
          <w:i/>
          <w:noProof/>
          <w:sz w:val="24"/>
        </w:rPr>
        <w:t>„Училищно развитие и върхови постижения в областта на преподаването за по-добър старт в живота“</w:t>
      </w:r>
      <w:r>
        <w:rPr>
          <w:rStyle w:val="FootnoteReference"/>
          <w:rFonts w:ascii="Times New Roman" w:hAnsi="Times New Roman"/>
          <w:noProof/>
        </w:rPr>
        <w:footnoteReference w:id="14"/>
      </w:r>
      <w:r>
        <w:rPr>
          <w:rFonts w:ascii="Times New Roman" w:hAnsi="Times New Roman"/>
          <w:noProof/>
          <w:sz w:val="24"/>
        </w:rPr>
        <w:t>.</w:t>
      </w:r>
      <w:r>
        <w:rPr>
          <w:rStyle w:val="FootnoteReference"/>
          <w:noProof/>
        </w:rPr>
        <w:t xml:space="preserve"> </w:t>
      </w:r>
      <w:r>
        <w:rPr>
          <w:rFonts w:ascii="Times New Roman" w:hAnsi="Times New Roman"/>
          <w:noProof/>
          <w:sz w:val="24"/>
        </w:rPr>
        <w:t>Той подкрепя работата по цифровия единен пазар</w:t>
      </w:r>
      <w:r>
        <w:rPr>
          <w:rStyle w:val="FootnoteReference"/>
          <w:rFonts w:ascii="Times New Roman" w:hAnsi="Times New Roman"/>
          <w:noProof/>
        </w:rPr>
        <w:footnoteReference w:id="15"/>
      </w:r>
      <w:r>
        <w:rPr>
          <w:rFonts w:ascii="Times New Roman" w:hAnsi="Times New Roman"/>
          <w:noProof/>
          <w:sz w:val="24"/>
        </w:rPr>
        <w:t xml:space="preserve"> и Новата европейска програма за умения.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Планът за действие освен това доразвива призива от Документа за размисъл относно извличането на ползите от глобализацията обществото да стане „все по-мобилно и цифровизирано […] и да осигурим подходяща комбинация от социални умения, [...] както и надеждни цифрови умения“. В него се призовава образованието да помогне за повишаване на </w:t>
      </w:r>
      <w:r>
        <w:rPr>
          <w:rFonts w:ascii="Times New Roman" w:hAnsi="Times New Roman"/>
          <w:b/>
          <w:noProof/>
          <w:sz w:val="24"/>
        </w:rPr>
        <w:t>устойчивостта</w:t>
      </w:r>
      <w:r>
        <w:rPr>
          <w:rFonts w:ascii="Times New Roman" w:hAnsi="Times New Roman"/>
          <w:noProof/>
          <w:sz w:val="24"/>
        </w:rPr>
        <w:t xml:space="preserve"> във време на бързи технологични промени и на глобализация. Планът за действие е съгласуван с декларацията на министрите на Г-20 от 2017 г. относно цифровата икономика, в която се признава на световно равнище, че „може да се наложи всички форми на образованието и ученето през целия живот да бъдат адаптирани, за да се възползват от новите цифрови технологии“.</w:t>
      </w:r>
    </w:p>
    <w:p>
      <w:pPr>
        <w:jc w:val="both"/>
        <w:rPr>
          <w:rFonts w:ascii="Times New Roman" w:hAnsi="Times New Roman" w:cs="Times New Roman"/>
          <w:noProof/>
          <w:sz w:val="24"/>
          <w:szCs w:val="24"/>
        </w:rPr>
      </w:pPr>
      <w:r>
        <w:rPr>
          <w:rFonts w:ascii="Times New Roman" w:hAnsi="Times New Roman"/>
          <w:noProof/>
          <w:sz w:val="24"/>
        </w:rPr>
        <w:t xml:space="preserve">Тези документи очертават редица значими цели на политиката, които остават по-уместни от всякога. Те включват: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подкрепата за висококачественото образование;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подобряването на неговото значение;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развиването на цифровите умения на европейските граждани и повишаването на видимостта на тези умения;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стимулирането на иновациите и цифровите компетентности във всички учебни заведения;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отварянето на образователните системи.</w:t>
      </w:r>
    </w:p>
    <w:p>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 xml:space="preserve">4. Приоритети за действие </w:t>
      </w:r>
    </w:p>
    <w:p>
      <w:pPr>
        <w:jc w:val="both"/>
        <w:rPr>
          <w:rFonts w:ascii="Times New Roman" w:hAnsi="Times New Roman" w:cs="Times New Roman"/>
          <w:noProof/>
          <w:sz w:val="24"/>
          <w:szCs w:val="24"/>
        </w:rPr>
      </w:pPr>
      <w:r>
        <w:rPr>
          <w:rFonts w:ascii="Times New Roman" w:hAnsi="Times New Roman"/>
          <w:noProof/>
          <w:sz w:val="24"/>
        </w:rPr>
        <w:t xml:space="preserve">Планът за действие е съсредоточен върху изпълнението и върху необходимостта от стимулиране, подкрепяне и увеличаване на целенасоченото използване на цифровите и иновационните образователни практики. В изпълнението ще се включат широк кръг заинтересовани страни от сферата на образованието и обучението, включително предприятия, научни изследователи, НПО, както и структури от неформалното образование, когато е уместно. Планът за действие има </w:t>
      </w:r>
      <w:r>
        <w:rPr>
          <w:rFonts w:ascii="Times New Roman" w:hAnsi="Times New Roman"/>
          <w:b/>
          <w:noProof/>
          <w:sz w:val="24"/>
        </w:rPr>
        <w:t>три приоритета</w:t>
      </w:r>
      <w:r>
        <w:rPr>
          <w:rFonts w:ascii="Times New Roman" w:hAnsi="Times New Roman"/>
          <w:noProof/>
          <w:sz w:val="24"/>
        </w:rPr>
        <w:t>:</w:t>
      </w:r>
    </w:p>
    <w:p>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eastAsiaTheme="majorEastAsia" w:hAnsi="Times New Roman" w:cs="Times New Roman"/>
          <w:b/>
          <w:bCs/>
          <w:i/>
          <w:noProof/>
          <w:sz w:val="24"/>
          <w:szCs w:val="24"/>
          <w:bdr w:val="nil"/>
        </w:rPr>
      </w:pPr>
      <w:r>
        <w:rPr>
          <w:rFonts w:ascii="Times New Roman" w:eastAsiaTheme="majorEastAsia" w:hAnsi="Times New Roman"/>
          <w:b/>
          <w:i/>
          <w:noProof/>
          <w:sz w:val="24"/>
          <w:bdr w:val="nil"/>
        </w:rPr>
        <w:t>1: По-добро използване на цифровите технологии за преподаване и учене</w:t>
      </w:r>
    </w:p>
    <w:p>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eastAsiaTheme="majorEastAsia" w:hAnsi="Times New Roman" w:cs="Times New Roman"/>
          <w:b/>
          <w:bCs/>
          <w:i/>
          <w:noProof/>
          <w:sz w:val="24"/>
          <w:szCs w:val="24"/>
          <w:bdr w:val="nil"/>
        </w:rPr>
      </w:pPr>
      <w:r>
        <w:rPr>
          <w:rFonts w:ascii="Times New Roman" w:eastAsiaTheme="majorEastAsia" w:hAnsi="Times New Roman"/>
          <w:b/>
          <w:i/>
          <w:noProof/>
          <w:sz w:val="24"/>
          <w:bdr w:val="nil"/>
        </w:rPr>
        <w:t>2: Развиване на цифровите компетентности и умения, необходими за цифровата трансформация</w:t>
      </w:r>
    </w:p>
    <w:p>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eastAsiaTheme="majorEastAsia" w:hAnsi="Times New Roman" w:cs="Times New Roman"/>
          <w:bCs/>
          <w:noProof/>
          <w:sz w:val="24"/>
          <w:szCs w:val="24"/>
          <w:bdr w:val="nil"/>
        </w:rPr>
      </w:pPr>
      <w:r>
        <w:rPr>
          <w:rFonts w:ascii="Times New Roman" w:eastAsiaTheme="majorEastAsia" w:hAnsi="Times New Roman"/>
          <w:b/>
          <w:i/>
          <w:noProof/>
          <w:sz w:val="24"/>
          <w:bdr w:val="nil"/>
        </w:rPr>
        <w:t>3: Подобряване на образованието чрез по-добър анализ на данни и предвиждане</w:t>
      </w:r>
    </w:p>
    <w:p>
      <w:pPr>
        <w:jc w:val="both"/>
        <w:rPr>
          <w:rFonts w:ascii="Times New Roman" w:eastAsiaTheme="majorEastAsia" w:hAnsi="Times New Roman" w:cs="Times New Roman"/>
          <w:bCs/>
          <w:noProof/>
          <w:sz w:val="24"/>
          <w:szCs w:val="24"/>
          <w:bdr w:val="nil"/>
        </w:rPr>
      </w:pPr>
      <w:r>
        <w:rPr>
          <w:rFonts w:ascii="Times New Roman" w:eastAsiaTheme="majorEastAsia" w:hAnsi="Times New Roman"/>
          <w:noProof/>
          <w:sz w:val="24"/>
          <w:bdr w:val="nil"/>
        </w:rPr>
        <w:t>В плана за действие са набелязани мерки за всеки приоритет, за да се помогне на държавите — членки на ЕС, да се справят с предизвикателствата. Те включват: i) предоставяне на средства, чрез които да се помогне на преподавателите и обучаващите да използват по-добре технологиите, включително по-добрата свързаност с интернет; ii) целенасочени действия за развиване на подходящи цифрови компетентности</w:t>
      </w:r>
      <w:r>
        <w:rPr>
          <w:rStyle w:val="CommentReference"/>
          <w:noProof/>
        </w:rPr>
        <w:t>;</w:t>
      </w:r>
      <w:r>
        <w:rPr>
          <w:rFonts w:ascii="Times New Roman" w:eastAsiaTheme="majorEastAsia" w:hAnsi="Times New Roman"/>
          <w:noProof/>
          <w:sz w:val="24"/>
          <w:bdr w:val="nil"/>
        </w:rPr>
        <w:t xml:space="preserve"> iii) по-големи и нови усилия за подобряване на образованието чрез по-добри факти и по-добър анализ. Планът за действие не предопределя предстоящото предложение на Комисията относно новата многогодишна финансова рамка и бъдещите програми за финансиране.</w:t>
      </w:r>
    </w:p>
    <w:p>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4.1. Приоритет 1: По-добро използване на цифровите технологии за преподаване и учене</w:t>
      </w:r>
    </w:p>
    <w:p>
      <w:pPr>
        <w:jc w:val="both"/>
        <w:rPr>
          <w:rFonts w:ascii="Times New Roman" w:hAnsi="Times New Roman" w:cs="Times New Roman"/>
          <w:noProof/>
          <w:sz w:val="24"/>
          <w:szCs w:val="24"/>
        </w:rPr>
      </w:pPr>
      <w:r>
        <w:rPr>
          <w:rFonts w:ascii="Times New Roman" w:hAnsi="Times New Roman"/>
          <w:noProof/>
          <w:sz w:val="24"/>
        </w:rPr>
        <w:t xml:space="preserve">Цифровите технологии проникват все по-дълбоко в обществото и икономиката ни. Технологиите в различните си форми представляват голяма част от работната ни среда и начина ни на живот. Съществува обаче разлика между използването на цифровите технологии в ежедневието и в образованието. Цифровите технологии имат огромен и до голяма степен неоползотворен потенциал за подобряване на образованието. </w:t>
      </w:r>
    </w:p>
    <w:p>
      <w:pPr>
        <w:jc w:val="both"/>
        <w:rPr>
          <w:rFonts w:ascii="Times New Roman" w:hAnsi="Times New Roman" w:cs="Times New Roman"/>
          <w:i/>
          <w:noProof/>
          <w:sz w:val="24"/>
          <w:szCs w:val="24"/>
        </w:rPr>
      </w:pPr>
      <w:r>
        <w:rPr>
          <w:rFonts w:ascii="Times New Roman" w:hAnsi="Times New Roman"/>
          <w:noProof/>
          <w:sz w:val="24"/>
        </w:rPr>
        <w:t xml:space="preserve">Основна част от цифровото образование е </w:t>
      </w:r>
      <w:r>
        <w:rPr>
          <w:rFonts w:ascii="Times New Roman" w:hAnsi="Times New Roman"/>
          <w:b/>
          <w:noProof/>
          <w:sz w:val="24"/>
        </w:rPr>
        <w:t>да се осигурят справедливост и качество на достъпа и инфраструктурата</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Цифровото разделение има много измерения, но подобряването на достъпа до технологиите и на свързаността за всички деца в системата за образование трябва да бъде отправна точка за намаляването на неравенството и изключването. Освен това трябва да преодолеем различията в качеството на достъпа и на инфраструктурата, тъй като високото качество осигурява по-иновационен и по-удовлетворяващ учебен процес.</w:t>
      </w:r>
    </w:p>
    <w:p>
      <w:pPr>
        <w:jc w:val="both"/>
        <w:rPr>
          <w:rFonts w:ascii="Times" w:hAnsi="Times"/>
          <w:noProof/>
          <w:sz w:val="24"/>
        </w:rPr>
      </w:pPr>
      <w:r>
        <w:rPr>
          <w:rFonts w:ascii="Times New Roman" w:hAnsi="Times New Roman"/>
          <w:b/>
          <w:noProof/>
          <w:sz w:val="24"/>
        </w:rPr>
        <w:t>Иновациите в образованието и обучението зависят до голяма степен от предоставянето на възможности и свързването на преподавателите.</w:t>
      </w:r>
      <w:r>
        <w:rPr>
          <w:rFonts w:ascii="Times New Roman" w:hAnsi="Times New Roman"/>
          <w:noProof/>
          <w:sz w:val="24"/>
        </w:rPr>
        <w:t xml:space="preserve"> „Еразъм+“ постига това чрез обучението между партньори. Нови водени от експерти семинари за обучение и практикуващи лица, предназначени както за лицата, определящи политиката, така и за преподавателите, включително платформата на европейските сдружения на доставчиците на ПОО, допълнително ще подсилят свързаността чрез разработването на специфично съдържание на множество езици и чрез използването на ключови европейски платформи, като например портала за училищно образование (School Education Gateway) и Академията за учители (Teacher Academy).</w:t>
      </w:r>
      <w:r>
        <w:rPr>
          <w:rFonts w:ascii="Times" w:hAnsi="Times"/>
          <w:noProof/>
          <w:sz w:val="24"/>
        </w:rPr>
        <w:t xml:space="preserve"> </w:t>
      </w:r>
      <w:r>
        <w:rPr>
          <w:rFonts w:ascii="Times New Roman" w:hAnsi="Times New Roman"/>
          <w:noProof/>
          <w:sz w:val="24"/>
        </w:rPr>
        <w:t xml:space="preserve">Смесената мобилност ще бъде допълнително насърчена посредством нови възможности по линия на програмата „Еразъм+“, за да се подпомогнат както ученето онлайн и чрез пряк контакт, така и обменът на ученици в различните държави. </w:t>
      </w:r>
    </w:p>
    <w:p>
      <w:pPr>
        <w:jc w:val="both"/>
        <w:rPr>
          <w:rFonts w:ascii="Times New Roman" w:hAnsi="Times New Roman" w:cs="Times New Roman"/>
          <w:noProof/>
          <w:sz w:val="24"/>
          <w:szCs w:val="24"/>
        </w:rPr>
      </w:pPr>
      <w:r>
        <w:rPr>
          <w:rFonts w:ascii="Times New Roman" w:hAnsi="Times New Roman"/>
          <w:b/>
          <w:noProof/>
          <w:sz w:val="24"/>
        </w:rPr>
        <w:t>Цифровата подготвеност в сферата на образованието</w:t>
      </w:r>
      <w:r>
        <w:rPr>
          <w:rFonts w:ascii="Times New Roman" w:hAnsi="Times New Roman"/>
          <w:noProof/>
          <w:sz w:val="24"/>
        </w:rPr>
        <w:t xml:space="preserve"> изисква ноу-хау и е свързана с приспособяване и промяна. Училищата и заведенията за обучение в Европа са най-различни и оборудването, уменията на учителите и подходите към използването на технологиите се различават силно между тях. Съществуват райони на иновациите в цифровото образование в цяла Европа. Иновационните политики и практики обаче се нуждаят от подкрепа, за да се разраснат.</w:t>
      </w:r>
    </w:p>
    <w:p>
      <w:pPr>
        <w:jc w:val="both"/>
        <w:rPr>
          <w:rFonts w:ascii="Times New Roman" w:hAnsi="Times New Roman" w:cs="Times New Roman"/>
          <w:noProof/>
          <w:sz w:val="24"/>
          <w:szCs w:val="24"/>
        </w:rPr>
      </w:pPr>
      <w:r>
        <w:rPr>
          <w:rFonts w:ascii="Times New Roman" w:hAnsi="Times New Roman"/>
          <w:noProof/>
          <w:sz w:val="24"/>
        </w:rPr>
        <w:t>За да използват иновациите и технологиите в класните стаи, преподавателите се нуждаят от подходяща среда, инфраструктура, устройства и подкрепа от ръководството. За да носят цифровите технологии ползи на учащите и на служителите, е нужен подход, съчетаващ обучение на преподавателите, учебни програми и образователни материали, които са годни за прилагането на преподавателски модели, подпомагани с цифрови средства. Този валиден за цялата организация подход към използването на цифровите технологии за преподаване и учене е отразен в инструмента за самооценка SELFIE, който се използва на пилотна база в училища в 14 държави.</w:t>
      </w:r>
    </w:p>
    <w:p>
      <w:pPr>
        <w:jc w:val="both"/>
        <w:rPr>
          <w:rFonts w:ascii="Times New Roman" w:hAnsi="Times New Roman" w:cs="Times New Roman"/>
          <w:noProof/>
          <w:sz w:val="24"/>
          <w:szCs w:val="24"/>
        </w:rPr>
      </w:pPr>
      <w:r>
        <w:rPr>
          <w:rFonts w:ascii="Times New Roman" w:hAnsi="Times New Roman"/>
          <w:b/>
          <w:noProof/>
          <w:sz w:val="24"/>
        </w:rPr>
        <w:t>Мобилността е важна част от образованието и цифровите технологии имат основно значение за допълнителното ѝ подобряване.</w:t>
      </w:r>
      <w:r>
        <w:rPr>
          <w:rFonts w:ascii="Times New Roman" w:hAnsi="Times New Roman"/>
          <w:noProof/>
          <w:sz w:val="24"/>
        </w:rPr>
        <w:t xml:space="preserve"> Проекти по програма „Еразъм+“, като например европейската студентска електронна карта и „Еразъм“ без документи на хартиен носител“, ще бъдат разширени и включени в работата по автентифицирането в проекти по линия на Механизма за свързване на Европа</w:t>
      </w:r>
      <w:r>
        <w:rPr>
          <w:rStyle w:val="FootnoteReference"/>
          <w:rFonts w:ascii="Times New Roman" w:hAnsi="Times New Roman"/>
          <w:noProof/>
        </w:rPr>
        <w:footnoteReference w:id="16"/>
      </w:r>
      <w:r>
        <w:rPr>
          <w:rFonts w:ascii="Times New Roman" w:hAnsi="Times New Roman"/>
          <w:noProof/>
          <w:sz w:val="24"/>
        </w:rPr>
        <w:t xml:space="preserve">. Целите са следните: </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да се даде възможност на студентите да се идентифицират по надежден начин в съответствие с принципа на еднократност</w:t>
      </w:r>
      <w:r>
        <w:rPr>
          <w:rStyle w:val="FootnoteReference"/>
          <w:rFonts w:ascii="Times New Roman" w:hAnsi="Times New Roman"/>
          <w:noProof/>
        </w:rPr>
        <w:footnoteReference w:id="17"/>
      </w:r>
      <w:r>
        <w:rPr>
          <w:rFonts w:ascii="Times New Roman" w:hAnsi="Times New Roman"/>
          <w:noProof/>
          <w:sz w:val="24"/>
        </w:rPr>
        <w:t xml:space="preserve">; </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да се свържат цифрово информационните системи на висшите учебни заведения; </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да се осигури възможност за сигурен обмен и проверка на данни и на академичните резултати на студентите; </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да се намалят административните процедури; </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да се осигури достъп до услуги, на които студентите имат право, при пристигането им в приемащата държава.</w:t>
      </w:r>
    </w:p>
    <w:p>
      <w:pPr>
        <w:shd w:val="clear" w:color="auto" w:fill="FFFFFF"/>
        <w:jc w:val="both"/>
        <w:rPr>
          <w:rFonts w:ascii="Times New Roman" w:eastAsiaTheme="minorEastAsia" w:hAnsi="Times New Roman" w:cs="Times New Roman"/>
          <w:noProof/>
          <w:color w:val="000000"/>
          <w:sz w:val="20"/>
          <w:szCs w:val="20"/>
        </w:rPr>
      </w:pPr>
      <w:r>
        <w:rPr>
          <w:rFonts w:ascii="Times New Roman" w:hAnsi="Times New Roman"/>
          <w:noProof/>
          <w:sz w:val="24"/>
        </w:rPr>
        <w:t>Инициативата за европейската студентска електронна карта има за цел да се подобри качеството на студентската мобилност в Европа. До 2025 г. следва да може националната принадлежност и студентският статут на всички студенти, пътуващи по линия на програмата „Еразъм+“, да се признават автоматично във всички държави — членки на ЕС, както и студентите да имат достъп до услугите, предоставяни от комплекса на висшето учебно заведение, при пристигането си в чужбина (напр. учебни материали, записване и библиотеки). 20 000 ученици и 4 000 учители ще получат подкрепа за училищен обмен с цел да се допълнят и доразвият текущата работа и сътрудничество по проекти в сферата на цифровите технологии.</w:t>
      </w:r>
    </w:p>
    <w:p>
      <w:pPr>
        <w:jc w:val="both"/>
        <w:rPr>
          <w:rFonts w:ascii="Times New Roman" w:hAnsi="Times New Roman" w:cs="Times New Roman"/>
          <w:b/>
          <w:noProof/>
          <w:sz w:val="24"/>
          <w:szCs w:val="24"/>
        </w:rPr>
      </w:pPr>
      <w:r>
        <w:rPr>
          <w:rFonts w:ascii="Times New Roman" w:hAnsi="Times New Roman"/>
          <w:b/>
          <w:noProof/>
          <w:sz w:val="24"/>
        </w:rPr>
        <w:t>Пътят напред:</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b/>
          <w:i/>
          <w:noProof/>
          <w:sz w:val="24"/>
        </w:rPr>
        <w:t>Преодоляване на разделението в свързаността</w:t>
      </w:r>
      <w:r>
        <w:rPr>
          <w:rFonts w:ascii="Times New Roman" w:hAnsi="Times New Roman"/>
          <w:i/>
          <w:noProof/>
          <w:sz w:val="24"/>
        </w:rPr>
        <w:t xml:space="preserve"> между държавите — членки на ЕС, във връзка с въвеждането на широколентов достъп с много висок капацитет във всички европейски училища чрез: i) повишаване на осведомеността за ползите за училищата и за съществуващите възможности за финансиране</w:t>
      </w:r>
      <w:r>
        <w:rPr>
          <w:rStyle w:val="FootnoteReference"/>
          <w:rFonts w:ascii="Times New Roman" w:hAnsi="Times New Roman"/>
          <w:noProof/>
        </w:rPr>
        <w:footnoteReference w:id="18"/>
      </w:r>
      <w:r>
        <w:rPr>
          <w:rFonts w:ascii="Times New Roman" w:hAnsi="Times New Roman"/>
          <w:i/>
          <w:noProof/>
          <w:sz w:val="24"/>
        </w:rPr>
        <w:t>; ii) подпомагане на свързаността, а именно чрез ваучерна схема, предназначена предимно за районите в по-неблагоприятно положение, и гарантиране на пълно внедряване на инструментариума за селските райони</w:t>
      </w:r>
      <w:r>
        <w:rPr>
          <w:rStyle w:val="FootnoteReference"/>
          <w:rFonts w:ascii="Times New Roman" w:hAnsi="Times New Roman"/>
          <w:noProof/>
        </w:rPr>
        <w:footnoteReference w:id="19"/>
      </w:r>
      <w:r>
        <w:rPr>
          <w:rFonts w:ascii="Times New Roman" w:hAnsi="Times New Roman"/>
          <w:i/>
          <w:noProof/>
          <w:sz w:val="24"/>
        </w:rPr>
        <w:t>; iii) публикуване на данни за постигнатия напредък.</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Подпомагане на </w:t>
      </w:r>
      <w:r>
        <w:rPr>
          <w:rFonts w:ascii="Times New Roman" w:hAnsi="Times New Roman"/>
          <w:b/>
          <w:i/>
          <w:noProof/>
          <w:sz w:val="24"/>
        </w:rPr>
        <w:t>цифровата подготвеност на общообразователните и професионалните училища</w:t>
      </w:r>
      <w:r>
        <w:rPr>
          <w:rFonts w:ascii="Times New Roman" w:hAnsi="Times New Roman"/>
          <w:i/>
          <w:noProof/>
          <w:sz w:val="24"/>
        </w:rPr>
        <w:t xml:space="preserve"> чрез подсилване на цифровия им капацитет и чрез използване на инструмента за самооценка SELFIE от един милион учители, обучаващи и учащи до края на 2019 г. във всички държави — членки на ЕС, и в страните от Западните Балкани; насърчаване на схема за наставничество на национално/регионално равнище, подпомагана от платформа за повишаване на осведомеността на равнището на ЕС.</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rPr>
      </w:pPr>
      <w:r>
        <w:rPr>
          <w:rFonts w:ascii="Times New Roman" w:hAnsi="Times New Roman"/>
          <w:i/>
          <w:noProof/>
          <w:sz w:val="24"/>
        </w:rPr>
        <w:t xml:space="preserve">Осигуряване на рамка за издаване на </w:t>
      </w:r>
      <w:r>
        <w:rPr>
          <w:rFonts w:ascii="Times New Roman" w:hAnsi="Times New Roman"/>
          <w:b/>
          <w:i/>
          <w:noProof/>
          <w:sz w:val="24"/>
        </w:rPr>
        <w:t>цифрово удостоверени квалификации</w:t>
      </w:r>
      <w:r>
        <w:rPr>
          <w:rFonts w:ascii="Times New Roman" w:hAnsi="Times New Roman"/>
          <w:i/>
          <w:noProof/>
          <w:sz w:val="24"/>
        </w:rPr>
        <w:t xml:space="preserve"> и за валидиране на цифрово придобити умения, които се ползват с доверие и които са описани на различни езици и могат да се съхраняват в професионални профили (автобиографии), като например „Европас“. Рамката ще бъде напълно съобразена с Европейската квалификационна рамка за учене през целия живот (ЕКР) и Европейската класификация на уменията, компетентностите, квалификациите и професиите (ESCO).</w:t>
      </w:r>
    </w:p>
    <w:p>
      <w:pPr>
        <w:rPr>
          <w:rFonts w:ascii="Times New Roman" w:eastAsiaTheme="majorEastAsia" w:hAnsi="Times New Roman" w:cs="Times New Roman"/>
          <w:b/>
          <w:bCs/>
          <w:noProof/>
          <w:sz w:val="24"/>
          <w:szCs w:val="24"/>
          <w:bdr w:val="nil"/>
        </w:rPr>
      </w:pPr>
    </w:p>
    <w:p>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4.2. Приоритет 2: Развиване на цифровите умения и компетентности, необходими за цифровата трансформация</w:t>
      </w:r>
    </w:p>
    <w:p>
      <w:pPr>
        <w:jc w:val="both"/>
        <w:rPr>
          <w:rFonts w:ascii="Times New Roman" w:hAnsi="Times New Roman" w:cs="Times New Roman"/>
          <w:noProof/>
          <w:sz w:val="24"/>
          <w:szCs w:val="24"/>
        </w:rPr>
      </w:pPr>
      <w:r>
        <w:rPr>
          <w:rFonts w:ascii="Times New Roman" w:hAnsi="Times New Roman"/>
          <w:noProof/>
          <w:sz w:val="24"/>
        </w:rPr>
        <w:t>За да работят и преуспяват в цифровото общество и да преодоляват цифровите рискове, гражданите се нуждаят от компетентности, които да им помагат да посрещат предизвикателствата и да се възползват от възможностите, произтичащи от цифровата трансформация. Цифровите умения са основно умение, също както и езиковата и математическата грамотност. Те са необходими във всички области на живота, но все още твърде много граждани притежават ограничени или остарели умения за работа с цифрови технологии. Трябва да се подходи широкообхватно — всички граждани трябва да познават, на различно ниво, различните аспекти на цифровата компетентност — а за по-специализираните умения по информатика, необходими на работещите в сферата на ИКТ, трябва да се подходи и в дълбочина.</w:t>
      </w:r>
    </w:p>
    <w:p>
      <w:pPr>
        <w:jc w:val="both"/>
        <w:rPr>
          <w:rFonts w:ascii="Times New Roman" w:hAnsi="Times New Roman" w:cs="Times New Roman"/>
          <w:noProof/>
          <w:sz w:val="24"/>
          <w:szCs w:val="24"/>
        </w:rPr>
      </w:pPr>
      <w:r>
        <w:rPr>
          <w:rFonts w:ascii="Times New Roman" w:hAnsi="Times New Roman"/>
          <w:b/>
          <w:noProof/>
          <w:sz w:val="24"/>
        </w:rPr>
        <w:t>Цифровата компетентност</w:t>
      </w:r>
      <w:r>
        <w:rPr>
          <w:rFonts w:ascii="Times New Roman" w:hAnsi="Times New Roman"/>
          <w:noProof/>
          <w:sz w:val="24"/>
        </w:rPr>
        <w:t xml:space="preserve"> е включена в преработената Европейска референтна рамка за ключовите компетентности за учене през целия живот, която всички граждани следва да притежават. Цифровата компетентност означава уверено и критично използване на цифровите технологии и обхваща знанията, уменията и нагласите, от които се нуждаят всички граждани в бързо развиващото се цифрово общество.</w:t>
      </w:r>
      <w:r>
        <w:rPr>
          <w:rFonts w:ascii="Times New Roman" w:hAnsi="Times New Roman"/>
          <w:b/>
          <w:noProof/>
          <w:sz w:val="24"/>
        </w:rPr>
        <w:t xml:space="preserve"> </w:t>
      </w:r>
      <w:r>
        <w:rPr>
          <w:rFonts w:ascii="Times New Roman" w:hAnsi="Times New Roman"/>
          <w:noProof/>
          <w:sz w:val="24"/>
        </w:rPr>
        <w:t>Европейската рамка за цифрова компетентност на гражданите</w:t>
      </w:r>
      <w:r>
        <w:rPr>
          <w:rStyle w:val="FootnoteReference"/>
          <w:rFonts w:ascii="Times New Roman" w:hAnsi="Times New Roman"/>
          <w:noProof/>
        </w:rPr>
        <w:footnoteReference w:id="20"/>
      </w:r>
      <w:r>
        <w:rPr>
          <w:rFonts w:ascii="Times New Roman" w:hAnsi="Times New Roman"/>
          <w:noProof/>
          <w:sz w:val="24"/>
        </w:rPr>
        <w:t xml:space="preserve"> описва цифровата компетентност в пет области: грамотност за работа с информация и данни; комуникация и сътрудничество; създаване на цифрово съдържание; безопасност и благополучие; и решаване на проблеми. Наскоро публикуваната Европейска рамка за цифрова компетентност на преподавателите</w:t>
      </w:r>
      <w:r>
        <w:rPr>
          <w:rStyle w:val="FootnoteReference"/>
          <w:rFonts w:ascii="Times New Roman" w:hAnsi="Times New Roman"/>
          <w:noProof/>
        </w:rPr>
        <w:footnoteReference w:id="21"/>
      </w:r>
      <w:r>
        <w:rPr>
          <w:rFonts w:ascii="Times New Roman" w:hAnsi="Times New Roman"/>
          <w:noProof/>
          <w:sz w:val="24"/>
        </w:rPr>
        <w:t xml:space="preserve"> съдържа предназначени за преподавателите насоки за разработването на модели за цифрова компетентност. Взети заедно, тези рамки осигуряват задълбочен и удобен референтен модел за систематично насърчаване на цифровата компетентност.</w:t>
      </w:r>
    </w:p>
    <w:p>
      <w:pPr>
        <w:jc w:val="both"/>
        <w:rPr>
          <w:rFonts w:ascii="Times New Roman" w:hAnsi="Times New Roman" w:cs="Times New Roman"/>
          <w:noProof/>
          <w:sz w:val="24"/>
          <w:szCs w:val="24"/>
        </w:rPr>
      </w:pPr>
      <w:r>
        <w:rPr>
          <w:rFonts w:ascii="Times New Roman" w:hAnsi="Times New Roman"/>
          <w:noProof/>
          <w:sz w:val="24"/>
        </w:rPr>
        <w:t>Цифровата революция ще продължи да променя драстично начина, по който европейците живеят, работят и учат. Това създава огромни възможности, но поражда също така значителни рискове, ако цифровите компетентности не бъдат развивани. В рамките на Програмата за умения инициативата „Път за повишаване на уменията“ препоръчва държавите членки да въведат съгласувана уредба за подобряване на цифровите умения (и на езиковата и математическата грамотност) на милионите възрастни със слаби умения или ниска квалификация — групата, нуждаеща се от най-спешна помощ. Освен това в наши дни за приблизително 90 % от работните места се изисква някакво ниво на цифрови умения</w:t>
      </w:r>
      <w:r>
        <w:rPr>
          <w:rStyle w:val="FootnoteReference"/>
          <w:rFonts w:ascii="Times New Roman" w:hAnsi="Times New Roman"/>
          <w:noProof/>
        </w:rPr>
        <w:footnoteReference w:id="22"/>
      </w:r>
      <w:r>
        <w:rPr>
          <w:rFonts w:ascii="Times New Roman" w:hAnsi="Times New Roman"/>
          <w:noProof/>
          <w:sz w:val="24"/>
        </w:rPr>
        <w:t xml:space="preserve"> и една от значителните заплахи е, че Европа ще загуби най-конкурентното си предимство — висококвалифицираната и образована работна сила — ако не успеем да развием цифрови компетентности у европейските граждани от всички възрасти. </w:t>
      </w:r>
    </w:p>
    <w:p>
      <w:pPr>
        <w:pStyle w:val="Body"/>
        <w:jc w:val="both"/>
        <w:rPr>
          <w:rFonts w:ascii="Times New Roman" w:eastAsia="Arial Unicode MS" w:hAnsi="Times New Roman" w:cs="Times New Roman"/>
          <w:noProof/>
          <w:color w:val="auto"/>
          <w:sz w:val="24"/>
          <w:szCs w:val="24"/>
        </w:rPr>
      </w:pPr>
      <w:r>
        <w:rPr>
          <w:rFonts w:ascii="Times New Roman" w:hAnsi="Times New Roman"/>
          <w:b/>
          <w:noProof/>
          <w:color w:val="auto"/>
          <w:sz w:val="24"/>
        </w:rPr>
        <w:t>Придобиването на цифрови умения трябва да започне в ранна възраст и да продължи през целия живот.</w:t>
      </w:r>
      <w:r>
        <w:rPr>
          <w:rFonts w:ascii="Times New Roman" w:hAnsi="Times New Roman"/>
          <w:noProof/>
          <w:color w:val="auto"/>
          <w:sz w:val="24"/>
        </w:rPr>
        <w:t xml:space="preserve"> Това може да се постигне в рамките на образователните програми или чрез следучилищни занятия. Младите европейци ползват активно интернет, приложения и игри, но трябва да се запознаят и с основните структури и алгоритми и да станат цифрови създатели и лидери. </w:t>
      </w:r>
      <w:r>
        <w:rPr>
          <w:rFonts w:ascii="Times New Roman" w:hAnsi="Times New Roman"/>
          <w:noProof/>
          <w:sz w:val="24"/>
        </w:rPr>
        <w:t xml:space="preserve">Пример за успешно движение на ниско равнище е европейската инициатива codeweek.eu, която достигна почти един милион души по света през 2016 г. Въз основа на този опит обхватът на инициативата ще бъде увеличен, за да се стимулират всички училища в Европа да участват в </w:t>
      </w:r>
      <w:r>
        <w:rPr>
          <w:rFonts w:ascii="Times New Roman" w:hAnsi="Times New Roman"/>
          <w:b/>
          <w:noProof/>
          <w:sz w:val="24"/>
        </w:rPr>
        <w:t>Европейската седмица на програмирането</w:t>
      </w:r>
      <w:r>
        <w:rPr>
          <w:rFonts w:ascii="Times New Roman" w:hAnsi="Times New Roman"/>
          <w:noProof/>
          <w:sz w:val="24"/>
        </w:rPr>
        <w:t>, като си сътрудничат с органите на държавите — членки на ЕС, посланиците на Седмицата на програмирането, мрежата eTwinning, Коалицията за умения и работни места в областта на цифровите технологии</w:t>
      </w:r>
      <w:r>
        <w:rPr>
          <w:rStyle w:val="FootnoteReference"/>
          <w:rFonts w:ascii="Times New Roman" w:hAnsi="Times New Roman"/>
          <w:noProof/>
          <w:color w:val="auto"/>
        </w:rPr>
        <w:footnoteReference w:id="23"/>
      </w:r>
      <w:r>
        <w:rPr>
          <w:rFonts w:ascii="Times New Roman" w:hAnsi="Times New Roman"/>
          <w:noProof/>
          <w:sz w:val="24"/>
        </w:rPr>
        <w:t xml:space="preserve"> и сродни дейности.</w:t>
      </w:r>
    </w:p>
    <w:p>
      <w:pPr>
        <w:jc w:val="both"/>
        <w:rPr>
          <w:rFonts w:ascii="Times New Roman" w:hAnsi="Times New Roman" w:cs="Times New Roman"/>
          <w:i/>
          <w:noProof/>
          <w:sz w:val="24"/>
          <w:szCs w:val="24"/>
        </w:rPr>
      </w:pPr>
      <w:r>
        <w:rPr>
          <w:rFonts w:ascii="Times New Roman" w:hAnsi="Times New Roman"/>
          <w:noProof/>
          <w:sz w:val="24"/>
        </w:rPr>
        <w:t xml:space="preserve">По-голямо внимание трябва да се обърне на ефективното преодоляване на предизвикателствата, които цифровата трансформация създава за безопасността онлайн и киберхигиената. Трябва да подобрим </w:t>
      </w:r>
      <w:r>
        <w:rPr>
          <w:rFonts w:ascii="Times New Roman" w:hAnsi="Times New Roman"/>
          <w:b/>
          <w:noProof/>
          <w:sz w:val="24"/>
        </w:rPr>
        <w:t>критичното мислене и медийната грамотност</w:t>
      </w:r>
      <w:r>
        <w:rPr>
          <w:rFonts w:ascii="Times New Roman" w:hAnsi="Times New Roman"/>
          <w:noProof/>
          <w:sz w:val="24"/>
        </w:rPr>
        <w:t xml:space="preserve"> на децата и младите хора, за да могат да преценяват и преодоляват постоянните заплахи от фалшиви новини, кибертормоз, радикализация, рискове за киберсигурността и измами. Дори най-малките деца са в ежедневен контакт с цифровите технологии, но все още не са наясно с рисковете, и родителите се тревожат, че децата им могат да бъдат изложени на неподходящо съдържание и на рискове, но не знаят какво да направят по този въпрос. Едновременно с това Европол съобщава за все по-чести кибератаки, пробиви на сигурността на данни и други незаконни дейности онлайн. В съобщението си от септември относно киберсигурността</w:t>
      </w:r>
      <w:r>
        <w:rPr>
          <w:rStyle w:val="FootnoteReference"/>
          <w:rFonts w:ascii="Times New Roman" w:hAnsi="Times New Roman"/>
          <w:noProof/>
        </w:rPr>
        <w:footnoteReference w:id="24"/>
      </w:r>
      <w:r>
        <w:rPr>
          <w:rFonts w:ascii="Times New Roman" w:hAnsi="Times New Roman"/>
          <w:noProof/>
          <w:sz w:val="24"/>
        </w:rPr>
        <w:t xml:space="preserve"> Комисията призова държавите — членки на ЕС, да се ангажират да включат киберсигурността в академичните и професионалните учебни програми.</w:t>
      </w:r>
    </w:p>
    <w:p>
      <w:pPr>
        <w:jc w:val="both"/>
        <w:rPr>
          <w:rFonts w:ascii="Times New Roman" w:hAnsi="Times New Roman" w:cs="Times New Roman"/>
          <w:noProof/>
          <w:sz w:val="24"/>
          <w:szCs w:val="24"/>
        </w:rPr>
      </w:pPr>
      <w:r>
        <w:rPr>
          <w:rFonts w:ascii="Times New Roman" w:hAnsi="Times New Roman"/>
          <w:b/>
          <w:noProof/>
          <w:sz w:val="24"/>
        </w:rPr>
        <w:t>Преодоляването на неравнопоставеността между половете чрез образованието по цифрови технологии и по предприемачество</w:t>
      </w:r>
      <w:r>
        <w:rPr>
          <w:rFonts w:ascii="Times New Roman" w:hAnsi="Times New Roman"/>
          <w:noProof/>
          <w:sz w:val="24"/>
        </w:rPr>
        <w:t xml:space="preserve"> е от жизненоважно значение, ако искаме Европа да се възползва максимално от ползите, които носи цифровата революция. Въпреки че момичетата и момчетата имат сходен интерес и сходна компетентност в областта на цифровите технологии, момичетата, които доразвиват този интерес в обучението си или за кариерата си, са по-малко на брой от момчетата. Момичетата и младите жени се нуждаят от положителни примери, от модели за подражание и от подкрепа, за да преодолеят стереотипите и да осъзнаят, че и те могат да имат удовлетворяваща и успешна кариера в областта на ИКТ и НТИМ. Увеличаването на участието на жените в тези кариери ще помогне за реализирането на цифровия потенциал на Европа и ще гарантира, че жените заемат равно място в оформянето на цифровия свят</w:t>
      </w:r>
      <w:r>
        <w:rPr>
          <w:rStyle w:val="FootnoteReference"/>
          <w:rFonts w:ascii="Times New Roman" w:hAnsi="Times New Roman"/>
          <w:noProof/>
        </w:rPr>
        <w:footnoteReference w:id="25"/>
      </w:r>
      <w:r>
        <w:rPr>
          <w:rFonts w:ascii="Times New Roman" w:hAnsi="Times New Roman"/>
          <w:noProof/>
          <w:sz w:val="24"/>
        </w:rPr>
        <w:t>. В ЕС по-малко от 20 % от специалистите в областта на ИКТ са жени</w:t>
      </w:r>
      <w:r>
        <w:rPr>
          <w:rStyle w:val="FootnoteReference"/>
          <w:rFonts w:ascii="Times New Roman" w:hAnsi="Times New Roman"/>
          <w:noProof/>
        </w:rPr>
        <w:footnoteReference w:id="26"/>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Създаването на висококвалифицирани специалисти в областта на ИКТ е от жизненоважно значение за конкурентоспособността</w:t>
      </w:r>
      <w:r>
        <w:rPr>
          <w:rStyle w:val="FootnoteReference"/>
          <w:rFonts w:ascii="Times New Roman" w:hAnsi="Times New Roman"/>
          <w:noProof/>
        </w:rPr>
        <w:footnoteReference w:id="27"/>
      </w:r>
      <w:r>
        <w:rPr>
          <w:rFonts w:ascii="Times New Roman" w:hAnsi="Times New Roman"/>
          <w:noProof/>
          <w:sz w:val="24"/>
        </w:rPr>
        <w:t xml:space="preserve">. Напредналите </w:t>
      </w:r>
      <w:r>
        <w:rPr>
          <w:rFonts w:ascii="Times New Roman" w:hAnsi="Times New Roman"/>
          <w:b/>
          <w:noProof/>
          <w:sz w:val="24"/>
        </w:rPr>
        <w:t>цифрови умения са важни за подпомагането на следващото поколение анализатори, научни изследователи и новатори</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 xml:space="preserve">Задълбочените специализирани цифрови познания са необходими за много професии, не само за работещите в областта на ИКТ. Например лекарите, които анализират тенденциите в разпространението на заболяванията, трябва да притежават както специализирани медицински познания, така и най-различни напреднали цифрови компетентности. В по-общ план днес 75 % от научните изследователи не са минали обучение по свободен достъп или по управление на отворени данни. Насочените към гражданите научни изследвания и иновации, целящи да преодолеят обществените предизвикателства, следва да използват повече отворените данни и цифровите инструменти и методи, предназначени за съвместно ползване. </w:t>
      </w:r>
    </w:p>
    <w:p>
      <w:pPr>
        <w:jc w:val="both"/>
        <w:rPr>
          <w:rFonts w:ascii="Times New Roman" w:hAnsi="Times New Roman" w:cs="Times New Roman"/>
          <w:b/>
          <w:noProof/>
          <w:sz w:val="24"/>
          <w:szCs w:val="24"/>
        </w:rPr>
      </w:pPr>
      <w:r>
        <w:rPr>
          <w:rFonts w:ascii="Times New Roman" w:hAnsi="Times New Roman"/>
          <w:b/>
          <w:noProof/>
          <w:sz w:val="24"/>
        </w:rPr>
        <w:t>Пътят напред:</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Създаване на </w:t>
      </w:r>
      <w:r>
        <w:rPr>
          <w:rFonts w:ascii="Times New Roman" w:hAnsi="Times New Roman"/>
          <w:b/>
          <w:i/>
          <w:noProof/>
          <w:sz w:val="24"/>
        </w:rPr>
        <w:t>общоевропейска платформа за цифрово висше образование</w:t>
      </w:r>
      <w:r>
        <w:rPr>
          <w:rFonts w:ascii="Times New Roman" w:hAnsi="Times New Roman"/>
          <w:i/>
          <w:noProof/>
          <w:sz w:val="24"/>
        </w:rPr>
        <w:t xml:space="preserve"> и засилено сътрудничество. С подкрепата на „Еразъм+“ новата платформа ще послужи за единно звено за контакт и ще предлага: онлайн обучение, смесена мобилност, виртуални комплекси на висше учебно заведение и обмен на най-добри практики между висшите учебни заведения на всички равнища (студенти, научни изследователи и преподаватели). </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Укрепване на </w:t>
      </w:r>
      <w:r>
        <w:rPr>
          <w:rFonts w:ascii="Times New Roman" w:hAnsi="Times New Roman"/>
          <w:b/>
          <w:i/>
          <w:noProof/>
          <w:sz w:val="24"/>
        </w:rPr>
        <w:t>отворената наука и гражданската наука</w:t>
      </w:r>
      <w:r>
        <w:rPr>
          <w:rFonts w:ascii="Times New Roman" w:hAnsi="Times New Roman"/>
          <w:i/>
          <w:noProof/>
          <w:sz w:val="24"/>
        </w:rPr>
        <w:t xml:space="preserve"> в Европа чрез пилотно провеждане на специално обучение, включително на постоянни курсове за професионално развитие относно отворената наука във висшите учебни заведения на всички равнища (студенти, научни изследователи и преподаватели).</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Въвеждане на </w:t>
      </w:r>
      <w:r>
        <w:rPr>
          <w:rFonts w:ascii="Times New Roman" w:hAnsi="Times New Roman"/>
          <w:b/>
          <w:i/>
          <w:noProof/>
          <w:sz w:val="24"/>
        </w:rPr>
        <w:t>часове по програмиране във всички училища</w:t>
      </w:r>
      <w:r>
        <w:rPr>
          <w:rFonts w:ascii="Times New Roman" w:hAnsi="Times New Roman"/>
          <w:i/>
          <w:noProof/>
          <w:sz w:val="24"/>
        </w:rPr>
        <w:t xml:space="preserve"> в Европа, включително чрез увеличаване на участието на училищата в Европейската седмица на програмирането.</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Справяне с предизвикателствата, породени от цифровата трансформация, чрез стартиране на: i) </w:t>
      </w:r>
      <w:r>
        <w:rPr>
          <w:rFonts w:ascii="Times New Roman" w:hAnsi="Times New Roman"/>
          <w:b/>
          <w:i/>
          <w:noProof/>
          <w:sz w:val="24"/>
        </w:rPr>
        <w:t>общоевропейска кампания за повишаване на осведомеността</w:t>
      </w:r>
      <w:r>
        <w:rPr>
          <w:rFonts w:ascii="Times New Roman" w:hAnsi="Times New Roman"/>
          <w:i/>
          <w:noProof/>
          <w:sz w:val="24"/>
        </w:rPr>
        <w:t xml:space="preserve">, насочена към преподавателите, родителите и учащите, с цел насърчаване на безопасността онлайн, киберхигиената и медийната грамотност; и ii) </w:t>
      </w:r>
      <w:r>
        <w:rPr>
          <w:rFonts w:ascii="Times New Roman" w:hAnsi="Times New Roman"/>
          <w:b/>
          <w:i/>
          <w:noProof/>
          <w:sz w:val="24"/>
        </w:rPr>
        <w:t>инициатива за обучение по киберсигурност</w:t>
      </w:r>
      <w:r>
        <w:rPr>
          <w:rFonts w:ascii="Times New Roman" w:hAnsi="Times New Roman"/>
          <w:i/>
          <w:noProof/>
          <w:sz w:val="24"/>
        </w:rPr>
        <w:t>, основана на Рамката за цифрова компетентност на гражданите, за да се предостави на хората възможност да използват технологиите уверено и отговорно.</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Мерки за подкрепа за допълнително намаляване на </w:t>
      </w:r>
      <w:r>
        <w:rPr>
          <w:rFonts w:ascii="Times New Roman" w:hAnsi="Times New Roman"/>
          <w:b/>
          <w:i/>
          <w:noProof/>
          <w:sz w:val="24"/>
        </w:rPr>
        <w:t>неравнопоставеността между половете</w:t>
      </w:r>
      <w:r>
        <w:rPr>
          <w:rFonts w:ascii="Times New Roman" w:hAnsi="Times New Roman"/>
          <w:i/>
          <w:noProof/>
          <w:sz w:val="24"/>
        </w:rPr>
        <w:t xml:space="preserve"> в технологичния и предприемаческия сектор </w:t>
      </w:r>
      <w:r>
        <w:rPr>
          <w:rFonts w:ascii="Times New Roman" w:hAnsi="Times New Roman"/>
          <w:b/>
          <w:i/>
          <w:noProof/>
          <w:sz w:val="24"/>
        </w:rPr>
        <w:t>чрез насърчаване на цифровите и предприемаческите компетентности сред момичетата</w:t>
      </w:r>
      <w:r>
        <w:rPr>
          <w:rFonts w:ascii="Times New Roman" w:hAnsi="Times New Roman"/>
          <w:i/>
          <w:noProof/>
          <w:sz w:val="24"/>
        </w:rPr>
        <w:t>; мобилизиране на заинтересованите страни (предприятия, НПО) да развият у момичетата цифрови умения и да им предоставят вдъхновяващи модели, като се опират на Рамката за цифрова компетентност на гражданите и Рамката за предприемаческа компетентност.</w:t>
      </w:r>
    </w:p>
    <w:p>
      <w:pPr>
        <w:pStyle w:val="Heading1"/>
        <w:spacing w:before="120" w:after="240"/>
        <w:ind w:left="360" w:hanging="360"/>
        <w:jc w:val="both"/>
        <w:rPr>
          <w:rFonts w:ascii="Times New Roman" w:hAnsi="Times New Roman" w:cs="Times New Roman"/>
          <w:noProof/>
          <w:color w:val="auto"/>
          <w:sz w:val="24"/>
          <w:szCs w:val="24"/>
        </w:rPr>
      </w:pPr>
    </w:p>
    <w:p>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4.3. Приоритет 3: Подобряване на образователните системи чрез по-добър анализ на данни и предвиждане</w:t>
      </w:r>
    </w:p>
    <w:p>
      <w:pPr>
        <w:jc w:val="both"/>
        <w:rPr>
          <w:rFonts w:ascii="Times New Roman" w:hAnsi="Times New Roman" w:cs="Times New Roman"/>
          <w:noProof/>
          <w:sz w:val="24"/>
          <w:szCs w:val="24"/>
        </w:rPr>
      </w:pPr>
      <w:r>
        <w:rPr>
          <w:rFonts w:ascii="Times New Roman" w:hAnsi="Times New Roman"/>
          <w:b/>
          <w:noProof/>
          <w:sz w:val="24"/>
        </w:rPr>
        <w:t xml:space="preserve">Данните са от жизненоважно значение за образованието и обучението. </w:t>
      </w:r>
      <w:r>
        <w:rPr>
          <w:rFonts w:ascii="Times New Roman" w:hAnsi="Times New Roman"/>
          <w:noProof/>
          <w:sz w:val="24"/>
        </w:rPr>
        <w:t>Използването на технологиите генерира данни, които могат да се използват. Предизвикателството се състои в това как да се използват тези данни с цел подобряване на разбирането и предвиждането, които могат да подобрят образователните системи или да преодолеят текущи предизвикателства от образователен характер. Тъй като технологичните тенденции, като изкуственият интелект, автоматизацията и роботиката, имат глобален характер, сътрудничеството на равнището на ЕС може да осигури полезни насоки за всички държави — членки на ЕС, и да подпомогне започването на сътрудничество и обмен на информация за възможните ответни мерки спрямо новите трансгранични предизвикателства.</w:t>
      </w:r>
      <w:r>
        <w:rPr>
          <w:rFonts w:ascii="Times New Roman" w:hAnsi="Times New Roman"/>
          <w:b/>
          <w:noProof/>
          <w:sz w:val="24"/>
        </w:rPr>
        <w:t xml:space="preserve"> </w:t>
      </w:r>
      <w:r>
        <w:rPr>
          <w:rFonts w:ascii="Times New Roman" w:hAnsi="Times New Roman"/>
          <w:noProof/>
          <w:sz w:val="24"/>
        </w:rPr>
        <w:t>Събирането на данни чрез проучвания и изследвания относно цифровизацията в институциите за образование и обучение и цифровите технологии при ученето са жизненоважни при определянето на политиките. Съпоставимите изчерпателни данни за разпространението на технологиите в образователните системи често са недостатъчни, частични или остарели. Поради това са необходими по-ефективно и по-ефикасно събиране на данни и координация на равнището на ЕС и на международно равнище (ОИСР).</w:t>
      </w:r>
    </w:p>
    <w:p>
      <w:pPr>
        <w:jc w:val="both"/>
        <w:rPr>
          <w:rFonts w:ascii="Times New Roman" w:hAnsi="Times New Roman" w:cs="Times New Roman"/>
          <w:noProof/>
          <w:sz w:val="24"/>
          <w:szCs w:val="24"/>
        </w:rPr>
      </w:pPr>
      <w:r>
        <w:rPr>
          <w:rFonts w:ascii="Times New Roman" w:hAnsi="Times New Roman"/>
          <w:b/>
          <w:noProof/>
          <w:sz w:val="24"/>
        </w:rPr>
        <w:t>Данните помагат също за набелязването и посрещането на нуждите</w:t>
      </w:r>
      <w:r>
        <w:rPr>
          <w:rFonts w:ascii="Times New Roman" w:hAnsi="Times New Roman"/>
          <w:noProof/>
          <w:sz w:val="24"/>
        </w:rPr>
        <w:t xml:space="preserve"> от основани на факти мерки на политиката, но по-специално сравнителни данни се използват рядко. Инициативите във връзка с цифровото образование рядко се съпоставят с други инициативи и налични данни и затова се знае много малко кои практики вършат работа по принцип или могат да бъдат от полза за конкретни социални и образователни системи. Големите информационни масиви и анализът на ученето предлагат нови възможности за събиране, анализиране и използване на данни с цел подобряване на образованието. В различни държави — членки на ЕС, съществуват много инициативи, имащи за цел да се премине от универсалния подход към преподаването по дисциплини като математиката към по-персонализирано обучение с възможност за адаптиране на съдържанието към индивидуалните нужди на учениците</w:t>
      </w:r>
      <w:r>
        <w:rPr>
          <w:rStyle w:val="FootnoteReference"/>
          <w:rFonts w:ascii="Times New Roman" w:hAnsi="Times New Roman"/>
          <w:noProof/>
        </w:rPr>
        <w:footnoteReference w:id="28"/>
      </w:r>
      <w:r>
        <w:rPr>
          <w:rFonts w:ascii="Times New Roman" w:hAnsi="Times New Roman"/>
          <w:noProof/>
          <w:sz w:val="24"/>
        </w:rPr>
        <w:t>. Анализът на ученето може да подобри персонализираното обучение</w:t>
      </w:r>
      <w:r>
        <w:rPr>
          <w:rStyle w:val="FootnoteReference"/>
          <w:rFonts w:ascii="Times New Roman" w:hAnsi="Times New Roman"/>
          <w:noProof/>
        </w:rPr>
        <w:footnoteReference w:id="29"/>
      </w:r>
      <w:r>
        <w:rPr>
          <w:rFonts w:ascii="Times New Roman" w:hAnsi="Times New Roman"/>
          <w:noProof/>
          <w:sz w:val="24"/>
        </w:rPr>
        <w:t>, например чрез идентифициране на учениците, изложени на риск, и може да оцени въздействието на различните преподавателски стратегии. Тъй като обаче анализът на ученето тепърва започва да се развива в Европа, са ни необходими повече пилотни схеми за провеждане на изследвания и експерименти в тази област</w:t>
      </w:r>
      <w:r>
        <w:rPr>
          <w:rStyle w:val="FootnoteReference"/>
          <w:rFonts w:ascii="Times New Roman" w:hAnsi="Times New Roman"/>
          <w:noProof/>
        </w:rPr>
        <w:footnoteReference w:id="30"/>
      </w:r>
      <w:r>
        <w:rPr>
          <w:rFonts w:ascii="Times New Roman" w:hAnsi="Times New Roman"/>
          <w:noProof/>
          <w:sz w:val="24"/>
        </w:rPr>
        <w:t>.</w:t>
      </w:r>
    </w:p>
    <w:p>
      <w:pPr>
        <w:jc w:val="both"/>
        <w:rPr>
          <w:rFonts w:ascii="Times New Roman" w:hAnsi="Times New Roman" w:cs="Times New Roman"/>
          <w:i/>
          <w:noProof/>
          <w:sz w:val="24"/>
          <w:szCs w:val="24"/>
        </w:rPr>
      </w:pPr>
      <w:r>
        <w:rPr>
          <w:rFonts w:ascii="Times New Roman" w:hAnsi="Times New Roman"/>
          <w:b/>
          <w:noProof/>
          <w:sz w:val="24"/>
        </w:rPr>
        <w:t>Движените от потребителите иновации са от основно значение за ранното приемане на иновационни решения за справяне с предизвикателствата в сферата на образованието.</w:t>
      </w:r>
      <w:r>
        <w:rPr>
          <w:rFonts w:ascii="Times New Roman" w:hAnsi="Times New Roman"/>
          <w:i/>
          <w:noProof/>
          <w:sz w:val="24"/>
        </w:rPr>
        <w:t xml:space="preserve"> </w:t>
      </w:r>
      <w:r>
        <w:rPr>
          <w:rFonts w:ascii="Times New Roman" w:hAnsi="Times New Roman"/>
          <w:noProof/>
          <w:sz w:val="24"/>
        </w:rPr>
        <w:t xml:space="preserve">Данните и тенденциите в сферата на образованието по принцип се събират от горе надолу. Събирането се ръководи от международните организации и от правителствата. Гледната точка на потребителите често не се взема под внимание в достатъчна степен, което може да ограничи възможните решения за дадена нужда. Това важи с особена сила в епоха на иновации, движени от потребителите, при които лицата разработват решенията за проблемите, с които се сблъскват. В този контекст Комисията ще проучи начините за насърчаване на </w:t>
      </w:r>
      <w:r>
        <w:rPr>
          <w:rFonts w:ascii="Times New Roman" w:hAnsi="Times New Roman"/>
          <w:b/>
          <w:noProof/>
          <w:sz w:val="24"/>
        </w:rPr>
        <w:t>участието на гражданите</w:t>
      </w:r>
      <w:r>
        <w:rPr>
          <w:rFonts w:ascii="Times New Roman" w:hAnsi="Times New Roman"/>
          <w:noProof/>
          <w:sz w:val="24"/>
        </w:rPr>
        <w:t xml:space="preserve"> и </w:t>
      </w:r>
      <w:r>
        <w:rPr>
          <w:rFonts w:ascii="Times New Roman" w:hAnsi="Times New Roman"/>
          <w:b/>
          <w:noProof/>
          <w:sz w:val="24"/>
        </w:rPr>
        <w:t>движените от потребителите иновации</w:t>
      </w:r>
      <w:r>
        <w:rPr>
          <w:rFonts w:ascii="Times New Roman" w:hAnsi="Times New Roman"/>
          <w:noProof/>
          <w:sz w:val="24"/>
        </w:rPr>
        <w:t xml:space="preserve"> посредством годишен общоевропейски образователен хакатон с цел разработване на иновационни решения за основните предизвикателства в областта на образованието и обучението.</w:t>
      </w:r>
    </w:p>
    <w:p>
      <w:pPr>
        <w:jc w:val="both"/>
        <w:rPr>
          <w:rFonts w:ascii="Times New Roman" w:hAnsi="Times New Roman" w:cs="Times New Roman"/>
          <w:noProof/>
          <w:sz w:val="24"/>
          <w:szCs w:val="24"/>
        </w:rPr>
      </w:pPr>
      <w:r>
        <w:rPr>
          <w:rFonts w:ascii="Times New Roman" w:hAnsi="Times New Roman"/>
          <w:b/>
          <w:noProof/>
          <w:sz w:val="24"/>
        </w:rPr>
        <w:t>Предвиждане: от догонване към изпреварване на промените.</w:t>
      </w:r>
      <w:r>
        <w:rPr>
          <w:rFonts w:ascii="Times New Roman" w:hAnsi="Times New Roman"/>
          <w:i/>
          <w:noProof/>
          <w:sz w:val="24"/>
        </w:rPr>
        <w:t xml:space="preserve"> </w:t>
      </w:r>
      <w:r>
        <w:rPr>
          <w:rFonts w:ascii="Times New Roman" w:hAnsi="Times New Roman"/>
          <w:noProof/>
          <w:sz w:val="24"/>
        </w:rPr>
        <w:t xml:space="preserve">Институциите за образование и обучение се опитват да наваксат развитието на технологиите. Предвиждането в областта на образованието и обучението може да обърне тази тенденция и да привлече преподавателите (от създателите на политиките до практикуващите лица) да застанат начело на предстоящите промени. </w:t>
      </w:r>
    </w:p>
    <w:p>
      <w:pPr>
        <w:jc w:val="both"/>
        <w:rPr>
          <w:rFonts w:ascii="Times New Roman" w:hAnsi="Times New Roman" w:cs="Times New Roman"/>
          <w:b/>
          <w:noProof/>
          <w:sz w:val="24"/>
          <w:szCs w:val="24"/>
        </w:rPr>
      </w:pPr>
      <w:r>
        <w:rPr>
          <w:rFonts w:ascii="Times New Roman" w:hAnsi="Times New Roman"/>
          <w:b/>
          <w:noProof/>
          <w:sz w:val="24"/>
        </w:rPr>
        <w:t>Пътят напред:</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Събиране на данни за използването на ИКТ и за цифровите умения в училищата чрез публикуване на </w:t>
      </w:r>
      <w:r>
        <w:rPr>
          <w:rFonts w:ascii="Times New Roman" w:hAnsi="Times New Roman"/>
          <w:b/>
          <w:i/>
          <w:noProof/>
          <w:sz w:val="24"/>
        </w:rPr>
        <w:t>референтно проучване</w:t>
      </w:r>
      <w:r>
        <w:rPr>
          <w:rFonts w:ascii="Times New Roman" w:hAnsi="Times New Roman"/>
          <w:i/>
          <w:noProof/>
          <w:sz w:val="24"/>
        </w:rPr>
        <w:t xml:space="preserve"> за оценка на напредъка по отношение на включването на ИКТ в образованието. Това проучване ще се отнася до наличието и използването на инфраструктурата за ИКТ и на цифровите средства и до равнищата на цифровите умения. Заедно със следващия кръг на проучването PIAAC резултатите могат да бъдат използвани за актуализиране на Рамката за цифрова компетентност</w:t>
      </w:r>
      <w:r>
        <w:rPr>
          <w:rStyle w:val="FootnoteReference"/>
          <w:rFonts w:ascii="Times New Roman" w:hAnsi="Times New Roman"/>
          <w:noProof/>
        </w:rPr>
        <w:footnoteReference w:id="31"/>
      </w:r>
      <w:r>
        <w:rPr>
          <w:rFonts w:ascii="Times New Roman" w:hAnsi="Times New Roman"/>
          <w:i/>
          <w:noProof/>
          <w:sz w:val="24"/>
        </w:rPr>
        <w:t>. Комисията също така ще работи с ОИСР по разработването на нов модул в PISA, свързан с използването на технологиите в образованието, и ще проучи доколко е целесъобразно и осъществимо да предложи нови индикативни показатели на Съвета за компетентностите в областта на цифровите технологии и предприемачеството.</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i/>
          <w:noProof/>
          <w:sz w:val="24"/>
        </w:rPr>
        <w:t xml:space="preserve">Стартиране през 2018 г. на проекти за </w:t>
      </w:r>
      <w:r>
        <w:rPr>
          <w:rFonts w:ascii="Times New Roman" w:hAnsi="Times New Roman"/>
          <w:b/>
          <w:i/>
          <w:noProof/>
          <w:sz w:val="24"/>
        </w:rPr>
        <w:t>изкуствен интелект</w:t>
      </w:r>
      <w:r>
        <w:rPr>
          <w:rFonts w:ascii="Times New Roman" w:hAnsi="Times New Roman"/>
          <w:i/>
          <w:noProof/>
          <w:sz w:val="24"/>
        </w:rPr>
        <w:t xml:space="preserve"> и </w:t>
      </w:r>
      <w:r>
        <w:rPr>
          <w:rFonts w:ascii="Times New Roman" w:hAnsi="Times New Roman"/>
          <w:b/>
          <w:i/>
          <w:noProof/>
          <w:sz w:val="24"/>
        </w:rPr>
        <w:t>анализ на ученето</w:t>
      </w:r>
      <w:r>
        <w:rPr>
          <w:rFonts w:ascii="Times New Roman" w:hAnsi="Times New Roman"/>
          <w:i/>
          <w:noProof/>
          <w:sz w:val="24"/>
        </w:rPr>
        <w:t xml:space="preserve"> в областта на образованието с цел по-добро използване на огромното количество данни, налични понастоящем, и по този начин допринасяне за преодоляването на конкретни проблеми и за подобряването на изпълнението и наблюдението на политиката в областта на образованието; разработване на подходящ инструментариум и насоки за държавите членки.</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b/>
          <w:i/>
          <w:noProof/>
          <w:sz w:val="24"/>
        </w:rPr>
        <w:t>Започване на стратегическо предвиждане</w:t>
      </w:r>
      <w:r>
        <w:rPr>
          <w:rFonts w:ascii="Times New Roman" w:hAnsi="Times New Roman"/>
          <w:i/>
          <w:noProof/>
          <w:sz w:val="24"/>
        </w:rPr>
        <w:t xml:space="preserve"> на основните тенденции, произтичащи от цифровата трансформация за бъдещето на образователните системи, в тясно сътрудничество с експерти от държавите членки и използване на съществуващите</w:t>
      </w:r>
      <w:r>
        <w:rPr>
          <w:rStyle w:val="FootnoteReference"/>
          <w:rFonts w:ascii="Times New Roman" w:hAnsi="Times New Roman"/>
          <w:noProof/>
        </w:rPr>
        <w:footnoteReference w:id="32"/>
      </w:r>
      <w:r>
        <w:rPr>
          <w:rFonts w:ascii="Times New Roman" w:hAnsi="Times New Roman"/>
          <w:i/>
          <w:noProof/>
          <w:sz w:val="24"/>
        </w:rPr>
        <w:t xml:space="preserve"> и бъдещите канали за сътрудничество в целия ЕС в областта на образованието и обучението.</w:t>
      </w:r>
    </w:p>
    <w:p>
      <w:pPr>
        <w:rPr>
          <w:rFonts w:ascii="Times New Roman" w:eastAsiaTheme="majorEastAsia" w:hAnsi="Times New Roman"/>
          <w:b/>
          <w:noProof/>
          <w:sz w:val="24"/>
          <w:bdr w:val="nil"/>
          <w:lang w:val="en-GB"/>
        </w:rPr>
      </w:pPr>
      <w:r>
        <w:rPr>
          <w:rFonts w:ascii="Times New Roman" w:eastAsiaTheme="majorEastAsia" w:hAnsi="Times New Roman"/>
          <w:b/>
          <w:noProof/>
          <w:sz w:val="24"/>
          <w:bdr w:val="nil"/>
          <w:lang w:val="en-GB"/>
        </w:rPr>
        <w:br w:type="page"/>
      </w:r>
    </w:p>
    <w:p>
      <w:pPr>
        <w:jc w:val="both"/>
        <w:rPr>
          <w:rFonts w:ascii="Times New Roman" w:eastAsiaTheme="majorEastAsia" w:hAnsi="Times New Roman" w:cs="Times New Roman"/>
          <w:b/>
          <w:bCs/>
          <w:noProof/>
          <w:sz w:val="24"/>
          <w:szCs w:val="24"/>
          <w:bdr w:val="nil"/>
        </w:rPr>
      </w:pPr>
      <w:r>
        <w:rPr>
          <w:rFonts w:ascii="Times New Roman" w:eastAsiaTheme="majorEastAsia" w:hAnsi="Times New Roman"/>
          <w:b/>
          <w:noProof/>
          <w:sz w:val="24"/>
          <w:bdr w:val="nil"/>
        </w:rPr>
        <w:t>5. Заключения и перспективи</w:t>
      </w:r>
    </w:p>
    <w:p>
      <w:pPr>
        <w:jc w:val="both"/>
        <w:rPr>
          <w:rFonts w:ascii="Times New Roman" w:eastAsiaTheme="majorEastAsia" w:hAnsi="Times New Roman" w:cs="Times New Roman"/>
          <w:bCs/>
          <w:noProof/>
          <w:sz w:val="24"/>
          <w:szCs w:val="24"/>
          <w:bdr w:val="nil"/>
        </w:rPr>
      </w:pPr>
      <w:r>
        <w:rPr>
          <w:rFonts w:ascii="Times New Roman" w:eastAsiaTheme="majorEastAsia" w:hAnsi="Times New Roman"/>
          <w:noProof/>
          <w:sz w:val="24"/>
          <w:bdr w:val="nil"/>
        </w:rPr>
        <w:t>В плана за действие са представени европейските инициативи, които Комисията ще изпълни до края на 2020 г. в партньорство с държавите членки, заинтересованите страни и обществото. Той е част от по-широкообхватната амбиция на Комисията за изграждане на европейско пространство за образование и допълва препоръките относно общите ценности и основните компетентности. Планът за действие ще бъде изпълнен в рамките на европейското сътрудничество в областта на образованието и обучението („Образование и обучение 2020“). Той ще подпомогне също така европейския семестър, който е основен двигател на реформите чрез специфичните за всяка държава препоръки в областта на образованието и обучението.</w:t>
      </w:r>
    </w:p>
    <w:p>
      <w:pPr>
        <w:jc w:val="both"/>
        <w:rPr>
          <w:noProof/>
        </w:rPr>
      </w:pPr>
      <w:r>
        <w:rPr>
          <w:rFonts w:ascii="Times New Roman" w:eastAsiaTheme="majorEastAsia" w:hAnsi="Times New Roman"/>
          <w:noProof/>
          <w:sz w:val="24"/>
          <w:bdr w:val="nil"/>
        </w:rPr>
        <w:t>Комисията ще започне диалог със засегнатите заинтересовани страни относно начините за изпълнение на предложените действия. Във връзка с изпълнението Комисията ще работи с групата по рамката „Образование и обучение 2020“ по въпросите на цифровите умения и компетентности. Комисията ще извлече също така поуки за политиката от начина, по който действията се изпълняват. Това ще подпомогне започващите дискусии относно бъдещото европейско сътрудничество в областта на образованието и обучението.</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110530"/>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EUCO 14/17: Заключения на Европейския съвет от 19 октомври 2017 г.</w:t>
      </w:r>
    </w:p>
  </w:footnote>
  <w:footnote w:id="3">
    <w:p>
      <w:pPr>
        <w:pStyle w:val="FootnoteText"/>
        <w:ind w:left="709" w:hanging="709"/>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1">
        <w:r>
          <w:rPr>
            <w:rFonts w:ascii="Times New Roman" w:hAnsi="Times New Roman" w:cs="Times New Roman"/>
            <w:sz w:val="16"/>
            <w:szCs w:val="16"/>
          </w:rPr>
          <w:t>COM(2017)</w:t>
        </w:r>
      </w:hyperlink>
      <w:r>
        <w:rPr>
          <w:rFonts w:ascii="Times New Roman" w:hAnsi="Times New Roman" w:cs="Times New Roman"/>
          <w:sz w:val="16"/>
          <w:szCs w:val="16"/>
        </w:rPr>
        <w:t xml:space="preserve"> 673: Укрепване на европейската идентичност чрез образование и култура.</w:t>
      </w:r>
    </w:p>
  </w:footnote>
  <w:footnote w:id="4">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COM(2016) 381: Нова европейска програма за умения.</w:t>
      </w:r>
    </w:p>
  </w:footnote>
  <w:footnote w:id="5">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COM(2018) 24: Предложение за Препоръка на Съвета относно ключовите компетентности за учене през целия живот.</w:t>
      </w:r>
    </w:p>
  </w:footnote>
  <w:footnote w:id="6">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Европейска комисия (2017 г.): A concept paper on digitisation, employability and inclusiveness. The role of Europe, </w:t>
      </w:r>
      <w:hyperlink r:id="rId2">
        <w:r>
          <w:rPr>
            <w:rStyle w:val="Hyperlink"/>
            <w:rFonts w:ascii="Times New Roman" w:hAnsi="Times New Roman" w:cs="Times New Roman"/>
            <w:sz w:val="16"/>
            <w:szCs w:val="16"/>
          </w:rPr>
          <w:t>http://ec.europa.eu/newsroom/document.cfm?doc_id=44515</w:t>
        </w:r>
      </w:hyperlink>
      <w:r>
        <w:rPr>
          <w:rStyle w:val="Hyperlink"/>
          <w:rFonts w:ascii="Times New Roman" w:hAnsi="Times New Roman" w:cs="Times New Roman"/>
          <w:sz w:val="16"/>
          <w:szCs w:val="16"/>
        </w:rPr>
        <w:t xml:space="preserve">. </w:t>
      </w:r>
    </w:p>
  </w:footnote>
  <w:footnote w:id="7">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 xml:space="preserve">Евростат (2015 г.): Being young in Europe today - digital world, </w:t>
      </w:r>
      <w:hyperlink r:id="rId3">
        <w:r>
          <w:rPr>
            <w:rStyle w:val="Hyperlink"/>
            <w:rFonts w:ascii="Times New Roman" w:hAnsi="Times New Roman" w:cs="Times New Roman"/>
            <w:sz w:val="16"/>
            <w:szCs w:val="16"/>
          </w:rPr>
          <w:t>http://ec.europa.eu/eurostat/statistics-explained/index.php/Being_young_in_Europe_today_-_digital_world</w:t>
        </w:r>
      </w:hyperlink>
      <w:r>
        <w:rPr>
          <w:rFonts w:ascii="Times New Roman" w:hAnsi="Times New Roman" w:cs="Times New Roman"/>
          <w:sz w:val="16"/>
          <w:szCs w:val="16"/>
        </w:rPr>
        <w:t>.</w:t>
      </w:r>
    </w:p>
  </w:footnote>
  <w:footnote w:id="8">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Enders Analysis (2017 г.): Children's changing video habits and implications for the content market.</w:t>
      </w:r>
    </w:p>
  </w:footnote>
  <w:footnote w:id="9">
    <w:p>
      <w:pPr>
        <w:spacing w:after="0" w:line="240" w:lineRule="auto"/>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 xml:space="preserve">Европейска комисия (2013 г.): Survey of Schools: ICT in Education Benchmarking Access, Use and Attitudes to Technology in Europe’s Schools, </w:t>
      </w:r>
      <w:hyperlink r:id="rId4">
        <w:r>
          <w:rPr>
            <w:rStyle w:val="Hyperlink"/>
            <w:rFonts w:ascii="Times New Roman" w:hAnsi="Times New Roman" w:cs="Times New Roman"/>
            <w:sz w:val="16"/>
            <w:szCs w:val="16"/>
          </w:rPr>
          <w:t>https://ec.europa.eu/digital-single-market/en/news/survey-schools-ict-education</w:t>
        </w:r>
      </w:hyperlink>
    </w:p>
  </w:footnote>
  <w:footnote w:id="10">
    <w:p>
      <w:pPr>
        <w:pStyle w:val="FootnoteText"/>
        <w:rPr>
          <w:rFonts w:ascii="Times New Roman" w:hAnsi="Times New Roman" w:cs="Times New Roman"/>
          <w:sz w:val="16"/>
          <w:szCs w:val="16"/>
          <w:u w:val="singl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Европейска комисия (2017 г.): Satellite broadband for schools: Feasibility study,</w:t>
      </w:r>
      <w:r>
        <w:rPr>
          <w:rFonts w:ascii="Times New Roman" w:hAnsi="Times New Roman" w:cs="Times New Roman"/>
          <w:sz w:val="16"/>
          <w:szCs w:val="16"/>
        </w:rPr>
        <w:br/>
        <w:t xml:space="preserve"> </w:t>
      </w:r>
      <w:hyperlink r:id="rId5">
        <w:r>
          <w:rPr>
            <w:rStyle w:val="Hyperlink"/>
            <w:rFonts w:ascii="Times New Roman" w:hAnsi="Times New Roman" w:cs="Times New Roman"/>
            <w:sz w:val="16"/>
            <w:szCs w:val="16"/>
          </w:rPr>
          <w:t>http://ec.europa.eu/newsroom/document.cfm?doc_id=46134</w:t>
        </w:r>
      </w:hyperlink>
      <w:r>
        <w:rPr>
          <w:rStyle w:val="Hyperlink"/>
          <w:rFonts w:ascii="Times New Roman" w:hAnsi="Times New Roman" w:cs="Times New Roman"/>
          <w:sz w:val="16"/>
          <w:szCs w:val="16"/>
        </w:rPr>
        <w:t>.</w:t>
      </w:r>
    </w:p>
  </w:footnote>
  <w:footnote w:id="11">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 xml:space="preserve">ОИСР (2016 г.): Innovating Education and Education for Innovation. The Power of Digital Technologies and Skills. </w:t>
      </w:r>
    </w:p>
  </w:footnote>
  <w:footnote w:id="12">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 xml:space="preserve">Европейска комисия (2017 г.) 351: Commission Staff Working Document on the interim evaluation of the European Institute of Innovation and Technology. </w:t>
      </w:r>
    </w:p>
  </w:footnote>
  <w:footnote w:id="13">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 xml:space="preserve">Обществени консултации за преразглеждането на ключовите компетентности за учене през целия живот и за обновената програма на ЕС за модернизиране на висшето образование. </w:t>
      </w:r>
    </w:p>
  </w:footnote>
  <w:footnote w:id="14">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COM(2017) 248: </w:t>
      </w:r>
      <w:hyperlink r:id="rId6">
        <w:r>
          <w:rPr>
            <w:rFonts w:ascii="Times New Roman" w:hAnsi="Times New Roman" w:cs="Times New Roman"/>
            <w:sz w:val="16"/>
            <w:szCs w:val="16"/>
          </w:rPr>
          <w:t>Училищно развитие и върхови постижения в областта на преподаването за по-добър старт в живота;</w:t>
        </w:r>
      </w:hyperlink>
      <w:r>
        <w:rPr>
          <w:rFonts w:ascii="Times New Roman" w:hAnsi="Times New Roman" w:cs="Times New Roman"/>
          <w:sz w:val="16"/>
          <w:szCs w:val="16"/>
        </w:rPr>
        <w:t xml:space="preserve"> и COM(2017) 247: Нов тласък за висшето образование в ЕС.</w:t>
      </w:r>
    </w:p>
  </w:footnote>
  <w:footnote w:id="15">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COM(2015) 192: Стратегия за цифров единен пазар за Европа.</w:t>
      </w:r>
    </w:p>
  </w:footnote>
  <w:footnote w:id="16">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Механизъм за свързване на Европа, </w:t>
      </w:r>
      <w:hyperlink r:id="rId7">
        <w:r>
          <w:rPr>
            <w:rStyle w:val="Hyperlink"/>
            <w:rFonts w:ascii="Times New Roman" w:hAnsi="Times New Roman" w:cs="Times New Roman"/>
            <w:sz w:val="16"/>
            <w:szCs w:val="16"/>
          </w:rPr>
          <w:t>https://ec.europa.eu/cefdigital/wiki/display/CEFDIGITAL/CEF+Digital+Home</w:t>
        </w:r>
      </w:hyperlink>
      <w:r>
        <w:rPr>
          <w:rFonts w:ascii="Times New Roman" w:eastAsiaTheme="minorEastAsia" w:hAnsi="Times New Roman" w:cs="Times New Roman"/>
          <w:color w:val="000000"/>
          <w:sz w:val="16"/>
          <w:szCs w:val="16"/>
        </w:rPr>
        <w:t xml:space="preserve">. </w:t>
      </w:r>
    </w:p>
  </w:footnote>
  <w:footnote w:id="17">
    <w:p>
      <w:pPr>
        <w:pStyle w:val="FootnoteText"/>
        <w:rPr>
          <w:rFonts w:ascii="Times New Roman" w:eastAsia="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Европейска комисия (2017 г.), EU-wide digital Once-Only Principle, </w:t>
      </w:r>
      <w:hyperlink r:id="rId8">
        <w:r>
          <w:rPr>
            <w:rStyle w:val="Hyperlink"/>
            <w:rFonts w:ascii="Times New Roman" w:hAnsi="Times New Roman" w:cs="Times New Roman"/>
            <w:sz w:val="16"/>
            <w:szCs w:val="16"/>
          </w:rPr>
          <w:t>https://ec.europa.eu/digital-single-market/en/news/eu-wide-digital-once-only-principle-citizens-and-businesses-policy-options-and-their-impacts</w:t>
        </w:r>
      </w:hyperlink>
      <w:r>
        <w:rPr>
          <w:rStyle w:val="Hyperlink"/>
          <w:rFonts w:ascii="Times New Roman" w:hAnsi="Times New Roman" w:cs="Times New Roman"/>
          <w:sz w:val="16"/>
          <w:szCs w:val="16"/>
        </w:rPr>
        <w:t xml:space="preserve">. </w:t>
      </w:r>
    </w:p>
  </w:footnote>
  <w:footnote w:id="18">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включително чрез създадената наскоро мрежа на ЕС от служби по широколентовия достъп.</w:t>
      </w:r>
    </w:p>
  </w:footnote>
  <w:footnote w:id="19">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Европейска комисия (2017 г.): European Commission joins forces to help bringing more broadband in rural areas, </w:t>
      </w:r>
      <w:hyperlink r:id="rId9">
        <w:r>
          <w:rPr>
            <w:rStyle w:val="Hyperlink"/>
            <w:rFonts w:ascii="Times New Roman" w:hAnsi="Times New Roman" w:cs="Times New Roman"/>
            <w:sz w:val="16"/>
            <w:szCs w:val="16"/>
          </w:rPr>
          <w:t>https://ec.europa.eu/digital-single-market/en/news/european-commission-joins-forces-help-bringing-more-broadband-rural-areas</w:t>
        </w:r>
      </w:hyperlink>
      <w:r>
        <w:rPr>
          <w:rFonts w:ascii="Times New Roman" w:hAnsi="Times New Roman" w:cs="Times New Roman"/>
          <w:sz w:val="16"/>
          <w:szCs w:val="16"/>
        </w:rPr>
        <w:t xml:space="preserve">. </w:t>
      </w:r>
    </w:p>
    <w:p>
      <w:pPr>
        <w:pStyle w:val="FootnoteText"/>
        <w:rPr>
          <w:rFonts w:ascii="Times New Roman" w:hAnsi="Times New Roman" w:cs="Times New Roman"/>
          <w:sz w:val="16"/>
          <w:szCs w:val="16"/>
        </w:rPr>
      </w:pPr>
    </w:p>
  </w:footnote>
  <w:footnote w:id="20">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Европейска комисия (2016 г.). Digital Competence Framework for Citizens, </w:t>
      </w:r>
      <w:hyperlink r:id="rId10">
        <w:r>
          <w:rPr>
            <w:rStyle w:val="Hyperlink"/>
            <w:rFonts w:ascii="Times New Roman" w:hAnsi="Times New Roman" w:cs="Times New Roman"/>
            <w:sz w:val="16"/>
            <w:szCs w:val="16"/>
            <w:shd w:val="clear" w:color="auto" w:fill="FFFFFF"/>
          </w:rPr>
          <w:t>https://ec.europa.eu/jrc/en/digcomp/digital-competence-framework</w:t>
        </w:r>
      </w:hyperlink>
      <w:r>
        <w:rPr>
          <w:rStyle w:val="Hyperlink"/>
          <w:rFonts w:ascii="Times New Roman" w:hAnsi="Times New Roman" w:cs="Times New Roman"/>
          <w:color w:val="1155CC"/>
          <w:sz w:val="16"/>
          <w:szCs w:val="16"/>
          <w:shd w:val="clear" w:color="auto" w:fill="FFFFFF"/>
        </w:rPr>
        <w:t xml:space="preserve">. </w:t>
      </w:r>
    </w:p>
  </w:footnote>
  <w:footnote w:id="21">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Европейска комисия (2017 г.): Digital Competence Framework for Educators</w:t>
      </w:r>
      <w:r>
        <w:rPr>
          <w:rStyle w:val="Hyperlink"/>
          <w:rFonts w:ascii="Times New Roman" w:hAnsi="Times New Roman" w:cs="Times New Roman"/>
          <w:color w:val="1155CC"/>
          <w:sz w:val="16"/>
          <w:szCs w:val="16"/>
          <w:u w:val="none"/>
          <w:shd w:val="clear" w:color="auto" w:fill="FFFFFF"/>
        </w:rPr>
        <w:t xml:space="preserve">, </w:t>
      </w:r>
      <w:hyperlink r:id="rId11">
        <w:r>
          <w:rPr>
            <w:rStyle w:val="Hyperlink"/>
            <w:rFonts w:ascii="Times New Roman" w:hAnsi="Times New Roman" w:cs="Times New Roman"/>
            <w:sz w:val="16"/>
            <w:szCs w:val="16"/>
            <w:shd w:val="clear" w:color="auto" w:fill="FFFFFF"/>
          </w:rPr>
          <w:t>https://ec.europa.eu/jrc/en/digcompedu</w:t>
        </w:r>
      </w:hyperlink>
      <w:r>
        <w:rPr>
          <w:rStyle w:val="Hyperlink"/>
          <w:rFonts w:ascii="Times New Roman" w:hAnsi="Times New Roman" w:cs="Times New Roman"/>
          <w:color w:val="1155CC"/>
          <w:sz w:val="16"/>
          <w:szCs w:val="16"/>
          <w:shd w:val="clear" w:color="auto" w:fill="FFFFFF"/>
        </w:rPr>
        <w:t>.</w:t>
      </w:r>
    </w:p>
  </w:footnote>
  <w:footnote w:id="22">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Европейска комисия (2016 г.): ICT for work: Digital skills in the work place,</w:t>
      </w:r>
      <w:r>
        <w:rPr>
          <w:rStyle w:val="Hyperlink"/>
          <w:rFonts w:ascii="Times New Roman" w:hAnsi="Times New Roman" w:cs="Times New Roman"/>
          <w:color w:val="1155CC"/>
          <w:sz w:val="16"/>
          <w:szCs w:val="16"/>
          <w:u w:val="none"/>
          <w:shd w:val="clear" w:color="auto" w:fill="FFFFFF"/>
        </w:rPr>
        <w:t xml:space="preserve"> </w:t>
      </w:r>
      <w:hyperlink r:id="rId12">
        <w:r>
          <w:rPr>
            <w:rStyle w:val="Hyperlink"/>
            <w:rFonts w:ascii="Times New Roman" w:hAnsi="Times New Roman" w:cs="Times New Roman"/>
            <w:sz w:val="16"/>
            <w:szCs w:val="16"/>
            <w:shd w:val="clear" w:color="auto" w:fill="FFFFFF"/>
          </w:rPr>
          <w:t>https://ec.europa.eu/digital-single-market/en/news/ict-work-digital-skills-workplace</w:t>
        </w:r>
      </w:hyperlink>
      <w:r>
        <w:rPr>
          <w:rStyle w:val="Hyperlink"/>
          <w:rFonts w:ascii="Times New Roman" w:hAnsi="Times New Roman" w:cs="Times New Roman"/>
          <w:color w:val="1155CC"/>
          <w:sz w:val="16"/>
          <w:szCs w:val="16"/>
          <w:shd w:val="clear" w:color="auto" w:fill="FFFFFF"/>
        </w:rPr>
        <w:t xml:space="preserve">. </w:t>
      </w:r>
    </w:p>
  </w:footnote>
  <w:footnote w:id="23">
    <w:p>
      <w:pPr>
        <w:spacing w:after="0"/>
        <w:rPr>
          <w:rFonts w:ascii="Times New Roman" w:hAnsi="Times New Roman" w:cs="Times New Roman"/>
          <w:b/>
          <w:sz w:val="16"/>
          <w:szCs w:val="16"/>
        </w:rPr>
      </w:pPr>
      <w:r>
        <w:rPr>
          <w:rStyle w:val="FootnoteReference"/>
          <w:rFonts w:ascii="Times New Roman" w:hAnsi="Times New Roman" w:cs="Times New Roman"/>
          <w:sz w:val="16"/>
          <w:szCs w:val="16"/>
        </w:rPr>
        <w:footnoteRef/>
      </w:r>
      <w:r>
        <w:rPr>
          <w:rStyle w:val="Hyperlink"/>
          <w:rFonts w:ascii="Times New Roman" w:hAnsi="Times New Roman" w:cs="Times New Roman"/>
          <w:color w:val="1155CC"/>
          <w:sz w:val="16"/>
          <w:szCs w:val="16"/>
          <w:shd w:val="clear" w:color="auto" w:fill="FFFFFF"/>
        </w:rPr>
        <w:t xml:space="preserve"> </w:t>
      </w:r>
      <w:r>
        <w:rPr>
          <w:rStyle w:val="Hyperlink"/>
          <w:rFonts w:ascii="Times New Roman" w:hAnsi="Times New Roman" w:cs="Times New Roman"/>
          <w:color w:val="auto"/>
          <w:sz w:val="16"/>
          <w:szCs w:val="16"/>
          <w:u w:val="none"/>
          <w:shd w:val="clear" w:color="auto" w:fill="FFFFFF"/>
        </w:rPr>
        <w:t xml:space="preserve">За повече информация относно Коалицията за умения и работни места в областта на цифровите технологии вж. </w:t>
      </w:r>
      <w:hyperlink r:id="rId13">
        <w:r>
          <w:rPr>
            <w:rStyle w:val="Hyperlink"/>
            <w:rFonts w:ascii="Times New Roman" w:hAnsi="Times New Roman" w:cs="Times New Roman"/>
            <w:sz w:val="16"/>
            <w:szCs w:val="16"/>
            <w:shd w:val="clear" w:color="auto" w:fill="FFFFFF"/>
          </w:rPr>
          <w:t>https://ec.europa.eu/digital-single-market/en/digital-skills-jobs-coalition</w:t>
        </w:r>
      </w:hyperlink>
      <w:r>
        <w:rPr>
          <w:rStyle w:val="Hyperlink"/>
          <w:rFonts w:ascii="Times New Roman" w:hAnsi="Times New Roman" w:cs="Times New Roman"/>
          <w:color w:val="auto"/>
          <w:sz w:val="16"/>
          <w:szCs w:val="16"/>
          <w:u w:val="none"/>
          <w:shd w:val="clear" w:color="auto" w:fill="FFFFFF"/>
        </w:rPr>
        <w:t xml:space="preserve">. </w:t>
      </w:r>
    </w:p>
  </w:footnote>
  <w:footnote w:id="24">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JOIN(2017) 450: Съвместно съобщение на Европейската комисия и Европейската служба за външна дейност: Устойчивост, възпиране и отбрана: изграждане на силна киберсигурност за ЕС.</w:t>
      </w:r>
    </w:p>
  </w:footnote>
  <w:footnote w:id="25">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Вж. работния документ на службите на Комисията, точка 2.3.</w:t>
      </w:r>
    </w:p>
  </w:footnote>
  <w:footnote w:id="26">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eastAsiaTheme="majorEastAsia" w:hAnsi="Times New Roman" w:cs="Times New Roman"/>
          <w:sz w:val="16"/>
          <w:szCs w:val="16"/>
        </w:rPr>
        <w:t xml:space="preserve"> </w:t>
      </w:r>
      <w:r>
        <w:rPr>
          <w:rFonts w:ascii="Times New Roman" w:hAnsi="Times New Roman" w:cs="Times New Roman"/>
          <w:sz w:val="16"/>
          <w:szCs w:val="16"/>
        </w:rPr>
        <w:t>83,9 % от заетите специалисти в областта на ИКТ са мъже, а 16,1 % са жени (Евростат, 2015 г.).</w:t>
      </w:r>
    </w:p>
  </w:footnote>
  <w:footnote w:id="27">
    <w:p>
      <w:pPr>
        <w:pStyle w:val="FootnoteText"/>
        <w:rPr>
          <w:rFonts w:ascii="Times New Roman" w:hAnsi="Times New Roman" w:cs="Times New Roman"/>
          <w:sz w:val="16"/>
          <w:szCs w:val="16"/>
        </w:rPr>
      </w:pPr>
      <w:r>
        <w:rPr>
          <w:rStyle w:val="FootnoteReference"/>
          <w:rFonts w:ascii="Times New Roman" w:eastAsiaTheme="majorEastAsia" w:hAnsi="Times New Roman" w:cs="Times New Roman"/>
          <w:sz w:val="16"/>
          <w:szCs w:val="16"/>
        </w:rPr>
        <w:footnoteRef/>
      </w:r>
      <w:r>
        <w:rPr>
          <w:rStyle w:val="FootnoteReference"/>
          <w:rFonts w:ascii="Times New Roman" w:eastAsiaTheme="majorEastAsia" w:hAnsi="Times New Roman" w:cs="Times New Roman"/>
          <w:sz w:val="16"/>
          <w:szCs w:val="16"/>
        </w:rPr>
        <w:t xml:space="preserve"> </w:t>
      </w:r>
      <w:hyperlink r:id="rId14">
        <w:r>
          <w:rPr>
            <w:rFonts w:ascii="Times New Roman" w:hAnsi="Times New Roman" w:cs="Times New Roman"/>
            <w:sz w:val="16"/>
            <w:szCs w:val="16"/>
          </w:rPr>
          <w:t>Европейската рамка за електронните компетентности</w:t>
        </w:r>
      </w:hyperlink>
      <w:r>
        <w:rPr>
          <w:rFonts w:ascii="Times New Roman" w:hAnsi="Times New Roman" w:cs="Times New Roman"/>
          <w:sz w:val="16"/>
          <w:szCs w:val="16"/>
        </w:rPr>
        <w:t xml:space="preserve"> (e-CF) е европейски стандарт и база за справка за компетентностите, които трябва да притежават специалистите в областта на ИКТ. Тя е разработена и се поддържа от </w:t>
      </w:r>
      <w:hyperlink r:id="rId15">
        <w:r>
          <w:rPr>
            <w:rFonts w:ascii="Times New Roman" w:hAnsi="Times New Roman" w:cs="Times New Roman"/>
            <w:sz w:val="16"/>
            <w:szCs w:val="16"/>
          </w:rPr>
          <w:t>Европейския комитет по стандартизация</w:t>
        </w:r>
      </w:hyperlink>
      <w:r>
        <w:rPr>
          <w:rFonts w:ascii="Times New Roman" w:hAnsi="Times New Roman" w:cs="Times New Roman"/>
          <w:sz w:val="16"/>
          <w:szCs w:val="16"/>
        </w:rPr>
        <w:t xml:space="preserve"> (CEN).</w:t>
      </w:r>
    </w:p>
  </w:footnote>
  <w:footnote w:id="28">
    <w:p>
      <w:pPr>
        <w:pStyle w:val="Heading2"/>
        <w:spacing w:line="240" w:lineRule="auto"/>
        <w:jc w:val="both"/>
        <w:rPr>
          <w:rFonts w:ascii="Times New Roman" w:hAnsi="Times New Roman" w:cs="Times New Roman"/>
          <w:b w:val="0"/>
          <w:color w:val="auto"/>
          <w:sz w:val="16"/>
          <w:szCs w:val="16"/>
        </w:rPr>
      </w:pPr>
      <w:r>
        <w:rPr>
          <w:rStyle w:val="FootnoteReference"/>
          <w:rFonts w:ascii="Times New Roman" w:hAnsi="Times New Roman" w:cs="Times New Roman"/>
          <w:b w:val="0"/>
          <w:color w:val="auto"/>
          <w:sz w:val="16"/>
          <w:szCs w:val="16"/>
        </w:rPr>
        <w:footnoteRef/>
      </w:r>
      <w:r>
        <w:rPr>
          <w:rFonts w:ascii="Times New Roman" w:hAnsi="Times New Roman" w:cs="Times New Roman"/>
          <w:b w:val="0"/>
          <w:color w:val="auto"/>
          <w:sz w:val="16"/>
          <w:szCs w:val="16"/>
        </w:rPr>
        <w:t xml:space="preserve"> Например в Люксембург министерството по въпросите на националното образование, децата и младежта стартира, в подкрепа на стратегията </w:t>
      </w:r>
      <w:hyperlink r:id="rId16">
        <w:r>
          <w:rPr>
            <w:rStyle w:val="Hyperlink"/>
            <w:rFonts w:ascii="Times New Roman" w:hAnsi="Times New Roman" w:cs="Times New Roman"/>
            <w:b w:val="0"/>
            <w:color w:val="auto"/>
            <w:sz w:val="16"/>
            <w:szCs w:val="16"/>
          </w:rPr>
          <w:t>Digital Lëtzebuerg</w:t>
        </w:r>
      </w:hyperlink>
      <w:r>
        <w:rPr>
          <w:rFonts w:ascii="Times New Roman" w:hAnsi="Times New Roman" w:cs="Times New Roman"/>
          <w:sz w:val="16"/>
          <w:szCs w:val="16"/>
        </w:rPr>
        <w:t xml:space="preserve"> </w:t>
      </w:r>
      <w:r>
        <w:rPr>
          <w:rFonts w:ascii="Times New Roman" w:hAnsi="Times New Roman" w:cs="Times New Roman"/>
          <w:b w:val="0"/>
          <w:color w:val="auto"/>
          <w:sz w:val="16"/>
          <w:szCs w:val="16"/>
        </w:rPr>
        <w:t>(„Цифров Люксембург“), проекта за национална цифрова трансформация MathemaTIC, който има за цел да позволи на учащите да взаимодействат с интересни базирани на научни изследвания ресурси в областта на математиката, които са адаптирани към специфичните нужди на учащите и са съобразени с желаните резултати, заложени в учебната програма.</w:t>
      </w:r>
    </w:p>
  </w:footnote>
  <w:footnote w:id="29">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COM(2013) 654: Отваряне на образованието: иновативно преподаване и учене за всички чрез нови технологии и образователни ресурси със свободен достъп.</w:t>
      </w:r>
    </w:p>
  </w:footnote>
  <w:footnote w:id="30">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Ferguson, R., Brasher, A., Clow, D., Cooper, A., Hillaire, G., Mittelmeier, J., Rienties, B., Ullmann, T., Vuorikari, R. (2016 г.). </w:t>
      </w:r>
      <w:r>
        <w:rPr>
          <w:rFonts w:ascii="Times New Roman" w:hAnsi="Times New Roman" w:cs="Times New Roman"/>
          <w:i/>
          <w:sz w:val="16"/>
          <w:szCs w:val="16"/>
        </w:rPr>
        <w:t>Research Evidence on the Use of Learning Analytics — Implications for Education Policy</w:t>
      </w:r>
      <w:r>
        <w:rPr>
          <w:rFonts w:ascii="Times New Roman" w:hAnsi="Times New Roman" w:cs="Times New Roman"/>
          <w:sz w:val="16"/>
          <w:szCs w:val="16"/>
        </w:rPr>
        <w:t>. В: R. Vuorikari, J. Castaño Muñoz (Eds.). Научен и политически доклад на Съвместния изследователски център; EUR 28294 EN.</w:t>
      </w:r>
    </w:p>
  </w:footnote>
  <w:footnote w:id="31">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17">
        <w:r>
          <w:rPr>
            <w:rStyle w:val="Hyperlink"/>
            <w:rFonts w:ascii="Times New Roman" w:hAnsi="Times New Roman" w:cs="Times New Roman"/>
            <w:color w:val="auto"/>
            <w:sz w:val="16"/>
            <w:szCs w:val="16"/>
            <w:u w:val="none"/>
            <w:shd w:val="clear" w:color="auto" w:fill="FFFFFF"/>
          </w:rPr>
          <w:t>Вж.</w:t>
        </w:r>
      </w:hyperlink>
      <w:r>
        <w:rPr>
          <w:rStyle w:val="Hyperlink"/>
          <w:rFonts w:ascii="Times New Roman" w:hAnsi="Times New Roman" w:cs="Times New Roman"/>
          <w:color w:val="auto"/>
          <w:sz w:val="16"/>
          <w:szCs w:val="16"/>
          <w:u w:val="none"/>
          <w:shd w:val="clear" w:color="auto" w:fill="FFFFFF"/>
        </w:rPr>
        <w:t xml:space="preserve"> бележки под линия 19 и 20.</w:t>
      </w:r>
      <w:r>
        <w:rPr>
          <w:rStyle w:val="Hyperlink"/>
          <w:rFonts w:ascii="Times New Roman" w:hAnsi="Times New Roman" w:cs="Times New Roman"/>
          <w:color w:val="auto"/>
          <w:sz w:val="16"/>
          <w:szCs w:val="16"/>
          <w:shd w:val="clear" w:color="auto" w:fill="FFFFFF"/>
        </w:rPr>
        <w:t xml:space="preserve"> </w:t>
      </w:r>
    </w:p>
  </w:footnote>
  <w:footnote w:id="32">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Например работните групи по рамката „Образование и обучение 2020“, както и нуждите от умения и тенденциите в сферата на големите информационни масиви по линия на рамката „Европас“.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67F6"/>
    <w:multiLevelType w:val="hybridMultilevel"/>
    <w:tmpl w:val="3396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676C01"/>
    <w:multiLevelType w:val="hybridMultilevel"/>
    <w:tmpl w:val="6808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E7609D"/>
    <w:multiLevelType w:val="hybridMultilevel"/>
    <w:tmpl w:val="74D8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860CBF"/>
    <w:multiLevelType w:val="hybridMultilevel"/>
    <w:tmpl w:val="E3B6576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31D6A84-DCA4-459E-8337-12B0813BF6A2"/>
    <w:docVar w:name="LW_COVERPAGE_TYPE" w:val="1"/>
    <w:docVar w:name="LW_CROSSREFERENCE" w:val="{SWD(2018) 12 final}"/>
    <w:docVar w:name="LW_DocType" w:val="NORMAL"/>
    <w:docVar w:name="LW_EMISSION" w:val="17.1.2018"/>
    <w:docVar w:name="LW_EMISSION_ISODATE" w:val="2018-01-17"/>
    <w:docVar w:name="LW_EMISSION_LOCATION" w:val="BRX"/>
    <w:docVar w:name="LW_EMISSION_PREFIX" w:val="Брюксел, "/>
    <w:docVar w:name="LW_EMISSION_SUFFIX" w:val="\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7?\u1083?\u1072?\u1085?\u1072? \u1079?\u1072? \u1076?\u1077?\u1081?\u1089?\u1090?\u1074?\u1080?\u1077? \u1074? \u1086?\u1073?\u1083?\u1072?\u1089?\u1090?\u1090?\u1072? \u1085?\u1072? \u1094?\u1080?\u1092?\u1088?\u1086?\u1074?\u1086?\u1090?\u1086? \u1086?\u1073?\u1088?\u1072?\u1079?\u1086?\u1074?\u1072?\u1085?\u1080?\u1077?"/>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_x000b_"/>
    <w:docVar w:name="Stamp" w:val="\\dossiers.dgt.cec.eu.int\dossiers\EAC\EAC-2017-00211\EAC-2017-00211-00-00-EN-REV-00.2017121116061784284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Schriftart: 9 pt,fn"/>
    <w:basedOn w:val="Normal"/>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basedOn w:val="DefaultParagraphFon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Ref,F"/>
    <w:basedOn w:val="DefaultParagraphFont"/>
    <w:link w:val="FootnotesymbolCarZchn"/>
    <w:uiPriority w:val="99"/>
    <w:unhideWhenUsed/>
    <w:qFormat/>
    <w:rPr>
      <w:rFonts w:eastAsiaTheme="minorEastAsia"/>
      <w:sz w:val="24"/>
      <w:szCs w:val="24"/>
      <w:vertAlign w:val="superscript"/>
      <w:lang w:val="bg-BG"/>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eastAsiaTheme="minorEastAsia"/>
      <w:sz w:val="24"/>
      <w:szCs w:val="24"/>
      <w:vertAlign w:val="superscript"/>
    </w:rPr>
  </w:style>
  <w:style w:type="paragraph" w:customStyle="1" w:styleId="m3289071521046673652msocommenttext">
    <w:name w:val="m_3289071521046673652msocommenttext"/>
    <w:basedOn w:val="Normal"/>
    <w:pPr>
      <w:spacing w:before="100" w:beforeAutospacing="1" w:after="100" w:afterAutospacing="1" w:line="240" w:lineRule="auto"/>
    </w:pPr>
    <w:rPr>
      <w:rFonts w:ascii="Times" w:eastAsiaTheme="minorEastAsia" w:hAnsi="Times"/>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 w:type="paragraph" w:customStyle="1" w:styleId="Body">
    <w:name w:val="Body"/>
    <w:rPr>
      <w:rFonts w:ascii="Calibri" w:eastAsia="Calibri" w:hAnsi="Calibri" w:cs="Calibri"/>
      <w:color w:val="000000"/>
      <w:u w:color="000000"/>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Schriftart: 9 pt,fn"/>
    <w:basedOn w:val="Normal"/>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basedOn w:val="DefaultParagraphFon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Ref,F"/>
    <w:basedOn w:val="DefaultParagraphFont"/>
    <w:link w:val="FootnotesymbolCarZchn"/>
    <w:uiPriority w:val="99"/>
    <w:unhideWhenUsed/>
    <w:qFormat/>
    <w:rPr>
      <w:rFonts w:eastAsiaTheme="minorEastAsia"/>
      <w:sz w:val="24"/>
      <w:szCs w:val="24"/>
      <w:vertAlign w:val="superscript"/>
      <w:lang w:val="bg-BG"/>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eastAsiaTheme="minorEastAsia"/>
      <w:sz w:val="24"/>
      <w:szCs w:val="24"/>
      <w:vertAlign w:val="superscript"/>
    </w:rPr>
  </w:style>
  <w:style w:type="paragraph" w:customStyle="1" w:styleId="m3289071521046673652msocommenttext">
    <w:name w:val="m_3289071521046673652msocommenttext"/>
    <w:basedOn w:val="Normal"/>
    <w:pPr>
      <w:spacing w:before="100" w:beforeAutospacing="1" w:after="100" w:afterAutospacing="1" w:line="240" w:lineRule="auto"/>
    </w:pPr>
    <w:rPr>
      <w:rFonts w:ascii="Times" w:eastAsiaTheme="minorEastAsia" w:hAnsi="Times"/>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 w:type="paragraph" w:customStyle="1" w:styleId="Body">
    <w:name w:val="Body"/>
    <w:rPr>
      <w:rFonts w:ascii="Calibri" w:eastAsia="Calibri" w:hAnsi="Calibri" w:cs="Calibri"/>
      <w:color w:val="000000"/>
      <w:u w:color="000000"/>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4618">
      <w:bodyDiv w:val="1"/>
      <w:marLeft w:val="0"/>
      <w:marRight w:val="0"/>
      <w:marTop w:val="0"/>
      <w:marBottom w:val="0"/>
      <w:divBdr>
        <w:top w:val="none" w:sz="0" w:space="0" w:color="auto"/>
        <w:left w:val="none" w:sz="0" w:space="0" w:color="auto"/>
        <w:bottom w:val="none" w:sz="0" w:space="0" w:color="auto"/>
        <w:right w:val="none" w:sz="0" w:space="0" w:color="auto"/>
      </w:divBdr>
    </w:div>
    <w:div w:id="631061114">
      <w:bodyDiv w:val="1"/>
      <w:marLeft w:val="0"/>
      <w:marRight w:val="0"/>
      <w:marTop w:val="0"/>
      <w:marBottom w:val="0"/>
      <w:divBdr>
        <w:top w:val="none" w:sz="0" w:space="0" w:color="auto"/>
        <w:left w:val="none" w:sz="0" w:space="0" w:color="auto"/>
        <w:bottom w:val="none" w:sz="0" w:space="0" w:color="auto"/>
        <w:right w:val="none" w:sz="0" w:space="0" w:color="auto"/>
      </w:divBdr>
    </w:div>
    <w:div w:id="13686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eu-wide-digital-once-only-principle-citizens-and-businesses-policy-options-and-their-impacts" TargetMode="External"/><Relationship Id="rId13" Type="http://schemas.openxmlformats.org/officeDocument/2006/relationships/hyperlink" Target="https://ec.europa.eu/digital-single-market/en/digital-skills-jobs-coalition" TargetMode="External"/><Relationship Id="rId3" Type="http://schemas.openxmlformats.org/officeDocument/2006/relationships/hyperlink" Target="http://ec.europa.eu/eurostat/statistics-explained/index.php/Being_young_in_Europe_today_-_digital_world" TargetMode="External"/><Relationship Id="rId7" Type="http://schemas.openxmlformats.org/officeDocument/2006/relationships/hyperlink" Target="https://ec.europa.eu/cefdigital/wiki/display/CEFDIGITAL/CEF+Digital+Home" TargetMode="External"/><Relationship Id="rId12" Type="http://schemas.openxmlformats.org/officeDocument/2006/relationships/hyperlink" Target="https://ec.europa.eu/digital-single-market/en/news/ict-work-digital-skills-workplace" TargetMode="External"/><Relationship Id="rId17" Type="http://schemas.openxmlformats.org/officeDocument/2006/relationships/hyperlink" Target="https://ec.europa.eu/jrc/en/digcomp/digital-competence-framework" TargetMode="External"/><Relationship Id="rId2" Type="http://schemas.openxmlformats.org/officeDocument/2006/relationships/hyperlink" Target="http://ec.europa.eu/newsroom/document.cfm?doc_id=44515" TargetMode="External"/><Relationship Id="rId16" Type="http://schemas.openxmlformats.org/officeDocument/2006/relationships/hyperlink" Target="http://www.ftthcouncil.eu/documents/Interviews/20152909_InterviewXavierBettel_FTTHCE.pdf" TargetMode="External"/><Relationship Id="rId1" Type="http://schemas.openxmlformats.org/officeDocument/2006/relationships/hyperlink" Target="http://eur-lex.europa.eu/legal-content/BG/TXT/PDF/?uri=CELEX:52017DC0673&amp;from=EN" TargetMode="External"/><Relationship Id="rId6" Type="http://schemas.openxmlformats.org/officeDocument/2006/relationships/hyperlink" Target="http://eur-lex.europa.eu/legal-content/BG/TXT/?qid=1496304694958&amp;uri=COM:2017:248:FIN" TargetMode="External"/><Relationship Id="rId11" Type="http://schemas.openxmlformats.org/officeDocument/2006/relationships/hyperlink" Target="https://ec.europa.eu/jrc/en/digcompedu" TargetMode="External"/><Relationship Id="rId5" Type="http://schemas.openxmlformats.org/officeDocument/2006/relationships/hyperlink" Target="http://ec.europa.eu/newsroom/document.cfm?doc_id=46134" TargetMode="External"/><Relationship Id="rId15" Type="http://schemas.openxmlformats.org/officeDocument/2006/relationships/hyperlink" Target="https://standards.cen.eu/dyn/www/f?p=204:7:0::::FSP_ORG_ID:1218399&amp;cs=1600F0DD849DA04F3E3B900863CB58F72" TargetMode="External"/><Relationship Id="rId10" Type="http://schemas.openxmlformats.org/officeDocument/2006/relationships/hyperlink" Target="https://ec.europa.eu/jrc/en/digcomp/digital-competence-framework" TargetMode="External"/><Relationship Id="rId4" Type="http://schemas.openxmlformats.org/officeDocument/2006/relationships/hyperlink" Target="https://ec.europa.eu/digital-single-market/en/news/survey-schools-ict-education" TargetMode="External"/><Relationship Id="rId9" Type="http://schemas.openxmlformats.org/officeDocument/2006/relationships/hyperlink" Target="https://ec.europa.eu/digital-single-market/en/news/european-commission-joins-forces-help-bringing-more-broadband-rural-areas" TargetMode="External"/><Relationship Id="rId14" Type="http://schemas.openxmlformats.org/officeDocument/2006/relationships/hyperlink" Target="http://www.ecompetenc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8C979-7166-4A25-A755-E6910E7B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4911</Words>
  <Characters>30008</Characters>
  <Application>Microsoft Office Word</Application>
  <DocSecurity>0</DocSecurity>
  <Lines>500</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43</cp:revision>
  <dcterms:created xsi:type="dcterms:W3CDTF">2018-01-15T17:32:00Z</dcterms:created>
  <dcterms:modified xsi:type="dcterms:W3CDTF">2018-01-19T12:37:00Z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