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87129517"/>
      <w:bookmarkStart w:id="1" w:name="_Toc488060477"/>
      <w:bookmarkStart w:id="2" w:name="_Toc488070186"/>
      <w:bookmarkStart w:id="3" w:name="_Toc488072993"/>
      <w:bookmarkStart w:id="4" w:name="_Toc493773067"/>
      <w:bookmarkStart w:id="5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CAC873E1-B1CA-48C1-B051-9436B4F8E23F" style="width:450.75pt;height:395.25pt">
            <v:imagedata r:id="rId9" o:title=""/>
          </v:shape>
        </w:pict>
      </w:r>
    </w:p>
    <w:bookmarkEnd w:id="5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fmt="lowerRoman" w:start="1"/>
          <w:cols w:space="720"/>
          <w:docGrid w:linePitch="299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jc w:val="center"/>
              <w:rPr>
                <w:rFonts w:eastAsiaTheme="minorHAnsi"/>
                <w:noProof/>
                <w:sz w:val="24"/>
              </w:rPr>
            </w:pPr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6"/>
            <w:r>
              <w:rPr>
                <w:rFonts w:ascii="Tahoma" w:eastAsiaTheme="minorHAnsi" w:hAnsi="Tahoma"/>
                <w:b/>
                <w:noProof/>
              </w:rPr>
              <w:lastRenderedPageBreak/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rPr>
                <w:noProof/>
              </w:rPr>
            </w:pPr>
            <w:r>
              <w:rPr>
                <w:rFonts w:ascii="Arial" w:hAnsi="Arial"/>
                <w:noProof/>
                <w:color w:val="FFFFFF" w:themeColor="background1"/>
              </w:rPr>
              <w:t>Оценка на въздействието на предложението за Директива на Съвета за изменение на Директива 2006/112/ЕО относно общата система на данъка върху добавената стойност по отношение на специалния режим за малките предприятия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Защо? Какъв е разглежданият проблем?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Действащите правила за третирането за целите на ДДС на МСП водят до 1) несъразмерно високи разходи за привеждане в съответствие за малките предприятия в сравнените с големите предприятия (докато МСП харчат средно 2,6 % от своите приходи за привеждане в съответствие с данъка, за големите предприятия тези разходи представляват само 0,02 %), 2) липса на неутралност, по-специално за доставчиците от други държави членки (ДЧ) и 3) загуби на приходи за ДЧ. Настоящият режим на ДДС за МСП се разминава с правната и икономическата реалност, в която функционират МСП днес, и ще става все по-неадекватен, когато приключи преминаването на системата на ДДС към облагане при местоназначението.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Прегледът ще допринесе за: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намаляване на разходите за привеждане в съответствие, 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създаване на по-равнопоставени условия на конкуренция за малките предприятия и 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борба срещу измамите с ДДС.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За да бъдат променени действащите и достигнали своя капацитет правила за третирането за целите на ДДС на малките предприятия, е необходимо изменение на Директивата.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Какви законодателни и незаконодателни варианти на политиката са разгледани?</w:t>
            </w:r>
            <w:r>
              <w:rPr>
                <w:rFonts w:ascii="Tahoma" w:hAnsi="Tahoma"/>
                <w:noProof/>
              </w:rPr>
              <w:t xml:space="preserve"> </w:t>
            </w:r>
            <w:r>
              <w:rPr>
                <w:rFonts w:ascii="Tahoma" w:hAnsi="Tahoma"/>
                <w:b/>
                <w:noProof/>
              </w:rPr>
              <w:t xml:space="preserve">Има ли предпочитан вариант? Защо?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ind w:left="1134" w:hanging="113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Вариант 1: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</w:rPr>
              <w:t>Запазване на статуквото с включване на промени по отношение на електронната търговия (базов сценарий)</w:t>
            </w:r>
          </w:p>
          <w:p>
            <w:pPr>
              <w:ind w:left="1134" w:hanging="113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Вариант 2: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</w:rPr>
              <w:t>Разширяване на обхвата на освобождаването за МСП към доставките от други ДЧ и включване на оптимизирани опростени задължения във връзка с ДДС</w:t>
            </w:r>
          </w:p>
          <w:p>
            <w:pPr>
              <w:ind w:left="1134" w:hanging="113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Вариант 3: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</w:rPr>
              <w:t xml:space="preserve">Вариант 2 плюс мерки за намаляване на отрицателното въздействие на прехода от освобождаване към данъчно облагане </w:t>
            </w:r>
          </w:p>
          <w:p>
            <w:pPr>
              <w:ind w:left="1134" w:hanging="113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noProof/>
              </w:rPr>
              <w:t>Вариант 4: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</w:rPr>
              <w:t>Вариант 3 плюс задължително общо третиране на инцидентните търговци</w:t>
            </w:r>
          </w:p>
          <w:p>
            <w:pPr>
              <w:jc w:val="both"/>
              <w:rPr>
                <w:rFonts w:ascii="Arial" w:hAnsi="Arial" w:cs="Arial"/>
                <w:noProof/>
              </w:rPr>
            </w:pPr>
          </w:p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Предпочитаният вариант е вариант 3.</w:t>
            </w: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Кой подкрепя отделните варианти?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Вариант 3 се радва на широка подкрепа както от страна на заинтересованите страни, така и на ДЧ. Макар малките предприятия да подкрепят по-голямата хармонизация както на освобождаването за МСП, така и на мерките за опростяване, ДЧ остават по-резервирани.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В. Въздействие на предпочитаните варианти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b/>
                <w:noProof/>
              </w:rPr>
              <w:t>Какви са ползите от предпочитания вариант (ако има такъв; в противен случай — от основните варианти)?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Намаляване на разходите за привеждане в съответствие с до 18 % 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Увеличаване на презграничната търговска дейност на МСП с около 13 %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По-дългосрочно положително въздействие върху приходите поради положителното въздействие върху производителността на МСП и върху доброволното привеждане в съответствие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Какви са разходите за предпочитания вариант (ако има такъв, в противен случай — за основните варианти)?</w:t>
            </w:r>
            <w:r>
              <w:rPr>
                <w:rFonts w:ascii="Tahoma" w:hAnsi="Tahoma"/>
                <w:noProof/>
              </w:rPr>
              <w:t xml:space="preserve">     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Незначително временно отрицателно въздействие върху приходите от ДДС на ДЧ поради разширяването на обхвата на освобождаването (част от един процент).</w:t>
            </w:r>
          </w:p>
          <w:p>
            <w:pPr>
              <w:jc w:val="both"/>
              <w:rPr>
                <w:rFonts w:ascii="Arial" w:hAnsi="Arial" w:cs="Arial"/>
                <w:noProof/>
              </w:rPr>
            </w:pPr>
          </w:p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Въздействието върху околната среда и върху социалната сфера не е значително.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Цялостно намаление на разходите за привеждане в съответствие за МСП в размер до 18 %, по-равнопоставени условия на конкуренция на вътрешния пазар. </w:t>
            </w:r>
          </w:p>
          <w:p>
            <w:pPr>
              <w:jc w:val="both"/>
              <w:rPr>
                <w:rFonts w:ascii="Arial" w:hAnsi="Arial" w:cs="Arial"/>
                <w:noProof/>
              </w:rPr>
            </w:pPr>
          </w:p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Положително въздействие върху производителността на МСП (около 16 %) и върху презграничната дейност (около 13 %).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b/>
                <w:noProof/>
              </w:rPr>
              <w:t>Ще има ли значително въздействие върху националните бюджети и администрации?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Слабо цялостно въздействие върху приходите от ДДС (част от един процент), незначително въздействие върху административните разходи, положително въздействие върху доброволното привеждане в съответствие.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Ще има ли друго значително въздействие?</w:t>
            </w:r>
            <w:r>
              <w:rPr>
                <w:rFonts w:ascii="Tahoma" w:hAnsi="Tahoma"/>
                <w:noProof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ДЧ, заинтересованите страни и Комисията ще трябва да се адаптират към новите правила, що се отнася до изпълнението и контрола.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Пропорционалност</w:t>
            </w:r>
            <w:r>
              <w:rPr>
                <w:rFonts w:ascii="Tahoma" w:hAnsi="Tahoma"/>
                <w:noProof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Предпочетеният вариант беше развит по начин, който предлага ефикасно разрешение на първоначално констатираните проблеми, без да надхвърля необходимото за постигането на заложените цели.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Пет години след влизането в сила на Директивата ще бъде извършена ретроспективна оценка на нейното функциониране.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88789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6061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id w:val="1686017526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>
            <w:pPr>
              <w:pStyle w:val="Footer"/>
              <w:jc w:val="right"/>
            </w:pPr>
            <w:r>
              <w:rPr>
                <w:bCs/>
                <w:szCs w:val="16"/>
              </w:rPr>
              <w:fldChar w:fldCharType="begin"/>
            </w:r>
            <w:r>
              <w:rPr>
                <w:bCs/>
                <w:szCs w:val="16"/>
              </w:rPr>
              <w:instrText xml:space="preserve"> PAGE </w:instrText>
            </w:r>
            <w:r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rPr>
                <w:bCs/>
                <w:szCs w:val="16"/>
              </w:rPr>
              <w:fldChar w:fldCharType="end"/>
            </w:r>
            <w:r>
              <w:t>/</w:t>
            </w:r>
            <w:r>
              <w:rPr>
                <w:bCs/>
                <w:szCs w:val="16"/>
              </w:rPr>
              <w:fldChar w:fldCharType="begin"/>
            </w:r>
            <w:r>
              <w:rPr>
                <w:bCs/>
                <w:szCs w:val="16"/>
              </w:rPr>
              <w:instrText xml:space="preserve"> NUMPAGES  </w:instrText>
            </w:r>
            <w:r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5</w:t>
            </w:r>
            <w:r>
              <w:rPr>
                <w:bCs/>
                <w:szCs w:val="16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ECD"/>
    <w:multiLevelType w:val="hybridMultilevel"/>
    <w:tmpl w:val="99E6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73293"/>
    <w:multiLevelType w:val="hybridMultilevel"/>
    <w:tmpl w:val="C2E6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6224C"/>
    <w:multiLevelType w:val="hybridMultilevel"/>
    <w:tmpl w:val="CB90E83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CAC873E1-B1CA-48C1-B051-9436B4F8E23F"/>
    <w:docVar w:name="LW_COVERPAGE_TYPE" w:val="1"/>
    <w:docVar w:name="LW_CROSSREFERENCE" w:val="{COM(2018) 21 final}_x000b_{SWD(2018) 9 final}"/>
    <w:docVar w:name="LW_DocType" w:val="NORMAL"/>
    <w:docVar w:name="LW_EMISSION" w:val="18.1.2018"/>
    <w:docVar w:name="LW_EMISSION_ISODATE" w:val="2018-01-18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 2006/112/EC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 \u1087?\u1086? \u1086?\u1090?\u1085?\u1086?\u1096?\u1077?\u1085?\u1080?\u1077? \u1085?\u1072? \u1089?\u1087?\u1077?\u1094?\u1080?\u1072?\u1083?\u1085?\u1080?\u1103? \u1088?\u1077?\u1078?\u1080?\u1084? \u1079?\u1072? \u1084?\u1072?\u1083?\u1082?\u1080?\u1090?\u1077? \u1087?\u1088?\u1077?\u1076?\u1087?\u1088?\u1080?\u1103?\u1090?\u1080?\u1103? "/>
    <w:docVar w:name="LW_PART_NBR" w:val="1"/>
    <w:docVar w:name="LW_PART_NBR_TOTAL" w:val="1"/>
    <w:docVar w:name="LW_REF.INST.NEW" w:val="SWD"/>
    <w:docVar w:name="LW_REF.INST.NEW_ADOPTED" w:val="final"/>
    <w:docVar w:name="LW_REF.INST.NEW_TEXT" w:val="(2018) 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keepNext/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keepNext/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2813-D94B-4978-940D-9702AB8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3762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2017-10-03T08:14:00Z</cp:lastPrinted>
  <dcterms:created xsi:type="dcterms:W3CDTF">2017-11-10T10:35:00Z</dcterms:created>
  <dcterms:modified xsi:type="dcterms:W3CDTF">2018-01-19T14:18:00Z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