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1E7" w:rsidRDefault="008B707F" w:rsidP="008B707F">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70193DA-6DF1-44D4-AD93-C2DB03264325" style="width:450.5pt;height:334.5pt">
            <v:imagedata r:id="rId9" o:title=""/>
          </v:shape>
        </w:pict>
      </w:r>
    </w:p>
    <w:bookmarkEnd w:id="0"/>
    <w:p w:rsidR="004C41E7" w:rsidRDefault="004C41E7">
      <w:pPr>
        <w:rPr>
          <w:noProof/>
        </w:rPr>
        <w:sectPr w:rsidR="004C41E7" w:rsidSect="008B707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4C41E7" w:rsidRDefault="008B707F">
      <w:pPr>
        <w:spacing w:line="240" w:lineRule="auto"/>
        <w:ind w:left="426" w:hanging="426"/>
        <w:jc w:val="both"/>
        <w:rPr>
          <w:rFonts w:ascii="Times New Roman" w:hAnsi="Times New Roman" w:cs="Times New Roman"/>
          <w:b/>
          <w:noProof/>
          <w:sz w:val="24"/>
          <w:szCs w:val="24"/>
        </w:rPr>
      </w:pPr>
      <w:r>
        <w:rPr>
          <w:rFonts w:ascii="Times New Roman" w:hAnsi="Times New Roman"/>
          <w:b/>
          <w:noProof/>
          <w:sz w:val="24"/>
        </w:rPr>
        <w:lastRenderedPageBreak/>
        <w:t xml:space="preserve">1. </w:t>
      </w:r>
      <w:r>
        <w:rPr>
          <w:noProof/>
        </w:rPr>
        <w:tab/>
      </w:r>
      <w:r>
        <w:rPr>
          <w:rFonts w:ascii="Times New Roman" w:hAnsi="Times New Roman"/>
          <w:b/>
          <w:noProof/>
          <w:sz w:val="24"/>
        </w:rPr>
        <w:t xml:space="preserve">ВЪВЕДЕНИЕ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След приемането на европейската програма за миграцията през май 2015 г.</w:t>
      </w:r>
      <w:r>
        <w:rPr>
          <w:rStyle w:val="FootnoteReference"/>
          <w:rFonts w:ascii="Times New Roman" w:hAnsi="Times New Roman"/>
          <w:noProof/>
          <w:sz w:val="24"/>
        </w:rPr>
        <w:footnoteReference w:id="1"/>
      </w:r>
      <w:r>
        <w:rPr>
          <w:rFonts w:ascii="Times New Roman" w:hAnsi="Times New Roman"/>
          <w:noProof/>
          <w:sz w:val="24"/>
        </w:rPr>
        <w:t xml:space="preserve"> действията на ЕС, насочени към преодоляване на многобройните предизвикателства, свързани с кризата с бежанците и миграцията, бяха обхванати от цялостен подход. През септември 2017 г. в рамките на междинен преглед на програмата Комисията извърши цялостна о</w:t>
      </w:r>
      <w:r>
        <w:rPr>
          <w:rFonts w:ascii="Times New Roman" w:hAnsi="Times New Roman"/>
          <w:noProof/>
          <w:sz w:val="24"/>
        </w:rPr>
        <w:t>ценка на напредъка, постигнат в отговор на кризата и в изпълнението на действията, предвидени в програмата</w:t>
      </w:r>
      <w:r>
        <w:rPr>
          <w:rStyle w:val="FootnoteReference"/>
          <w:rFonts w:ascii="Times New Roman" w:hAnsi="Times New Roman"/>
          <w:noProof/>
          <w:sz w:val="24"/>
        </w:rPr>
        <w:footnoteReference w:id="2"/>
      </w:r>
      <w:r>
        <w:rPr>
          <w:noProof/>
        </w:rPr>
        <w:t>.</w:t>
      </w:r>
      <w:r>
        <w:rPr>
          <w:rFonts w:ascii="Times New Roman" w:hAnsi="Times New Roman"/>
          <w:noProof/>
          <w:sz w:val="24"/>
        </w:rPr>
        <w:t xml:space="preserve"> На заседанието си през октомври 2017 г. Европейският съвет отбеляза постигнатите резултати във всички области </w:t>
      </w:r>
      <w:r>
        <w:rPr>
          <w:rFonts w:ascii="TimesNewRomanPSMT" w:hAnsi="TimesNewRomanPSMT"/>
          <w:noProof/>
          <w:sz w:val="24"/>
        </w:rPr>
        <w:t>и призова за консолидиране на тази ра</w:t>
      </w:r>
      <w:r>
        <w:rPr>
          <w:rFonts w:ascii="TimesNewRomanPSMT" w:hAnsi="TimesNewRomanPSMT"/>
          <w:noProof/>
          <w:sz w:val="24"/>
        </w:rPr>
        <w:t>бота</w:t>
      </w:r>
      <w:r>
        <w:rPr>
          <w:rStyle w:val="FootnoteReference"/>
          <w:rFonts w:ascii="TimesNewRomanPSMT" w:hAnsi="TimesNewRomanPSMT"/>
          <w:noProof/>
          <w:sz w:val="24"/>
        </w:rPr>
        <w:footnoteReference w:id="3"/>
      </w:r>
      <w:r>
        <w:rPr>
          <w:noProof/>
        </w:rPr>
        <w:t>.</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Европейската комисия продължи работата по всички части на европейската програма за миграцията. С цел да следи напредъка и да позволи извършването на основана на доказателства оценка на изпълнението на ангажиментите, поети от институциите на ЕС и дър</w:t>
      </w:r>
      <w:r>
        <w:rPr>
          <w:rFonts w:ascii="Times New Roman" w:hAnsi="Times New Roman"/>
          <w:noProof/>
          <w:sz w:val="24"/>
        </w:rPr>
        <w:t xml:space="preserve">жавите членки, включително в заключения на Европейския съвет, Комисията представяше редовни доклади относно напредъка, постигнат в изпълнението на Изявлението на ЕС и Турция, преместването и презаселването, привеждането в действие на европейската гранична </w:t>
      </w:r>
      <w:r>
        <w:rPr>
          <w:rFonts w:ascii="Times New Roman" w:hAnsi="Times New Roman"/>
          <w:noProof/>
          <w:sz w:val="24"/>
        </w:rPr>
        <w:t>и брегова охрана и напредъка, постигнат в областта на рамката за партньорство с трети държави</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Всяко направление на работа допринася за цялостната ефективност на отговора на ЕС. Както беше предвидено в междинния преглед, настоящият консолидиран доклад от</w:t>
      </w:r>
      <w:r>
        <w:rPr>
          <w:rFonts w:ascii="Times New Roman" w:hAnsi="Times New Roman"/>
          <w:noProof/>
          <w:sz w:val="24"/>
        </w:rPr>
        <w:t>разява и укрепва всеобхватния подход, като обединява на едно място различните направления. Заедно с представената в приложенията информация той представя най-важните промени, настъпили след последните доклади от 6 септември</w:t>
      </w:r>
      <w:r>
        <w:rPr>
          <w:rStyle w:val="FootnoteReference"/>
          <w:rFonts w:ascii="Times New Roman" w:hAnsi="Times New Roman"/>
          <w:noProof/>
          <w:sz w:val="24"/>
        </w:rPr>
        <w:footnoteReference w:id="5"/>
      </w:r>
      <w:r>
        <w:rPr>
          <w:rFonts w:ascii="Times New Roman" w:hAnsi="Times New Roman"/>
          <w:noProof/>
          <w:sz w:val="24"/>
        </w:rPr>
        <w:t>, и набелязва основните действия</w:t>
      </w:r>
      <w:r>
        <w:rPr>
          <w:rFonts w:ascii="Times New Roman" w:hAnsi="Times New Roman"/>
          <w:noProof/>
          <w:sz w:val="24"/>
        </w:rPr>
        <w:t xml:space="preserve">, за които е необходимо съответните страни да предприемат последващи стъпки, по-специално в подготовката за следващия Европейски съвет през декември. </w:t>
      </w:r>
    </w:p>
    <w:p w:rsidR="004C41E7" w:rsidRDefault="004C41E7">
      <w:pPr>
        <w:spacing w:after="0" w:line="240" w:lineRule="auto"/>
        <w:ind w:left="425" w:hanging="425"/>
        <w:jc w:val="both"/>
        <w:rPr>
          <w:rFonts w:ascii="Times New Roman" w:hAnsi="Times New Roman" w:cs="Times New Roman"/>
          <w:b/>
          <w:noProof/>
          <w:sz w:val="24"/>
          <w:szCs w:val="24"/>
        </w:rPr>
      </w:pPr>
    </w:p>
    <w:p w:rsidR="004C41E7" w:rsidRDefault="008B707F">
      <w:pPr>
        <w:spacing w:line="240" w:lineRule="auto"/>
        <w:ind w:left="426" w:hanging="426"/>
        <w:jc w:val="both"/>
        <w:rPr>
          <w:rFonts w:ascii="Times New Roman" w:hAnsi="Times New Roman" w:cs="Times New Roman"/>
          <w:b/>
          <w:noProof/>
          <w:sz w:val="24"/>
          <w:szCs w:val="24"/>
        </w:rPr>
      </w:pPr>
      <w:r>
        <w:rPr>
          <w:rFonts w:ascii="Times New Roman" w:hAnsi="Times New Roman"/>
          <w:b/>
          <w:noProof/>
          <w:sz w:val="24"/>
        </w:rPr>
        <w:t xml:space="preserve">2. </w:t>
      </w:r>
      <w:r>
        <w:rPr>
          <w:noProof/>
        </w:rPr>
        <w:tab/>
      </w:r>
      <w:r>
        <w:rPr>
          <w:rFonts w:ascii="Times New Roman" w:hAnsi="Times New Roman"/>
          <w:b/>
          <w:noProof/>
          <w:sz w:val="24"/>
        </w:rPr>
        <w:t xml:space="preserve">СИТУАЦИЯ ПО ГЛАВНИТЕ МИГРАЦИОННИ МАРШРУТИ </w:t>
      </w:r>
    </w:p>
    <w:p w:rsidR="004C41E7" w:rsidRDefault="008B707F">
      <w:pPr>
        <w:spacing w:line="240" w:lineRule="auto"/>
        <w:jc w:val="both"/>
        <w:rPr>
          <w:rFonts w:ascii="Times New Roman" w:hAnsi="Times New Roman" w:cs="Times New Roman"/>
          <w:b/>
          <w:i/>
          <w:noProof/>
          <w:sz w:val="24"/>
          <w:szCs w:val="24"/>
        </w:rPr>
      </w:pPr>
      <w:r>
        <w:rPr>
          <w:rFonts w:ascii="Times New Roman" w:hAnsi="Times New Roman"/>
          <w:b/>
          <w:i/>
          <w:noProof/>
          <w:sz w:val="24"/>
        </w:rPr>
        <w:t>Маршрут през Източното Средиземноморие</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Миграционните движения по маршрута през Източното Средиземноморие остават ограничени в сравнение с периода преди привеждането в действие на Изявлението на ЕС и Турция през март 2016 г. Въпреки това, в съответствие със сезонните тенденции, от началото на ля</w:t>
      </w:r>
      <w:r>
        <w:rPr>
          <w:rFonts w:ascii="Times New Roman" w:hAnsi="Times New Roman"/>
          <w:noProof/>
          <w:sz w:val="24"/>
        </w:rPr>
        <w:t xml:space="preserve">тото на 2017 г. се наблюдава увеличение на броя на пристигащите на </w:t>
      </w:r>
      <w:r>
        <w:rPr>
          <w:rFonts w:ascii="Times New Roman" w:hAnsi="Times New Roman"/>
          <w:b/>
          <w:i/>
          <w:noProof/>
          <w:sz w:val="24"/>
        </w:rPr>
        <w:t>гръцките острови</w:t>
      </w:r>
      <w:r>
        <w:rPr>
          <w:rFonts w:ascii="Times New Roman" w:hAnsi="Times New Roman"/>
          <w:noProof/>
          <w:sz w:val="24"/>
        </w:rPr>
        <w:t>. Миграционният натиск се увеличи допълнително от средата на август насам, като през септември и октомври бяха регистрирани средно 198 незаконни преминавания на ден, в сравн</w:t>
      </w:r>
      <w:r>
        <w:rPr>
          <w:rFonts w:ascii="Times New Roman" w:hAnsi="Times New Roman"/>
          <w:noProof/>
          <w:sz w:val="24"/>
        </w:rPr>
        <w:t>ение с 99 за същия период през 2016 г</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Най-често </w:t>
      </w:r>
      <w:r>
        <w:rPr>
          <w:rFonts w:ascii="Times New Roman" w:hAnsi="Times New Roman"/>
          <w:noProof/>
          <w:sz w:val="24"/>
        </w:rPr>
        <w:lastRenderedPageBreak/>
        <w:t>мигрантите, пристигащи на гръцките острови от началото на 2017 г., са сирийци (39 %), иракчани (17 %), афганистанци (10 %) и пакистанци (6 %)</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Има сведения, че някои мигранти се опитват да напуснат Турция</w:t>
      </w:r>
      <w:r>
        <w:rPr>
          <w:rFonts w:ascii="Times New Roman" w:hAnsi="Times New Roman"/>
          <w:noProof/>
          <w:sz w:val="24"/>
        </w:rPr>
        <w:t xml:space="preserve"> по маршрути, различни от Егейско море. Макар че остава ограничен броят на случаите, при които се разкрива незаконно преминаване на сухопътната граница от Турция към България, неотдавна зачестиха случаите на незаконно преминаване на сухопътната граница от </w:t>
      </w:r>
      <w:r>
        <w:rPr>
          <w:rFonts w:ascii="Times New Roman" w:hAnsi="Times New Roman"/>
          <w:noProof/>
          <w:sz w:val="24"/>
        </w:rPr>
        <w:t>Турция към Гърция (средно по 29 случая дневно между 4 септември и 9 ноември, в сравнение с 20 за последните шест месеца). До момента мигрантите, пристигнали през 2017 г. на гръцките острови, са основно турци (37 %), сирийци (27 %), пакистанци (15 %) и ирак</w:t>
      </w:r>
      <w:r>
        <w:rPr>
          <w:rFonts w:ascii="Times New Roman" w:hAnsi="Times New Roman"/>
          <w:noProof/>
          <w:sz w:val="24"/>
        </w:rPr>
        <w:t>чани (12 %). За разлика от това, изглежда, че пристиганията от Турция в Румъния по Черно море през лятото са престанали</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Наблюдават се също така ограничени на брой, но редовни случаи на пристигащи от Турция в Италия (до момента през 2017 г. те са 3676). П</w:t>
      </w:r>
      <w:r>
        <w:rPr>
          <w:rFonts w:ascii="Times New Roman" w:hAnsi="Times New Roman"/>
          <w:noProof/>
          <w:sz w:val="24"/>
        </w:rPr>
        <w:t xml:space="preserve">рез 2017 г. са регистрирани и редица случаи на пристигащи от Турция в Кипър (до момента през 2017 г. — 917). </w:t>
      </w:r>
    </w:p>
    <w:p w:rsidR="004C41E7" w:rsidRDefault="008B707F">
      <w:pPr>
        <w:spacing w:line="240" w:lineRule="auto"/>
        <w:jc w:val="both"/>
        <w:rPr>
          <w:rFonts w:ascii="Times New Roman" w:hAnsi="Times New Roman" w:cs="Times New Roman"/>
          <w:b/>
          <w:i/>
          <w:noProof/>
          <w:sz w:val="24"/>
          <w:szCs w:val="24"/>
        </w:rPr>
      </w:pPr>
      <w:r>
        <w:rPr>
          <w:noProof/>
          <w:lang w:val="en-GB" w:eastAsia="en-GB" w:bidi="ar-SA"/>
        </w:rPr>
        <w:drawing>
          <wp:inline distT="0" distB="0" distL="0" distR="0" wp14:anchorId="645064FC" wp14:editId="7B3F14AD">
            <wp:extent cx="5760720" cy="399624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3996247"/>
                    </a:xfrm>
                    <a:prstGeom prst="rect">
                      <a:avLst/>
                    </a:prstGeom>
                  </pic:spPr>
                </pic:pic>
              </a:graphicData>
            </a:graphic>
          </wp:inline>
        </w:drawing>
      </w:r>
    </w:p>
    <w:p w:rsidR="004C41E7" w:rsidRDefault="008B707F">
      <w:pPr>
        <w:spacing w:line="240" w:lineRule="auto"/>
        <w:jc w:val="both"/>
        <w:rPr>
          <w:rFonts w:ascii="Times New Roman" w:hAnsi="Times New Roman" w:cs="Times New Roman"/>
          <w:noProof/>
          <w:sz w:val="24"/>
          <w:szCs w:val="24"/>
        </w:rPr>
      </w:pPr>
      <w:r>
        <w:rPr>
          <w:rFonts w:ascii="Times New Roman" w:hAnsi="Times New Roman"/>
          <w:b/>
          <w:i/>
          <w:noProof/>
          <w:sz w:val="24"/>
        </w:rPr>
        <w:t>Маршрут през Западните Балкани</w:t>
      </w:r>
      <w:r>
        <w:rPr>
          <w:rFonts w:ascii="Times New Roman" w:hAnsi="Times New Roman"/>
          <w:noProof/>
          <w:sz w:val="24"/>
        </w:rPr>
        <w:t xml:space="preserve">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Въпреки че броят на разкритите случаи на незаконни мигранти на входните точки на маршрута през Западните Балкани</w:t>
      </w:r>
      <w:r>
        <w:rPr>
          <w:rFonts w:ascii="Times New Roman" w:hAnsi="Times New Roman"/>
          <w:noProof/>
          <w:sz w:val="24"/>
        </w:rPr>
        <w:t xml:space="preserve"> се е стабилизирал на ниско равнище, някои държави членки в крайните точки на маршрута съобщават, че до тяхната територия продължават да пристигат значителен брой мигранти и лица, търсещи убежище. Фактът, че значителна част от тях нямат предходна регистрац</w:t>
      </w:r>
      <w:r>
        <w:rPr>
          <w:rFonts w:ascii="Times New Roman" w:hAnsi="Times New Roman"/>
          <w:noProof/>
          <w:sz w:val="24"/>
        </w:rPr>
        <w:t>ия в Евродак, подкрепя заключението, че редица незаконни мигранти успяват да се придвижат, без да бъдат открити. Сътрудничеството между тези държави членки, Европол и Европейската агенция за гранична и брегова охрана e от съществено значение за преодоляван</w:t>
      </w:r>
      <w:r>
        <w:rPr>
          <w:rFonts w:ascii="Times New Roman" w:hAnsi="Times New Roman"/>
          <w:noProof/>
          <w:sz w:val="24"/>
        </w:rPr>
        <w:t xml:space="preserve">е на този проблем. Необходима е непрекъсната бдителност, включително чрез максимално оползотворяване на провежданите на всеки две седмици видеоконференции, председателствани от Комисията. </w:t>
      </w:r>
    </w:p>
    <w:p w:rsidR="004C41E7" w:rsidRDefault="008B707F">
      <w:pPr>
        <w:spacing w:line="240" w:lineRule="auto"/>
        <w:jc w:val="both"/>
        <w:rPr>
          <w:rFonts w:ascii="Times New Roman" w:hAnsi="Times New Roman" w:cs="Times New Roman"/>
          <w:b/>
          <w:i/>
          <w:noProof/>
          <w:sz w:val="24"/>
          <w:szCs w:val="24"/>
        </w:rPr>
      </w:pPr>
      <w:r>
        <w:rPr>
          <w:rFonts w:ascii="Times New Roman" w:hAnsi="Times New Roman"/>
          <w:b/>
          <w:i/>
          <w:noProof/>
          <w:sz w:val="24"/>
        </w:rPr>
        <w:t>Маршрут през Централното Средиземноморие</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Маршрутът през Централното</w:t>
      </w:r>
      <w:r>
        <w:rPr>
          <w:rFonts w:ascii="Times New Roman" w:hAnsi="Times New Roman"/>
          <w:noProof/>
          <w:sz w:val="24"/>
        </w:rPr>
        <w:t xml:space="preserve"> Средиземноморие продължава да се използва от по-голямата част от хората, пристигащи по море. През последните месеци цялостната миграционна обстановка се стабилизира, като от средата на юли насам броят на лицата, които тръгват от Либия по този маршрут, нам</w:t>
      </w:r>
      <w:r>
        <w:rPr>
          <w:rFonts w:ascii="Times New Roman" w:hAnsi="Times New Roman"/>
          <w:noProof/>
          <w:sz w:val="24"/>
        </w:rPr>
        <w:t>аля. Макар броят на пристигащите в Италия да беше значително по-висок в началото на лятото, общият брой на пристигащите лица продължава да намалява, както бе докладвано през септември, и към момента е спаднал с 30 % в сравнение с 2016 г. Въпреки това той о</w:t>
      </w:r>
      <w:r>
        <w:rPr>
          <w:rFonts w:ascii="Times New Roman" w:hAnsi="Times New Roman"/>
          <w:noProof/>
          <w:sz w:val="24"/>
        </w:rPr>
        <w:t>става висок, като до момента общо за годината са пристигнали 114 000 души. Сред пристигащите мигранти е най-голям броят на гражданите на Нигерия (15 %), гражданите на Гвинея (8 %) и гражданите на Кот д'Ивоар (8 %). Освен това беше регистрирано значително у</w:t>
      </w:r>
      <w:r>
        <w:rPr>
          <w:rFonts w:ascii="Times New Roman" w:hAnsi="Times New Roman"/>
          <w:noProof/>
          <w:sz w:val="24"/>
        </w:rPr>
        <w:t>величение на броя на лицата, които тръгват от Тунис към Италия, като през 2017 г. този брой е нараснал седемкратно в сравнение с 2016 г., макар да остава значително по-нисък от броя на лицата, които пристигат от Либия</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Продължава да спада броят на мигрант</w:t>
      </w:r>
      <w:r>
        <w:rPr>
          <w:rFonts w:ascii="Times New Roman" w:hAnsi="Times New Roman"/>
          <w:noProof/>
          <w:sz w:val="24"/>
        </w:rPr>
        <w:t>ите от западноафрикански държави на произход, тръгващи от Нигер към Либия и Европа, , но все още има случаи на промяна на маршрута към Алжир.</w:t>
      </w:r>
    </w:p>
    <w:p w:rsidR="004C41E7" w:rsidRDefault="008B707F">
      <w:pPr>
        <w:spacing w:line="240" w:lineRule="auto"/>
        <w:jc w:val="both"/>
        <w:rPr>
          <w:rFonts w:ascii="Times New Roman" w:hAnsi="Times New Roman" w:cs="Times New Roman"/>
          <w:noProof/>
          <w:sz w:val="24"/>
          <w:szCs w:val="24"/>
        </w:rPr>
      </w:pPr>
      <w:r>
        <w:rPr>
          <w:noProof/>
          <w:lang w:val="en-GB" w:eastAsia="en-GB" w:bidi="ar-SA"/>
        </w:rPr>
        <w:drawing>
          <wp:inline distT="0" distB="0" distL="0" distR="0" wp14:anchorId="3E0917BA" wp14:editId="7DDFFD2E">
            <wp:extent cx="5760720" cy="41579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4157934"/>
                    </a:xfrm>
                    <a:prstGeom prst="rect">
                      <a:avLst/>
                    </a:prstGeom>
                  </pic:spPr>
                </pic:pic>
              </a:graphicData>
            </a:graphic>
          </wp:inline>
        </w:drawing>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 xml:space="preserve">До момента за 2017 г. броят на </w:t>
      </w:r>
      <w:r>
        <w:rPr>
          <w:rFonts w:ascii="Times New Roman" w:hAnsi="Times New Roman"/>
          <w:b/>
          <w:i/>
          <w:noProof/>
          <w:sz w:val="24"/>
        </w:rPr>
        <w:t>загиналите и изчезналите в морето</w:t>
      </w:r>
      <w:r>
        <w:rPr>
          <w:rFonts w:ascii="Times New Roman" w:hAnsi="Times New Roman"/>
          <w:noProof/>
          <w:sz w:val="24"/>
        </w:rPr>
        <w:t xml:space="preserve"> се изчислява на 2750, в сравнение с 4581 през 2</w:t>
      </w:r>
      <w:r>
        <w:rPr>
          <w:rFonts w:ascii="Times New Roman" w:hAnsi="Times New Roman"/>
          <w:noProof/>
          <w:sz w:val="24"/>
        </w:rPr>
        <w:t>016 г.</w:t>
      </w:r>
      <w:r>
        <w:rPr>
          <w:rStyle w:val="FootnoteReference"/>
          <w:rFonts w:ascii="Times New Roman" w:hAnsi="Times New Roman"/>
          <w:noProof/>
          <w:sz w:val="24"/>
        </w:rPr>
        <w:footnoteReference w:id="10"/>
      </w:r>
      <w:r>
        <w:rPr>
          <w:rFonts w:ascii="Times New Roman" w:hAnsi="Times New Roman"/>
          <w:noProof/>
          <w:sz w:val="24"/>
        </w:rPr>
        <w:t xml:space="preserve"> При операциите на ЕС в подкрепа на италианската брегова охрана бяха спасени над 285 100 мигранти</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В допълнение, според изчисленията на либийската брегова охрана, през тази година (до 6 октомври) броят на спасените от нея в либийски териториални во</w:t>
      </w:r>
      <w:r>
        <w:rPr>
          <w:rFonts w:ascii="Times New Roman" w:hAnsi="Times New Roman"/>
          <w:noProof/>
          <w:sz w:val="24"/>
        </w:rPr>
        <w:t>ди възлиза на над 18 400 души, за което е помогнало завръщането на плавателни съдове след обучението на членовете на екипажа</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Доверителният фонд на ЕС за Африка</w:t>
      </w:r>
      <w:r>
        <w:rPr>
          <w:rStyle w:val="FootnoteReference"/>
          <w:rFonts w:ascii="Times New Roman" w:hAnsi="Times New Roman"/>
          <w:noProof/>
          <w:sz w:val="24"/>
        </w:rPr>
        <w:footnoteReference w:id="13"/>
      </w:r>
      <w:r>
        <w:rPr>
          <w:rFonts w:ascii="Times New Roman" w:hAnsi="Times New Roman"/>
          <w:noProof/>
          <w:sz w:val="24"/>
        </w:rPr>
        <w:t xml:space="preserve"> подкрепя също така работата на Международната организация по миграция и органите в Нигер за п</w:t>
      </w:r>
      <w:r>
        <w:rPr>
          <w:rFonts w:ascii="Times New Roman" w:hAnsi="Times New Roman"/>
          <w:noProof/>
          <w:sz w:val="24"/>
        </w:rPr>
        <w:t xml:space="preserve">ровеждане на операции по издирване и спасяване в пустинята: през 2017 г. бяха спасени над 1100 мигранти, след като са били изоставени от контрабандисти. </w:t>
      </w:r>
    </w:p>
    <w:p w:rsidR="004C41E7" w:rsidRDefault="008B707F">
      <w:pPr>
        <w:spacing w:line="240" w:lineRule="auto"/>
        <w:jc w:val="both"/>
        <w:rPr>
          <w:rFonts w:ascii="Times New Roman" w:hAnsi="Times New Roman" w:cs="Times New Roman"/>
          <w:b/>
          <w:i/>
          <w:noProof/>
          <w:sz w:val="24"/>
          <w:szCs w:val="24"/>
        </w:rPr>
      </w:pPr>
      <w:r>
        <w:rPr>
          <w:rFonts w:ascii="Times New Roman" w:hAnsi="Times New Roman"/>
          <w:b/>
          <w:i/>
          <w:noProof/>
          <w:sz w:val="24"/>
        </w:rPr>
        <w:t>Маршрут през Западното Средиземноморие</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В хода на 2017 г. бе регистрирано нарастване на незаконните пот</w:t>
      </w:r>
      <w:r>
        <w:rPr>
          <w:rFonts w:ascii="Times New Roman" w:hAnsi="Times New Roman"/>
          <w:noProof/>
          <w:sz w:val="24"/>
        </w:rPr>
        <w:t xml:space="preserve">оци по Западното Средиземноморие/Атлантическия маршрут, като общият брой на пристигащите в Испания възлиза на 22 031, което е с почти 94 % повече спрямо същия период през 2016 г. До края на август 2017 г. трите основни държави на произход на мигрантите са </w:t>
      </w:r>
      <w:r>
        <w:rPr>
          <w:rFonts w:ascii="Times New Roman" w:hAnsi="Times New Roman"/>
          <w:noProof/>
          <w:sz w:val="24"/>
        </w:rPr>
        <w:t xml:space="preserve">Мароко (21 %), Кот д’Ивоар (18 %) и Гвинея (14 %). </w:t>
      </w:r>
    </w:p>
    <w:p w:rsidR="004C41E7" w:rsidRDefault="008B707F">
      <w:pPr>
        <w:spacing w:line="240" w:lineRule="auto"/>
        <w:jc w:val="both"/>
        <w:rPr>
          <w:rFonts w:ascii="Times New Roman" w:hAnsi="Times New Roman" w:cs="Times New Roman"/>
          <w:b/>
          <w:i/>
          <w:noProof/>
          <w:sz w:val="24"/>
          <w:szCs w:val="24"/>
        </w:rPr>
      </w:pPr>
      <w:r>
        <w:rPr>
          <w:rFonts w:ascii="Times New Roman" w:hAnsi="Times New Roman"/>
          <w:b/>
          <w:i/>
          <w:noProof/>
          <w:sz w:val="24"/>
        </w:rPr>
        <w:t>Тенденции при молбите за убежище</w:t>
      </w:r>
    </w:p>
    <w:p w:rsidR="004C41E7" w:rsidRDefault="008B707F">
      <w:pPr>
        <w:spacing w:after="120" w:line="240" w:lineRule="auto"/>
        <w:jc w:val="both"/>
        <w:rPr>
          <w:rFonts w:ascii="Times New Roman" w:hAnsi="Times New Roman"/>
          <w:noProof/>
          <w:sz w:val="24"/>
          <w:szCs w:val="24"/>
        </w:rPr>
      </w:pPr>
      <w:r>
        <w:rPr>
          <w:rFonts w:ascii="Times New Roman" w:hAnsi="Times New Roman"/>
          <w:noProof/>
          <w:sz w:val="24"/>
        </w:rPr>
        <w:t>До края на септември 2017 г. в ЕС и асоциираните държави са подадени 535 609 молби за убежище в сравнение с 1 010 839 за същия период на предходната година</w:t>
      </w:r>
      <w:r>
        <w:rPr>
          <w:rStyle w:val="FootnoteReference"/>
          <w:rFonts w:ascii="Times New Roman" w:hAnsi="Times New Roman"/>
          <w:noProof/>
        </w:rPr>
        <w:footnoteReference w:id="14"/>
      </w:r>
      <w:r>
        <w:rPr>
          <w:noProof/>
        </w:rPr>
        <w:t>.</w:t>
      </w:r>
      <w:r>
        <w:rPr>
          <w:rFonts w:ascii="Times New Roman" w:hAnsi="Times New Roman"/>
          <w:noProof/>
          <w:sz w:val="24"/>
        </w:rPr>
        <w:t xml:space="preserve"> През първата половина на 2017 г. са издадени 275 710 положителни решения на първа инстанция</w:t>
      </w:r>
      <w:r>
        <w:rPr>
          <w:rStyle w:val="FootnoteReference"/>
          <w:rFonts w:ascii="Times New Roman" w:hAnsi="Times New Roman"/>
          <w:noProof/>
        </w:rPr>
        <w:footnoteReference w:id="15"/>
      </w:r>
      <w:r>
        <w:rPr>
          <w:rFonts w:ascii="Times New Roman" w:hAnsi="Times New Roman"/>
          <w:noProof/>
          <w:sz w:val="24"/>
        </w:rPr>
        <w:t xml:space="preserve"> в сравнение с 293 315 решения за същия период на предходната година. </w:t>
      </w:r>
    </w:p>
    <w:p w:rsidR="004C41E7" w:rsidRDefault="004C41E7">
      <w:pPr>
        <w:spacing w:line="240" w:lineRule="auto"/>
        <w:jc w:val="both"/>
        <w:rPr>
          <w:rFonts w:ascii="Times New Roman" w:hAnsi="Times New Roman" w:cs="Times New Roman"/>
          <w:noProof/>
          <w:sz w:val="24"/>
          <w:szCs w:val="24"/>
        </w:rPr>
      </w:pPr>
    </w:p>
    <w:p w:rsidR="004C41E7" w:rsidRDefault="008B707F">
      <w:pPr>
        <w:spacing w:line="240" w:lineRule="auto"/>
        <w:jc w:val="both"/>
        <w:rPr>
          <w:rFonts w:ascii="Times New Roman" w:hAnsi="Times New Roman" w:cs="Times New Roman"/>
          <w:b/>
          <w:noProof/>
          <w:sz w:val="24"/>
          <w:szCs w:val="24"/>
        </w:rPr>
      </w:pPr>
      <w:r>
        <w:rPr>
          <w:rFonts w:ascii="Times New Roman" w:hAnsi="Times New Roman"/>
          <w:b/>
          <w:noProof/>
          <w:sz w:val="24"/>
        </w:rPr>
        <w:t>3.</w:t>
      </w:r>
      <w:r>
        <w:rPr>
          <w:noProof/>
        </w:rPr>
        <w:tab/>
      </w:r>
      <w:r>
        <w:rPr>
          <w:rFonts w:ascii="Times New Roman" w:hAnsi="Times New Roman"/>
          <w:b/>
          <w:noProof/>
          <w:sz w:val="24"/>
        </w:rPr>
        <w:t>ОПЕРАТИВНА ПОДКРЕПА НА ЕС ПО МАРШРУТИТЕ</w:t>
      </w:r>
    </w:p>
    <w:p w:rsidR="004C41E7" w:rsidRDefault="008B707F">
      <w:pPr>
        <w:spacing w:after="120" w:line="240" w:lineRule="auto"/>
        <w:jc w:val="both"/>
        <w:rPr>
          <w:rFonts w:ascii="Times New Roman" w:hAnsi="Times New Roman"/>
          <w:noProof/>
          <w:sz w:val="24"/>
          <w:szCs w:val="24"/>
        </w:rPr>
      </w:pPr>
      <w:r>
        <w:rPr>
          <w:rFonts w:ascii="Times New Roman" w:hAnsi="Times New Roman"/>
          <w:noProof/>
          <w:sz w:val="24"/>
        </w:rPr>
        <w:t xml:space="preserve">Крайъгълният камък в подкрепата на ЕС остава </w:t>
      </w:r>
      <w:r>
        <w:rPr>
          <w:rFonts w:ascii="Times New Roman" w:hAnsi="Times New Roman"/>
          <w:b/>
          <w:i/>
          <w:noProof/>
          <w:sz w:val="24"/>
        </w:rPr>
        <w:t>под</w:t>
      </w:r>
      <w:r>
        <w:rPr>
          <w:rFonts w:ascii="Times New Roman" w:hAnsi="Times New Roman"/>
          <w:b/>
          <w:i/>
          <w:noProof/>
          <w:sz w:val="24"/>
        </w:rPr>
        <w:t>ходът на „горещите точки“</w:t>
      </w:r>
      <w:r>
        <w:rPr>
          <w:rFonts w:ascii="Times New Roman" w:hAnsi="Times New Roman"/>
          <w:noProof/>
          <w:sz w:val="24"/>
        </w:rPr>
        <w:t>, въведен през 2015 г. Комисията направи оценка на функционирането на горещите точки в Гърция и Италия до момента и в тясно сътрудничество с агенциите обедини най-добри практики за прилагането на подхода на „горещите точки“</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w:t>
      </w:r>
    </w:p>
    <w:p w:rsidR="004C41E7" w:rsidRDefault="008B707F">
      <w:pPr>
        <w:spacing w:after="120" w:line="240" w:lineRule="auto"/>
        <w:jc w:val="both"/>
        <w:rPr>
          <w:rFonts w:ascii="Times New Roman" w:hAnsi="Times New Roman"/>
          <w:noProof/>
          <w:sz w:val="24"/>
          <w:szCs w:val="24"/>
        </w:rPr>
      </w:pPr>
      <w:r>
        <w:rPr>
          <w:rFonts w:ascii="Times New Roman" w:hAnsi="Times New Roman"/>
          <w:noProof/>
          <w:sz w:val="24"/>
        </w:rPr>
        <w:t>Разп</w:t>
      </w:r>
      <w:r>
        <w:rPr>
          <w:rFonts w:ascii="Times New Roman" w:hAnsi="Times New Roman"/>
          <w:noProof/>
          <w:sz w:val="24"/>
        </w:rPr>
        <w:t xml:space="preserve">олагането на гост-служители на Европол спомогна за идентифицирането на рискови профили и за борбата с контрабандистки мрежи, като те ще продължат да извършват проверки за сигурност на втора линия в горещите точки в Гърция и Италия. </w:t>
      </w:r>
    </w:p>
    <w:p w:rsidR="004C41E7" w:rsidRDefault="008B707F">
      <w:pPr>
        <w:spacing w:line="240" w:lineRule="auto"/>
        <w:jc w:val="both"/>
        <w:rPr>
          <w:rFonts w:ascii="Times New Roman" w:hAnsi="Times New Roman" w:cs="Times New Roman"/>
          <w:b/>
          <w:i/>
          <w:noProof/>
          <w:sz w:val="24"/>
          <w:szCs w:val="24"/>
        </w:rPr>
      </w:pPr>
      <w:r>
        <w:rPr>
          <w:rFonts w:ascii="Times New Roman" w:hAnsi="Times New Roman"/>
          <w:noProof/>
          <w:sz w:val="24"/>
        </w:rPr>
        <w:t>Друг важен приоритет на</w:t>
      </w:r>
      <w:r>
        <w:rPr>
          <w:rFonts w:ascii="Times New Roman" w:hAnsi="Times New Roman"/>
          <w:noProof/>
          <w:sz w:val="24"/>
        </w:rPr>
        <w:t xml:space="preserve"> работата на ЕС е съсредоточаването върху нуждите на </w:t>
      </w:r>
      <w:r>
        <w:rPr>
          <w:rFonts w:ascii="Times New Roman" w:hAnsi="Times New Roman"/>
          <w:b/>
          <w:i/>
          <w:noProof/>
          <w:sz w:val="24"/>
        </w:rPr>
        <w:t>децата</w:t>
      </w:r>
      <w:r>
        <w:rPr>
          <w:rFonts w:ascii="Times New Roman" w:hAnsi="Times New Roman"/>
          <w:noProof/>
          <w:sz w:val="24"/>
        </w:rPr>
        <w:t xml:space="preserve"> в миграционния процес</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В най-добрите практики по прилагането на подхода на „горещите точки“ са набелязани конкретни мерки, които трябва да бъдат предприети в помощ на децата и други уязвими групи</w:t>
      </w:r>
      <w:r>
        <w:rPr>
          <w:rFonts w:ascii="Times New Roman" w:hAnsi="Times New Roman"/>
          <w:noProof/>
          <w:sz w:val="24"/>
        </w:rPr>
        <w:t>. Единадесетият Европейски форум за правата на детето, състоял се на 7—8 ноември, бе възможност да се проучи необходимостта от намиране на алтернативи на задържането на деца в контекста на миграцията.</w:t>
      </w:r>
    </w:p>
    <w:p w:rsidR="004C41E7" w:rsidRDefault="008B707F">
      <w:pPr>
        <w:spacing w:line="240" w:lineRule="auto"/>
        <w:jc w:val="both"/>
        <w:rPr>
          <w:rFonts w:ascii="Times New Roman" w:hAnsi="Times New Roman" w:cs="Times New Roman"/>
          <w:b/>
          <w:i/>
          <w:noProof/>
          <w:sz w:val="24"/>
          <w:szCs w:val="24"/>
        </w:rPr>
      </w:pPr>
      <w:r>
        <w:rPr>
          <w:rFonts w:ascii="Times New Roman" w:hAnsi="Times New Roman"/>
          <w:b/>
          <w:i/>
          <w:noProof/>
          <w:sz w:val="24"/>
        </w:rPr>
        <w:t>Маршрут през Източното Средиземноморие</w:t>
      </w:r>
    </w:p>
    <w:p w:rsidR="004C41E7" w:rsidRDefault="008B707F">
      <w:pPr>
        <w:spacing w:line="240" w:lineRule="auto"/>
        <w:jc w:val="both"/>
        <w:rPr>
          <w:rFonts w:ascii="Times New Roman" w:hAnsi="Times New Roman"/>
          <w:noProof/>
          <w:sz w:val="24"/>
          <w:szCs w:val="24"/>
        </w:rPr>
      </w:pPr>
      <w:r>
        <w:rPr>
          <w:rFonts w:ascii="Times New Roman" w:hAnsi="Times New Roman"/>
          <w:noProof/>
          <w:sz w:val="24"/>
        </w:rPr>
        <w:t>Подкрепата на Ев</w:t>
      </w:r>
      <w:r>
        <w:rPr>
          <w:rFonts w:ascii="Times New Roman" w:hAnsi="Times New Roman"/>
          <w:noProof/>
          <w:sz w:val="24"/>
        </w:rPr>
        <w:t>ропейската агенция за гранична и брегова охрана, Европейската служба за подкрепа в областта на убежището и Европол, както и разполагането на дванадесет плавателни съда в морски операции бяха от ключово значение при привеждането в действие на горещите точки</w:t>
      </w:r>
      <w:r>
        <w:rPr>
          <w:rFonts w:ascii="Times New Roman" w:hAnsi="Times New Roman"/>
          <w:noProof/>
          <w:sz w:val="24"/>
        </w:rPr>
        <w:t xml:space="preserve"> в Гърция. В ход са действия за изграждане на по-точна картина на броя и нуждите на мигрантите, включително в горещите точки. Очаква се до края на ноември гръцкото правителство да приключи първото резюме на работата в тази насока. </w:t>
      </w:r>
    </w:p>
    <w:p w:rsidR="004C41E7" w:rsidRDefault="008B707F">
      <w:pPr>
        <w:spacing w:after="120" w:line="240" w:lineRule="auto"/>
        <w:jc w:val="both"/>
        <w:rPr>
          <w:rFonts w:ascii="Times New Roman" w:hAnsi="Times New Roman"/>
          <w:noProof/>
          <w:sz w:val="24"/>
          <w:szCs w:val="24"/>
        </w:rPr>
      </w:pPr>
      <w:r>
        <w:rPr>
          <w:rFonts w:ascii="Times New Roman" w:hAnsi="Times New Roman"/>
          <w:b/>
          <w:i/>
          <w:noProof/>
          <w:sz w:val="24"/>
        </w:rPr>
        <w:t xml:space="preserve">Местата за приемане </w:t>
      </w:r>
      <w:r>
        <w:rPr>
          <w:rFonts w:ascii="Times New Roman" w:hAnsi="Times New Roman"/>
          <w:noProof/>
          <w:sz w:val="24"/>
        </w:rPr>
        <w:t>в го</w:t>
      </w:r>
      <w:r>
        <w:rPr>
          <w:rFonts w:ascii="Times New Roman" w:hAnsi="Times New Roman"/>
          <w:noProof/>
          <w:sz w:val="24"/>
        </w:rPr>
        <w:t>рещите точки обаче все още са недостатъчни въпреки договореностите, предвидени в рамките на националната програма по линия на фонд „Убежище, миграция и интеграция“. Нарастващият натиск, причинен от скорошния голям брой пристигащи, може да добави допълнител</w:t>
      </w:r>
      <w:r>
        <w:rPr>
          <w:rFonts w:ascii="Times New Roman" w:hAnsi="Times New Roman"/>
          <w:noProof/>
          <w:sz w:val="24"/>
        </w:rPr>
        <w:t>ен натиск. Подобряването на достъпността</w:t>
      </w:r>
      <w:r>
        <w:rPr>
          <w:rStyle w:val="FootnoteReference"/>
          <w:rFonts w:ascii="Times New Roman" w:hAnsi="Times New Roman"/>
          <w:noProof/>
          <w:sz w:val="24"/>
        </w:rPr>
        <w:footnoteReference w:id="18"/>
      </w:r>
      <w:r>
        <w:rPr>
          <w:rFonts w:ascii="Times New Roman" w:hAnsi="Times New Roman"/>
          <w:noProof/>
          <w:sz w:val="24"/>
        </w:rPr>
        <w:t xml:space="preserve"> и качеството на местата за приемане, включително чрез по-добри решения за специфичните нужди на уязвимите групи, остава неотложен приоритет. Необходими са незабавни действия от страна на гръцките органи за по-натат</w:t>
      </w:r>
      <w:r>
        <w:rPr>
          <w:rFonts w:ascii="Times New Roman" w:hAnsi="Times New Roman"/>
          <w:noProof/>
          <w:sz w:val="24"/>
        </w:rPr>
        <w:t xml:space="preserve">ъшно отстраняване на недостатъците в структурите за приемане на островите и за подготовка за посрещане на зимните условия. Комисията е в готовност да предостави подходяща подкрепа. </w:t>
      </w:r>
    </w:p>
    <w:p w:rsidR="004C41E7" w:rsidRDefault="008B707F">
      <w:pPr>
        <w:spacing w:line="240" w:lineRule="auto"/>
        <w:jc w:val="both"/>
        <w:rPr>
          <w:rFonts w:ascii="Times New Roman" w:hAnsi="Times New Roman"/>
          <w:noProof/>
          <w:sz w:val="24"/>
          <w:szCs w:val="24"/>
        </w:rPr>
      </w:pPr>
      <w:r>
        <w:rPr>
          <w:rFonts w:ascii="Times New Roman" w:hAnsi="Times New Roman"/>
          <w:noProof/>
          <w:sz w:val="24"/>
        </w:rPr>
        <w:t xml:space="preserve">ЕС продължава също така да оказва съществена </w:t>
      </w:r>
      <w:r>
        <w:rPr>
          <w:rFonts w:ascii="Times New Roman" w:hAnsi="Times New Roman"/>
          <w:b/>
          <w:i/>
          <w:noProof/>
          <w:sz w:val="24"/>
        </w:rPr>
        <w:t>финансова подкрепа</w:t>
      </w:r>
      <w:r>
        <w:rPr>
          <w:rFonts w:ascii="Times New Roman" w:hAnsi="Times New Roman"/>
          <w:noProof/>
          <w:sz w:val="24"/>
        </w:rPr>
        <w:t xml:space="preserve"> на Гърция,</w:t>
      </w:r>
      <w:r>
        <w:rPr>
          <w:rFonts w:ascii="Times New Roman" w:hAnsi="Times New Roman"/>
          <w:noProof/>
          <w:sz w:val="24"/>
        </w:rPr>
        <w:t xml:space="preserve"> изправена пред предизвикателствата на кризата. По линия на инструмента за спешна подкрепа в рамките на ЕС бяха предоставени над 440 милиона евро за подпомагане на работата на 15 хуманитарни партньора. Благодарение на този инструмент бе възможно да се гара</w:t>
      </w:r>
      <w:r>
        <w:rPr>
          <w:rFonts w:ascii="Times New Roman" w:hAnsi="Times New Roman"/>
          <w:noProof/>
          <w:sz w:val="24"/>
        </w:rPr>
        <w:t xml:space="preserve">нтира наличието на достатъчно места за приемане в континенталната част на страната, като наличността се модулира спрямо нуждите до общ капацитет от 40 000 души, и да се допринесе за създаването на капацитет на островите. Сега приоритетът е гръцките органи </w:t>
      </w:r>
      <w:r>
        <w:rPr>
          <w:rFonts w:ascii="Times New Roman" w:hAnsi="Times New Roman"/>
          <w:noProof/>
          <w:sz w:val="24"/>
        </w:rPr>
        <w:t>да прехвърлят възможно най-голям брой бежанци от лагерите в наети под наем жилища. Беше въведена също така и програма за отпускане на пари в брой за различни цели</w:t>
      </w:r>
      <w:r>
        <w:rPr>
          <w:rStyle w:val="FootnoteReference"/>
          <w:rFonts w:ascii="Times New Roman" w:hAnsi="Times New Roman"/>
          <w:noProof/>
          <w:sz w:val="24"/>
        </w:rPr>
        <w:footnoteReference w:id="19"/>
      </w:r>
      <w:r>
        <w:rPr>
          <w:rFonts w:ascii="Times New Roman" w:hAnsi="Times New Roman"/>
          <w:noProof/>
          <w:sz w:val="24"/>
        </w:rPr>
        <w:t>. Основната цел на настаняването в жилища под наем и програмата за отпускане на пари в брой е</w:t>
      </w:r>
      <w:r>
        <w:rPr>
          <w:rFonts w:ascii="Times New Roman" w:hAnsi="Times New Roman"/>
          <w:noProof/>
          <w:sz w:val="24"/>
        </w:rPr>
        <w:t xml:space="preserve"> да се осигурят достойни условия на живот за хората в нужда. Към 7 ноември откритите места за настаняване са 19 447. Макар броят на бежанците, настанени по схемата за настаняване под наем в градски райони, да варира, по настоящи данни той възлиза на 15 458</w:t>
      </w:r>
      <w:r>
        <w:rPr>
          <w:rFonts w:ascii="Times New Roman" w:hAnsi="Times New Roman"/>
          <w:noProof/>
          <w:sz w:val="24"/>
        </w:rPr>
        <w:t xml:space="preserve"> бежанци. Ежемесечно средно 32 500 бежанци получават парични помощи.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В момента с гръцките органи се обсъжда приемането на финансов план за 2018 г., в който ще бъдат набелязани основните нужди, дейности и съответните източници на финансиране. Предприети са</w:t>
      </w:r>
      <w:r>
        <w:rPr>
          <w:rFonts w:ascii="Times New Roman" w:hAnsi="Times New Roman"/>
          <w:noProof/>
          <w:sz w:val="24"/>
        </w:rPr>
        <w:t xml:space="preserve"> допълнителни стъпки, за да се гарантира по-устойчива подкрепа, като се премине от спешно финансиране към използване на средства, които вече са отпуснати на Гърция по националните програми. Финансирането по тези програми се използва например в подкрепа на </w:t>
      </w:r>
      <w:r>
        <w:rPr>
          <w:rFonts w:ascii="Times New Roman" w:hAnsi="Times New Roman"/>
          <w:noProof/>
          <w:sz w:val="24"/>
        </w:rPr>
        <w:t>предоставянето на услуги в горещите точки като приготвяне и доставяне на храна, настаняване и почистване, както и услуги в центровете за непридружени ненавършили пълнолетие лица. Тези програми вече финансират договорени приоритети, включително услуги по пр</w:t>
      </w:r>
      <w:r>
        <w:rPr>
          <w:rFonts w:ascii="Times New Roman" w:hAnsi="Times New Roman"/>
          <w:noProof/>
          <w:sz w:val="24"/>
        </w:rPr>
        <w:t>иемането на островите и в центровете за непридружени ненавършили пълнолетие лица. Подкрепата от ЕС за Програмата за подпомагане на доброволното връщане и реинтеграция (до момента на приблизителна стойност от 27 милиона евро), която се изпълнява от Междунар</w:t>
      </w:r>
      <w:r>
        <w:rPr>
          <w:rFonts w:ascii="Times New Roman" w:hAnsi="Times New Roman"/>
          <w:noProof/>
          <w:sz w:val="24"/>
        </w:rPr>
        <w:t xml:space="preserve">одната организация по миграция, също беше от съществено значение за облекчаване на част от натиска: през 2017 г. по тази схема в държавите си на произход се върнаха над 4800 души.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 xml:space="preserve">В Гърция екипи на Европейската служба за подкрепа в областта на убежището </w:t>
      </w:r>
      <w:r>
        <w:rPr>
          <w:rFonts w:ascii="Times New Roman" w:hAnsi="Times New Roman"/>
          <w:noProof/>
          <w:sz w:val="24"/>
        </w:rPr>
        <w:t xml:space="preserve">оказват подкрепа на гръцките органи по отношение на идентификацията и регистрацията на потенциални кандидати за международна закрила и информират мигрантите за системата за международна закрила в Гърция, както и за процедурата по преместване. Освен това </w:t>
      </w:r>
      <w:r>
        <w:rPr>
          <w:rFonts w:ascii="Times New Roman" w:hAnsi="Times New Roman"/>
          <w:b/>
          <w:i/>
          <w:noProof/>
          <w:sz w:val="24"/>
        </w:rPr>
        <w:t>ек</w:t>
      </w:r>
      <w:r>
        <w:rPr>
          <w:rFonts w:ascii="Times New Roman" w:hAnsi="Times New Roman"/>
          <w:b/>
          <w:i/>
          <w:noProof/>
          <w:sz w:val="24"/>
        </w:rPr>
        <w:t>сперти</w:t>
      </w:r>
      <w:r>
        <w:rPr>
          <w:rFonts w:ascii="Times New Roman" w:hAnsi="Times New Roman"/>
          <w:noProof/>
          <w:sz w:val="24"/>
        </w:rPr>
        <w:t xml:space="preserve"> предоставят консултации относно проверката на националността и евентуални проблеми, свързани с основанията за изключване; те помагат и за разкриването на възможни документни измами. Към 9 ноември по линия на Европейската служба за подкрепа в областт</w:t>
      </w:r>
      <w:r>
        <w:rPr>
          <w:rFonts w:ascii="Times New Roman" w:hAnsi="Times New Roman"/>
          <w:noProof/>
          <w:sz w:val="24"/>
        </w:rPr>
        <w:t>а на убежището са разположени 18 експерти от държавите членки, които подпомагат процеса по преместване, и един експерт, чиято функция е да оказва подкрепа на гръцката Служба за прием и установяване на самоличността. От 8 ноември насам 21 експерти на Европе</w:t>
      </w:r>
      <w:r>
        <w:rPr>
          <w:rFonts w:ascii="Times New Roman" w:hAnsi="Times New Roman"/>
          <w:noProof/>
          <w:sz w:val="24"/>
        </w:rPr>
        <w:t xml:space="preserve">йската агенция за гранична и брегова охрана са разположени на границата между Гърция и бившата югославска република Македония. </w:t>
      </w:r>
    </w:p>
    <w:p w:rsidR="004C41E7" w:rsidRDefault="008B707F">
      <w:pPr>
        <w:spacing w:line="240" w:lineRule="auto"/>
        <w:jc w:val="both"/>
        <w:rPr>
          <w:rFonts w:ascii="Times New Roman" w:hAnsi="Times New Roman"/>
          <w:noProof/>
          <w:sz w:val="24"/>
          <w:szCs w:val="24"/>
        </w:rPr>
      </w:pPr>
      <w:r>
        <w:rPr>
          <w:rFonts w:ascii="Times New Roman" w:hAnsi="Times New Roman"/>
          <w:noProof/>
          <w:sz w:val="24"/>
        </w:rPr>
        <w:t xml:space="preserve">Значителна финансова подкрепа беше предоставена на </w:t>
      </w:r>
      <w:r>
        <w:rPr>
          <w:rFonts w:ascii="Times New Roman" w:hAnsi="Times New Roman"/>
          <w:b/>
          <w:i/>
          <w:noProof/>
          <w:sz w:val="24"/>
        </w:rPr>
        <w:t>България</w:t>
      </w:r>
      <w:r>
        <w:rPr>
          <w:rFonts w:ascii="Times New Roman" w:hAnsi="Times New Roman"/>
          <w:noProof/>
          <w:sz w:val="24"/>
        </w:rPr>
        <w:t xml:space="preserve"> за посрещане на предизвикателствата, свързани с миграцията. Срокът за ползване на средствата за спешно подпомагане, отпуснати на България през есента на 2016 г., наскоро беше удължен с една година, за да се позволи пълното им усвояване. Европейската агенц</w:t>
      </w:r>
      <w:r>
        <w:rPr>
          <w:rFonts w:ascii="Times New Roman" w:hAnsi="Times New Roman"/>
          <w:noProof/>
          <w:sz w:val="24"/>
        </w:rPr>
        <w:t>ия за гранична и брегова охрана продължава да съдейства на България в контрола на сухопътните ѝ граници, както и за предотвратяване на вторичните движения. Понастоящем са разположени 143 служители и широк набор от оборудване. По националната програма по ли</w:t>
      </w:r>
      <w:r>
        <w:rPr>
          <w:rFonts w:ascii="Times New Roman" w:hAnsi="Times New Roman"/>
          <w:noProof/>
          <w:sz w:val="24"/>
        </w:rPr>
        <w:t>ния на фонд „Убежище, миграция и интеграция“ (за периода 2014—2020 г.) на България са отпуснати 4,5 милиона евро за покриване на мерките за връщане, включително за подпомагане на доброволното връщане; спешната подкрепа допринесе за подпомагане на доброволн</w:t>
      </w:r>
      <w:r>
        <w:rPr>
          <w:rFonts w:ascii="Times New Roman" w:hAnsi="Times New Roman"/>
          <w:noProof/>
          <w:sz w:val="24"/>
        </w:rPr>
        <w:t>ото връщане на 800 души (до 10 ноември 2017 г.).</w:t>
      </w:r>
    </w:p>
    <w:p w:rsidR="004C41E7" w:rsidRDefault="008B707F">
      <w:pPr>
        <w:rPr>
          <w:rFonts w:ascii="Times New Roman" w:hAnsi="Times New Roman"/>
          <w:b/>
          <w:i/>
          <w:noProof/>
          <w:sz w:val="24"/>
          <w:szCs w:val="24"/>
        </w:rPr>
      </w:pPr>
      <w:r>
        <w:rPr>
          <w:noProof/>
        </w:rPr>
        <w:br w:type="page"/>
      </w:r>
    </w:p>
    <w:p w:rsidR="004C41E7" w:rsidRDefault="008B707F">
      <w:pPr>
        <w:spacing w:line="240" w:lineRule="auto"/>
        <w:jc w:val="both"/>
        <w:rPr>
          <w:rFonts w:ascii="Times New Roman" w:hAnsi="Times New Roman" w:cs="Times New Roman"/>
          <w:noProof/>
          <w:sz w:val="24"/>
          <w:szCs w:val="24"/>
        </w:rPr>
      </w:pPr>
      <w:r>
        <w:rPr>
          <w:rFonts w:ascii="Times New Roman" w:hAnsi="Times New Roman"/>
          <w:b/>
          <w:i/>
          <w:noProof/>
          <w:sz w:val="24"/>
        </w:rPr>
        <w:t>Изявлението на ЕС и Турция</w:t>
      </w:r>
    </w:p>
    <w:p w:rsidR="004C41E7" w:rsidRDefault="008B707F">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 xml:space="preserve">Изпълнението на изявлението на ЕС и Турция продължи да играе ключова роля за гарантирането на ефективно и съвместно преодоляване от страна на ЕС и Турция на предизвикателствата, </w:t>
      </w:r>
      <w:r>
        <w:rPr>
          <w:rFonts w:ascii="Times New Roman" w:hAnsi="Times New Roman"/>
          <w:noProof/>
          <w:sz w:val="24"/>
        </w:rPr>
        <w:t>свързани с миграцията в Източното Средиземноморие. То продължава да дава конкретни резултати — намаляване на незаконните и опасни преминавания и спасяване на човешки живот в Егейско море. Освен това чрез Механизма за бежанците в Турция се оказва практическ</w:t>
      </w:r>
      <w:r>
        <w:rPr>
          <w:rFonts w:ascii="Times New Roman" w:hAnsi="Times New Roman"/>
          <w:noProof/>
          <w:sz w:val="24"/>
        </w:rPr>
        <w:t>а подкрепа на сирийските бежанци и приемащите общности в Турция и се гарантира презаселването на сирийци от Турция в Европа. За пълното и устойчиво прилагане на изявлението на ЕС и Турция се изискват постоянни усилия и политическа решимост от всички страни</w:t>
      </w:r>
      <w:r>
        <w:rPr>
          <w:rFonts w:ascii="Times New Roman" w:hAnsi="Times New Roman"/>
          <w:noProof/>
          <w:sz w:val="24"/>
        </w:rPr>
        <w:t>.</w:t>
      </w:r>
    </w:p>
    <w:p w:rsidR="004C41E7" w:rsidRDefault="008B707F">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 xml:space="preserve"> </w:t>
      </w:r>
    </w:p>
    <w:p w:rsidR="004C41E7" w:rsidRDefault="008B707F">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Комисията и агенциите на ЕС продължават целенасочената си работа за изпълнение на изявлението (вж. Приложение 2), включително като оказват значителна подкрепа на гръцката Служба по въпросите на убежището</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Въпреки това установените в предишните доклади</w:t>
      </w:r>
      <w:r>
        <w:rPr>
          <w:rFonts w:ascii="Times New Roman" w:hAnsi="Times New Roman"/>
          <w:noProof/>
          <w:sz w:val="24"/>
        </w:rPr>
        <w:t xml:space="preserve"> недостатъци все още съществуват</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По-специално, темпът на </w:t>
      </w:r>
      <w:r>
        <w:rPr>
          <w:rFonts w:ascii="Times New Roman" w:hAnsi="Times New Roman"/>
          <w:i/>
          <w:noProof/>
          <w:sz w:val="24"/>
        </w:rPr>
        <w:t>връщанията</w:t>
      </w:r>
      <w:r>
        <w:rPr>
          <w:rFonts w:ascii="Times New Roman" w:hAnsi="Times New Roman"/>
          <w:noProof/>
          <w:sz w:val="24"/>
        </w:rPr>
        <w:t xml:space="preserve"> от гръцките острови в Турция остава много бавен със само 1969 връщания от март 2016 г. насам</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От тях само 439 са резултат от отрицателно съдебно решение по молба за предоставяне на убеж</w:t>
      </w:r>
      <w:r>
        <w:rPr>
          <w:rFonts w:ascii="Times New Roman" w:hAnsi="Times New Roman"/>
          <w:noProof/>
          <w:sz w:val="24"/>
        </w:rPr>
        <w:t>ище на втора инстанция. Гарантирането на ефективно връщане след приключването на правните процедури е основна част от изявлението, така че това зависи до голяма степен от ресурсите, предоставени за всички съответни етапи на гръцката система за убежище. Въп</w:t>
      </w:r>
      <w:r>
        <w:rPr>
          <w:rFonts w:ascii="Times New Roman" w:hAnsi="Times New Roman"/>
          <w:noProof/>
          <w:sz w:val="24"/>
        </w:rPr>
        <w:t>реки съдебното решение на Държавния съвет на Гърция, публикувано на 22 септември 2017 г., което отхвърли жалбите на двама сирийци и заключи, че Турция е безопасна държава за връщане на мигранти по силата на изявлението, при условие че се извършва индивидуа</w:t>
      </w:r>
      <w:r>
        <w:rPr>
          <w:rFonts w:ascii="Times New Roman" w:hAnsi="Times New Roman"/>
          <w:noProof/>
          <w:sz w:val="24"/>
        </w:rPr>
        <w:t>лна оценка, броят на решенията на апелативните комитети не е нараснал значително и следователно броят на връщанията остава нисък, за което допринася и броят на последващите административни обжалвания. В резултат на това натискът върху инфраструктурата и оп</w:t>
      </w:r>
      <w:r>
        <w:rPr>
          <w:rFonts w:ascii="Times New Roman" w:hAnsi="Times New Roman"/>
          <w:noProof/>
          <w:sz w:val="24"/>
        </w:rPr>
        <w:t xml:space="preserve">ерациите на гръцките острови остава силен и продължава да се увеличава. Към 9 ноември броят на мигрантите, които се намират на островите, се изчислява на 15 169 души.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i/>
          <w:noProof/>
          <w:sz w:val="24"/>
        </w:rPr>
        <w:t>Презаселването</w:t>
      </w:r>
      <w:r>
        <w:rPr>
          <w:rFonts w:ascii="Times New Roman" w:hAnsi="Times New Roman"/>
          <w:noProof/>
          <w:sz w:val="24"/>
        </w:rPr>
        <w:t xml:space="preserve"> от Турция съгласно изявлението продължава, като е от съществено значение </w:t>
      </w:r>
      <w:r>
        <w:rPr>
          <w:rFonts w:ascii="Times New Roman" w:hAnsi="Times New Roman"/>
          <w:noProof/>
          <w:sz w:val="24"/>
        </w:rPr>
        <w:t>да се поддържат бързи темпове. От 4 април 2016 г. насам от Турция са презаселени 11 354 души</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По отношение на </w:t>
      </w:r>
      <w:r>
        <w:rPr>
          <w:rFonts w:ascii="Times New Roman" w:hAnsi="Times New Roman"/>
          <w:i/>
          <w:noProof/>
          <w:sz w:val="24"/>
        </w:rPr>
        <w:t>доброволната схема за хуманитарно приемане</w:t>
      </w:r>
      <w:r>
        <w:rPr>
          <w:rFonts w:ascii="Times New Roman" w:hAnsi="Times New Roman"/>
          <w:noProof/>
          <w:sz w:val="24"/>
        </w:rPr>
        <w:t xml:space="preserve"> Комисията и Турция финализираха стандартните оперативни процедури, които сега трябва да бъдат приети о</w:t>
      </w:r>
      <w:r>
        <w:rPr>
          <w:rFonts w:ascii="Times New Roman" w:hAnsi="Times New Roman"/>
          <w:noProof/>
          <w:sz w:val="24"/>
        </w:rPr>
        <w:t>т държавите членки. Бързото постигане на решение относно задействането ѝ ще насърчи изпълнението на изявлението, като осигури на сирийските граждани безопасна и законна алтернатива на незаконната миграция в ЕС.</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 xml:space="preserve">Оперативният диалог в областта на миграцията </w:t>
      </w:r>
      <w:r>
        <w:rPr>
          <w:rFonts w:ascii="Times New Roman" w:hAnsi="Times New Roman"/>
          <w:noProof/>
          <w:sz w:val="24"/>
        </w:rPr>
        <w:t xml:space="preserve">с турските органи продължава, по-специално по отношение на връщанията, споделянето на информация и презаселването. Що се отнася до изпълнението на </w:t>
      </w:r>
      <w:r>
        <w:rPr>
          <w:rFonts w:ascii="Times New Roman" w:hAnsi="Times New Roman"/>
          <w:i/>
          <w:noProof/>
          <w:sz w:val="24"/>
        </w:rPr>
        <w:t>пътната карта за либерализиране на визовия режим</w:t>
      </w:r>
      <w:r>
        <w:rPr>
          <w:rFonts w:ascii="Times New Roman" w:hAnsi="Times New Roman"/>
          <w:noProof/>
          <w:sz w:val="24"/>
        </w:rPr>
        <w:t>, Комисията продължава да насърчава усилията на Турция да изп</w:t>
      </w:r>
      <w:r>
        <w:rPr>
          <w:rFonts w:ascii="Times New Roman" w:hAnsi="Times New Roman"/>
          <w:noProof/>
          <w:sz w:val="24"/>
        </w:rPr>
        <w:t xml:space="preserve">ълни възможно най-скоро всички оставащи целеви условия от пътната карта. </w:t>
      </w:r>
    </w:p>
    <w:p w:rsidR="004C41E7" w:rsidRDefault="008B707F">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Друг ключов елемент от изявлението е подкрепата чрез </w:t>
      </w:r>
      <w:r>
        <w:rPr>
          <w:rFonts w:ascii="Times New Roman" w:hAnsi="Times New Roman"/>
          <w:i/>
          <w:noProof/>
          <w:sz w:val="24"/>
        </w:rPr>
        <w:t>Механизма за бежанците в Турция</w:t>
      </w:r>
      <w:r>
        <w:rPr>
          <w:rFonts w:ascii="Times New Roman" w:hAnsi="Times New Roman"/>
          <w:noProof/>
          <w:sz w:val="24"/>
        </w:rPr>
        <w:t>, чиято цел е постигнато на конкретно въздействие на място (вж. Приложение 3). ЕС е на път да вклю</w:t>
      </w:r>
      <w:r>
        <w:rPr>
          <w:rFonts w:ascii="Times New Roman" w:hAnsi="Times New Roman"/>
          <w:noProof/>
          <w:sz w:val="24"/>
        </w:rPr>
        <w:t>чи договори за пълната сума от 3 милиарда евро до края на 2017 г. Подписани са договори за 55 проекта, възлизащи на 1,78 милиарда евро</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Всички тези договори са в процес на изпълнение. Общата изплатена сума достигна 908 милиона евро. Изпълняват се проекти </w:t>
      </w:r>
      <w:r>
        <w:rPr>
          <w:rFonts w:ascii="Times New Roman" w:hAnsi="Times New Roman"/>
          <w:noProof/>
          <w:sz w:val="24"/>
        </w:rPr>
        <w:t>за предоставяне на образование на почти половин милион сирийски деца и на здравни грижи на близо два милиона души. През септември 2017 г. бе направено значително постижение, като близо един милион от бежанците в най-уязвимо положение вече получават месечни</w:t>
      </w:r>
      <w:r>
        <w:rPr>
          <w:rFonts w:ascii="Times New Roman" w:hAnsi="Times New Roman"/>
          <w:noProof/>
          <w:sz w:val="24"/>
        </w:rPr>
        <w:t xml:space="preserve"> електронни парични преводи за посрещане на ежедневните си нужди. </w:t>
      </w:r>
    </w:p>
    <w:p w:rsidR="004C41E7" w:rsidRDefault="004C41E7">
      <w:pPr>
        <w:widowControl w:val="0"/>
        <w:spacing w:after="0" w:line="240" w:lineRule="auto"/>
        <w:jc w:val="both"/>
        <w:rPr>
          <w:rFonts w:ascii="Times New Roman" w:hAnsi="Times New Roman" w:cs="Times New Roman"/>
          <w:b/>
          <w:i/>
          <w:noProof/>
          <w:sz w:val="24"/>
          <w:szCs w:val="24"/>
        </w:rPr>
      </w:pPr>
    </w:p>
    <w:p w:rsidR="004C41E7" w:rsidRDefault="008B707F">
      <w:pPr>
        <w:widowControl w:val="0"/>
        <w:spacing w:line="240" w:lineRule="auto"/>
        <w:jc w:val="both"/>
        <w:rPr>
          <w:rFonts w:ascii="Times New Roman" w:hAnsi="Times New Roman" w:cs="Times New Roman"/>
          <w:b/>
          <w:i/>
          <w:noProof/>
          <w:sz w:val="24"/>
          <w:szCs w:val="24"/>
        </w:rPr>
      </w:pPr>
      <w:r>
        <w:rPr>
          <w:rFonts w:ascii="Times New Roman" w:hAnsi="Times New Roman"/>
          <w:b/>
          <w:i/>
          <w:noProof/>
          <w:sz w:val="24"/>
        </w:rPr>
        <w:t>Йордания и Ливан</w:t>
      </w:r>
    </w:p>
    <w:p w:rsidR="004C41E7" w:rsidRDefault="008B707F">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ЕС предоставя също така подкрепа на други държави, изправени пред натиск след сирийската криза, както и за преодоляване на огромното предизвикателство, което представлява </w:t>
      </w:r>
      <w:r>
        <w:rPr>
          <w:rFonts w:ascii="Times New Roman" w:hAnsi="Times New Roman"/>
          <w:noProof/>
          <w:sz w:val="24"/>
        </w:rPr>
        <w:t>продължаващата бежанска криза. Йордания и Ливан продължават да подпомагат препитанието на бежанците, както и техните приемни общности. Както Йордания, така и Ливан наскоро предприеха важни стъпки за отваряне на образованието за всички деца бежанци. До моме</w:t>
      </w:r>
      <w:r>
        <w:rPr>
          <w:rFonts w:ascii="Times New Roman" w:hAnsi="Times New Roman"/>
          <w:noProof/>
          <w:sz w:val="24"/>
        </w:rPr>
        <w:t>нта Регионалният доверителен фонд на ЕС в отговор на кризата в Сирия е отпуснал 290 милиона евро за проекти в Ливан (сключени са договори за 152,3 милиона евро) и 141 милиона евро за проекти в Йордания (сключени договори за 96,5 милиона евро). ЕС ще продъл</w:t>
      </w:r>
      <w:r>
        <w:rPr>
          <w:rFonts w:ascii="Times New Roman" w:hAnsi="Times New Roman"/>
          <w:noProof/>
          <w:sz w:val="24"/>
        </w:rPr>
        <w:t xml:space="preserve">жи да отдава приоритет на действията за осигуряване на закрила и помощ на най-уязвимите. Продължава да е необходима значителна международна финансова подкрепа.  </w:t>
      </w:r>
    </w:p>
    <w:p w:rsidR="004C41E7" w:rsidRDefault="004C41E7">
      <w:pPr>
        <w:widowControl w:val="0"/>
        <w:spacing w:after="0" w:line="240" w:lineRule="auto"/>
        <w:jc w:val="both"/>
        <w:rPr>
          <w:rFonts w:ascii="Times New Roman" w:hAnsi="Times New Roman" w:cs="Times New Roman"/>
          <w:noProof/>
          <w:sz w:val="24"/>
          <w:szCs w:val="24"/>
        </w:rPr>
      </w:pPr>
    </w:p>
    <w:p w:rsidR="004C41E7" w:rsidRDefault="004C41E7">
      <w:pPr>
        <w:widowControl w:val="0"/>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rsidR="004C41E7">
        <w:tc>
          <w:tcPr>
            <w:tcW w:w="9288" w:type="dxa"/>
          </w:tcPr>
          <w:p w:rsidR="004C41E7" w:rsidRDefault="008B707F">
            <w:pPr>
              <w:jc w:val="both"/>
              <w:rPr>
                <w:rFonts w:ascii="Times New Roman" w:hAnsi="Times New Roman" w:cs="Times New Roman"/>
                <w:b/>
                <w:i/>
                <w:noProof/>
                <w:sz w:val="24"/>
                <w:szCs w:val="24"/>
              </w:rPr>
            </w:pPr>
            <w:r>
              <w:rPr>
                <w:rFonts w:ascii="Times New Roman" w:hAnsi="Times New Roman"/>
                <w:b/>
                <w:i/>
                <w:noProof/>
                <w:sz w:val="24"/>
              </w:rPr>
              <w:t>Основни бъдещи действия</w:t>
            </w:r>
          </w:p>
          <w:p w:rsidR="004C41E7" w:rsidRDefault="004C41E7">
            <w:pPr>
              <w:pStyle w:val="ListParagraph"/>
              <w:jc w:val="both"/>
              <w:rPr>
                <w:rFonts w:ascii="Times New Roman" w:hAnsi="Times New Roman" w:cs="Times New Roman"/>
                <w:noProof/>
                <w:sz w:val="24"/>
                <w:szCs w:val="24"/>
              </w:rPr>
            </w:pPr>
          </w:p>
          <w:p w:rsidR="004C41E7" w:rsidRDefault="008B707F">
            <w:pPr>
              <w:pStyle w:val="ListParagraph"/>
              <w:numPr>
                <w:ilvl w:val="0"/>
                <w:numId w:val="29"/>
              </w:numPr>
              <w:ind w:left="426"/>
              <w:jc w:val="both"/>
              <w:rPr>
                <w:rFonts w:ascii="Times New Roman" w:hAnsi="Times New Roman" w:cs="Times New Roman"/>
                <w:noProof/>
                <w:sz w:val="24"/>
                <w:szCs w:val="24"/>
              </w:rPr>
            </w:pPr>
            <w:r>
              <w:rPr>
                <w:rFonts w:ascii="Times New Roman" w:hAnsi="Times New Roman"/>
                <w:noProof/>
                <w:sz w:val="24"/>
              </w:rPr>
              <w:t>За подобряване на положението на гръцките острови е необходимо гръц</w:t>
            </w:r>
            <w:r>
              <w:rPr>
                <w:rFonts w:ascii="Times New Roman" w:hAnsi="Times New Roman"/>
                <w:noProof/>
                <w:sz w:val="24"/>
              </w:rPr>
              <w:t>ките органи спешно да увеличат темпа на връщания в Турция на лицата, които нямат право да останат в Гърция, при пълно спазване на разпоредбите на правото на ЕС и на международните правила. Това важи и за връщането на сирийци след скорошното решение на Държ</w:t>
            </w:r>
            <w:r>
              <w:rPr>
                <w:rFonts w:ascii="Times New Roman" w:hAnsi="Times New Roman"/>
                <w:noProof/>
                <w:sz w:val="24"/>
              </w:rPr>
              <w:t xml:space="preserve">авния съвет; </w:t>
            </w:r>
          </w:p>
          <w:p w:rsidR="004C41E7" w:rsidRDefault="008B707F">
            <w:pPr>
              <w:pStyle w:val="ListParagraph"/>
              <w:numPr>
                <w:ilvl w:val="0"/>
                <w:numId w:val="29"/>
              </w:numPr>
              <w:ind w:left="426"/>
              <w:jc w:val="both"/>
              <w:rPr>
                <w:rFonts w:ascii="Times New Roman" w:hAnsi="Times New Roman" w:cs="Times New Roman"/>
                <w:noProof/>
                <w:sz w:val="24"/>
                <w:szCs w:val="24"/>
              </w:rPr>
            </w:pPr>
            <w:r>
              <w:rPr>
                <w:rFonts w:ascii="Times New Roman" w:hAnsi="Times New Roman"/>
                <w:noProof/>
                <w:sz w:val="24"/>
              </w:rPr>
              <w:t>Подобряване на приемната инфраструктура и на капацитета на островите;</w:t>
            </w:r>
          </w:p>
          <w:p w:rsidR="004C41E7" w:rsidRDefault="008B707F">
            <w:pPr>
              <w:pStyle w:val="ListParagraph"/>
              <w:numPr>
                <w:ilvl w:val="0"/>
                <w:numId w:val="29"/>
              </w:numPr>
              <w:ind w:left="426"/>
              <w:jc w:val="both"/>
              <w:rPr>
                <w:rFonts w:ascii="Times New Roman" w:hAnsi="Times New Roman" w:cs="Times New Roman"/>
                <w:noProof/>
                <w:sz w:val="24"/>
                <w:szCs w:val="24"/>
              </w:rPr>
            </w:pPr>
            <w:r>
              <w:rPr>
                <w:rFonts w:ascii="Times New Roman" w:hAnsi="Times New Roman"/>
                <w:noProof/>
                <w:sz w:val="24"/>
              </w:rPr>
              <w:t xml:space="preserve">Постигане на бързо съгласие по доброволната схема за хуманитарно приемане и нейното задействане, в съответствие с условията, заложени в изявлението на ЕС и Турция; </w:t>
            </w:r>
          </w:p>
          <w:p w:rsidR="004C41E7" w:rsidRDefault="008B707F">
            <w:pPr>
              <w:pStyle w:val="ListParagraph"/>
              <w:numPr>
                <w:ilvl w:val="0"/>
                <w:numId w:val="29"/>
              </w:numPr>
              <w:ind w:left="426"/>
              <w:jc w:val="both"/>
              <w:rPr>
                <w:rFonts w:ascii="Times New Roman" w:hAnsi="Times New Roman" w:cs="Times New Roman"/>
                <w:noProof/>
                <w:sz w:val="24"/>
                <w:szCs w:val="24"/>
              </w:rPr>
            </w:pPr>
            <w:r>
              <w:rPr>
                <w:rFonts w:ascii="Times New Roman" w:hAnsi="Times New Roman"/>
                <w:noProof/>
                <w:sz w:val="24"/>
              </w:rPr>
              <w:t>Сключва</w:t>
            </w:r>
            <w:r>
              <w:rPr>
                <w:rFonts w:ascii="Times New Roman" w:hAnsi="Times New Roman"/>
                <w:noProof/>
                <w:sz w:val="24"/>
              </w:rPr>
              <w:t>не на договори за цялото оставащо финансиране по хуманитарните програми чрез Механизма за бежанците в Турция до края на годината;</w:t>
            </w:r>
          </w:p>
          <w:p w:rsidR="004C41E7" w:rsidRDefault="008B707F">
            <w:pPr>
              <w:pStyle w:val="ListParagraph"/>
              <w:numPr>
                <w:ilvl w:val="0"/>
                <w:numId w:val="29"/>
              </w:numPr>
              <w:ind w:left="426"/>
              <w:jc w:val="both"/>
              <w:rPr>
                <w:rFonts w:ascii="Times New Roman" w:hAnsi="Times New Roman" w:cs="Times New Roman"/>
                <w:noProof/>
                <w:sz w:val="24"/>
                <w:szCs w:val="24"/>
              </w:rPr>
            </w:pPr>
            <w:r>
              <w:rPr>
                <w:rFonts w:ascii="Times New Roman" w:hAnsi="Times New Roman"/>
                <w:noProof/>
                <w:sz w:val="24"/>
              </w:rPr>
              <w:t>Продължаване на проследяването на тенденциите и борбата с контрабандата на хора по маршрута през Западните Балкани, включителн</w:t>
            </w:r>
            <w:r>
              <w:rPr>
                <w:rFonts w:ascii="Times New Roman" w:hAnsi="Times New Roman"/>
                <w:noProof/>
                <w:sz w:val="24"/>
              </w:rPr>
              <w:t>о чрез сътрудничество между държавите членки и съответните агенции;</w:t>
            </w:r>
          </w:p>
          <w:p w:rsidR="004C41E7" w:rsidRDefault="008B707F">
            <w:pPr>
              <w:pStyle w:val="ListParagraph"/>
              <w:numPr>
                <w:ilvl w:val="0"/>
                <w:numId w:val="29"/>
              </w:numPr>
              <w:ind w:left="426"/>
              <w:rPr>
                <w:rFonts w:ascii="Times New Roman" w:hAnsi="Times New Roman" w:cs="Times New Roman"/>
                <w:noProof/>
                <w:sz w:val="24"/>
                <w:szCs w:val="24"/>
              </w:rPr>
            </w:pPr>
            <w:r>
              <w:rPr>
                <w:rFonts w:ascii="Times New Roman" w:hAnsi="Times New Roman"/>
                <w:noProof/>
                <w:sz w:val="24"/>
              </w:rPr>
              <w:t xml:space="preserve">По-нататъшна подкрепа от държавите членки за съответните агенции на ЕС и гарантиране от страна на агенциите на устойчивостта на текущите операции;  </w:t>
            </w:r>
          </w:p>
          <w:p w:rsidR="004C41E7" w:rsidRDefault="008B707F">
            <w:pPr>
              <w:pStyle w:val="ListParagraph"/>
              <w:numPr>
                <w:ilvl w:val="0"/>
                <w:numId w:val="29"/>
              </w:numPr>
              <w:ind w:left="426"/>
              <w:jc w:val="both"/>
              <w:rPr>
                <w:rFonts w:ascii="Times New Roman" w:hAnsi="Times New Roman" w:cs="Times New Roman"/>
                <w:noProof/>
                <w:sz w:val="24"/>
                <w:szCs w:val="24"/>
              </w:rPr>
            </w:pPr>
            <w:r>
              <w:rPr>
                <w:rFonts w:ascii="Times New Roman" w:hAnsi="Times New Roman"/>
                <w:noProof/>
                <w:sz w:val="24"/>
              </w:rPr>
              <w:t xml:space="preserve">Гарантиране на достатъчно финансиране за подпомагане на Йордания и Ливан в приемането на значителен брой бежанци, така също и с оглед на конференцията в Брюксел относно кризата в Сирия и региона, която предстои да се проведе през пролетта на 2018 г.    </w:t>
            </w:r>
          </w:p>
          <w:p w:rsidR="004C41E7" w:rsidRDefault="004C41E7">
            <w:pPr>
              <w:pStyle w:val="ListParagraph"/>
              <w:ind w:left="426"/>
              <w:rPr>
                <w:rFonts w:ascii="Times New Roman" w:hAnsi="Times New Roman" w:cs="Times New Roman"/>
                <w:noProof/>
                <w:sz w:val="24"/>
                <w:szCs w:val="24"/>
              </w:rPr>
            </w:pPr>
          </w:p>
        </w:tc>
      </w:tr>
    </w:tbl>
    <w:p w:rsidR="004C41E7" w:rsidRDefault="004C41E7">
      <w:pPr>
        <w:spacing w:after="120" w:line="240" w:lineRule="auto"/>
        <w:jc w:val="both"/>
        <w:rPr>
          <w:rFonts w:ascii="Times New Roman" w:hAnsi="Times New Roman"/>
          <w:noProof/>
          <w:sz w:val="24"/>
          <w:szCs w:val="24"/>
        </w:rPr>
      </w:pPr>
    </w:p>
    <w:p w:rsidR="004C41E7" w:rsidRDefault="008B707F">
      <w:pPr>
        <w:rPr>
          <w:rFonts w:ascii="Times New Roman" w:hAnsi="Times New Roman" w:cs="Times New Roman"/>
          <w:b/>
          <w:i/>
          <w:noProof/>
          <w:sz w:val="24"/>
          <w:szCs w:val="24"/>
        </w:rPr>
      </w:pPr>
      <w:r>
        <w:rPr>
          <w:rFonts w:ascii="Times New Roman" w:hAnsi="Times New Roman"/>
          <w:b/>
          <w:i/>
          <w:noProof/>
          <w:sz w:val="24"/>
        </w:rPr>
        <w:t>Маршрут през Централното Средиземноморие</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В заключенията на Европейския съвет от октомври</w:t>
      </w:r>
      <w:r>
        <w:rPr>
          <w:rStyle w:val="FootnoteReference"/>
          <w:rFonts w:ascii="Times New Roman" w:hAnsi="Times New Roman"/>
          <w:noProof/>
          <w:sz w:val="24"/>
        </w:rPr>
        <w:footnoteReference w:id="25"/>
      </w:r>
      <w:r>
        <w:rPr>
          <w:rFonts w:ascii="Times New Roman" w:hAnsi="Times New Roman"/>
          <w:noProof/>
          <w:sz w:val="24"/>
        </w:rPr>
        <w:t xml:space="preserve"> се подчертава общият интерес за справяне със ситуацията по маршрута през Централното Средиземноморие и се посочват редица приоритетни действия. Това включва ефективн</w:t>
      </w:r>
      <w:r>
        <w:rPr>
          <w:rFonts w:ascii="Times New Roman" w:hAnsi="Times New Roman"/>
          <w:noProof/>
          <w:sz w:val="24"/>
        </w:rPr>
        <w:t>и действия по връщане, презаселване и хуманни условия за мигрантите. Оперативният отговор на ЕС в Централното Средиземноморие за спасяване на човешки живот, борба с контрабандата и подкрепа на защитата, стабилизиране на общностите и изграждане на капацитет</w:t>
      </w:r>
      <w:r>
        <w:rPr>
          <w:rFonts w:ascii="Times New Roman" w:hAnsi="Times New Roman"/>
          <w:noProof/>
          <w:sz w:val="24"/>
        </w:rPr>
        <w:t xml:space="preserve"> бяха допълнително разширени в тясно сътрудничество с италианските органи</w:t>
      </w:r>
      <w:r>
        <w:rPr>
          <w:rStyle w:val="FootnoteReference"/>
          <w:rFonts w:ascii="Times New Roman" w:hAnsi="Times New Roman"/>
          <w:noProof/>
          <w:sz w:val="24"/>
        </w:rPr>
        <w:footnoteReference w:id="26"/>
      </w:r>
      <w:r>
        <w:rPr>
          <w:noProof/>
        </w:rPr>
        <w:t>.</w:t>
      </w:r>
      <w:r>
        <w:rPr>
          <w:rFonts w:ascii="Times New Roman" w:hAnsi="Times New Roman"/>
          <w:noProof/>
          <w:sz w:val="24"/>
        </w:rPr>
        <w:t xml:space="preserve"> В рамките на компонента за Северна Африка на Доверителния фонд на ЕС за Африка е поет ангажимент за цялата налична сума от 264,58 милиона евро, от които за 131,1 милиона евро са ск</w:t>
      </w:r>
      <w:r>
        <w:rPr>
          <w:rFonts w:ascii="Times New Roman" w:hAnsi="Times New Roman"/>
          <w:noProof/>
          <w:sz w:val="24"/>
        </w:rPr>
        <w:t>лючени договори, а 57 милиона евро са изплатени (за 11 програми).</w:t>
      </w:r>
    </w:p>
    <w:p w:rsidR="004C41E7" w:rsidRDefault="008B707F">
      <w:pPr>
        <w:spacing w:after="120" w:line="240" w:lineRule="auto"/>
        <w:jc w:val="both"/>
        <w:rPr>
          <w:rFonts w:ascii="Times New Roman" w:hAnsi="Times New Roman"/>
          <w:noProof/>
          <w:sz w:val="24"/>
          <w:szCs w:val="24"/>
        </w:rPr>
      </w:pPr>
      <w:r>
        <w:rPr>
          <w:rFonts w:ascii="Times New Roman" w:hAnsi="Times New Roman"/>
          <w:noProof/>
          <w:sz w:val="24"/>
        </w:rPr>
        <w:t xml:space="preserve">В </w:t>
      </w:r>
      <w:r>
        <w:rPr>
          <w:rFonts w:ascii="Times New Roman" w:hAnsi="Times New Roman"/>
          <w:b/>
          <w:i/>
          <w:noProof/>
          <w:sz w:val="24"/>
        </w:rPr>
        <w:t>Италия</w:t>
      </w:r>
      <w:r>
        <w:rPr>
          <w:rFonts w:ascii="Times New Roman" w:hAnsi="Times New Roman"/>
          <w:noProof/>
          <w:sz w:val="24"/>
        </w:rPr>
        <w:t xml:space="preserve"> Комисията работи върху нови начини за привеждане на подкрепата в съответствие с плана за действие от 4 юли</w:t>
      </w:r>
      <w:r>
        <w:rPr>
          <w:rStyle w:val="FootnoteReference"/>
          <w:rFonts w:ascii="Times New Roman" w:hAnsi="Times New Roman"/>
          <w:noProof/>
          <w:sz w:val="24"/>
        </w:rPr>
        <w:footnoteReference w:id="27"/>
      </w:r>
      <w:r>
        <w:rPr>
          <w:rFonts w:ascii="Times New Roman" w:hAnsi="Times New Roman"/>
          <w:noProof/>
          <w:sz w:val="24"/>
        </w:rPr>
        <w:t xml:space="preserve"> и с кореспонденцията между председателя г-н Юнкер и министър-председателя</w:t>
      </w:r>
      <w:r>
        <w:rPr>
          <w:rFonts w:ascii="Times New Roman" w:hAnsi="Times New Roman"/>
          <w:noProof/>
          <w:sz w:val="24"/>
        </w:rPr>
        <w:t xml:space="preserve"> Джентилони от август 2017 г. Като краткосрочно действие Комисията незабавно изрази готовност да мобилизира финансиране за спешно подпомагане в размер на 35 милиона евро по фонд „Вътрешна сигурност“ (секция „Граници“) в подкрепа на редица приоритетни дейст</w:t>
      </w:r>
      <w:r>
        <w:rPr>
          <w:rFonts w:ascii="Times New Roman" w:hAnsi="Times New Roman"/>
          <w:noProof/>
          <w:sz w:val="24"/>
        </w:rPr>
        <w:t>вия, набелязани от италианското Министерство на вътрешните работи и фокусирани върху горещите точки, с цел подобряване на ефективността на процедурите и посрещане на нуждите на пристигащите в страната</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При необходимост, като следваща стъпка Комисията е го</w:t>
      </w:r>
      <w:r>
        <w:rPr>
          <w:rFonts w:ascii="Times New Roman" w:hAnsi="Times New Roman"/>
          <w:noProof/>
          <w:sz w:val="24"/>
        </w:rPr>
        <w:t>това да мобилизира допълнителни до 100 милиона евро за спешно финансиране по фонд „Убежище, миграция и интеграция“. Това следва да помогне на Италия да постигне по-нататъшен напредък по вътрешните аспекти на плана за действие, включително ускоряване на про</w:t>
      </w:r>
      <w:r>
        <w:rPr>
          <w:rFonts w:ascii="Times New Roman" w:hAnsi="Times New Roman"/>
          <w:noProof/>
          <w:sz w:val="24"/>
        </w:rPr>
        <w:t xml:space="preserve">цедурите по предоставяне на убежище и връщане и значително нарастване на капацитета за задържане. </w:t>
      </w:r>
    </w:p>
    <w:p w:rsidR="004C41E7" w:rsidRDefault="008B707F">
      <w:pPr>
        <w:spacing w:line="240" w:lineRule="auto"/>
        <w:jc w:val="both"/>
        <w:rPr>
          <w:rFonts w:ascii="Times New Roman" w:hAnsi="Times New Roman"/>
          <w:noProof/>
          <w:sz w:val="24"/>
          <w:szCs w:val="24"/>
        </w:rPr>
      </w:pPr>
      <w:r>
        <w:rPr>
          <w:rFonts w:ascii="Times New Roman" w:hAnsi="Times New Roman"/>
          <w:noProof/>
          <w:sz w:val="24"/>
        </w:rPr>
        <w:t>На 30 септември 2017 г. в Месина беше открита пета гореща точка („Център за първа помощ, съдействие и идентификация“) с капацитет от 250 места, но цялостният</w:t>
      </w:r>
      <w:r>
        <w:rPr>
          <w:rFonts w:ascii="Times New Roman" w:hAnsi="Times New Roman"/>
          <w:noProof/>
          <w:sz w:val="24"/>
        </w:rPr>
        <w:t xml:space="preserve"> капацитет за приемане в горещите точки остава твърде ограничен</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Европейската служба за подкрепа в областта на убежището е представена в над 45 места във и извън горещите точки в Италия. Експертите предоставят информация и подкрепа при регистрирането на к</w:t>
      </w:r>
      <w:r>
        <w:rPr>
          <w:rFonts w:ascii="Times New Roman" w:hAnsi="Times New Roman"/>
          <w:noProof/>
          <w:sz w:val="24"/>
        </w:rPr>
        <w:t>андидати за международна закрила с оглед на процедурата по преместване. На 9 ноември Европейската служба за подкрепа в областта на убежището разположи в Италия 53 експерти от държавите членки, 55 културни медиатори и 18 служители на агенцията.</w:t>
      </w:r>
    </w:p>
    <w:p w:rsidR="004C41E7" w:rsidRDefault="008B707F">
      <w:pPr>
        <w:tabs>
          <w:tab w:val="left" w:pos="360"/>
        </w:tabs>
        <w:spacing w:line="240" w:lineRule="auto"/>
        <w:jc w:val="both"/>
        <w:rPr>
          <w:rFonts w:ascii="Times New Roman" w:hAnsi="Times New Roman" w:cs="Times New Roman"/>
          <w:noProof/>
          <w:sz w:val="24"/>
          <w:szCs w:val="24"/>
        </w:rPr>
      </w:pPr>
      <w:r>
        <w:rPr>
          <w:rFonts w:ascii="Times New Roman" w:hAnsi="Times New Roman"/>
          <w:noProof/>
          <w:sz w:val="24"/>
        </w:rPr>
        <w:t xml:space="preserve">Продължават </w:t>
      </w:r>
      <w:r>
        <w:rPr>
          <w:rFonts w:ascii="Times New Roman" w:hAnsi="Times New Roman"/>
          <w:noProof/>
          <w:sz w:val="24"/>
        </w:rPr>
        <w:t>морските операции за наблюдение. Към момента са разположени осем актива за операция „Тритон“ и пет военноморски отряда за операция „София“. В резултат от тези действия са задържани 119 заподозрени контрабандисти и трафиканти и са неутрализирани над 497 акт</w:t>
      </w:r>
      <w:r>
        <w:rPr>
          <w:rFonts w:ascii="Times New Roman" w:hAnsi="Times New Roman"/>
          <w:noProof/>
          <w:sz w:val="24"/>
        </w:rPr>
        <w:t xml:space="preserve">ива. </w:t>
      </w:r>
    </w:p>
    <w:p w:rsidR="004C41E7" w:rsidRDefault="008B707F">
      <w:pPr>
        <w:tabs>
          <w:tab w:val="left" w:pos="360"/>
        </w:tabs>
        <w:spacing w:line="240" w:lineRule="auto"/>
        <w:jc w:val="both"/>
        <w:rPr>
          <w:rFonts w:ascii="Times New Roman" w:hAnsi="Times New Roman" w:cs="Times New Roman"/>
          <w:noProof/>
          <w:sz w:val="24"/>
          <w:szCs w:val="24"/>
        </w:rPr>
      </w:pPr>
      <w:r>
        <w:rPr>
          <w:rFonts w:ascii="Times New Roman" w:hAnsi="Times New Roman"/>
          <w:noProof/>
          <w:sz w:val="24"/>
        </w:rPr>
        <w:t xml:space="preserve">Специалните усилия на ЕС за подкрепа на </w:t>
      </w:r>
      <w:r>
        <w:rPr>
          <w:rFonts w:ascii="Times New Roman" w:hAnsi="Times New Roman"/>
          <w:b/>
          <w:i/>
          <w:noProof/>
          <w:sz w:val="24"/>
        </w:rPr>
        <w:t>либийската брегова охрана</w:t>
      </w:r>
      <w:r>
        <w:rPr>
          <w:rFonts w:ascii="Times New Roman" w:hAnsi="Times New Roman"/>
          <w:noProof/>
          <w:sz w:val="24"/>
        </w:rPr>
        <w:t xml:space="preserve"> продължават. Провеждана по море и в центрове на държавите членки, операция „София“ вече приключи модул за първоначално обучение на общо 142 служители, включително 39 служители за екипа</w:t>
      </w:r>
      <w:r>
        <w:rPr>
          <w:rFonts w:ascii="Times New Roman" w:hAnsi="Times New Roman"/>
          <w:noProof/>
          <w:sz w:val="24"/>
        </w:rPr>
        <w:t>жи на патрулни катери, и осигури също така обучение за обучаващия персонал</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След подробна процедура за проверка наскоро 66 либийски служители започнаха своето обучение в Таранто. Очаква се през следващите седмици да се проведат допълнителни модули в Испан</w:t>
      </w:r>
      <w:r>
        <w:rPr>
          <w:rFonts w:ascii="Times New Roman" w:hAnsi="Times New Roman"/>
          <w:noProof/>
          <w:sz w:val="24"/>
        </w:rPr>
        <w:t>ия, Гърция и Италия. Основните актуални развития се отнасят до скорошното връщане на плавателни съдове на бреговата охрана и въвеждането на система за наблюдение. Целта на системата за наблюдение е да се оцени изграждането на капацитет и да се адаптират из</w:t>
      </w:r>
      <w:r>
        <w:rPr>
          <w:rFonts w:ascii="Times New Roman" w:hAnsi="Times New Roman"/>
          <w:noProof/>
          <w:sz w:val="24"/>
        </w:rPr>
        <w:t>искванията за обучение, да се предостави подкрепа на либийската страна, за да поеме контрол върху обезопасяването на териториалните води на Либия, както и да се подобри защитата и зачитането на човешките права. Първоначалният доклад относно дейностите по н</w:t>
      </w:r>
      <w:r>
        <w:rPr>
          <w:rFonts w:ascii="Times New Roman" w:hAnsi="Times New Roman"/>
          <w:noProof/>
          <w:sz w:val="24"/>
        </w:rPr>
        <w:t>аблюдение е предвиден за началото на 2018 г. Програма Seahorse скоро също приключи последното си обучение, фокусирано върху капацитета на либийската брегова охрана с оглед на по-дългосрочната работа за създаване на Средиземноморската мрежа Seahorse.</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Докато</w:t>
      </w:r>
      <w:r>
        <w:rPr>
          <w:rFonts w:ascii="Times New Roman" w:hAnsi="Times New Roman"/>
          <w:noProof/>
          <w:sz w:val="24"/>
        </w:rPr>
        <w:t xml:space="preserve"> инициативите по море продължават да дават важни резултати, върху действията по суша беше поставен специален акцент с цел да се подобрят често ужасните </w:t>
      </w:r>
      <w:r>
        <w:rPr>
          <w:rFonts w:ascii="Times New Roman" w:hAnsi="Times New Roman"/>
          <w:b/>
          <w:i/>
          <w:noProof/>
          <w:sz w:val="24"/>
        </w:rPr>
        <w:t>условия, пред които са изправени мигрантите</w:t>
      </w:r>
      <w:r>
        <w:rPr>
          <w:rFonts w:ascii="Times New Roman" w:hAnsi="Times New Roman"/>
          <w:noProof/>
          <w:sz w:val="24"/>
        </w:rPr>
        <w:t xml:space="preserve"> в Либия, и да се осигурят алтернативи за блокираните мигрант</w:t>
      </w:r>
      <w:r>
        <w:rPr>
          <w:rFonts w:ascii="Times New Roman" w:hAnsi="Times New Roman"/>
          <w:noProof/>
          <w:sz w:val="24"/>
        </w:rPr>
        <w:t xml:space="preserve">и и жертвите на трафик на хора. По линия на приетата през април програма в размер на 90 милиона евро в рамките на Доверителния фонд на ЕС започна осъществяването на специални действия за защита на мигрантите в Либия. Върховният комисар на ООН за бежанците </w:t>
      </w:r>
      <w:r>
        <w:rPr>
          <w:rFonts w:ascii="Times New Roman" w:hAnsi="Times New Roman"/>
          <w:noProof/>
          <w:sz w:val="24"/>
        </w:rPr>
        <w:t>и Международната организация по миграция работят за подобряване на подкрепата за мигрантите в центровете за задържане и по местата за слизане на сушата. На почти 4000 мигранти се предоставя медицинска помощ и основна подкрепа, а в допълнение се подобрява н</w:t>
      </w:r>
      <w:r>
        <w:rPr>
          <w:rFonts w:ascii="Times New Roman" w:hAnsi="Times New Roman"/>
          <w:noProof/>
          <w:sz w:val="24"/>
        </w:rPr>
        <w:t>аблюдението във връзка със статута на закрила в центровете за задържане. Върховният комисар на ООН за бежанците и Международната организация по миграция предоставиха също така подкрепа за над 2000 разселени либийски семейства. След сблъсъците между въоръже</w:t>
      </w:r>
      <w:r>
        <w:rPr>
          <w:rFonts w:ascii="Times New Roman" w:hAnsi="Times New Roman"/>
          <w:noProof/>
          <w:sz w:val="24"/>
        </w:rPr>
        <w:t>ни групировки в Сабрата на над 14 000 мигранти в центровете за задържане се предоставят медицинска помощ и съдействие. По този начин Доверителният фонд допринася пряко за неотложните нужди на мигрантите.</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Планирани са инфраструктурни строителни работи, с ко</w:t>
      </w:r>
      <w:r>
        <w:rPr>
          <w:rFonts w:ascii="Times New Roman" w:hAnsi="Times New Roman"/>
          <w:noProof/>
          <w:sz w:val="24"/>
        </w:rPr>
        <w:t>ето да се помогне за създаването на заетост за либийците и мигрантите, и е осигурена подкрепа за развиване на малък бизнес и за насърчаване на сигурността и стабилността на общностите. Специално внимание се обръща също така на децата, като се работи за въз</w:t>
      </w:r>
      <w:r>
        <w:rPr>
          <w:rFonts w:ascii="Times New Roman" w:hAnsi="Times New Roman"/>
          <w:noProof/>
          <w:sz w:val="24"/>
        </w:rPr>
        <w:t>становяване на училища, неформално образование за либийци и мигранти, обучение на учители и осигуряване на подкрепа за институциите за преходна грижа за непридружени и отделени от семействата си деца. Ще бъдат подпомагани или създавани подходящи за деца пр</w:t>
      </w:r>
      <w:r>
        <w:rPr>
          <w:rFonts w:ascii="Times New Roman" w:hAnsi="Times New Roman"/>
          <w:noProof/>
          <w:sz w:val="24"/>
        </w:rPr>
        <w:t>остранства, включително в съществуващите структури и обществени центрове. Програмата обхваща и по-широки икономически сектори, като се започне от инфраструктурни дейности с малък мащаб и изграждането на капацитет за местно управление. Трудната обстановка в</w:t>
      </w:r>
      <w:r>
        <w:rPr>
          <w:rFonts w:ascii="Times New Roman" w:hAnsi="Times New Roman"/>
          <w:noProof/>
          <w:sz w:val="24"/>
        </w:rPr>
        <w:t xml:space="preserve"> Либия продължава да е пречка за по-бързото предоставяне на подкрепа от ЕС, но Комисията работи активно със своите партньори на място, за да ограничи забавянията до минимум.</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 xml:space="preserve">Преди края на ноември </w:t>
      </w:r>
      <w:r>
        <w:rPr>
          <w:rFonts w:ascii="Times New Roman" w:hAnsi="Times New Roman"/>
          <w:b/>
          <w:i/>
          <w:noProof/>
          <w:sz w:val="24"/>
        </w:rPr>
        <w:t>Мисията на ЕС за съдействие в областта на граничния контрол</w:t>
      </w:r>
      <w:r>
        <w:rPr>
          <w:rFonts w:ascii="Times New Roman" w:hAnsi="Times New Roman"/>
          <w:noProof/>
          <w:sz w:val="24"/>
        </w:rPr>
        <w:t xml:space="preserve"> </w:t>
      </w:r>
      <w:r>
        <w:rPr>
          <w:rFonts w:ascii="Times New Roman" w:hAnsi="Times New Roman"/>
          <w:noProof/>
          <w:sz w:val="24"/>
        </w:rPr>
        <w:t>в Либия ще започне да действа в Триполи с малък състав. Това ще бъде последвано от поетапно увеличаване на персонала до пролетта на 2018 г., което ще позволи по-активна рутинна работа с либийските органи, които отговарят за управлението на границите, право</w:t>
      </w:r>
      <w:r>
        <w:rPr>
          <w:rFonts w:ascii="Times New Roman" w:hAnsi="Times New Roman"/>
          <w:noProof/>
          <w:sz w:val="24"/>
        </w:rPr>
        <w:t xml:space="preserve">прилагането и наказателното правосъдие, включително гражданската и бреговата полиция. Мисията участва също така в планирането на ръководена от Италия проучвателна мисия в Южна Либия тази есен, която включва органите на либийската гранична охрана на всички </w:t>
      </w:r>
      <w:r>
        <w:rPr>
          <w:rFonts w:ascii="Times New Roman" w:hAnsi="Times New Roman"/>
          <w:noProof/>
          <w:sz w:val="24"/>
        </w:rPr>
        <w:t>нива и е фокусирана върху управлението на границите и миграционните проблеми.</w:t>
      </w:r>
    </w:p>
    <w:p w:rsidR="004C41E7" w:rsidRDefault="008B707F">
      <w:p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В ход са нови действия по </w:t>
      </w:r>
      <w:r>
        <w:rPr>
          <w:rFonts w:ascii="Times New Roman" w:hAnsi="Times New Roman"/>
          <w:b/>
          <w:i/>
          <w:noProof/>
          <w:sz w:val="24"/>
        </w:rPr>
        <w:t>южната сухопътна граница.</w:t>
      </w:r>
      <w:r>
        <w:rPr>
          <w:rFonts w:ascii="Times New Roman" w:hAnsi="Times New Roman"/>
          <w:noProof/>
          <w:sz w:val="24"/>
        </w:rPr>
        <w:t xml:space="preserve"> През ноември ще бъдат подписани договори по приета през юли програма на стойност 46,3 милиона евро. Дейностите за борба с конт</w:t>
      </w:r>
      <w:r>
        <w:rPr>
          <w:rFonts w:ascii="Times New Roman" w:hAnsi="Times New Roman"/>
          <w:noProof/>
          <w:sz w:val="24"/>
        </w:rPr>
        <w:t>рабандата на хора са съпровождани от осигуряването на икономически алтернативи на контрабандата — това е ключова цел на компонента за стабилизиране на общностите в приетата през април програма на стойност 90 милиона евро</w:t>
      </w:r>
      <w:r>
        <w:rPr>
          <w:rStyle w:val="FootnoteReference"/>
          <w:rFonts w:ascii="Times New Roman" w:hAnsi="Times New Roman"/>
          <w:noProof/>
          <w:sz w:val="24"/>
        </w:rPr>
        <w:footnoteReference w:id="31"/>
      </w:r>
      <w:r>
        <w:rPr>
          <w:noProof/>
        </w:rPr>
        <w:t>.</w:t>
      </w:r>
      <w:r>
        <w:rPr>
          <w:rFonts w:ascii="Times New Roman" w:hAnsi="Times New Roman"/>
          <w:noProof/>
          <w:sz w:val="24"/>
        </w:rPr>
        <w:t xml:space="preserve"> </w:t>
      </w:r>
    </w:p>
    <w:p w:rsidR="004C41E7" w:rsidRDefault="008B707F">
      <w:pPr>
        <w:spacing w:line="240" w:lineRule="auto"/>
        <w:jc w:val="both"/>
        <w:rPr>
          <w:rFonts w:ascii="Times New Roman" w:hAnsi="Times New Roman" w:cs="Times New Roman"/>
          <w:b/>
          <w:noProof/>
          <w:sz w:val="24"/>
          <w:szCs w:val="24"/>
        </w:rPr>
      </w:pPr>
      <w:r>
        <w:rPr>
          <w:rFonts w:ascii="Times New Roman" w:hAnsi="Times New Roman"/>
          <w:noProof/>
          <w:sz w:val="24"/>
        </w:rPr>
        <w:t xml:space="preserve">ЕС продължава да работи активно с Международната организация по миграция чрез съвместната инициатива за закрила и реинтеграция на мигрантите. Тези програми включват подкрепа за </w:t>
      </w:r>
      <w:r>
        <w:rPr>
          <w:rFonts w:ascii="Times New Roman" w:hAnsi="Times New Roman"/>
          <w:b/>
          <w:i/>
          <w:noProof/>
          <w:sz w:val="24"/>
        </w:rPr>
        <w:t>подпомагането на доброволното връщане</w:t>
      </w:r>
      <w:r>
        <w:rPr>
          <w:rFonts w:ascii="Times New Roman" w:hAnsi="Times New Roman"/>
          <w:noProof/>
          <w:sz w:val="24"/>
        </w:rPr>
        <w:t xml:space="preserve"> и помощта за реинтеграция по маршрута пре</w:t>
      </w:r>
      <w:r>
        <w:rPr>
          <w:rFonts w:ascii="Times New Roman" w:hAnsi="Times New Roman"/>
          <w:noProof/>
          <w:sz w:val="24"/>
        </w:rPr>
        <w:t>з Централното Средиземноморие. До момента през 2017 г. беше оказана помощ на над 10 000 мигранти, блокирани в Либия, да се завърнат в своята държава на произход, по-специално Нигерия, Сенегал, Гвинея, Мали и Гамбия. Ако се добавят мигрантите, блокирани в Н</w:t>
      </w:r>
      <w:r>
        <w:rPr>
          <w:rFonts w:ascii="Times New Roman" w:hAnsi="Times New Roman"/>
          <w:noProof/>
          <w:sz w:val="24"/>
        </w:rPr>
        <w:t>игер, Мали и Мавритания, общият брой достига над 15 000 души. В допълнение, към момента се работи усилено със съседните държави на Либия за оказване на помощ на повече мигранти да се завърнат в родните си страни от Либия или на бежанци да бъдат презаселени</w:t>
      </w:r>
      <w:r>
        <w:rPr>
          <w:rFonts w:ascii="Times New Roman" w:hAnsi="Times New Roman"/>
          <w:noProof/>
          <w:sz w:val="24"/>
        </w:rPr>
        <w:t xml:space="preserve"> от международната общност със съдействието на Върховния комисар на ООН за бежанците. Благодарение на делегациите на ЕС в съответните държави на произход и транзит бяха осъществени контакти за засилване на консулската подкрепа, като по този начин бяха улес</w:t>
      </w:r>
      <w:r>
        <w:rPr>
          <w:rFonts w:ascii="Times New Roman" w:hAnsi="Times New Roman"/>
          <w:noProof/>
          <w:sz w:val="24"/>
        </w:rPr>
        <w:t>нени повече връщания.</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 xml:space="preserve">ЕС остава ангажиран с приобщаващ </w:t>
      </w:r>
      <w:r>
        <w:rPr>
          <w:rFonts w:ascii="Times New Roman" w:hAnsi="Times New Roman"/>
          <w:b/>
          <w:i/>
          <w:noProof/>
          <w:sz w:val="24"/>
        </w:rPr>
        <w:t>политически преход</w:t>
      </w:r>
      <w:r>
        <w:rPr>
          <w:rFonts w:ascii="Times New Roman" w:hAnsi="Times New Roman"/>
          <w:noProof/>
          <w:sz w:val="24"/>
        </w:rPr>
        <w:t xml:space="preserve"> в съответствие със заключенията на Съвета от юли 2017 г. </w:t>
      </w:r>
      <w:r>
        <w:rPr>
          <w:rStyle w:val="FootnoteReference"/>
          <w:rFonts w:ascii="Times New Roman" w:hAnsi="Times New Roman"/>
          <w:noProof/>
          <w:sz w:val="24"/>
        </w:rPr>
        <w:footnoteReference w:id="32"/>
      </w:r>
      <w:r>
        <w:rPr>
          <w:rFonts w:ascii="Times New Roman" w:hAnsi="Times New Roman"/>
          <w:noProof/>
          <w:sz w:val="24"/>
        </w:rPr>
        <w:t xml:space="preserve"> като предпоставка за постигането на стабилни и устойчиви резултати по отношение на управлението на миграционните движения в</w:t>
      </w:r>
      <w:r>
        <w:rPr>
          <w:rFonts w:ascii="Times New Roman" w:hAnsi="Times New Roman"/>
          <w:noProof/>
          <w:sz w:val="24"/>
        </w:rPr>
        <w:t xml:space="preserve">ъв и през Либия. Това ще подкрепи предприетите стъпки за установяването на трайно присъствие на ЕС, за което призова Европейският съвет и което е от съществено значение за даването на ефективен отговор. </w:t>
      </w:r>
    </w:p>
    <w:p w:rsidR="004C41E7" w:rsidRDefault="008B707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Броят на заминаващите мигранти от </w:t>
      </w:r>
      <w:r>
        <w:rPr>
          <w:rFonts w:ascii="Times New Roman" w:hAnsi="Times New Roman"/>
          <w:b/>
          <w:i/>
          <w:noProof/>
          <w:sz w:val="24"/>
        </w:rPr>
        <w:t>Египет</w:t>
      </w:r>
      <w:r>
        <w:rPr>
          <w:rFonts w:ascii="Times New Roman" w:hAnsi="Times New Roman"/>
          <w:noProof/>
          <w:sz w:val="24"/>
        </w:rPr>
        <w:t xml:space="preserve"> продължава </w:t>
      </w:r>
      <w:r>
        <w:rPr>
          <w:rFonts w:ascii="Times New Roman" w:hAnsi="Times New Roman"/>
          <w:noProof/>
          <w:sz w:val="24"/>
        </w:rPr>
        <w:t>да е много нисък. Наскоро беше подписано споразумение за финансиране на програма на стойност 60 милиона евро за премахване на икономическите причини за незаконната миграция, подобряване на пригодността за заетост и увеличаване на устойчивостта на засегнати</w:t>
      </w:r>
      <w:r>
        <w:rPr>
          <w:rFonts w:ascii="Times New Roman" w:hAnsi="Times New Roman"/>
          <w:noProof/>
          <w:sz w:val="24"/>
        </w:rPr>
        <w:t>те от миграцията общности. Очаква се диалогът в областта на миграцията с Египет да започне през декември.</w:t>
      </w:r>
    </w:p>
    <w:p w:rsidR="004C41E7" w:rsidRDefault="008B707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 </w:t>
      </w:r>
    </w:p>
    <w:p w:rsidR="004C41E7" w:rsidRDefault="008B707F">
      <w:pPr>
        <w:spacing w:line="240" w:lineRule="auto"/>
        <w:jc w:val="both"/>
        <w:rPr>
          <w:rFonts w:ascii="Times New Roman" w:hAnsi="Times New Roman" w:cs="Times New Roman"/>
          <w:b/>
          <w:i/>
          <w:noProof/>
          <w:sz w:val="24"/>
          <w:szCs w:val="24"/>
        </w:rPr>
      </w:pPr>
      <w:r>
        <w:rPr>
          <w:rFonts w:ascii="Times New Roman" w:hAnsi="Times New Roman"/>
          <w:noProof/>
          <w:sz w:val="24"/>
        </w:rPr>
        <w:t xml:space="preserve">Разработват се действия в сътрудничество с италианските органи в отговор на нарастващия брой на пристигащите от </w:t>
      </w:r>
      <w:r>
        <w:rPr>
          <w:rFonts w:ascii="Times New Roman" w:hAnsi="Times New Roman"/>
          <w:b/>
          <w:i/>
          <w:noProof/>
          <w:sz w:val="24"/>
        </w:rPr>
        <w:t>Тунис</w:t>
      </w:r>
      <w:r>
        <w:rPr>
          <w:rFonts w:ascii="Times New Roman" w:hAnsi="Times New Roman"/>
          <w:noProof/>
          <w:sz w:val="24"/>
        </w:rPr>
        <w:t>; целта им е както да се намали</w:t>
      </w:r>
      <w:r>
        <w:rPr>
          <w:rFonts w:ascii="Times New Roman" w:hAnsi="Times New Roman"/>
          <w:noProof/>
          <w:sz w:val="24"/>
        </w:rPr>
        <w:t xml:space="preserve"> броят на пристигащите, така и да се увеличи броят на връщанията. Контактите с </w:t>
      </w:r>
      <w:r>
        <w:rPr>
          <w:rFonts w:ascii="Times New Roman" w:hAnsi="Times New Roman"/>
          <w:b/>
          <w:i/>
          <w:noProof/>
          <w:sz w:val="24"/>
        </w:rPr>
        <w:t>Алжир</w:t>
      </w:r>
      <w:r>
        <w:rPr>
          <w:rFonts w:ascii="Times New Roman" w:hAnsi="Times New Roman"/>
          <w:noProof/>
          <w:sz w:val="24"/>
        </w:rPr>
        <w:t xml:space="preserve"> продължават, като ЕС предлага засилване на диалога и сътрудничеството както на двустранно, така и на регионално равнище.</w:t>
      </w:r>
      <w:r>
        <w:rPr>
          <w:rFonts w:ascii="Times New Roman" w:hAnsi="Times New Roman"/>
          <w:b/>
          <w:i/>
          <w:noProof/>
          <w:sz w:val="24"/>
        </w:rPr>
        <w:t xml:space="preserve">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Европейският съвет постави особен акцент върху по</w:t>
      </w:r>
      <w:r>
        <w:rPr>
          <w:rFonts w:ascii="Times New Roman" w:hAnsi="Times New Roman"/>
          <w:noProof/>
          <w:sz w:val="24"/>
        </w:rPr>
        <w:t xml:space="preserve">емането на ангажимент да се гарантира достатъчно и целево финансиране за </w:t>
      </w:r>
      <w:r>
        <w:rPr>
          <w:rFonts w:ascii="Times New Roman" w:hAnsi="Times New Roman"/>
          <w:b/>
          <w:i/>
          <w:noProof/>
          <w:sz w:val="24"/>
        </w:rPr>
        <w:t>компонента за Северна Африка</w:t>
      </w:r>
      <w:r>
        <w:rPr>
          <w:rFonts w:ascii="Times New Roman" w:hAnsi="Times New Roman"/>
          <w:noProof/>
          <w:sz w:val="24"/>
        </w:rPr>
        <w:t xml:space="preserve"> </w:t>
      </w:r>
      <w:r>
        <w:rPr>
          <w:rFonts w:ascii="Times New Roman" w:hAnsi="Times New Roman"/>
          <w:b/>
          <w:i/>
          <w:noProof/>
          <w:sz w:val="24"/>
        </w:rPr>
        <w:t>на Доверителния фонд на ЕС за Африка</w:t>
      </w:r>
      <w:r>
        <w:rPr>
          <w:rFonts w:ascii="Times New Roman" w:hAnsi="Times New Roman"/>
          <w:noProof/>
          <w:sz w:val="24"/>
        </w:rPr>
        <w:t xml:space="preserve">.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 xml:space="preserve">Беше идентифициран неотложен недостиг на средства, възлизащ на 110 милиона евро, по-специално за продължаването на </w:t>
      </w:r>
      <w:r>
        <w:rPr>
          <w:rFonts w:ascii="Times New Roman" w:hAnsi="Times New Roman"/>
          <w:noProof/>
          <w:sz w:val="24"/>
        </w:rPr>
        <w:t>програмата за смесена миграция, която се осъществява понастоящем. В рамките на разширената програма ще се работи заедно с Върховния комисар на ООН за бежанците и Международната организация по миграция за предприемането на ключови действия за подпомагане на</w:t>
      </w:r>
      <w:r>
        <w:rPr>
          <w:rFonts w:ascii="Times New Roman" w:hAnsi="Times New Roman"/>
          <w:noProof/>
          <w:sz w:val="24"/>
        </w:rPr>
        <w:t xml:space="preserve"> доброволното връщане и реинтеграцията, подобряване на условията за мигранти в центровете за задържане, стабилизиране на общностите и оказване на подкрепа на общините в различни области, като например създаването на нови възможности за заетост и подкрепа з</w:t>
      </w:r>
      <w:r>
        <w:rPr>
          <w:rFonts w:ascii="Times New Roman" w:hAnsi="Times New Roman"/>
          <w:noProof/>
          <w:sz w:val="24"/>
        </w:rPr>
        <w:t xml:space="preserve">а основни услуги. Като се има предвид изключителната важност на работата в Северна Африка за цялостната политика на ЕС, в хода на 2018 г. ще е необходимо да последват програми както в Либия, така и в други държави в Северна Африка. Без допълнителни вноски </w:t>
      </w:r>
      <w:r>
        <w:rPr>
          <w:rFonts w:ascii="Times New Roman" w:hAnsi="Times New Roman"/>
          <w:noProof/>
          <w:sz w:val="24"/>
        </w:rPr>
        <w:t xml:space="preserve">от държавите членки в Доверителния фонд няма как да се отговори на тези нужди. Европейският съвет ще направи оценка на напредъка по този ангажимент през декември 2017 г. </w:t>
      </w:r>
    </w:p>
    <w:p w:rsidR="004C41E7" w:rsidRDefault="008B707F">
      <w:pPr>
        <w:spacing w:line="240" w:lineRule="auto"/>
        <w:jc w:val="both"/>
        <w:rPr>
          <w:rFonts w:ascii="Times New Roman" w:hAnsi="Times New Roman" w:cs="Times New Roman"/>
          <w:b/>
          <w:i/>
          <w:noProof/>
          <w:sz w:val="24"/>
          <w:szCs w:val="24"/>
        </w:rPr>
      </w:pPr>
      <w:r>
        <w:rPr>
          <w:rFonts w:ascii="Times New Roman" w:hAnsi="Times New Roman"/>
          <w:b/>
          <w:i/>
          <w:noProof/>
          <w:sz w:val="24"/>
        </w:rPr>
        <w:t>Маршрут през Западното Средиземноморие</w:t>
      </w:r>
      <w:r>
        <w:rPr>
          <w:rStyle w:val="FootnoteReference"/>
          <w:rFonts w:ascii="Times New Roman" w:hAnsi="Times New Roman"/>
          <w:b/>
          <w:i/>
          <w:noProof/>
          <w:sz w:val="24"/>
        </w:rPr>
        <w:footnoteReference w:id="33"/>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В резултат от нарасналия брой на пристигащите</w:t>
      </w:r>
      <w:r>
        <w:rPr>
          <w:rFonts w:ascii="Times New Roman" w:hAnsi="Times New Roman"/>
          <w:noProof/>
          <w:sz w:val="24"/>
        </w:rPr>
        <w:t xml:space="preserve"> по този маршрут контактите с Мароко бяха активизирани. На специална среща на министрите на вътрешните работи на Г-6 през октомври</w:t>
      </w:r>
      <w:r>
        <w:rPr>
          <w:rStyle w:val="FootnoteReference"/>
          <w:rFonts w:ascii="Times New Roman" w:hAnsi="Times New Roman"/>
          <w:noProof/>
          <w:sz w:val="24"/>
        </w:rPr>
        <w:footnoteReference w:id="34"/>
      </w:r>
      <w:r>
        <w:rPr>
          <w:rFonts w:ascii="Times New Roman" w:hAnsi="Times New Roman"/>
          <w:noProof/>
          <w:sz w:val="24"/>
        </w:rPr>
        <w:t xml:space="preserve"> Комисията изрази своята готовност да предостави допълнително помощ за управлението на миграцията. </w:t>
      </w:r>
    </w:p>
    <w:tbl>
      <w:tblPr>
        <w:tblStyle w:val="TableGrid"/>
        <w:tblW w:w="0" w:type="auto"/>
        <w:tblLook w:val="04A0" w:firstRow="1" w:lastRow="0" w:firstColumn="1" w:lastColumn="0" w:noHBand="0" w:noVBand="1"/>
      </w:tblPr>
      <w:tblGrid>
        <w:gridCol w:w="9288"/>
      </w:tblGrid>
      <w:tr w:rsidR="004C41E7">
        <w:tc>
          <w:tcPr>
            <w:tcW w:w="9288" w:type="dxa"/>
          </w:tcPr>
          <w:p w:rsidR="004C41E7" w:rsidRDefault="008B707F">
            <w:pPr>
              <w:jc w:val="both"/>
              <w:rPr>
                <w:rFonts w:ascii="Times New Roman" w:hAnsi="Times New Roman" w:cs="Times New Roman"/>
                <w:b/>
                <w:i/>
                <w:noProof/>
                <w:sz w:val="24"/>
                <w:szCs w:val="24"/>
              </w:rPr>
            </w:pPr>
            <w:r>
              <w:rPr>
                <w:rFonts w:ascii="Times New Roman" w:hAnsi="Times New Roman"/>
                <w:b/>
                <w:i/>
                <w:noProof/>
                <w:sz w:val="24"/>
              </w:rPr>
              <w:t>Основни бъдещи действия</w:t>
            </w:r>
          </w:p>
          <w:p w:rsidR="004C41E7" w:rsidRDefault="004C41E7">
            <w:pPr>
              <w:pStyle w:val="ListParagraph"/>
              <w:jc w:val="both"/>
              <w:rPr>
                <w:rFonts w:ascii="Times New Roman" w:hAnsi="Times New Roman" w:cs="Times New Roman"/>
                <w:noProof/>
                <w:sz w:val="24"/>
                <w:szCs w:val="24"/>
              </w:rPr>
            </w:pPr>
          </w:p>
          <w:p w:rsidR="004C41E7" w:rsidRDefault="008B707F">
            <w:pPr>
              <w:pStyle w:val="ListParagraph"/>
              <w:numPr>
                <w:ilvl w:val="0"/>
                <w:numId w:val="27"/>
              </w:numPr>
              <w:ind w:left="426"/>
              <w:jc w:val="both"/>
              <w:rPr>
                <w:rFonts w:ascii="Times New Roman" w:hAnsi="Times New Roman" w:cs="Times New Roman"/>
                <w:noProof/>
                <w:sz w:val="24"/>
                <w:szCs w:val="24"/>
              </w:rPr>
            </w:pPr>
            <w:r>
              <w:rPr>
                <w:rFonts w:ascii="Times New Roman" w:hAnsi="Times New Roman"/>
                <w:noProof/>
                <w:sz w:val="24"/>
              </w:rPr>
              <w:t>Увеличаване на вноските от страна на държавите членки към компонента за Северна Африка на Доверителния фонд в отговор на неотложната нужда от допълнителни средства за Либия в размер на 110 милиона евро. Разработване на допълнителни основни програми за 2018</w:t>
            </w:r>
            <w:r>
              <w:rPr>
                <w:rFonts w:ascii="Times New Roman" w:hAnsi="Times New Roman"/>
                <w:noProof/>
                <w:sz w:val="24"/>
              </w:rPr>
              <w:t> г.</w:t>
            </w:r>
          </w:p>
          <w:p w:rsidR="004C41E7" w:rsidRDefault="008B707F">
            <w:pPr>
              <w:pStyle w:val="ListParagraph"/>
              <w:numPr>
                <w:ilvl w:val="0"/>
                <w:numId w:val="27"/>
              </w:numPr>
              <w:ind w:left="426"/>
              <w:jc w:val="both"/>
              <w:rPr>
                <w:rFonts w:ascii="Times New Roman" w:hAnsi="Times New Roman" w:cs="Times New Roman"/>
                <w:noProof/>
                <w:sz w:val="24"/>
                <w:szCs w:val="24"/>
              </w:rPr>
            </w:pPr>
            <w:r>
              <w:rPr>
                <w:rFonts w:ascii="Times New Roman" w:hAnsi="Times New Roman"/>
                <w:noProof/>
                <w:sz w:val="24"/>
              </w:rPr>
              <w:t xml:space="preserve">Установяване на трайно присъствие на ЕС в Либия възможно най-скоро след като условията на сигурност позволят това; </w:t>
            </w:r>
          </w:p>
          <w:p w:rsidR="004C41E7" w:rsidRDefault="008B707F">
            <w:pPr>
              <w:pStyle w:val="ListParagraph"/>
              <w:numPr>
                <w:ilvl w:val="0"/>
                <w:numId w:val="27"/>
              </w:numPr>
              <w:ind w:left="426"/>
              <w:jc w:val="both"/>
              <w:rPr>
                <w:rFonts w:ascii="Times New Roman" w:hAnsi="Times New Roman" w:cs="Times New Roman"/>
                <w:noProof/>
                <w:sz w:val="24"/>
                <w:szCs w:val="24"/>
              </w:rPr>
            </w:pPr>
            <w:r>
              <w:rPr>
                <w:rFonts w:ascii="Times New Roman" w:hAnsi="Times New Roman"/>
                <w:noProof/>
                <w:sz w:val="24"/>
              </w:rPr>
              <w:t>По-нататъшна работа с африканските държави на произход и транзит като част от рамката за партньорство, включително по южната либийска гр</w:t>
            </w:r>
            <w:r>
              <w:rPr>
                <w:rFonts w:ascii="Times New Roman" w:hAnsi="Times New Roman"/>
                <w:noProof/>
                <w:sz w:val="24"/>
              </w:rPr>
              <w:t>аница, активизиране на работата със съседните на Либия държави за увеличаване на броя на връщанията и презаселванията;</w:t>
            </w:r>
          </w:p>
          <w:p w:rsidR="004C41E7" w:rsidRDefault="008B707F">
            <w:pPr>
              <w:pStyle w:val="ListParagraph"/>
              <w:numPr>
                <w:ilvl w:val="0"/>
                <w:numId w:val="27"/>
              </w:numPr>
              <w:ind w:left="426"/>
              <w:jc w:val="both"/>
              <w:rPr>
                <w:rFonts w:ascii="Times New Roman" w:hAnsi="Times New Roman" w:cs="Times New Roman"/>
                <w:noProof/>
                <w:sz w:val="24"/>
                <w:szCs w:val="24"/>
              </w:rPr>
            </w:pPr>
            <w:r>
              <w:rPr>
                <w:rFonts w:ascii="Times New Roman" w:hAnsi="Times New Roman"/>
                <w:noProof/>
                <w:sz w:val="24"/>
              </w:rPr>
              <w:t>Наблюдение на миграционните потоци от Тунис и оценка на необходимостта от възможни действия и подкрепа;</w:t>
            </w:r>
          </w:p>
          <w:p w:rsidR="004C41E7" w:rsidRDefault="008B707F">
            <w:pPr>
              <w:pStyle w:val="ListParagraph"/>
              <w:numPr>
                <w:ilvl w:val="0"/>
                <w:numId w:val="27"/>
              </w:numPr>
              <w:ind w:left="426"/>
              <w:jc w:val="both"/>
              <w:rPr>
                <w:rFonts w:ascii="Times New Roman" w:hAnsi="Times New Roman" w:cs="Times New Roman"/>
                <w:noProof/>
                <w:sz w:val="24"/>
                <w:szCs w:val="24"/>
              </w:rPr>
            </w:pPr>
            <w:r>
              <w:rPr>
                <w:rFonts w:ascii="Times New Roman" w:hAnsi="Times New Roman"/>
                <w:noProof/>
                <w:sz w:val="24"/>
              </w:rPr>
              <w:t>Наблюдение на развитията по маршр</w:t>
            </w:r>
            <w:r>
              <w:rPr>
                <w:rFonts w:ascii="Times New Roman" w:hAnsi="Times New Roman"/>
                <w:noProof/>
                <w:sz w:val="24"/>
              </w:rPr>
              <w:t xml:space="preserve">ута през Западното Средиземноморие и подготовка на евентуална подкрепа. </w:t>
            </w:r>
          </w:p>
          <w:p w:rsidR="004C41E7" w:rsidRDefault="004C41E7">
            <w:pPr>
              <w:ind w:left="360"/>
              <w:rPr>
                <w:noProof/>
              </w:rPr>
            </w:pPr>
          </w:p>
        </w:tc>
      </w:tr>
    </w:tbl>
    <w:p w:rsidR="004C41E7" w:rsidRDefault="004C41E7">
      <w:pPr>
        <w:spacing w:line="240" w:lineRule="auto"/>
        <w:jc w:val="both"/>
        <w:rPr>
          <w:rFonts w:ascii="Times New Roman" w:hAnsi="Times New Roman" w:cs="Times New Roman"/>
          <w:noProof/>
          <w:sz w:val="24"/>
          <w:szCs w:val="24"/>
        </w:rPr>
      </w:pPr>
    </w:p>
    <w:p w:rsidR="004C41E7" w:rsidRDefault="008B707F">
      <w:pPr>
        <w:spacing w:line="240" w:lineRule="auto"/>
        <w:ind w:left="426" w:hanging="426"/>
        <w:jc w:val="both"/>
        <w:rPr>
          <w:rFonts w:ascii="Times New Roman" w:hAnsi="Times New Roman" w:cs="Times New Roman"/>
          <w:b/>
          <w:noProof/>
          <w:sz w:val="24"/>
          <w:szCs w:val="24"/>
        </w:rPr>
      </w:pPr>
      <w:r>
        <w:rPr>
          <w:rFonts w:ascii="Times New Roman" w:hAnsi="Times New Roman"/>
          <w:b/>
          <w:noProof/>
          <w:sz w:val="24"/>
        </w:rPr>
        <w:t xml:space="preserve">4. </w:t>
      </w:r>
      <w:r>
        <w:rPr>
          <w:noProof/>
        </w:rPr>
        <w:tab/>
      </w:r>
      <w:r>
        <w:rPr>
          <w:rFonts w:ascii="Times New Roman" w:hAnsi="Times New Roman"/>
          <w:b/>
          <w:noProof/>
          <w:sz w:val="24"/>
        </w:rPr>
        <w:t>ДЕЙСТВИЯ СРЕЩУ КОНТРАБАНДАТА НА МИГРАНТИ</w:t>
      </w:r>
    </w:p>
    <w:p w:rsidR="004C41E7" w:rsidRDefault="008B707F">
      <w:pPr>
        <w:spacing w:line="240" w:lineRule="auto"/>
        <w:jc w:val="both"/>
        <w:rPr>
          <w:rFonts w:ascii="Times New Roman" w:hAnsi="Times New Roman" w:cs="Times New Roman"/>
          <w:noProof/>
          <w:sz w:val="24"/>
          <w:szCs w:val="24"/>
          <w:highlight w:val="yellow"/>
        </w:rPr>
      </w:pPr>
      <w:r>
        <w:rPr>
          <w:rFonts w:ascii="Times New Roman" w:hAnsi="Times New Roman"/>
          <w:noProof/>
          <w:sz w:val="24"/>
        </w:rPr>
        <w:t xml:space="preserve">Положени са значителни усилия за разрушаване на бизнес модела на контрабандистите по всички основни маршрути за миграция към Европа. </w:t>
      </w:r>
      <w:r>
        <w:rPr>
          <w:rFonts w:ascii="Times New Roman" w:hAnsi="Times New Roman"/>
          <w:noProof/>
          <w:sz w:val="24"/>
        </w:rPr>
        <w:t xml:space="preserve">Подкрепяната от Европол служба за съвместни операции във Виена даде възможност на държавите членки да проведат редица действия в Западните Балкани, което от началото на работата доведе до задържането на 185 души. През октомври Европейският център за борба </w:t>
      </w:r>
      <w:r>
        <w:rPr>
          <w:rFonts w:ascii="Times New Roman" w:hAnsi="Times New Roman"/>
          <w:noProof/>
          <w:sz w:val="24"/>
        </w:rPr>
        <w:t>с контрабандата на мигранти към Европол координира провеждането на ден за съвместни действия с държавите членки и съседните им държави в Западните Балкани. Това доведе до разкриването на над 760 незаконни мигранти и задържането на 24 души, заподозрени в ко</w:t>
      </w:r>
      <w:r>
        <w:rPr>
          <w:rFonts w:ascii="Times New Roman" w:hAnsi="Times New Roman"/>
          <w:noProof/>
          <w:sz w:val="24"/>
        </w:rPr>
        <w:t>нтрабанда.</w:t>
      </w:r>
    </w:p>
    <w:p w:rsidR="004C41E7" w:rsidRDefault="008B707F">
      <w:pPr>
        <w:tabs>
          <w:tab w:val="left" w:pos="360"/>
        </w:tabs>
        <w:spacing w:after="120" w:line="240" w:lineRule="auto"/>
        <w:jc w:val="both"/>
        <w:rPr>
          <w:rFonts w:ascii="Times New Roman" w:hAnsi="Times New Roman" w:cs="Times New Roman"/>
          <w:noProof/>
          <w:sz w:val="24"/>
          <w:szCs w:val="24"/>
        </w:rPr>
      </w:pPr>
      <w:r>
        <w:rPr>
          <w:rFonts w:ascii="Times New Roman" w:hAnsi="Times New Roman"/>
          <w:noProof/>
          <w:sz w:val="24"/>
        </w:rPr>
        <w:t>Борбата с контрабандата е основна част от подхода на рамката за партньорство. Подкрепата на ЕС за силния ангажимент на правителството на Нигер доведе до намаляване на броя на незаконните мигранти, които преминават през Агаде, от средно по 340 ду</w:t>
      </w:r>
      <w:r>
        <w:rPr>
          <w:rFonts w:ascii="Times New Roman" w:hAnsi="Times New Roman"/>
          <w:noProof/>
          <w:sz w:val="24"/>
        </w:rPr>
        <w:t>ши дневно през 2016 г. на 40—50 през 2017 г. В момента се провежда пилотен проект на Доверителния фонд на ЕС за Африка, насочен към укрепване на оперативния капацитет и капацитета за разследване на полицията на Нигер (съвместен екип за разследване). През п</w:t>
      </w:r>
      <w:r>
        <w:rPr>
          <w:rFonts w:ascii="Times New Roman" w:hAnsi="Times New Roman"/>
          <w:noProof/>
          <w:sz w:val="24"/>
        </w:rPr>
        <w:t>ървата половина на 2017 г. 101 лица бяха задържани и срещу тях започна съдебно производство; 66 превозни средства и 8 мотоциклета бяха иззети и запечатани (други 79 лица бяха задържани за престъпления, свързани с трафика на хора). Моделът ще бъде разширен,</w:t>
      </w:r>
      <w:r>
        <w:rPr>
          <w:rFonts w:ascii="Times New Roman" w:hAnsi="Times New Roman"/>
          <w:noProof/>
          <w:sz w:val="24"/>
        </w:rPr>
        <w:t xml:space="preserve"> за да обхване и други държави, както призова Европейският съвет през октомври 2017 г. Паралелно с това, като алтернативен на контрабандата източник на доходи, ЕС предоставя подпомагане на доходите на местните общности в северен Нигер </w:t>
      </w:r>
      <w:r>
        <w:rPr>
          <w:rStyle w:val="FootnoteReference"/>
          <w:rFonts w:ascii="Times New Roman" w:hAnsi="Times New Roman"/>
          <w:noProof/>
          <w:sz w:val="24"/>
        </w:rPr>
        <w:footnoteReference w:id="35"/>
      </w:r>
      <w:r>
        <w:rPr>
          <w:noProof/>
        </w:rPr>
        <w:t>.</w:t>
      </w:r>
      <w:r>
        <w:rPr>
          <w:rFonts w:ascii="Times New Roman" w:hAnsi="Times New Roman"/>
          <w:noProof/>
          <w:sz w:val="24"/>
        </w:rPr>
        <w:t xml:space="preserve"> </w:t>
      </w:r>
    </w:p>
    <w:p w:rsidR="004C41E7" w:rsidRDefault="008B707F">
      <w:pPr>
        <w:tabs>
          <w:tab w:val="left" w:pos="360"/>
        </w:tabs>
        <w:spacing w:after="120" w:line="240" w:lineRule="auto"/>
        <w:jc w:val="both"/>
        <w:rPr>
          <w:rFonts w:ascii="Times New Roman" w:hAnsi="Times New Roman" w:cs="Times New Roman"/>
          <w:noProof/>
          <w:sz w:val="24"/>
          <w:szCs w:val="24"/>
        </w:rPr>
      </w:pPr>
      <w:r>
        <w:rPr>
          <w:rFonts w:ascii="Times New Roman" w:hAnsi="Times New Roman"/>
          <w:noProof/>
          <w:sz w:val="24"/>
        </w:rPr>
        <w:t>ЕС ще е домакин н</w:t>
      </w:r>
      <w:r>
        <w:rPr>
          <w:rFonts w:ascii="Times New Roman" w:hAnsi="Times New Roman"/>
          <w:noProof/>
          <w:sz w:val="24"/>
        </w:rPr>
        <w:t>а международна конференция на високо равнище в Брюксел относно сигурността и развитията в Сахел. Целта на конференцията е да насочи вниманието към стабилността и стабилизирането на периферните, трансгранични и уязвими зони на Сахел. След оказаната подкрепа</w:t>
      </w:r>
      <w:r>
        <w:rPr>
          <w:rFonts w:ascii="Times New Roman" w:hAnsi="Times New Roman"/>
          <w:noProof/>
          <w:sz w:val="24"/>
        </w:rPr>
        <w:t xml:space="preserve"> от страна на ЕС на обединените сили на Г—5 от Сахел (50 милиона евро по Механизма за подкрепа на мира в Африка )</w:t>
      </w:r>
      <w:r>
        <w:rPr>
          <w:rStyle w:val="FootnoteReference"/>
          <w:rFonts w:ascii="Times New Roman" w:hAnsi="Times New Roman"/>
          <w:noProof/>
          <w:sz w:val="24"/>
        </w:rPr>
        <w:footnoteReference w:id="36"/>
      </w:r>
      <w:r>
        <w:rPr>
          <w:rFonts w:ascii="Times New Roman" w:hAnsi="Times New Roman"/>
          <w:noProof/>
          <w:sz w:val="24"/>
        </w:rPr>
        <w:t>, ЕС ще помогне за мобилизирането на международна подкрепа за обединените сили в подкрепа на борбата с тероризма, наркотиците, контрабандата н</w:t>
      </w:r>
      <w:r>
        <w:rPr>
          <w:rFonts w:ascii="Times New Roman" w:hAnsi="Times New Roman"/>
          <w:noProof/>
          <w:sz w:val="24"/>
        </w:rPr>
        <w:t>а мигранти и трафика на хора. В допълнение, ЕС разширява своите дейности по обучение и консултации за подобряване на капацитета на местните сили за сигурност</w:t>
      </w:r>
      <w:r>
        <w:rPr>
          <w:rStyle w:val="FootnoteReference"/>
          <w:rFonts w:ascii="Times New Roman" w:hAnsi="Times New Roman"/>
          <w:noProof/>
          <w:sz w:val="24"/>
        </w:rPr>
        <w:footnoteReference w:id="37"/>
      </w:r>
      <w:r>
        <w:rPr>
          <w:noProof/>
        </w:rPr>
        <w:t>.</w:t>
      </w:r>
      <w:r>
        <w:rPr>
          <w:rFonts w:ascii="Times New Roman" w:hAnsi="Times New Roman"/>
          <w:noProof/>
          <w:sz w:val="24"/>
        </w:rPr>
        <w:t xml:space="preserve"> Гражданската мисия EUCAP Sahel Niger в рамките на общата политика за сигурност и отбрана осъщест</w:t>
      </w:r>
      <w:r>
        <w:rPr>
          <w:rFonts w:ascii="Times New Roman" w:hAnsi="Times New Roman"/>
          <w:noProof/>
          <w:sz w:val="24"/>
        </w:rPr>
        <w:t>вява все повече посещенияна място в различните региони, за да изпълнява проекти, да предоставя обучение, да набелязва допълнителни нужди на правоприлагащите органи и да допринася за картографирането на незаконните миграционни потоци. През септември 2017 г.</w:t>
      </w:r>
      <w:r>
        <w:rPr>
          <w:rFonts w:ascii="Times New Roman" w:hAnsi="Times New Roman"/>
          <w:noProof/>
          <w:sz w:val="24"/>
        </w:rPr>
        <w:t xml:space="preserve"> тя осъществи второ посещение в Мадама, важен център за трафика на хора. Мисията ще бъде допълнително укрепена, като дейността ще се съсредоточи в по-голяма степен върху оказването на подкрепа за борбата с контрабандата на мигранти и трафика на хора, нарко</w:t>
      </w:r>
      <w:r>
        <w:rPr>
          <w:rFonts w:ascii="Times New Roman" w:hAnsi="Times New Roman"/>
          <w:noProof/>
          <w:sz w:val="24"/>
        </w:rPr>
        <w:t>тици и оръжия, и подкрепа за силите за сигурност и отбрана на Нигер, както и по-нататъшно развитие на децентрализирани дейности в цялата страна.</w:t>
      </w:r>
    </w:p>
    <w:p w:rsidR="004C41E7" w:rsidRDefault="008B707F">
      <w:pPr>
        <w:tabs>
          <w:tab w:val="left" w:pos="360"/>
        </w:tabs>
        <w:spacing w:after="120" w:line="240" w:lineRule="auto"/>
        <w:jc w:val="both"/>
        <w:rPr>
          <w:rFonts w:ascii="Times New Roman" w:hAnsi="Times New Roman" w:cs="Times New Roman"/>
          <w:noProof/>
          <w:sz w:val="24"/>
          <w:szCs w:val="24"/>
        </w:rPr>
      </w:pPr>
      <w:r>
        <w:rPr>
          <w:rFonts w:ascii="Times New Roman" w:hAnsi="Times New Roman"/>
          <w:noProof/>
          <w:sz w:val="24"/>
        </w:rPr>
        <w:t>Сътрудничеството е от съществено значение за борбата с контрабандата и справянето с трафика на хора. През септе</w:t>
      </w:r>
      <w:r>
        <w:rPr>
          <w:rFonts w:ascii="Times New Roman" w:hAnsi="Times New Roman"/>
          <w:noProof/>
          <w:sz w:val="24"/>
        </w:rPr>
        <w:t>мври в рамките на Европол беше създадено звено за централизиране на информацията относно контрабанда на мигранти. В него вече участват операция „София“ и пет държави членки (командировани национални експерти от Германия, Гърция, Обединеното кралство, Испан</w:t>
      </w:r>
      <w:r>
        <w:rPr>
          <w:rFonts w:ascii="Times New Roman" w:hAnsi="Times New Roman"/>
          <w:noProof/>
          <w:sz w:val="24"/>
        </w:rPr>
        <w:t>ия и Италия), като се очаква да получи подкрепа от други страни</w:t>
      </w:r>
      <w:r>
        <w:rPr>
          <w:rStyle w:val="FootnoteReference"/>
          <w:rFonts w:ascii="Times New Roman" w:hAnsi="Times New Roman"/>
          <w:noProof/>
          <w:sz w:val="24"/>
        </w:rPr>
        <w:footnoteReference w:id="38"/>
      </w:r>
      <w:r>
        <w:rPr>
          <w:noProof/>
        </w:rPr>
        <w:t>.</w:t>
      </w:r>
      <w:r>
        <w:rPr>
          <w:rFonts w:ascii="Times New Roman" w:hAnsi="Times New Roman"/>
          <w:noProof/>
          <w:sz w:val="24"/>
        </w:rPr>
        <w:t xml:space="preserve"> Европейската агенция за гранична и брегова охрана и Интерпол се стремят до края на ноември да установят връзка помежду си чрез служители за връзка. Полагат се специални усилия за съдействие </w:t>
      </w:r>
      <w:r>
        <w:rPr>
          <w:rFonts w:ascii="Times New Roman" w:hAnsi="Times New Roman"/>
          <w:noProof/>
          <w:sz w:val="24"/>
        </w:rPr>
        <w:t>на консулските служители на държавите от ЕС за справяне с контрабандата чрез измами с визи</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В Нигерия и Пакистан започна използването на платформите за сътрудничество на ЕС относно контрабандата на мигранти с цел по-ефективно насочване на интервенциите в </w:t>
      </w:r>
      <w:r>
        <w:rPr>
          <w:rFonts w:ascii="Times New Roman" w:hAnsi="Times New Roman"/>
          <w:noProof/>
          <w:sz w:val="24"/>
        </w:rPr>
        <w:t>места от първостепенна важност</w:t>
      </w:r>
      <w:r>
        <w:rPr>
          <w:rStyle w:val="FootnoteReference"/>
          <w:rFonts w:ascii="Times New Roman" w:hAnsi="Times New Roman"/>
          <w:noProof/>
          <w:sz w:val="24"/>
        </w:rPr>
        <w:footnoteReference w:id="40"/>
      </w:r>
      <w:r>
        <w:rPr>
          <w:noProof/>
        </w:rPr>
        <w:t>.</w:t>
      </w:r>
      <w:r>
        <w:rPr>
          <w:rFonts w:ascii="Times New Roman" w:hAnsi="Times New Roman"/>
          <w:noProof/>
          <w:sz w:val="24"/>
        </w:rPr>
        <w:t xml:space="preserve"> Разширяването на този подход, за да включи и други места, ще бъде обхванато от оперативен план за действие за борба с подпомагането на незаконната имиграция, който до края на ноември предстои да бъде приет от държавите член</w:t>
      </w:r>
      <w:r>
        <w:rPr>
          <w:rFonts w:ascii="Times New Roman" w:hAnsi="Times New Roman"/>
          <w:noProof/>
          <w:sz w:val="24"/>
        </w:rPr>
        <w:t>ки в рамките на цикъла на политиката в областта на организираната престъпност.</w:t>
      </w:r>
    </w:p>
    <w:tbl>
      <w:tblPr>
        <w:tblStyle w:val="TableGrid"/>
        <w:tblW w:w="0" w:type="auto"/>
        <w:tblLook w:val="04A0" w:firstRow="1" w:lastRow="0" w:firstColumn="1" w:lastColumn="0" w:noHBand="0" w:noVBand="1"/>
      </w:tblPr>
      <w:tblGrid>
        <w:gridCol w:w="9288"/>
      </w:tblGrid>
      <w:tr w:rsidR="004C41E7">
        <w:tc>
          <w:tcPr>
            <w:tcW w:w="9288" w:type="dxa"/>
          </w:tcPr>
          <w:p w:rsidR="004C41E7" w:rsidRDefault="008B707F">
            <w:pPr>
              <w:jc w:val="both"/>
              <w:rPr>
                <w:rFonts w:ascii="Times New Roman" w:hAnsi="Times New Roman" w:cs="Times New Roman"/>
                <w:b/>
                <w:i/>
                <w:noProof/>
                <w:sz w:val="24"/>
                <w:szCs w:val="24"/>
              </w:rPr>
            </w:pPr>
            <w:r>
              <w:rPr>
                <w:rFonts w:ascii="Times New Roman" w:hAnsi="Times New Roman"/>
                <w:b/>
                <w:i/>
                <w:noProof/>
                <w:sz w:val="24"/>
              </w:rPr>
              <w:t>Основни бъдещи действия</w:t>
            </w:r>
          </w:p>
          <w:p w:rsidR="004C41E7" w:rsidRDefault="004C41E7">
            <w:pPr>
              <w:jc w:val="both"/>
              <w:rPr>
                <w:rFonts w:ascii="Times New Roman" w:hAnsi="Times New Roman" w:cs="Times New Roman"/>
                <w:noProof/>
                <w:sz w:val="24"/>
                <w:szCs w:val="24"/>
              </w:rPr>
            </w:pPr>
          </w:p>
          <w:p w:rsidR="004C41E7" w:rsidRDefault="008B707F">
            <w:pPr>
              <w:pStyle w:val="ListParagraph"/>
              <w:numPr>
                <w:ilvl w:val="0"/>
                <w:numId w:val="20"/>
              </w:numPr>
              <w:ind w:left="426"/>
              <w:jc w:val="both"/>
              <w:rPr>
                <w:rFonts w:ascii="Times New Roman" w:hAnsi="Times New Roman" w:cs="Times New Roman"/>
                <w:noProof/>
                <w:sz w:val="24"/>
                <w:szCs w:val="24"/>
              </w:rPr>
            </w:pPr>
            <w:r>
              <w:rPr>
                <w:rFonts w:ascii="Times New Roman" w:hAnsi="Times New Roman"/>
                <w:noProof/>
                <w:sz w:val="24"/>
              </w:rPr>
              <w:t>По-добър обмен на информация в рамките на ЕС между държавите членки, агенциите на ЕС, мисиите и операциите на ОПСО и разширяване на оперативните екипи з</w:t>
            </w:r>
            <w:r>
              <w:rPr>
                <w:rFonts w:ascii="Times New Roman" w:hAnsi="Times New Roman"/>
                <w:noProof/>
                <w:sz w:val="24"/>
              </w:rPr>
              <w:t>а съвместно разследване, за да включат ключови партньори от Западна Африка;</w:t>
            </w:r>
          </w:p>
          <w:p w:rsidR="004C41E7" w:rsidRDefault="008B707F">
            <w:pPr>
              <w:pStyle w:val="ListParagraph"/>
              <w:numPr>
                <w:ilvl w:val="0"/>
                <w:numId w:val="20"/>
              </w:numPr>
              <w:ind w:left="426"/>
              <w:jc w:val="both"/>
              <w:rPr>
                <w:rFonts w:ascii="Times New Roman" w:hAnsi="Times New Roman" w:cs="Times New Roman"/>
                <w:noProof/>
                <w:sz w:val="24"/>
                <w:szCs w:val="24"/>
              </w:rPr>
            </w:pPr>
            <w:r>
              <w:rPr>
                <w:rFonts w:ascii="Times New Roman" w:hAnsi="Times New Roman"/>
                <w:noProof/>
                <w:sz w:val="24"/>
              </w:rPr>
              <w:t>Подпомагане на разполагането на обединените сили на Г-5 на Сахел.</w:t>
            </w:r>
          </w:p>
          <w:p w:rsidR="004C41E7" w:rsidRDefault="004C41E7">
            <w:pPr>
              <w:jc w:val="both"/>
              <w:rPr>
                <w:rFonts w:ascii="Times New Roman" w:hAnsi="Times New Roman" w:cs="Times New Roman"/>
                <w:noProof/>
                <w:sz w:val="24"/>
                <w:szCs w:val="24"/>
              </w:rPr>
            </w:pPr>
          </w:p>
        </w:tc>
      </w:tr>
    </w:tbl>
    <w:p w:rsidR="004C41E7" w:rsidRDefault="004C41E7">
      <w:pPr>
        <w:spacing w:line="240" w:lineRule="auto"/>
        <w:jc w:val="both"/>
        <w:rPr>
          <w:rFonts w:ascii="Times New Roman" w:hAnsi="Times New Roman" w:cs="Times New Roman"/>
          <w:noProof/>
          <w:sz w:val="24"/>
          <w:szCs w:val="24"/>
        </w:rPr>
      </w:pPr>
    </w:p>
    <w:p w:rsidR="004C41E7" w:rsidRDefault="008B707F">
      <w:pPr>
        <w:spacing w:line="240" w:lineRule="auto"/>
        <w:ind w:left="426" w:hanging="426"/>
        <w:jc w:val="both"/>
        <w:rPr>
          <w:rFonts w:ascii="Times New Roman" w:hAnsi="Times New Roman" w:cs="Times New Roman"/>
          <w:b/>
          <w:noProof/>
          <w:sz w:val="24"/>
          <w:szCs w:val="24"/>
        </w:rPr>
      </w:pPr>
      <w:r>
        <w:rPr>
          <w:rFonts w:ascii="Times New Roman" w:hAnsi="Times New Roman"/>
          <w:b/>
          <w:noProof/>
          <w:sz w:val="24"/>
        </w:rPr>
        <w:t>5.</w:t>
      </w:r>
      <w:r>
        <w:rPr>
          <w:noProof/>
        </w:rPr>
        <w:tab/>
      </w:r>
      <w:r>
        <w:rPr>
          <w:rFonts w:ascii="Times New Roman" w:hAnsi="Times New Roman"/>
          <w:b/>
          <w:noProof/>
          <w:sz w:val="24"/>
        </w:rPr>
        <w:t>ОТСТРАНЯВАНЕ НА ПЪРВОПРИЧИНИТЕ ЗА НЕЗАКОННА МИГРАЦИЯ</w:t>
      </w:r>
    </w:p>
    <w:p w:rsidR="004C41E7" w:rsidRDefault="008B707F">
      <w:pPr>
        <w:spacing w:after="0" w:line="240" w:lineRule="auto"/>
        <w:jc w:val="both"/>
        <w:rPr>
          <w:rFonts w:ascii="Times New Roman" w:hAnsi="Times New Roman" w:cs="Times New Roman"/>
          <w:noProof/>
          <w:sz w:val="24"/>
          <w:szCs w:val="24"/>
        </w:rPr>
      </w:pPr>
      <w:r>
        <w:rPr>
          <w:rFonts w:ascii="Times New Roman" w:hAnsi="Times New Roman"/>
          <w:noProof/>
          <w:sz w:val="24"/>
        </w:rPr>
        <w:t>С трите си компонента за Сахел и езерото Чад, Африканск</w:t>
      </w:r>
      <w:r>
        <w:rPr>
          <w:rFonts w:ascii="Times New Roman" w:hAnsi="Times New Roman"/>
          <w:noProof/>
          <w:sz w:val="24"/>
        </w:rPr>
        <w:t xml:space="preserve">ия рог и Северна Африка, </w:t>
      </w:r>
      <w:r>
        <w:rPr>
          <w:rFonts w:ascii="Times New Roman" w:hAnsi="Times New Roman"/>
          <w:b/>
          <w:i/>
          <w:noProof/>
          <w:sz w:val="24"/>
        </w:rPr>
        <w:t>Доверителният фонд за Африка</w:t>
      </w:r>
      <w:r>
        <w:rPr>
          <w:rStyle w:val="FootnoteReference"/>
          <w:rFonts w:ascii="Times New Roman" w:hAnsi="Times New Roman"/>
          <w:noProof/>
          <w:sz w:val="24"/>
        </w:rPr>
        <w:footnoteReference w:id="41"/>
      </w:r>
      <w:r>
        <w:rPr>
          <w:rFonts w:ascii="Times New Roman" w:hAnsi="Times New Roman"/>
          <w:noProof/>
          <w:sz w:val="24"/>
        </w:rPr>
        <w:t xml:space="preserve"> постави нов акцент върху миграцията. Одобрени са 117 програми на обща стойност от почти 2 милиарда евро, като има подписани договори за близо 1,3 милиарда евро</w:t>
      </w:r>
      <w:r>
        <w:rPr>
          <w:rStyle w:val="FootnoteReference"/>
          <w:rFonts w:ascii="Times New Roman" w:hAnsi="Times New Roman"/>
          <w:noProof/>
          <w:sz w:val="24"/>
        </w:rPr>
        <w:footnoteReference w:id="42"/>
      </w:r>
      <w:r>
        <w:rPr>
          <w:noProof/>
        </w:rPr>
        <w:t>.</w:t>
      </w:r>
      <w:r>
        <w:rPr>
          <w:rFonts w:ascii="Times New Roman" w:hAnsi="Times New Roman"/>
          <w:noProof/>
          <w:sz w:val="24"/>
        </w:rPr>
        <w:t xml:space="preserve"> Макар че Европейският съвет набеляза компонента за Северна Африка като най-неотложен приоритет, напредването на работата по другите компоненти от Доверителния фонд също е от решаващо значение. </w:t>
      </w:r>
    </w:p>
    <w:p w:rsidR="004C41E7" w:rsidRDefault="004C41E7">
      <w:pPr>
        <w:spacing w:after="0" w:line="240" w:lineRule="auto"/>
        <w:jc w:val="both"/>
        <w:rPr>
          <w:rFonts w:ascii="Times New Roman" w:hAnsi="Times New Roman" w:cs="Times New Roman"/>
          <w:noProof/>
          <w:sz w:val="24"/>
          <w:szCs w:val="24"/>
        </w:rPr>
      </w:pPr>
    </w:p>
    <w:p w:rsidR="004C41E7" w:rsidRDefault="008B707F">
      <w:pPr>
        <w:spacing w:after="0" w:line="240" w:lineRule="auto"/>
        <w:jc w:val="both"/>
        <w:rPr>
          <w:rFonts w:ascii="Times New Roman" w:hAnsi="Times New Roman" w:cs="Times New Roman"/>
          <w:noProof/>
          <w:sz w:val="24"/>
          <w:szCs w:val="24"/>
        </w:rPr>
      </w:pPr>
      <w:r>
        <w:rPr>
          <w:rFonts w:ascii="Times New Roman" w:hAnsi="Times New Roman"/>
          <w:noProof/>
          <w:sz w:val="24"/>
        </w:rPr>
        <w:t>Изпълняваните към момента проекти на Доверителния фонд в Африканския рог ще създадат над 44 000 работни места в Етиопия, Кения и Сомалия и ще финансират пряко още 30 000 работни места в Южен Судан. Проектите подкрепят предоставянето на основни социални усл</w:t>
      </w:r>
      <w:r>
        <w:rPr>
          <w:rFonts w:ascii="Times New Roman" w:hAnsi="Times New Roman"/>
          <w:noProof/>
          <w:sz w:val="24"/>
        </w:rPr>
        <w:t>уги на над 1,6 милиона бенефициери. Текущата работа в Западна Африка и Сахел има за цел създаването на 114 000 работни места и подпомага почти 10 000 микро-, малки и средни предприятия. Повечето от тези действия включват подпомагане на завръщащите се мигра</w:t>
      </w:r>
      <w:r>
        <w:rPr>
          <w:rFonts w:ascii="Times New Roman" w:hAnsi="Times New Roman"/>
          <w:noProof/>
          <w:sz w:val="24"/>
        </w:rPr>
        <w:t xml:space="preserve">нти, за да им бъдат предоставени възможности за реинтеграция. </w:t>
      </w:r>
    </w:p>
    <w:p w:rsidR="004C41E7" w:rsidRDefault="004C41E7">
      <w:pPr>
        <w:spacing w:after="0" w:line="240" w:lineRule="auto"/>
        <w:jc w:val="both"/>
        <w:rPr>
          <w:rFonts w:ascii="Times New Roman" w:hAnsi="Times New Roman" w:cs="Times New Roman"/>
          <w:noProof/>
          <w:sz w:val="24"/>
          <w:szCs w:val="24"/>
        </w:rPr>
      </w:pPr>
    </w:p>
    <w:p w:rsidR="004C41E7" w:rsidRDefault="008B707F">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i/>
          <w:noProof/>
          <w:sz w:val="24"/>
        </w:rPr>
        <w:t>Азия</w:t>
      </w:r>
      <w:r>
        <w:rPr>
          <w:rFonts w:ascii="Times New Roman" w:hAnsi="Times New Roman"/>
          <w:noProof/>
          <w:sz w:val="24"/>
        </w:rPr>
        <w:t xml:space="preserve"> през септември Комисията прие специална мярка на стойност 196 милиона евро за преодоляване на предизвикателствата, породени от продължителното принудително разселване и ми</w:t>
      </w:r>
      <w:r>
        <w:rPr>
          <w:rFonts w:ascii="Times New Roman" w:hAnsi="Times New Roman"/>
          <w:noProof/>
          <w:sz w:val="24"/>
        </w:rPr>
        <w:t>грация в Азия и Близкия Изток. Мярката, в чийто обхват попадат Афганистан, Пакистан, Иран, Ирак и Бангладеш,</w:t>
      </w:r>
      <w:r>
        <w:rPr>
          <w:rStyle w:val="FootnoteReference"/>
          <w:rFonts w:ascii="Times New Roman" w:hAnsi="Times New Roman"/>
          <w:noProof/>
          <w:sz w:val="24"/>
        </w:rPr>
        <w:footnoteReference w:id="43"/>
      </w:r>
      <w:r>
        <w:rPr>
          <w:rFonts w:ascii="Times New Roman" w:hAnsi="Times New Roman"/>
          <w:noProof/>
          <w:sz w:val="24"/>
        </w:rPr>
        <w:t xml:space="preserve"> ще допълни диалозите на ЕС за миграцията с тези пет целеви страни. Основните цели са укрепване на устойчивостта и самостоятелността, включително з</w:t>
      </w:r>
      <w:r>
        <w:rPr>
          <w:rFonts w:ascii="Times New Roman" w:hAnsi="Times New Roman"/>
          <w:noProof/>
          <w:sz w:val="24"/>
        </w:rPr>
        <w:t xml:space="preserve">а местните и приемните общности, подкрепа за устойчиво препитание, подобряване на защитата на правата на това население и гарантиране на устойчива реинтеграция. </w:t>
      </w:r>
    </w:p>
    <w:p w:rsidR="004C41E7" w:rsidRDefault="004C41E7">
      <w:pPr>
        <w:spacing w:after="0" w:line="240" w:lineRule="auto"/>
        <w:jc w:val="both"/>
        <w:rPr>
          <w:rFonts w:ascii="Times New Roman" w:hAnsi="Times New Roman" w:cs="Times New Roman"/>
          <w:noProof/>
          <w:sz w:val="24"/>
          <w:szCs w:val="24"/>
        </w:rPr>
      </w:pPr>
    </w:p>
    <w:p w:rsidR="004C41E7" w:rsidRDefault="008B707F">
      <w:pPr>
        <w:spacing w:after="0" w:line="240" w:lineRule="auto"/>
        <w:jc w:val="both"/>
        <w:rPr>
          <w:rFonts w:ascii="Times New Roman" w:hAnsi="Times New Roman" w:cs="Times New Roman"/>
          <w:noProof/>
          <w:sz w:val="24"/>
          <w:szCs w:val="24"/>
        </w:rPr>
      </w:pPr>
      <w:r>
        <w:rPr>
          <w:rFonts w:ascii="Times New Roman" w:hAnsi="Times New Roman"/>
          <w:noProof/>
          <w:sz w:val="24"/>
        </w:rPr>
        <w:t>Освен това дългосрочните инвестиционни проекти, които допринасят за отстраняването на първопр</w:t>
      </w:r>
      <w:r>
        <w:rPr>
          <w:rFonts w:ascii="Times New Roman" w:hAnsi="Times New Roman"/>
          <w:noProof/>
          <w:sz w:val="24"/>
        </w:rPr>
        <w:t xml:space="preserve">ичините, скоро ще могат да се възползват от </w:t>
      </w:r>
      <w:r>
        <w:rPr>
          <w:rFonts w:ascii="Times New Roman" w:hAnsi="Times New Roman"/>
          <w:b/>
          <w:i/>
          <w:noProof/>
          <w:sz w:val="24"/>
        </w:rPr>
        <w:t>Плана за външни инвестиции</w:t>
      </w:r>
      <w:r>
        <w:rPr>
          <w:rFonts w:ascii="Times New Roman" w:hAnsi="Times New Roman"/>
          <w:noProof/>
          <w:sz w:val="24"/>
        </w:rPr>
        <w:t>, включително от свързания с него Европейски фонд за устойчиво развитие (ЕФУР), който беше стартиран на 28 септември 2017 г. Целта на Плана е да стимулира иновативни финансови партньорст</w:t>
      </w:r>
      <w:r>
        <w:rPr>
          <w:rFonts w:ascii="Times New Roman" w:hAnsi="Times New Roman"/>
          <w:noProof/>
          <w:sz w:val="24"/>
        </w:rPr>
        <w:t>ва в Африка и в държавите, обхванати от европейската политика за съседство, за да се насърчават постигането на приобщаващ растеж, създаването на работни места и устойчивото развитие. Работата по бързото привеждане в действие на фонда продължава, като предс</w:t>
      </w:r>
      <w:r>
        <w:rPr>
          <w:rFonts w:ascii="Times New Roman" w:hAnsi="Times New Roman"/>
          <w:noProof/>
          <w:sz w:val="24"/>
        </w:rPr>
        <w:t>тои Комисията да вземе решение за определяне на пет специални инвестиционни прозореца</w:t>
      </w:r>
      <w:r>
        <w:rPr>
          <w:rStyle w:val="FootnoteReference"/>
          <w:rFonts w:ascii="Times New Roman" w:hAnsi="Times New Roman"/>
          <w:noProof/>
          <w:sz w:val="24"/>
        </w:rPr>
        <w:footnoteReference w:id="44"/>
      </w:r>
      <w:r>
        <w:rPr>
          <w:rFonts w:ascii="Times New Roman" w:hAnsi="Times New Roman"/>
          <w:noProof/>
          <w:sz w:val="24"/>
        </w:rPr>
        <w:t xml:space="preserve"> преди срещите на високо равнище за Източното партньорство и между Африканския съюз и ЕС, проправяйки пътя за първата покана за изразяване на интерес преди края на година</w:t>
      </w:r>
      <w:r>
        <w:rPr>
          <w:rFonts w:ascii="Times New Roman" w:hAnsi="Times New Roman"/>
          <w:noProof/>
          <w:sz w:val="24"/>
        </w:rPr>
        <w:t>та</w:t>
      </w:r>
      <w:r>
        <w:rPr>
          <w:rStyle w:val="FootnoteReference"/>
          <w:rFonts w:ascii="Times New Roman" w:hAnsi="Times New Roman"/>
          <w:noProof/>
          <w:sz w:val="24"/>
        </w:rPr>
        <w:footnoteReference w:id="45"/>
      </w:r>
      <w:r>
        <w:rPr>
          <w:noProof/>
        </w:rPr>
        <w:t>.</w:t>
      </w:r>
      <w:r>
        <w:rPr>
          <w:rFonts w:ascii="Times New Roman" w:hAnsi="Times New Roman"/>
          <w:noProof/>
          <w:sz w:val="24"/>
        </w:rPr>
        <w:t xml:space="preserve"> </w:t>
      </w:r>
    </w:p>
    <w:p w:rsidR="004C41E7" w:rsidRDefault="004C41E7">
      <w:pPr>
        <w:spacing w:after="0" w:line="240" w:lineRule="auto"/>
        <w:jc w:val="both"/>
        <w:rPr>
          <w:rFonts w:ascii="Times New Roman" w:hAnsi="Times New Roman" w:cs="Times New Roman"/>
          <w:noProof/>
          <w:sz w:val="24"/>
          <w:szCs w:val="24"/>
        </w:rPr>
      </w:pP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 xml:space="preserve">За преодоляването на дългосрочното предизвикателство на миграцията е необходим един наистина глобален подход. Понастоящем </w:t>
      </w:r>
      <w:r>
        <w:rPr>
          <w:rFonts w:ascii="Times New Roman" w:hAnsi="Times New Roman"/>
          <w:b/>
          <w:i/>
          <w:noProof/>
          <w:sz w:val="24"/>
        </w:rPr>
        <w:t>Глобалният пакт за миграцията</w:t>
      </w:r>
      <w:r>
        <w:rPr>
          <w:rFonts w:ascii="Times New Roman" w:hAnsi="Times New Roman"/>
          <w:noProof/>
          <w:sz w:val="24"/>
        </w:rPr>
        <w:t xml:space="preserve"> е по средата на двегодишния процес. Консултативният етап, който приключва през декември 2017 г., </w:t>
      </w:r>
      <w:r>
        <w:rPr>
          <w:rFonts w:ascii="Times New Roman" w:hAnsi="Times New Roman"/>
          <w:noProof/>
          <w:sz w:val="24"/>
        </w:rPr>
        <w:t xml:space="preserve">ще бъде първата стъпка към приемането на Пакта на междуправителствена конференция през 2018 г. Етапът на неформално тематично обсъждане на </w:t>
      </w:r>
      <w:r>
        <w:rPr>
          <w:rFonts w:ascii="Times New Roman" w:hAnsi="Times New Roman"/>
          <w:b/>
          <w:i/>
          <w:noProof/>
          <w:sz w:val="24"/>
        </w:rPr>
        <w:t>Глобалния пакт за бежанците</w:t>
      </w:r>
      <w:r>
        <w:rPr>
          <w:rFonts w:ascii="Times New Roman" w:hAnsi="Times New Roman"/>
          <w:noProof/>
          <w:sz w:val="24"/>
        </w:rPr>
        <w:t xml:space="preserve"> предстои да приключи през ноември 2017 г. Диалогът на Върховният комисар за бежанците на </w:t>
      </w:r>
      <w:r>
        <w:rPr>
          <w:rFonts w:ascii="Times New Roman" w:hAnsi="Times New Roman"/>
          <w:noProof/>
          <w:sz w:val="24"/>
        </w:rPr>
        <w:t xml:space="preserve">ООН относно предизвикателствата пред закрилата, който ще се състои на 12 декември в Женева, ще бъде посветен на оценка на напредъка и набелязване на поуките от подготвителната работа, както и на полагането на основите за Глобалния пакт за бежанците.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 xml:space="preserve">Тази </w:t>
      </w:r>
      <w:r>
        <w:rPr>
          <w:rFonts w:ascii="Times New Roman" w:hAnsi="Times New Roman"/>
          <w:noProof/>
          <w:sz w:val="24"/>
        </w:rPr>
        <w:t xml:space="preserve">работа ще потвърди важността на миграцията в контекста на </w:t>
      </w:r>
      <w:r>
        <w:rPr>
          <w:rFonts w:ascii="Times New Roman" w:hAnsi="Times New Roman"/>
          <w:b/>
          <w:i/>
          <w:noProof/>
          <w:sz w:val="24"/>
        </w:rPr>
        <w:t>срещата на високо равнище между ЕС и Африканския съюз</w:t>
      </w:r>
      <w:r>
        <w:rPr>
          <w:rFonts w:ascii="Times New Roman" w:hAnsi="Times New Roman"/>
          <w:b/>
          <w:noProof/>
          <w:sz w:val="24"/>
        </w:rPr>
        <w:t xml:space="preserve"> </w:t>
      </w:r>
      <w:r>
        <w:rPr>
          <w:rFonts w:ascii="Times New Roman" w:hAnsi="Times New Roman"/>
          <w:noProof/>
          <w:sz w:val="24"/>
        </w:rPr>
        <w:t xml:space="preserve">в края на ноември. Тази среща на високо равнище ще надгради действията след срещата на върха във Валета, като наличието на балансирана връзка е </w:t>
      </w:r>
      <w:r>
        <w:rPr>
          <w:rFonts w:ascii="Times New Roman" w:hAnsi="Times New Roman"/>
          <w:noProof/>
          <w:sz w:val="24"/>
        </w:rPr>
        <w:t xml:space="preserve">от съществено значение за отстраняване на първопричините, предоставяне на помощ за развитие, борба с контрабандата и трафика и насърчаване на действителното обратно приемане и реинтеграцията. </w:t>
      </w:r>
    </w:p>
    <w:p w:rsidR="004C41E7" w:rsidRDefault="004C41E7">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rsidR="004C41E7">
        <w:tc>
          <w:tcPr>
            <w:tcW w:w="9288" w:type="dxa"/>
          </w:tcPr>
          <w:p w:rsidR="004C41E7" w:rsidRDefault="008B707F">
            <w:pPr>
              <w:jc w:val="both"/>
              <w:rPr>
                <w:rFonts w:ascii="Times New Roman" w:hAnsi="Times New Roman" w:cs="Times New Roman"/>
                <w:b/>
                <w:i/>
                <w:noProof/>
                <w:sz w:val="24"/>
                <w:szCs w:val="24"/>
              </w:rPr>
            </w:pPr>
            <w:r>
              <w:rPr>
                <w:rFonts w:ascii="Times New Roman" w:hAnsi="Times New Roman"/>
                <w:b/>
                <w:i/>
                <w:noProof/>
                <w:sz w:val="24"/>
              </w:rPr>
              <w:t>Основни бъдещи действия</w:t>
            </w:r>
          </w:p>
          <w:p w:rsidR="004C41E7" w:rsidRDefault="004C41E7">
            <w:pPr>
              <w:jc w:val="both"/>
              <w:rPr>
                <w:rFonts w:ascii="Times New Roman" w:hAnsi="Times New Roman" w:cs="Times New Roman"/>
                <w:noProof/>
                <w:sz w:val="24"/>
                <w:szCs w:val="24"/>
              </w:rPr>
            </w:pPr>
          </w:p>
          <w:p w:rsidR="004C41E7" w:rsidRDefault="008B707F">
            <w:pPr>
              <w:pStyle w:val="ListParagraph"/>
              <w:numPr>
                <w:ilvl w:val="0"/>
                <w:numId w:val="20"/>
              </w:numPr>
              <w:ind w:left="426"/>
              <w:jc w:val="both"/>
              <w:rPr>
                <w:rFonts w:ascii="Times New Roman" w:hAnsi="Times New Roman" w:cs="Times New Roman"/>
                <w:noProof/>
                <w:sz w:val="24"/>
                <w:szCs w:val="24"/>
              </w:rPr>
            </w:pPr>
            <w:r>
              <w:rPr>
                <w:rFonts w:ascii="Times New Roman" w:hAnsi="Times New Roman"/>
                <w:noProof/>
                <w:sz w:val="24"/>
              </w:rPr>
              <w:t>Споразумение през декември относно но</w:t>
            </w:r>
            <w:r>
              <w:rPr>
                <w:rFonts w:ascii="Times New Roman" w:hAnsi="Times New Roman"/>
                <w:noProof/>
                <w:sz w:val="24"/>
              </w:rPr>
              <w:t>в кръг от проекти по компонентите за Сахел и езерото Чад и Африканския рог на Доверителния фонд на ЕС за Африка;</w:t>
            </w:r>
          </w:p>
          <w:p w:rsidR="004C41E7" w:rsidRDefault="008B707F">
            <w:pPr>
              <w:pStyle w:val="ListParagraph"/>
              <w:numPr>
                <w:ilvl w:val="0"/>
                <w:numId w:val="20"/>
              </w:numPr>
              <w:ind w:left="426"/>
              <w:rPr>
                <w:rFonts w:ascii="Times New Roman" w:hAnsi="Times New Roman" w:cs="Times New Roman"/>
                <w:noProof/>
                <w:sz w:val="24"/>
                <w:szCs w:val="24"/>
              </w:rPr>
            </w:pPr>
            <w:r>
              <w:rPr>
                <w:rFonts w:ascii="Times New Roman" w:hAnsi="Times New Roman"/>
                <w:noProof/>
                <w:sz w:val="24"/>
              </w:rPr>
              <w:t>Среща на високо равнище между ЕС и Африканския съюз за насърчаване на партньорския подход към съвместно управление на миграцията с африканските</w:t>
            </w:r>
            <w:r>
              <w:rPr>
                <w:rFonts w:ascii="Times New Roman" w:hAnsi="Times New Roman"/>
                <w:noProof/>
                <w:sz w:val="24"/>
              </w:rPr>
              <w:t xml:space="preserve"> държави; </w:t>
            </w:r>
          </w:p>
          <w:p w:rsidR="004C41E7" w:rsidRDefault="008B707F">
            <w:pPr>
              <w:pStyle w:val="ListParagraph"/>
              <w:numPr>
                <w:ilvl w:val="0"/>
                <w:numId w:val="20"/>
              </w:numPr>
              <w:ind w:left="426"/>
              <w:jc w:val="both"/>
              <w:rPr>
                <w:rFonts w:ascii="Times New Roman" w:hAnsi="Times New Roman" w:cs="Times New Roman"/>
                <w:noProof/>
                <w:sz w:val="24"/>
                <w:szCs w:val="24"/>
              </w:rPr>
            </w:pPr>
            <w:r>
              <w:rPr>
                <w:rFonts w:ascii="Times New Roman" w:hAnsi="Times New Roman"/>
                <w:noProof/>
                <w:sz w:val="24"/>
              </w:rPr>
              <w:t>Първа покана за представяне на предложения в рамките на Плана за външни инвестиции до края на 2017 г.</w:t>
            </w:r>
          </w:p>
          <w:p w:rsidR="004C41E7" w:rsidRDefault="004C41E7">
            <w:pPr>
              <w:ind w:left="360"/>
              <w:jc w:val="both"/>
              <w:rPr>
                <w:rFonts w:ascii="Times New Roman" w:hAnsi="Times New Roman" w:cs="Times New Roman"/>
                <w:noProof/>
                <w:sz w:val="24"/>
                <w:szCs w:val="24"/>
              </w:rPr>
            </w:pPr>
          </w:p>
        </w:tc>
      </w:tr>
    </w:tbl>
    <w:p w:rsidR="004C41E7" w:rsidRDefault="004C41E7">
      <w:pPr>
        <w:spacing w:line="240" w:lineRule="auto"/>
        <w:jc w:val="both"/>
        <w:rPr>
          <w:rFonts w:ascii="Times New Roman" w:hAnsi="Times New Roman" w:cs="Times New Roman"/>
          <w:noProof/>
          <w:sz w:val="24"/>
          <w:szCs w:val="24"/>
        </w:rPr>
      </w:pPr>
    </w:p>
    <w:p w:rsidR="004C41E7" w:rsidRDefault="008B707F">
      <w:pPr>
        <w:spacing w:line="240" w:lineRule="auto"/>
        <w:jc w:val="both"/>
        <w:rPr>
          <w:rFonts w:ascii="Times New Roman" w:hAnsi="Times New Roman" w:cs="Times New Roman"/>
          <w:b/>
          <w:noProof/>
          <w:sz w:val="24"/>
          <w:szCs w:val="24"/>
        </w:rPr>
      </w:pPr>
      <w:r>
        <w:rPr>
          <w:rFonts w:ascii="Times New Roman" w:hAnsi="Times New Roman"/>
          <w:b/>
          <w:noProof/>
          <w:sz w:val="24"/>
        </w:rPr>
        <w:t>6.</w:t>
      </w:r>
      <w:r>
        <w:rPr>
          <w:noProof/>
        </w:rPr>
        <w:tab/>
      </w:r>
      <w:r>
        <w:rPr>
          <w:rFonts w:ascii="Times New Roman" w:hAnsi="Times New Roman"/>
          <w:b/>
          <w:noProof/>
          <w:sz w:val="24"/>
        </w:rPr>
        <w:t xml:space="preserve">ВРЪЩАНЕ И ОБРАТНО ПРИЕМАНЕ </w:t>
      </w:r>
    </w:p>
    <w:p w:rsidR="004C41E7" w:rsidRDefault="008B707F">
      <w:pPr>
        <w:spacing w:line="240" w:lineRule="auto"/>
        <w:jc w:val="both"/>
        <w:rPr>
          <w:rFonts w:ascii="Times New Roman" w:hAnsi="Times New Roman" w:cs="Times New Roman"/>
          <w:b/>
          <w:noProof/>
          <w:sz w:val="24"/>
          <w:szCs w:val="24"/>
        </w:rPr>
      </w:pPr>
      <w:r>
        <w:rPr>
          <w:rFonts w:ascii="Times New Roman" w:hAnsi="Times New Roman"/>
          <w:noProof/>
          <w:sz w:val="24"/>
        </w:rPr>
        <w:t>Както бе отразено в заключенията на Европейския съвет от миналия месец, подобряването на процента на връщания на лица, които нямат право да останат, е част от европейската програма за миграцията. Това предизвикателство изисква ангажираността на всички стра</w:t>
      </w:r>
      <w:r>
        <w:rPr>
          <w:rFonts w:ascii="Times New Roman" w:hAnsi="Times New Roman"/>
          <w:noProof/>
          <w:sz w:val="24"/>
        </w:rPr>
        <w:t xml:space="preserve">ни: </w:t>
      </w:r>
      <w:r>
        <w:rPr>
          <w:rFonts w:ascii="Times New Roman" w:hAnsi="Times New Roman"/>
          <w:b/>
          <w:i/>
          <w:noProof/>
          <w:sz w:val="24"/>
        </w:rPr>
        <w:t>държавите членки</w:t>
      </w:r>
      <w:r>
        <w:rPr>
          <w:rFonts w:ascii="Times New Roman" w:hAnsi="Times New Roman"/>
          <w:noProof/>
          <w:sz w:val="24"/>
        </w:rPr>
        <w:t>, които отговарят за вземане на индивидуалните решения за връщане и чиято работа по прилагането на препоръката и обновения план за действие</w:t>
      </w:r>
      <w:r>
        <w:rPr>
          <w:rStyle w:val="FootnoteReference"/>
          <w:rFonts w:ascii="Times New Roman" w:hAnsi="Times New Roman"/>
          <w:noProof/>
          <w:sz w:val="24"/>
        </w:rPr>
        <w:footnoteReference w:id="46"/>
      </w:r>
      <w:r>
        <w:rPr>
          <w:rFonts w:ascii="Times New Roman" w:hAnsi="Times New Roman"/>
          <w:noProof/>
          <w:sz w:val="24"/>
        </w:rPr>
        <w:t xml:space="preserve"> в областта на връщането e от съществено значение, за да се гарантира, че лицата, за които е изд</w:t>
      </w:r>
      <w:r>
        <w:rPr>
          <w:rFonts w:ascii="Times New Roman" w:hAnsi="Times New Roman"/>
          <w:noProof/>
          <w:sz w:val="24"/>
        </w:rPr>
        <w:t>адено решение за връщане, са върнати на практика; Европейската агенция за гранична и брегова охрана, на която вече е възложен специален мандат за подпомагане на тази работа; и третите държави, които трябва да изпълнят своите задължения относно обратното пр</w:t>
      </w:r>
      <w:r>
        <w:rPr>
          <w:rFonts w:ascii="Times New Roman" w:hAnsi="Times New Roman"/>
          <w:noProof/>
          <w:sz w:val="24"/>
        </w:rPr>
        <w:t>иемане.</w:t>
      </w:r>
      <w:r>
        <w:rPr>
          <w:rFonts w:ascii="Times New Roman" w:hAnsi="Times New Roman"/>
          <w:b/>
          <w:i/>
          <w:noProof/>
          <w:sz w:val="24"/>
        </w:rPr>
        <w:t xml:space="preserve">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Както бе обявено през септември в междинния преглед на изпълнението на европейската програма за миграцията, Комисията ще докладва редовно за постигнатия напредък. Настоящият доклад представлява първата възможност за това и Комисията възнамерява да</w:t>
      </w:r>
      <w:r>
        <w:rPr>
          <w:rFonts w:ascii="Times New Roman" w:hAnsi="Times New Roman"/>
          <w:noProof/>
          <w:sz w:val="24"/>
        </w:rPr>
        <w:t xml:space="preserve"> задълбочи наблюдението и обратната връзка в тази област. </w:t>
      </w:r>
    </w:p>
    <w:p w:rsidR="004C41E7" w:rsidRDefault="008B707F">
      <w:pPr>
        <w:tabs>
          <w:tab w:val="left" w:pos="360"/>
        </w:tabs>
        <w:spacing w:after="0" w:line="240" w:lineRule="auto"/>
        <w:jc w:val="both"/>
        <w:rPr>
          <w:rFonts w:ascii="Times New Roman" w:hAnsi="Times New Roman" w:cs="Times New Roman"/>
          <w:noProof/>
          <w:sz w:val="24"/>
          <w:szCs w:val="24"/>
        </w:rPr>
      </w:pPr>
      <w:r>
        <w:rPr>
          <w:rFonts w:ascii="Times New Roman" w:hAnsi="Times New Roman"/>
          <w:noProof/>
          <w:sz w:val="24"/>
        </w:rPr>
        <w:t>Важен аспект в това отношение е необходимостта от навременни и качествени данни. За тази цел е от съществено значение държавите членки изцяло да съдействат за използването на приложението за управл</w:t>
      </w:r>
      <w:r>
        <w:rPr>
          <w:rFonts w:ascii="Times New Roman" w:hAnsi="Times New Roman"/>
          <w:noProof/>
          <w:sz w:val="24"/>
        </w:rPr>
        <w:t>ение на незаконната миграция (IRMA), за да може то да разгърне пълния си потенциал за осигуряване на надежден и редовен преглед на актуалното състояние по отношение на връщанията. Освен това, за да позволи своевременно наблюдение, Евростат ще започне да съ</w:t>
      </w:r>
      <w:r>
        <w:rPr>
          <w:rFonts w:ascii="Times New Roman" w:hAnsi="Times New Roman"/>
          <w:noProof/>
          <w:sz w:val="24"/>
        </w:rPr>
        <w:t xml:space="preserve">бира данни за връщанията веднъж на тримесечие вместо веднъж годишно.  </w:t>
      </w:r>
    </w:p>
    <w:p w:rsidR="004C41E7" w:rsidRDefault="004C41E7">
      <w:pPr>
        <w:spacing w:after="0" w:line="240" w:lineRule="auto"/>
        <w:jc w:val="both"/>
        <w:rPr>
          <w:rFonts w:ascii="Times New Roman" w:hAnsi="Times New Roman" w:cs="Times New Roman"/>
          <w:noProof/>
          <w:sz w:val="24"/>
          <w:szCs w:val="24"/>
        </w:rPr>
      </w:pPr>
    </w:p>
    <w:p w:rsidR="004C41E7" w:rsidRDefault="008B707F">
      <w:pPr>
        <w:tabs>
          <w:tab w:val="left" w:pos="360"/>
        </w:tabs>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 заключенията си от октомври 2017 г. Европейският съвет постави особен акцент върху работата на </w:t>
      </w:r>
      <w:r>
        <w:rPr>
          <w:rFonts w:ascii="Times New Roman" w:hAnsi="Times New Roman"/>
          <w:b/>
          <w:i/>
          <w:noProof/>
          <w:sz w:val="24"/>
        </w:rPr>
        <w:t>Европейската агенция за гранична и брегова охрана</w:t>
      </w:r>
      <w:r>
        <w:rPr>
          <w:rFonts w:ascii="Times New Roman" w:hAnsi="Times New Roman"/>
          <w:noProof/>
          <w:sz w:val="24"/>
        </w:rPr>
        <w:t>. В края на ноември Агенцията ще вземе</w:t>
      </w:r>
      <w:r>
        <w:rPr>
          <w:rFonts w:ascii="Times New Roman" w:hAnsi="Times New Roman"/>
          <w:noProof/>
          <w:sz w:val="24"/>
        </w:rPr>
        <w:t xml:space="preserve"> решение относно следващите оперативни стъпки за засилване на оказваната от нея подкрепа на държавите членки в областта на връщанията. Освен че предоставя обучение и разпространява добри практики,</w:t>
      </w:r>
      <w:r>
        <w:rPr>
          <w:rStyle w:val="FootnoteReference"/>
          <w:rFonts w:ascii="Times New Roman" w:hAnsi="Times New Roman"/>
          <w:noProof/>
          <w:sz w:val="24"/>
        </w:rPr>
        <w:footnoteReference w:id="47"/>
      </w:r>
      <w:r>
        <w:rPr>
          <w:rFonts w:ascii="Times New Roman" w:hAnsi="Times New Roman"/>
          <w:noProof/>
          <w:sz w:val="24"/>
        </w:rPr>
        <w:t xml:space="preserve"> Агенцията ще работи проактивно по отношение на връщанията </w:t>
      </w:r>
      <w:r>
        <w:rPr>
          <w:rFonts w:ascii="Times New Roman" w:hAnsi="Times New Roman"/>
          <w:noProof/>
          <w:sz w:val="24"/>
        </w:rPr>
        <w:t>от държавите членки, за да може да служи като координационен център за оперативните усилия по отношение на връщането. За успеха на рамката за изпълнение на Агенцията в областта на връщанията е необходима пълната подкрепа и ангажимент на държавите членки. В</w:t>
      </w:r>
      <w:r>
        <w:rPr>
          <w:rFonts w:ascii="Times New Roman" w:hAnsi="Times New Roman"/>
          <w:noProof/>
          <w:sz w:val="24"/>
        </w:rPr>
        <w:t xml:space="preserve">ъз основа на това, до края на първото тримесечие на 2018 г. следва да се разработят оперативни планове.  </w:t>
      </w:r>
    </w:p>
    <w:p w:rsidR="004C41E7" w:rsidRDefault="008B707F">
      <w:pPr>
        <w:rPr>
          <w:rFonts w:ascii="Times New Roman" w:hAnsi="Times New Roman"/>
          <w:b/>
          <w:i/>
          <w:noProof/>
          <w:color w:val="000000"/>
          <w:sz w:val="20"/>
          <w:szCs w:val="20"/>
        </w:rPr>
      </w:pPr>
      <w:r>
        <w:rPr>
          <w:rFonts w:ascii="Times New Roman" w:hAnsi="Times New Roman"/>
          <w:b/>
          <w:i/>
          <w:noProof/>
          <w:color w:val="000000"/>
          <w:sz w:val="20"/>
        </w:rPr>
        <w:t>Подкрепа от Агенцията за операциите по връщане</w:t>
      </w:r>
      <w:r>
        <w:rPr>
          <w:rStyle w:val="FootnoteReference"/>
          <w:rFonts w:ascii="Times New Roman" w:hAnsi="Times New Roman"/>
          <w:b/>
          <w:i/>
          <w:noProof/>
          <w:color w:val="000000"/>
          <w:sz w:val="20"/>
        </w:rPr>
        <w:footnoteReference w:id="48"/>
      </w:r>
    </w:p>
    <w:tbl>
      <w:tblPr>
        <w:tblStyle w:val="TableGrid"/>
        <w:tblW w:w="0" w:type="auto"/>
        <w:tblLook w:val="04A0" w:firstRow="1" w:lastRow="0" w:firstColumn="1" w:lastColumn="0" w:noHBand="0" w:noVBand="1"/>
      </w:tblPr>
      <w:tblGrid>
        <w:gridCol w:w="3510"/>
        <w:gridCol w:w="5778"/>
      </w:tblGrid>
      <w:tr w:rsidR="004C41E7">
        <w:tc>
          <w:tcPr>
            <w:tcW w:w="3510" w:type="dxa"/>
          </w:tcPr>
          <w:p w:rsidR="004C41E7" w:rsidRDefault="008B707F">
            <w:pPr>
              <w:jc w:val="both"/>
              <w:rPr>
                <w:rFonts w:ascii="Times New Roman" w:hAnsi="Times New Roman" w:cs="Times New Roman"/>
                <w:noProof/>
                <w:sz w:val="20"/>
                <w:szCs w:val="24"/>
              </w:rPr>
            </w:pPr>
            <w:r>
              <w:rPr>
                <w:rFonts w:ascii="Times New Roman" w:hAnsi="Times New Roman"/>
                <w:noProof/>
                <w:sz w:val="20"/>
              </w:rPr>
              <w:t xml:space="preserve">Общ брой на координирани операции по връщане </w:t>
            </w:r>
          </w:p>
          <w:p w:rsidR="004C41E7" w:rsidRDefault="004C41E7">
            <w:pPr>
              <w:rPr>
                <w:noProof/>
                <w:sz w:val="20"/>
              </w:rPr>
            </w:pPr>
          </w:p>
        </w:tc>
        <w:tc>
          <w:tcPr>
            <w:tcW w:w="5778" w:type="dxa"/>
          </w:tcPr>
          <w:p w:rsidR="004C41E7" w:rsidRDefault="008B707F">
            <w:pPr>
              <w:rPr>
                <w:noProof/>
                <w:sz w:val="20"/>
              </w:rPr>
            </w:pPr>
            <w:r>
              <w:rPr>
                <w:rFonts w:ascii="Times New Roman" w:hAnsi="Times New Roman"/>
                <w:noProof/>
                <w:sz w:val="20"/>
              </w:rPr>
              <w:t>279</w:t>
            </w:r>
            <w:r>
              <w:rPr>
                <w:rStyle w:val="FootnoteReference"/>
                <w:rFonts w:ascii="Times New Roman" w:hAnsi="Times New Roman"/>
                <w:noProof/>
                <w:sz w:val="20"/>
              </w:rPr>
              <w:footnoteReference w:id="49"/>
            </w:r>
            <w:r>
              <w:rPr>
                <w:rFonts w:ascii="Times New Roman" w:hAnsi="Times New Roman"/>
                <w:noProof/>
                <w:sz w:val="20"/>
              </w:rPr>
              <w:t>: 54 % от тях са наблюдавани от физически присъства</w:t>
            </w:r>
            <w:r>
              <w:rPr>
                <w:rFonts w:ascii="Times New Roman" w:hAnsi="Times New Roman"/>
                <w:noProof/>
                <w:sz w:val="20"/>
              </w:rPr>
              <w:t>щи наблюдатели (в сравнение с 41 % за същия период през 2016 г.) В рамките на отчетния период Агенцията разположи 70 наблюдатели от резерва от наблюдаващи лица при принудително връщане за 70 операции.</w:t>
            </w:r>
          </w:p>
        </w:tc>
      </w:tr>
      <w:tr w:rsidR="004C41E7">
        <w:tc>
          <w:tcPr>
            <w:tcW w:w="3510" w:type="dxa"/>
          </w:tcPr>
          <w:p w:rsidR="004C41E7" w:rsidRDefault="008B707F">
            <w:pPr>
              <w:rPr>
                <w:noProof/>
                <w:sz w:val="20"/>
              </w:rPr>
            </w:pPr>
            <w:r>
              <w:rPr>
                <w:rFonts w:ascii="Times New Roman" w:hAnsi="Times New Roman"/>
                <w:noProof/>
                <w:sz w:val="20"/>
              </w:rPr>
              <w:t>Общ брой на върнатите лица с подкрепата на Агенцията</w:t>
            </w:r>
          </w:p>
        </w:tc>
        <w:tc>
          <w:tcPr>
            <w:tcW w:w="5778" w:type="dxa"/>
          </w:tcPr>
          <w:p w:rsidR="004C41E7" w:rsidRDefault="008B707F">
            <w:pPr>
              <w:jc w:val="both"/>
              <w:rPr>
                <w:rFonts w:ascii="Times New Roman" w:hAnsi="Times New Roman" w:cs="Times New Roman"/>
                <w:noProof/>
                <w:sz w:val="20"/>
              </w:rPr>
            </w:pPr>
            <w:r>
              <w:rPr>
                <w:rFonts w:ascii="Times New Roman" w:hAnsi="Times New Roman"/>
                <w:noProof/>
                <w:sz w:val="20"/>
              </w:rPr>
              <w:t>11 698</w:t>
            </w:r>
          </w:p>
          <w:p w:rsidR="004C41E7" w:rsidRDefault="004C41E7">
            <w:pPr>
              <w:rPr>
                <w:noProof/>
                <w:sz w:val="20"/>
              </w:rPr>
            </w:pPr>
          </w:p>
        </w:tc>
      </w:tr>
      <w:tr w:rsidR="004C41E7">
        <w:tc>
          <w:tcPr>
            <w:tcW w:w="3510" w:type="dxa"/>
          </w:tcPr>
          <w:p w:rsidR="004C41E7" w:rsidRDefault="008B707F">
            <w:pPr>
              <w:rPr>
                <w:noProof/>
                <w:sz w:val="20"/>
              </w:rPr>
            </w:pPr>
            <w:r>
              <w:rPr>
                <w:rFonts w:ascii="Times New Roman" w:hAnsi="Times New Roman"/>
                <w:noProof/>
                <w:sz w:val="20"/>
              </w:rPr>
              <w:t>Петте трети държави с най-голям дял връщания</w:t>
            </w:r>
          </w:p>
        </w:tc>
        <w:tc>
          <w:tcPr>
            <w:tcW w:w="5778" w:type="dxa"/>
          </w:tcPr>
          <w:p w:rsidR="004C41E7" w:rsidRDefault="008B707F">
            <w:pPr>
              <w:rPr>
                <w:rFonts w:ascii="Times New Roman" w:hAnsi="Times New Roman" w:cs="Times New Roman"/>
                <w:noProof/>
                <w:sz w:val="20"/>
                <w:szCs w:val="24"/>
              </w:rPr>
            </w:pPr>
            <w:r>
              <w:rPr>
                <w:rFonts w:ascii="Times New Roman" w:hAnsi="Times New Roman"/>
                <w:noProof/>
                <w:sz w:val="20"/>
              </w:rPr>
              <w:t>1.     Албания: 87 операции, 3416 върнати лица</w:t>
            </w:r>
          </w:p>
          <w:p w:rsidR="004C41E7" w:rsidRDefault="008B707F">
            <w:pPr>
              <w:rPr>
                <w:rFonts w:ascii="Times New Roman" w:hAnsi="Times New Roman" w:cs="Times New Roman"/>
                <w:noProof/>
                <w:sz w:val="20"/>
                <w:szCs w:val="24"/>
              </w:rPr>
            </w:pPr>
            <w:r>
              <w:rPr>
                <w:rFonts w:ascii="Times New Roman" w:hAnsi="Times New Roman"/>
                <w:noProof/>
                <w:sz w:val="20"/>
              </w:rPr>
              <w:t xml:space="preserve">2.     Тунис: 47 операции, 1187 върнати лица </w:t>
            </w:r>
          </w:p>
          <w:p w:rsidR="004C41E7" w:rsidRDefault="008B707F">
            <w:pPr>
              <w:rPr>
                <w:rFonts w:ascii="Times New Roman" w:hAnsi="Times New Roman" w:cs="Times New Roman"/>
                <w:noProof/>
                <w:sz w:val="20"/>
                <w:szCs w:val="24"/>
              </w:rPr>
            </w:pPr>
            <w:r>
              <w:rPr>
                <w:rFonts w:ascii="Times New Roman" w:hAnsi="Times New Roman"/>
                <w:noProof/>
                <w:sz w:val="20"/>
              </w:rPr>
              <w:t>3.     Косово</w:t>
            </w:r>
            <w:r>
              <w:rPr>
                <w:rFonts w:ascii="Times New Roman" w:hAnsi="Times New Roman"/>
                <w:noProof/>
                <w:sz w:val="20"/>
                <w:vertAlign w:val="superscript"/>
              </w:rPr>
              <w:footnoteReference w:id="50"/>
            </w:r>
            <w:r>
              <w:rPr>
                <w:rFonts w:ascii="Times New Roman" w:hAnsi="Times New Roman"/>
                <w:noProof/>
                <w:sz w:val="20"/>
              </w:rPr>
              <w:t>: 46 операции, 1597 върнати лица</w:t>
            </w:r>
          </w:p>
          <w:p w:rsidR="004C41E7" w:rsidRDefault="008B707F">
            <w:pPr>
              <w:rPr>
                <w:rFonts w:ascii="Times New Roman" w:hAnsi="Times New Roman" w:cs="Times New Roman"/>
                <w:noProof/>
                <w:sz w:val="20"/>
                <w:szCs w:val="24"/>
              </w:rPr>
            </w:pPr>
            <w:r>
              <w:rPr>
                <w:rFonts w:ascii="Times New Roman" w:hAnsi="Times New Roman"/>
                <w:noProof/>
                <w:sz w:val="20"/>
              </w:rPr>
              <w:t>4.     Сърбия:  36 операции, 1508 върнати лица</w:t>
            </w:r>
          </w:p>
          <w:p w:rsidR="004C41E7" w:rsidRDefault="008B707F">
            <w:pPr>
              <w:rPr>
                <w:rFonts w:ascii="Times New Roman" w:hAnsi="Times New Roman" w:cs="Times New Roman"/>
                <w:noProof/>
                <w:sz w:val="20"/>
                <w:szCs w:val="24"/>
              </w:rPr>
            </w:pPr>
            <w:r>
              <w:rPr>
                <w:rFonts w:ascii="Times New Roman" w:hAnsi="Times New Roman"/>
                <w:noProof/>
                <w:sz w:val="20"/>
              </w:rPr>
              <w:t xml:space="preserve">5.     бившата </w:t>
            </w:r>
            <w:r>
              <w:rPr>
                <w:rFonts w:ascii="Times New Roman" w:hAnsi="Times New Roman"/>
                <w:noProof/>
                <w:sz w:val="20"/>
              </w:rPr>
              <w:t>югославска република Македония: 26 операции, 962 върнати лица</w:t>
            </w:r>
          </w:p>
          <w:p w:rsidR="004C41E7" w:rsidRDefault="004C41E7">
            <w:pPr>
              <w:rPr>
                <w:noProof/>
                <w:sz w:val="20"/>
              </w:rPr>
            </w:pPr>
          </w:p>
        </w:tc>
      </w:tr>
      <w:tr w:rsidR="004C41E7">
        <w:trPr>
          <w:trHeight w:val="613"/>
        </w:trPr>
        <w:tc>
          <w:tcPr>
            <w:tcW w:w="3510" w:type="dxa"/>
          </w:tcPr>
          <w:p w:rsidR="004C41E7" w:rsidRDefault="008B707F">
            <w:pPr>
              <w:rPr>
                <w:noProof/>
                <w:sz w:val="20"/>
              </w:rPr>
            </w:pPr>
            <w:r>
              <w:rPr>
                <w:rFonts w:ascii="Times New Roman" w:hAnsi="Times New Roman"/>
                <w:noProof/>
                <w:sz w:val="20"/>
              </w:rPr>
              <w:t>Петте дестинации с най-голям дял при операциите за връщане, с изключение на държавите от Западните Балкани</w:t>
            </w:r>
          </w:p>
        </w:tc>
        <w:tc>
          <w:tcPr>
            <w:tcW w:w="5778" w:type="dxa"/>
          </w:tcPr>
          <w:p w:rsidR="004C41E7" w:rsidRDefault="008B707F">
            <w:pPr>
              <w:rPr>
                <w:rFonts w:ascii="Times New Roman" w:hAnsi="Times New Roman" w:cs="Times New Roman"/>
                <w:noProof/>
                <w:sz w:val="20"/>
                <w:szCs w:val="24"/>
              </w:rPr>
            </w:pPr>
            <w:r>
              <w:rPr>
                <w:rFonts w:ascii="Times New Roman" w:hAnsi="Times New Roman"/>
                <w:noProof/>
                <w:sz w:val="20"/>
              </w:rPr>
              <w:t>1.     Тунис: 47 операции, 1187 върнати лица</w:t>
            </w:r>
          </w:p>
          <w:p w:rsidR="004C41E7" w:rsidRDefault="008B707F">
            <w:pPr>
              <w:rPr>
                <w:rFonts w:ascii="Times New Roman" w:hAnsi="Times New Roman" w:cs="Times New Roman"/>
                <w:noProof/>
                <w:sz w:val="20"/>
                <w:szCs w:val="24"/>
              </w:rPr>
            </w:pPr>
            <w:r>
              <w:rPr>
                <w:rFonts w:ascii="Times New Roman" w:hAnsi="Times New Roman"/>
                <w:noProof/>
                <w:sz w:val="20"/>
              </w:rPr>
              <w:t xml:space="preserve">2.     Грузия: 16 операции, 502 върнати </w:t>
            </w:r>
            <w:r>
              <w:rPr>
                <w:rFonts w:ascii="Times New Roman" w:hAnsi="Times New Roman"/>
                <w:noProof/>
                <w:sz w:val="20"/>
              </w:rPr>
              <w:t>лица</w:t>
            </w:r>
          </w:p>
          <w:p w:rsidR="004C41E7" w:rsidRDefault="008B707F">
            <w:pPr>
              <w:rPr>
                <w:rFonts w:ascii="Times New Roman" w:hAnsi="Times New Roman" w:cs="Times New Roman"/>
                <w:noProof/>
                <w:sz w:val="20"/>
                <w:szCs w:val="24"/>
              </w:rPr>
            </w:pPr>
            <w:r>
              <w:rPr>
                <w:rFonts w:ascii="Times New Roman" w:hAnsi="Times New Roman"/>
                <w:noProof/>
                <w:sz w:val="20"/>
              </w:rPr>
              <w:t>3.     Афганистан: 16 операции, 237 върнати лица</w:t>
            </w:r>
          </w:p>
          <w:p w:rsidR="004C41E7" w:rsidRDefault="008B707F">
            <w:pPr>
              <w:rPr>
                <w:rFonts w:ascii="Times New Roman" w:hAnsi="Times New Roman" w:cs="Times New Roman"/>
                <w:noProof/>
                <w:sz w:val="20"/>
                <w:szCs w:val="24"/>
              </w:rPr>
            </w:pPr>
            <w:r>
              <w:rPr>
                <w:rFonts w:ascii="Times New Roman" w:hAnsi="Times New Roman"/>
                <w:noProof/>
                <w:sz w:val="20"/>
              </w:rPr>
              <w:t>4.     Нигерия: 14 операции, 522 върнати лица</w:t>
            </w:r>
          </w:p>
          <w:p w:rsidR="004C41E7" w:rsidRDefault="008B707F">
            <w:pPr>
              <w:rPr>
                <w:noProof/>
                <w:sz w:val="20"/>
              </w:rPr>
            </w:pPr>
            <w:r>
              <w:rPr>
                <w:rFonts w:ascii="Times New Roman" w:hAnsi="Times New Roman"/>
                <w:noProof/>
                <w:sz w:val="20"/>
              </w:rPr>
              <w:t xml:space="preserve">5.     Армения: 9 операции, 168 върнати лица      </w:t>
            </w:r>
          </w:p>
        </w:tc>
      </w:tr>
      <w:tr w:rsidR="004C41E7">
        <w:tc>
          <w:tcPr>
            <w:tcW w:w="3510" w:type="dxa"/>
          </w:tcPr>
          <w:p w:rsidR="004C41E7" w:rsidRDefault="008B707F">
            <w:pPr>
              <w:rPr>
                <w:noProof/>
                <w:sz w:val="20"/>
              </w:rPr>
            </w:pPr>
            <w:r>
              <w:rPr>
                <w:rFonts w:ascii="Times New Roman" w:hAnsi="Times New Roman"/>
                <w:noProof/>
                <w:sz w:val="20"/>
              </w:rPr>
              <w:t>Десетте държави членки с най-голямо участие в операции по връщане (независимо от броя на върнатите лица)</w:t>
            </w:r>
            <w:r>
              <w:rPr>
                <w:rStyle w:val="FootnoteReference"/>
                <w:rFonts w:ascii="Times New Roman" w:hAnsi="Times New Roman"/>
                <w:noProof/>
                <w:sz w:val="20"/>
              </w:rPr>
              <w:footnoteReference w:id="51"/>
            </w:r>
            <w:r>
              <w:rPr>
                <w:rFonts w:ascii="Times New Roman" w:hAnsi="Times New Roman"/>
                <w:noProof/>
                <w:sz w:val="20"/>
              </w:rPr>
              <w:t xml:space="preserve"> </w:t>
            </w:r>
          </w:p>
        </w:tc>
        <w:tc>
          <w:tcPr>
            <w:tcW w:w="5778" w:type="dxa"/>
          </w:tcPr>
          <w:p w:rsidR="004C41E7" w:rsidRDefault="008B707F">
            <w:pPr>
              <w:rPr>
                <w:rFonts w:ascii="Times New Roman" w:hAnsi="Times New Roman" w:cs="Times New Roman"/>
                <w:noProof/>
                <w:sz w:val="20"/>
                <w:szCs w:val="24"/>
              </w:rPr>
            </w:pPr>
            <w:r>
              <w:rPr>
                <w:rFonts w:ascii="Times New Roman" w:hAnsi="Times New Roman"/>
                <w:noProof/>
                <w:sz w:val="20"/>
              </w:rPr>
              <w:t>1.     Германия: 103 операции</w:t>
            </w:r>
          </w:p>
          <w:p w:rsidR="004C41E7" w:rsidRDefault="008B707F">
            <w:pPr>
              <w:rPr>
                <w:rFonts w:ascii="Times New Roman" w:hAnsi="Times New Roman" w:cs="Times New Roman"/>
                <w:noProof/>
                <w:sz w:val="20"/>
                <w:szCs w:val="24"/>
              </w:rPr>
            </w:pPr>
            <w:r>
              <w:rPr>
                <w:rFonts w:ascii="Times New Roman" w:hAnsi="Times New Roman"/>
                <w:noProof/>
                <w:sz w:val="20"/>
              </w:rPr>
              <w:t>2.     Италия: 51 операции</w:t>
            </w:r>
          </w:p>
          <w:p w:rsidR="004C41E7" w:rsidRDefault="008B707F">
            <w:pPr>
              <w:rPr>
                <w:rFonts w:ascii="Times New Roman" w:hAnsi="Times New Roman" w:cs="Times New Roman"/>
                <w:noProof/>
                <w:sz w:val="20"/>
                <w:szCs w:val="24"/>
              </w:rPr>
            </w:pPr>
            <w:r>
              <w:rPr>
                <w:rFonts w:ascii="Times New Roman" w:hAnsi="Times New Roman"/>
                <w:noProof/>
                <w:sz w:val="20"/>
              </w:rPr>
              <w:t>3.     Франция: 39 операции</w:t>
            </w:r>
          </w:p>
          <w:p w:rsidR="004C41E7" w:rsidRDefault="008B707F">
            <w:pPr>
              <w:rPr>
                <w:rFonts w:ascii="Times New Roman" w:hAnsi="Times New Roman" w:cs="Times New Roman"/>
                <w:noProof/>
                <w:sz w:val="20"/>
                <w:szCs w:val="24"/>
              </w:rPr>
            </w:pPr>
            <w:r>
              <w:rPr>
                <w:rFonts w:ascii="Times New Roman" w:hAnsi="Times New Roman"/>
                <w:noProof/>
                <w:sz w:val="20"/>
              </w:rPr>
              <w:t>4.     Австрия: 29 операции</w:t>
            </w:r>
          </w:p>
          <w:p w:rsidR="004C41E7" w:rsidRDefault="008B707F">
            <w:pPr>
              <w:rPr>
                <w:rFonts w:ascii="Times New Roman" w:hAnsi="Times New Roman" w:cs="Times New Roman"/>
                <w:noProof/>
                <w:sz w:val="20"/>
                <w:szCs w:val="24"/>
              </w:rPr>
            </w:pPr>
            <w:r>
              <w:rPr>
                <w:rFonts w:ascii="Times New Roman" w:hAnsi="Times New Roman"/>
                <w:noProof/>
                <w:sz w:val="20"/>
              </w:rPr>
              <w:t xml:space="preserve">5.     Швеция: 10 операции </w:t>
            </w:r>
          </w:p>
          <w:p w:rsidR="004C41E7" w:rsidRDefault="008B707F">
            <w:pPr>
              <w:rPr>
                <w:rFonts w:ascii="Times New Roman" w:hAnsi="Times New Roman" w:cs="Times New Roman"/>
                <w:noProof/>
                <w:sz w:val="20"/>
                <w:szCs w:val="24"/>
              </w:rPr>
            </w:pPr>
            <w:r>
              <w:rPr>
                <w:rFonts w:ascii="Times New Roman" w:hAnsi="Times New Roman"/>
                <w:noProof/>
                <w:sz w:val="20"/>
              </w:rPr>
              <w:t>6.     Испания: 8 операции</w:t>
            </w:r>
          </w:p>
          <w:p w:rsidR="004C41E7" w:rsidRDefault="008B707F">
            <w:pPr>
              <w:rPr>
                <w:rFonts w:ascii="Times New Roman" w:hAnsi="Times New Roman" w:cs="Times New Roman"/>
                <w:noProof/>
                <w:sz w:val="20"/>
                <w:szCs w:val="24"/>
              </w:rPr>
            </w:pPr>
            <w:r>
              <w:rPr>
                <w:rFonts w:ascii="Times New Roman" w:hAnsi="Times New Roman"/>
                <w:noProof/>
                <w:sz w:val="20"/>
              </w:rPr>
              <w:t>7.     Белгия: 8 операции</w:t>
            </w:r>
          </w:p>
          <w:p w:rsidR="004C41E7" w:rsidRDefault="008B707F">
            <w:pPr>
              <w:rPr>
                <w:rFonts w:ascii="Times New Roman" w:hAnsi="Times New Roman" w:cs="Times New Roman"/>
                <w:noProof/>
                <w:sz w:val="20"/>
                <w:szCs w:val="24"/>
              </w:rPr>
            </w:pPr>
            <w:r>
              <w:rPr>
                <w:rFonts w:ascii="Times New Roman" w:hAnsi="Times New Roman"/>
                <w:noProof/>
                <w:sz w:val="20"/>
              </w:rPr>
              <w:t>8.     Гърция: 7 операции</w:t>
            </w:r>
          </w:p>
          <w:p w:rsidR="004C41E7" w:rsidRDefault="008B707F">
            <w:pPr>
              <w:rPr>
                <w:rFonts w:ascii="Times New Roman" w:hAnsi="Times New Roman" w:cs="Times New Roman"/>
                <w:noProof/>
                <w:sz w:val="20"/>
                <w:szCs w:val="24"/>
              </w:rPr>
            </w:pPr>
            <w:r>
              <w:rPr>
                <w:rFonts w:ascii="Times New Roman" w:hAnsi="Times New Roman"/>
                <w:noProof/>
                <w:sz w:val="20"/>
              </w:rPr>
              <w:t>9.     Исландия: 6 операции</w:t>
            </w:r>
          </w:p>
          <w:p w:rsidR="004C41E7" w:rsidRDefault="008B707F">
            <w:pPr>
              <w:rPr>
                <w:noProof/>
                <w:sz w:val="20"/>
              </w:rPr>
            </w:pPr>
            <w:r>
              <w:rPr>
                <w:rFonts w:ascii="Times New Roman" w:hAnsi="Times New Roman"/>
                <w:noProof/>
                <w:sz w:val="20"/>
              </w:rPr>
              <w:t xml:space="preserve">10.  </w:t>
            </w:r>
            <w:r>
              <w:rPr>
                <w:rFonts w:ascii="Times New Roman" w:hAnsi="Times New Roman"/>
                <w:noProof/>
                <w:sz w:val="20"/>
              </w:rPr>
              <w:t xml:space="preserve">  Финландия: 6 операции</w:t>
            </w:r>
          </w:p>
        </w:tc>
      </w:tr>
    </w:tbl>
    <w:p w:rsidR="004C41E7" w:rsidRDefault="004C41E7">
      <w:pPr>
        <w:tabs>
          <w:tab w:val="left" w:pos="360"/>
        </w:tabs>
        <w:spacing w:after="120" w:line="240" w:lineRule="auto"/>
        <w:jc w:val="both"/>
        <w:rPr>
          <w:rFonts w:ascii="Times New Roman" w:hAnsi="Times New Roman" w:cs="Times New Roman"/>
          <w:noProof/>
          <w:sz w:val="24"/>
          <w:szCs w:val="24"/>
        </w:rPr>
      </w:pP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 xml:space="preserve">От лятото беше постигнат допълнителен напредък по установяването на по-структурирано практическо сътрудничество в областта на връщането с редица </w:t>
      </w:r>
      <w:r>
        <w:rPr>
          <w:rFonts w:ascii="Times New Roman" w:hAnsi="Times New Roman"/>
          <w:b/>
          <w:i/>
          <w:noProof/>
          <w:sz w:val="24"/>
        </w:rPr>
        <w:t>трети държави</w:t>
      </w:r>
      <w:r>
        <w:rPr>
          <w:rFonts w:ascii="Times New Roman" w:hAnsi="Times New Roman"/>
          <w:noProof/>
          <w:sz w:val="24"/>
        </w:rPr>
        <w:t>. На 25 септември 2017 г. Съветът одобри стандартните оперативни процеду</w:t>
      </w:r>
      <w:r>
        <w:rPr>
          <w:rFonts w:ascii="Times New Roman" w:hAnsi="Times New Roman"/>
          <w:noProof/>
          <w:sz w:val="24"/>
        </w:rPr>
        <w:t>ри, договорени с Бангладеш през септември, и сега държавите членки разполагат с ясна рамка за последователна работа с тази държава, която е петият най-голям източник на мигранти до момента за тази година. Комисията работи по сходни договорености с редица к</w:t>
      </w:r>
      <w:r>
        <w:rPr>
          <w:rFonts w:ascii="Times New Roman" w:hAnsi="Times New Roman"/>
          <w:noProof/>
          <w:sz w:val="24"/>
        </w:rPr>
        <w:t>лючови африкански партньори. За да имат тези договорености практически ефект, е необходимо държавите членки да прилагат пълноценно договорените добри практики и оперативни споразумения. На 28 ноември ще се проведе нов кръг от преговори по споразумението за</w:t>
      </w:r>
      <w:r>
        <w:rPr>
          <w:rFonts w:ascii="Times New Roman" w:hAnsi="Times New Roman"/>
          <w:noProof/>
          <w:sz w:val="24"/>
        </w:rPr>
        <w:t xml:space="preserve"> обратно приемане с Тунис, паралелно с преговорите по споразумението за визови облекчения.</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Докато с някои ключови държави беше постигнат напредък, с други продължават да възникват трудности. Ще продължи работата за постигането на по-голяма ангажираност с Н</w:t>
      </w:r>
      <w:r>
        <w:rPr>
          <w:rFonts w:ascii="Times New Roman" w:hAnsi="Times New Roman"/>
          <w:noProof/>
          <w:sz w:val="24"/>
        </w:rPr>
        <w:t>игерия, Кот д'Ивоар, Сенегал и Мали, където няма реализиран напредък в областта на управлението на миграцията и обратното приемане. Във всички случаи ще продължат активно да се разглеждат и използват по целесъобразност възможностите за мобилизиране на стим</w:t>
      </w:r>
      <w:r>
        <w:rPr>
          <w:rFonts w:ascii="Times New Roman" w:hAnsi="Times New Roman"/>
          <w:noProof/>
          <w:sz w:val="24"/>
        </w:rPr>
        <w:t xml:space="preserve">ули и механизми за въздействие на равнище ЕС и на национално равнище. </w:t>
      </w:r>
    </w:p>
    <w:tbl>
      <w:tblPr>
        <w:tblStyle w:val="TableGrid"/>
        <w:tblW w:w="0" w:type="auto"/>
        <w:tblLook w:val="04A0" w:firstRow="1" w:lastRow="0" w:firstColumn="1" w:lastColumn="0" w:noHBand="0" w:noVBand="1"/>
      </w:tblPr>
      <w:tblGrid>
        <w:gridCol w:w="9288"/>
      </w:tblGrid>
      <w:tr w:rsidR="004C41E7">
        <w:tc>
          <w:tcPr>
            <w:tcW w:w="9288" w:type="dxa"/>
          </w:tcPr>
          <w:p w:rsidR="004C41E7" w:rsidRDefault="008B707F">
            <w:pPr>
              <w:jc w:val="both"/>
              <w:rPr>
                <w:rFonts w:ascii="Times New Roman" w:hAnsi="Times New Roman" w:cs="Times New Roman"/>
                <w:b/>
                <w:i/>
                <w:noProof/>
                <w:sz w:val="24"/>
                <w:szCs w:val="24"/>
              </w:rPr>
            </w:pPr>
            <w:r>
              <w:rPr>
                <w:rFonts w:ascii="Times New Roman" w:hAnsi="Times New Roman"/>
                <w:b/>
                <w:i/>
                <w:noProof/>
                <w:sz w:val="24"/>
              </w:rPr>
              <w:t>Основни бъдещи действия</w:t>
            </w:r>
          </w:p>
          <w:p w:rsidR="004C41E7" w:rsidRDefault="004C41E7">
            <w:pPr>
              <w:jc w:val="both"/>
              <w:rPr>
                <w:rFonts w:ascii="Times New Roman" w:hAnsi="Times New Roman" w:cs="Times New Roman"/>
                <w:b/>
                <w:i/>
                <w:noProof/>
                <w:sz w:val="24"/>
                <w:szCs w:val="24"/>
              </w:rPr>
            </w:pPr>
          </w:p>
          <w:p w:rsidR="004C41E7" w:rsidRDefault="008B707F">
            <w:pPr>
              <w:pStyle w:val="ListParagraph"/>
              <w:numPr>
                <w:ilvl w:val="0"/>
                <w:numId w:val="30"/>
              </w:numPr>
              <w:ind w:left="426"/>
              <w:jc w:val="both"/>
              <w:rPr>
                <w:rFonts w:ascii="Times New Roman" w:hAnsi="Times New Roman" w:cs="Times New Roman"/>
                <w:noProof/>
                <w:sz w:val="24"/>
                <w:szCs w:val="24"/>
              </w:rPr>
            </w:pPr>
            <w:r>
              <w:rPr>
                <w:rFonts w:ascii="Times New Roman" w:hAnsi="Times New Roman"/>
                <w:noProof/>
                <w:sz w:val="24"/>
              </w:rPr>
              <w:t xml:space="preserve">На следващото заседание на управителния съвет Европейската агенция за гранична и брегова охрана ще представи следващите стъпки към интегрирана система за </w:t>
            </w:r>
            <w:r>
              <w:rPr>
                <w:rFonts w:ascii="Times New Roman" w:hAnsi="Times New Roman"/>
                <w:noProof/>
                <w:sz w:val="24"/>
              </w:rPr>
              <w:t>управление на връщането;</w:t>
            </w:r>
          </w:p>
          <w:p w:rsidR="004C41E7" w:rsidRDefault="008B707F">
            <w:pPr>
              <w:pStyle w:val="ListParagraph"/>
              <w:numPr>
                <w:ilvl w:val="0"/>
                <w:numId w:val="30"/>
              </w:numPr>
              <w:ind w:left="426"/>
              <w:jc w:val="both"/>
              <w:rPr>
                <w:rFonts w:ascii="Times New Roman" w:hAnsi="Times New Roman" w:cs="Times New Roman"/>
                <w:noProof/>
                <w:sz w:val="24"/>
                <w:szCs w:val="24"/>
              </w:rPr>
            </w:pPr>
            <w:r>
              <w:rPr>
                <w:rFonts w:ascii="Times New Roman" w:hAnsi="Times New Roman"/>
                <w:noProof/>
                <w:sz w:val="24"/>
              </w:rPr>
              <w:t>Държавите членки ще съберат и представят данни относно връщанията, за да се позволи по-добра оценка на ефективността на връщанията на равнище ЕС;</w:t>
            </w:r>
          </w:p>
          <w:p w:rsidR="004C41E7" w:rsidRDefault="008B707F">
            <w:pPr>
              <w:pStyle w:val="ListParagraph"/>
              <w:numPr>
                <w:ilvl w:val="0"/>
                <w:numId w:val="30"/>
              </w:numPr>
              <w:ind w:left="426"/>
              <w:jc w:val="both"/>
              <w:rPr>
                <w:rFonts w:ascii="Times New Roman" w:hAnsi="Times New Roman" w:cs="Times New Roman"/>
                <w:noProof/>
                <w:sz w:val="24"/>
                <w:szCs w:val="24"/>
              </w:rPr>
            </w:pPr>
            <w:r>
              <w:rPr>
                <w:rFonts w:ascii="Times New Roman" w:hAnsi="Times New Roman"/>
                <w:noProof/>
                <w:sz w:val="24"/>
              </w:rPr>
              <w:t>Евростат ще представя данни относно връщанията веднъж на тримесечие вместо веднъж год</w:t>
            </w:r>
            <w:r>
              <w:rPr>
                <w:rFonts w:ascii="Times New Roman" w:hAnsi="Times New Roman"/>
                <w:noProof/>
                <w:sz w:val="24"/>
              </w:rPr>
              <w:t>ишно;</w:t>
            </w:r>
          </w:p>
          <w:p w:rsidR="004C41E7" w:rsidRDefault="008B707F">
            <w:pPr>
              <w:pStyle w:val="ListParagraph"/>
              <w:numPr>
                <w:ilvl w:val="0"/>
                <w:numId w:val="30"/>
              </w:numPr>
              <w:ind w:left="426"/>
              <w:jc w:val="both"/>
              <w:rPr>
                <w:rFonts w:ascii="Times New Roman" w:hAnsi="Times New Roman" w:cs="Times New Roman"/>
                <w:noProof/>
                <w:sz w:val="24"/>
                <w:szCs w:val="24"/>
              </w:rPr>
            </w:pPr>
            <w:r>
              <w:rPr>
                <w:rFonts w:ascii="Times New Roman" w:hAnsi="Times New Roman"/>
                <w:noProof/>
                <w:sz w:val="24"/>
              </w:rPr>
              <w:t>Държавите членки ще прилагат на практика установените с трети държави договорености за улесняване на връщанията. Комисията ще наблюдава прилагането на тези договорености;</w:t>
            </w:r>
          </w:p>
          <w:p w:rsidR="004C41E7" w:rsidRDefault="008B707F">
            <w:pPr>
              <w:pStyle w:val="ListParagraph"/>
              <w:numPr>
                <w:ilvl w:val="0"/>
                <w:numId w:val="30"/>
              </w:numPr>
              <w:ind w:left="426"/>
              <w:jc w:val="both"/>
              <w:rPr>
                <w:rFonts w:ascii="Times New Roman" w:hAnsi="Times New Roman" w:cs="Times New Roman"/>
                <w:noProof/>
                <w:sz w:val="24"/>
                <w:szCs w:val="24"/>
              </w:rPr>
            </w:pPr>
            <w:r>
              <w:rPr>
                <w:rFonts w:ascii="Times New Roman" w:hAnsi="Times New Roman"/>
                <w:noProof/>
                <w:sz w:val="24"/>
              </w:rPr>
              <w:t>Следва възможно най-скоро да се финализират оперативни споразумения с ключови д</w:t>
            </w:r>
            <w:r>
              <w:rPr>
                <w:rFonts w:ascii="Times New Roman" w:hAnsi="Times New Roman"/>
                <w:noProof/>
                <w:sz w:val="24"/>
              </w:rPr>
              <w:t>ържави на произход, включително преговорите по споразумение за обратно приемане с Нигерия и Тунис.</w:t>
            </w:r>
          </w:p>
          <w:p w:rsidR="004C41E7" w:rsidRDefault="004C41E7">
            <w:pPr>
              <w:pStyle w:val="ListParagraph"/>
              <w:ind w:left="426"/>
              <w:jc w:val="both"/>
              <w:rPr>
                <w:rFonts w:ascii="Times New Roman" w:hAnsi="Times New Roman" w:cs="Times New Roman"/>
                <w:noProof/>
                <w:sz w:val="24"/>
                <w:szCs w:val="24"/>
              </w:rPr>
            </w:pPr>
          </w:p>
        </w:tc>
      </w:tr>
    </w:tbl>
    <w:p w:rsidR="004C41E7" w:rsidRDefault="004C41E7">
      <w:pPr>
        <w:tabs>
          <w:tab w:val="left" w:pos="360"/>
        </w:tabs>
        <w:spacing w:after="120" w:line="240" w:lineRule="auto"/>
        <w:jc w:val="both"/>
        <w:rPr>
          <w:rFonts w:ascii="Times New Roman" w:hAnsi="Times New Roman" w:cs="Times New Roman"/>
          <w:noProof/>
          <w:sz w:val="24"/>
          <w:szCs w:val="24"/>
        </w:rPr>
      </w:pPr>
    </w:p>
    <w:p w:rsidR="004C41E7" w:rsidRDefault="008B707F">
      <w:pPr>
        <w:spacing w:line="240" w:lineRule="auto"/>
        <w:jc w:val="both"/>
        <w:rPr>
          <w:rFonts w:ascii="Times New Roman" w:hAnsi="Times New Roman" w:cs="Times New Roman"/>
          <w:b/>
          <w:i/>
          <w:noProof/>
          <w:sz w:val="24"/>
          <w:szCs w:val="24"/>
        </w:rPr>
      </w:pPr>
      <w:r>
        <w:rPr>
          <w:rFonts w:ascii="Times New Roman" w:hAnsi="Times New Roman"/>
          <w:b/>
          <w:noProof/>
          <w:sz w:val="24"/>
        </w:rPr>
        <w:t>7.</w:t>
      </w:r>
      <w:r>
        <w:rPr>
          <w:rFonts w:ascii="Times New Roman" w:hAnsi="Times New Roman"/>
          <w:b/>
          <w:i/>
          <w:noProof/>
          <w:sz w:val="24"/>
        </w:rPr>
        <w:t xml:space="preserve"> </w:t>
      </w:r>
      <w:r>
        <w:rPr>
          <w:noProof/>
        </w:rPr>
        <w:tab/>
      </w:r>
      <w:r>
        <w:rPr>
          <w:rFonts w:ascii="Times New Roman" w:hAnsi="Times New Roman"/>
          <w:b/>
          <w:noProof/>
          <w:sz w:val="24"/>
        </w:rPr>
        <w:t xml:space="preserve"> ПРЕМЕСТВАНЕ, ПРЕЗАСЕЛВАНЕ И ДРУГИ ЗАКОННИ ПЪТИЩА ЗА МИГРАЦИЯ</w:t>
      </w:r>
      <w:r>
        <w:rPr>
          <w:rFonts w:ascii="Times New Roman" w:hAnsi="Times New Roman"/>
          <w:b/>
          <w:i/>
          <w:noProof/>
          <w:sz w:val="24"/>
        </w:rPr>
        <w:t xml:space="preserve">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b/>
          <w:i/>
          <w:noProof/>
          <w:sz w:val="24"/>
        </w:rPr>
        <w:t>Преместването</w:t>
      </w:r>
      <w:r>
        <w:rPr>
          <w:rFonts w:ascii="Times New Roman" w:hAnsi="Times New Roman"/>
          <w:noProof/>
          <w:sz w:val="24"/>
        </w:rPr>
        <w:t xml:space="preserve"> на отговарящи на изискванията кандидати от държавите членки продължава да</w:t>
      </w:r>
      <w:r>
        <w:rPr>
          <w:rFonts w:ascii="Times New Roman" w:hAnsi="Times New Roman"/>
          <w:noProof/>
          <w:sz w:val="24"/>
        </w:rPr>
        <w:t xml:space="preserve"> е ценен начин за оказване на помощ на хората, които явно се нуждаят от международна закрила, и за облекчаване на натиска върху системите за убежище на Италия и Гърция. Към 9 ноември броят на преместените хора възлиза на 31 503 (10 265 от Италия и 21 238 о</w:t>
      </w:r>
      <w:r>
        <w:rPr>
          <w:rFonts w:ascii="Times New Roman" w:hAnsi="Times New Roman"/>
          <w:noProof/>
          <w:sz w:val="24"/>
        </w:rPr>
        <w:t>т Гърция), от които 3807 след последния доклад относно преместването и презаселването</w:t>
      </w:r>
      <w:r>
        <w:rPr>
          <w:rStyle w:val="FootnoteReference"/>
          <w:rFonts w:ascii="Times New Roman" w:hAnsi="Times New Roman"/>
          <w:noProof/>
          <w:sz w:val="24"/>
        </w:rPr>
        <w:footnoteReference w:id="52"/>
      </w:r>
      <w:r>
        <w:rPr>
          <w:rFonts w:ascii="Times New Roman" w:hAnsi="Times New Roman"/>
          <w:noProof/>
          <w:sz w:val="24"/>
        </w:rPr>
        <w:t xml:space="preserve">. Кипър, Естония, Хърватия и Литва продължават подкрепата си за преместването, като са поели ангажименти след 26 септември. Държавите членки следва спешно да финализират </w:t>
      </w:r>
      <w:r>
        <w:rPr>
          <w:rFonts w:ascii="Times New Roman" w:hAnsi="Times New Roman"/>
          <w:noProof/>
          <w:sz w:val="24"/>
        </w:rPr>
        <w:t>преместването на оставащите отговарящи на изискванията кандидати.</w:t>
      </w:r>
    </w:p>
    <w:p w:rsidR="004C41E7" w:rsidRDefault="004C41E7">
      <w:pPr>
        <w:spacing w:line="240" w:lineRule="auto"/>
        <w:jc w:val="both"/>
        <w:rPr>
          <w:rFonts w:ascii="Times New Roman" w:hAnsi="Times New Roman" w:cs="Times New Roman"/>
          <w:noProof/>
          <w:sz w:val="24"/>
          <w:szCs w:val="24"/>
        </w:rPr>
      </w:pPr>
    </w:p>
    <w:p w:rsidR="004C41E7" w:rsidRDefault="008B707F">
      <w:pPr>
        <w:spacing w:line="240" w:lineRule="auto"/>
        <w:jc w:val="both"/>
        <w:rPr>
          <w:rFonts w:ascii="Times New Roman" w:hAnsi="Times New Roman" w:cs="Times New Roman"/>
          <w:noProof/>
          <w:sz w:val="24"/>
          <w:szCs w:val="24"/>
        </w:rPr>
      </w:pPr>
      <w:r>
        <w:rPr>
          <w:noProof/>
          <w:lang w:val="en-GB" w:eastAsia="en-GB" w:bidi="ar-SA"/>
        </w:rPr>
        <w:drawing>
          <wp:inline distT="0" distB="0" distL="0" distR="0" wp14:anchorId="1500B9E9" wp14:editId="57E8DE35">
            <wp:extent cx="5760720" cy="238059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2380599"/>
                    </a:xfrm>
                    <a:prstGeom prst="rect">
                      <a:avLst/>
                    </a:prstGeom>
                  </pic:spPr>
                </pic:pic>
              </a:graphicData>
            </a:graphic>
          </wp:inline>
        </w:drawing>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Все още предстои преместването на общо 758 души от Гърция (369 от тях в Ирландия). Въпреки че настоящите ангажименти за преместване от Гърция са достатъчни, държавите членки следва спешно</w:t>
      </w:r>
      <w:r>
        <w:rPr>
          <w:rFonts w:ascii="Times New Roman" w:hAnsi="Times New Roman"/>
          <w:noProof/>
          <w:sz w:val="24"/>
        </w:rPr>
        <w:t xml:space="preserve"> да осъществят преместването на оставащите кандидати, които отговарят на изискванията. По-специално, Ирландия следва да осигури настаняване и да прехвърли вече нотифицираните случаи от Гърция, докато Германия и Швейцария следва да отговорят на исканията за</w:t>
      </w:r>
      <w:r>
        <w:rPr>
          <w:rFonts w:ascii="Times New Roman" w:hAnsi="Times New Roman"/>
          <w:noProof/>
          <w:sz w:val="24"/>
        </w:rPr>
        <w:t xml:space="preserve"> преместване, изпратени от Гърция. Всички останали държави членки със случаи, за които вече е открито съответствие и са нотифицирани, следва да ускорят прехвърлянията от Гърция.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Все още предстои преместването на 3110 мигранти от Италия. Въпреки това Итали</w:t>
      </w:r>
      <w:r>
        <w:rPr>
          <w:rFonts w:ascii="Times New Roman" w:hAnsi="Times New Roman"/>
          <w:noProof/>
          <w:sz w:val="24"/>
        </w:rPr>
        <w:t>я продължава да регистрира отговарящи на изискванията кандидати и следва да приключи тази практика възможно най-скоро, за да се стабилизира броят им. Германия, Швейцария и Австрия следва да ускорят даването на отговор на искания за преместване от Италия, а</w:t>
      </w:r>
      <w:r>
        <w:rPr>
          <w:rFonts w:ascii="Times New Roman" w:hAnsi="Times New Roman"/>
          <w:noProof/>
          <w:sz w:val="24"/>
        </w:rPr>
        <w:t xml:space="preserve"> всички държави членки следва да ускорят прехвърлянията от Италия на случаи, за които вече е открито съответствие и са нотифицирани. Държавите членки следва също така спешно да отговорят на подадените от Италия 190 неизпълнени искания за непридружени ненав</w:t>
      </w:r>
      <w:r>
        <w:rPr>
          <w:rFonts w:ascii="Times New Roman" w:hAnsi="Times New Roman"/>
          <w:noProof/>
          <w:sz w:val="24"/>
        </w:rPr>
        <w:t xml:space="preserve">ършили пълнолетие лица и да осигурят поне 200 допълнителни места за преместването на отговарящите на изискванията ненавършили пълнолетие лица, за които все още не може да бъде определена държава членка поради недостатъчно поети ангажименти.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В своите редов</w:t>
      </w:r>
      <w:r>
        <w:rPr>
          <w:rFonts w:ascii="Times New Roman" w:hAnsi="Times New Roman"/>
          <w:noProof/>
          <w:sz w:val="24"/>
        </w:rPr>
        <w:t xml:space="preserve">ни доклади относно преместването и презаселването Комисията многократно припомни на всички държави членки за техните </w:t>
      </w:r>
      <w:r>
        <w:rPr>
          <w:rFonts w:ascii="Times New Roman" w:hAnsi="Times New Roman"/>
          <w:b/>
          <w:i/>
          <w:noProof/>
          <w:sz w:val="24"/>
        </w:rPr>
        <w:t>правни задължения</w:t>
      </w:r>
      <w:r>
        <w:rPr>
          <w:rFonts w:ascii="Times New Roman" w:hAnsi="Times New Roman"/>
          <w:noProof/>
          <w:sz w:val="24"/>
        </w:rPr>
        <w:t xml:space="preserve"> съгласно решенията на Съвета и призова онези от тях, които все още не са поели ангажименти и не са извършвали премествани</w:t>
      </w:r>
      <w:r>
        <w:rPr>
          <w:rFonts w:ascii="Times New Roman" w:hAnsi="Times New Roman"/>
          <w:noProof/>
          <w:sz w:val="24"/>
        </w:rPr>
        <w:t xml:space="preserve">я от Гърция и Италия, да го направят незабавно. За съжаление, въпреки многократните призиви, Унгария и Полша не са извършили премествания досега, а Чешката република е преместила само няколко лица и вече над година не е поемала ангажименти. Ето защо на 14 </w:t>
      </w:r>
      <w:r>
        <w:rPr>
          <w:rFonts w:ascii="Times New Roman" w:hAnsi="Times New Roman"/>
          <w:noProof/>
          <w:sz w:val="24"/>
        </w:rPr>
        <w:t>юни 2017 г. Комисията реши да започне производства за установяване на нарушения срещу тези три държави членки. След техните отговори на писмата с официално уведомление, на 26 юли 2017 г. Комисията реши като следваща стъпка да приеме мотивирани становища. Р</w:t>
      </w:r>
      <w:r>
        <w:rPr>
          <w:rFonts w:ascii="Times New Roman" w:hAnsi="Times New Roman"/>
          <w:noProof/>
          <w:sz w:val="24"/>
        </w:rPr>
        <w:t>ешението на Съда на ЕС от 6 септември 2017 г. потвърди валидността на второто решение на Съвета относно преместването и Комисията очакваше трите държави членки да предприемат действия. За съжаление Чешката република, Унгария и Полша до момента не са предпр</w:t>
      </w:r>
      <w:r>
        <w:rPr>
          <w:rFonts w:ascii="Times New Roman" w:hAnsi="Times New Roman"/>
          <w:noProof/>
          <w:sz w:val="24"/>
        </w:rPr>
        <w:t>иели никакви мерки в отговор на оплакванията, включени в мотивираното становище; поради това тези процедури за нарушение остават текущи.</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 xml:space="preserve">Макар че настоящите схеми са на път да приключат, ЕС следва да продължи да показва солидарност с Италия и Гърция. </w:t>
      </w:r>
      <w:r>
        <w:rPr>
          <w:rFonts w:ascii="Times New Roman" w:hAnsi="Times New Roman"/>
          <w:noProof/>
          <w:sz w:val="24"/>
        </w:rPr>
        <w:t>Поради това държавите членки се насърчават да продължат да извършват премествания от Италия и Гърция и след приключването на действащите схеми. Комисията е готова да предостави финансова подкрепа за тези държави членки, които продължават усилията за премес</w:t>
      </w:r>
      <w:r>
        <w:rPr>
          <w:rFonts w:ascii="Times New Roman" w:hAnsi="Times New Roman"/>
          <w:noProof/>
          <w:sz w:val="24"/>
        </w:rPr>
        <w:t>тване. Предоставяната от агенции на ЕС помощ на Италия и Гърция също ще продължи и при необходимост ще бъде разширена.</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 xml:space="preserve">Европейската служба за подкрепа в областта на убежището изигра решаваща роля за прилагането на схемата за преместване от началото ѝ през </w:t>
      </w:r>
      <w:r>
        <w:rPr>
          <w:rFonts w:ascii="Times New Roman" w:hAnsi="Times New Roman"/>
          <w:noProof/>
          <w:sz w:val="24"/>
        </w:rPr>
        <w:t>септември 2015 г., включително чрез разполагането на експерти на държавите членки, разработването на инструменти в подкрепа на конкретни стъпки от процедурата по преместване, както и чрез изработването на информационния пакета относно преместването, като т</w:t>
      </w:r>
      <w:r>
        <w:rPr>
          <w:rFonts w:ascii="Times New Roman" w:hAnsi="Times New Roman"/>
          <w:noProof/>
          <w:sz w:val="24"/>
        </w:rPr>
        <w:t>райната подкрепа на държавите членки за Европейската служба за подкрепа в областта на убежището е от основно значение.</w:t>
      </w:r>
    </w:p>
    <w:p w:rsidR="004C41E7" w:rsidRDefault="008B707F">
      <w:pPr>
        <w:spacing w:line="240" w:lineRule="auto"/>
        <w:jc w:val="both"/>
        <w:rPr>
          <w:rFonts w:ascii="Times New Roman" w:hAnsi="Times New Roman" w:cs="Times New Roman"/>
          <w:noProof/>
          <w:sz w:val="24"/>
          <w:szCs w:val="24"/>
        </w:rPr>
      </w:pPr>
      <w:r>
        <w:rPr>
          <w:rFonts w:ascii="Times New Roman" w:hAnsi="Times New Roman"/>
          <w:b/>
          <w:i/>
          <w:noProof/>
          <w:sz w:val="24"/>
        </w:rPr>
        <w:t>Презаселването</w:t>
      </w:r>
      <w:r>
        <w:rPr>
          <w:rFonts w:ascii="Times New Roman" w:hAnsi="Times New Roman"/>
          <w:noProof/>
          <w:sz w:val="24"/>
        </w:rPr>
        <w:t xml:space="preserve"> позволява на ЕС и неговите държави членки едновременно да изпълнят изискването за оказване на помощ на хората, нуждаещи се</w:t>
      </w:r>
      <w:r>
        <w:rPr>
          <w:rFonts w:ascii="Times New Roman" w:hAnsi="Times New Roman"/>
          <w:noProof/>
          <w:sz w:val="24"/>
        </w:rPr>
        <w:t xml:space="preserve"> от международна закрила, и да ограничат стимулите за незаконна миграция. Над 81 % от договорените през 2015 г.</w:t>
      </w:r>
      <w:r>
        <w:rPr>
          <w:rStyle w:val="FootnoteReference"/>
          <w:rFonts w:ascii="Times New Roman" w:hAnsi="Times New Roman"/>
          <w:noProof/>
          <w:sz w:val="24"/>
        </w:rPr>
        <w:footnoteReference w:id="53"/>
      </w:r>
      <w:r>
        <w:rPr>
          <w:rFonts w:ascii="Times New Roman" w:hAnsi="Times New Roman"/>
          <w:noProof/>
          <w:sz w:val="24"/>
        </w:rPr>
        <w:t xml:space="preserve"> 22 504 презаселвания вече са осъществени. Към 10 ноември 2017 г. 18 366 души са били презаселени в 20 държави членки и четири асоциирани държав</w:t>
      </w:r>
      <w:r>
        <w:rPr>
          <w:rFonts w:ascii="Times New Roman" w:hAnsi="Times New Roman"/>
          <w:noProof/>
          <w:sz w:val="24"/>
        </w:rPr>
        <w:t>и,</w:t>
      </w:r>
      <w:r>
        <w:rPr>
          <w:rStyle w:val="FootnoteReference"/>
          <w:rFonts w:ascii="Times New Roman" w:hAnsi="Times New Roman"/>
          <w:noProof/>
          <w:sz w:val="24"/>
        </w:rPr>
        <w:footnoteReference w:id="54"/>
      </w:r>
      <w:r>
        <w:rPr>
          <w:rFonts w:ascii="Times New Roman" w:hAnsi="Times New Roman"/>
          <w:noProof/>
          <w:sz w:val="24"/>
        </w:rPr>
        <w:t xml:space="preserve"> най-вече от Турция, Йордания и Ливан. Тъй като редица държави с голяма квота вече изпълниха или са близо до изпълнението на поетите от тях ангажименти по презаселване, усилията продължават да са насочени основно към презаселвания съгласно Изявлението н</w:t>
      </w:r>
      <w:r>
        <w:rPr>
          <w:rFonts w:ascii="Times New Roman" w:hAnsi="Times New Roman"/>
          <w:noProof/>
          <w:sz w:val="24"/>
        </w:rPr>
        <w:t>а ЕС и Турция. Общият брой на презаселените лица по двете схеми на ЕС за презаселване от тяхното стартиране възлиза на 25 739 души.</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След препоръката на Комисията, в която държавите членки се призовават да предложат поне 50 000 места за презаселване</w:t>
      </w:r>
      <w:r>
        <w:rPr>
          <w:rStyle w:val="FootnoteReference"/>
          <w:rFonts w:ascii="Times New Roman" w:hAnsi="Times New Roman"/>
          <w:noProof/>
          <w:sz w:val="24"/>
        </w:rPr>
        <w:footnoteReference w:id="55"/>
      </w:r>
      <w:r>
        <w:rPr>
          <w:rFonts w:ascii="Times New Roman" w:hAnsi="Times New Roman"/>
          <w:noProof/>
          <w:sz w:val="24"/>
        </w:rPr>
        <w:t>, до 31</w:t>
      </w:r>
      <w:r>
        <w:rPr>
          <w:rFonts w:ascii="Times New Roman" w:hAnsi="Times New Roman"/>
          <w:noProof/>
          <w:sz w:val="24"/>
        </w:rPr>
        <w:t xml:space="preserve"> октомври 2017 г. 16 държави членки са поели ангажимент за общо над 34 400 места за презаселване. Комисията приветства поемането на ангажименти от Белгия, България, Ирландия, Испания, Италия, Кипър, Литва, Люксембург, Обединеното кралство, Португалия, Румъ</w:t>
      </w:r>
      <w:r>
        <w:rPr>
          <w:rFonts w:ascii="Times New Roman" w:hAnsi="Times New Roman"/>
          <w:noProof/>
          <w:sz w:val="24"/>
        </w:rPr>
        <w:t>ния, Словения, Финландия, Франция, Хърватия и Швеция. Редица други държави членки обявиха, че предстои да обявят ангажиментите си в кратък срок, а някои от останалите държави, които вече са поели ангажимент, може да го разширят. Комисията насърчава държави</w:t>
      </w:r>
      <w:r>
        <w:rPr>
          <w:rFonts w:ascii="Times New Roman" w:hAnsi="Times New Roman"/>
          <w:noProof/>
          <w:sz w:val="24"/>
        </w:rPr>
        <w:t>те членки да поемат допълнителни ангажименти възможно най-скоро, особени тези държави, които до момента не са поемали ангажимент, с цел да се постигне поне набелязаната цел от 50 000 места и да се даде възможност на ЕС да започне планирането на конкретните</w:t>
      </w:r>
      <w:r>
        <w:rPr>
          <w:rFonts w:ascii="Times New Roman" w:hAnsi="Times New Roman"/>
          <w:noProof/>
          <w:sz w:val="24"/>
        </w:rPr>
        <w:t xml:space="preserve"> процедури по презаселване, включително евакуацията от Либия в сътрудничество с Върховния комисар за бежанците на ООН.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 xml:space="preserve">Вече има постигнат напредък по обявените в междинния преглед от септември пилотни проекти за </w:t>
      </w:r>
      <w:r>
        <w:rPr>
          <w:rFonts w:ascii="Times New Roman" w:hAnsi="Times New Roman"/>
          <w:b/>
          <w:i/>
          <w:noProof/>
          <w:sz w:val="24"/>
        </w:rPr>
        <w:t>законна миграция</w:t>
      </w:r>
      <w:r>
        <w:rPr>
          <w:rFonts w:ascii="Times New Roman" w:hAnsi="Times New Roman"/>
          <w:noProof/>
          <w:sz w:val="24"/>
        </w:rPr>
        <w:t xml:space="preserve"> с трети страни. Повечето д</w:t>
      </w:r>
      <w:r>
        <w:rPr>
          <w:rFonts w:ascii="Times New Roman" w:hAnsi="Times New Roman"/>
          <w:noProof/>
          <w:sz w:val="24"/>
        </w:rPr>
        <w:t>ържави членки приветстваха концепцията, а редица са готови да пристъпят към изпълнението ѝ</w:t>
      </w:r>
      <w:r>
        <w:rPr>
          <w:rStyle w:val="FootnoteReference"/>
          <w:rFonts w:ascii="Times New Roman" w:hAnsi="Times New Roman"/>
          <w:noProof/>
          <w:sz w:val="24"/>
        </w:rPr>
        <w:footnoteReference w:id="56"/>
      </w:r>
      <w:r>
        <w:rPr>
          <w:noProof/>
        </w:rPr>
        <w:t>.</w:t>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9288"/>
      </w:tblGrid>
      <w:tr w:rsidR="004C41E7">
        <w:tc>
          <w:tcPr>
            <w:tcW w:w="9288" w:type="dxa"/>
          </w:tcPr>
          <w:p w:rsidR="004C41E7" w:rsidRDefault="008B707F">
            <w:pPr>
              <w:jc w:val="both"/>
              <w:rPr>
                <w:rFonts w:ascii="Times New Roman" w:hAnsi="Times New Roman" w:cs="Times New Roman"/>
                <w:b/>
                <w:i/>
                <w:noProof/>
                <w:sz w:val="24"/>
                <w:szCs w:val="24"/>
              </w:rPr>
            </w:pPr>
            <w:r>
              <w:rPr>
                <w:rFonts w:ascii="Times New Roman" w:hAnsi="Times New Roman"/>
                <w:b/>
                <w:i/>
                <w:noProof/>
                <w:sz w:val="24"/>
              </w:rPr>
              <w:t>Основни бъдещи действия</w:t>
            </w:r>
          </w:p>
          <w:p w:rsidR="004C41E7" w:rsidRDefault="004C41E7">
            <w:pPr>
              <w:jc w:val="both"/>
              <w:rPr>
                <w:rFonts w:ascii="Times New Roman" w:hAnsi="Times New Roman" w:cs="Times New Roman"/>
                <w:noProof/>
                <w:sz w:val="24"/>
                <w:szCs w:val="24"/>
              </w:rPr>
            </w:pPr>
          </w:p>
          <w:p w:rsidR="004C41E7" w:rsidRDefault="008B707F">
            <w:pPr>
              <w:pStyle w:val="ListParagraph"/>
              <w:numPr>
                <w:ilvl w:val="0"/>
                <w:numId w:val="22"/>
              </w:numPr>
              <w:ind w:left="426"/>
              <w:jc w:val="both"/>
              <w:rPr>
                <w:rFonts w:ascii="Times New Roman" w:hAnsi="Times New Roman" w:cs="Times New Roman"/>
                <w:noProof/>
                <w:sz w:val="24"/>
                <w:szCs w:val="24"/>
              </w:rPr>
            </w:pPr>
            <w:r>
              <w:rPr>
                <w:rFonts w:ascii="Times New Roman" w:hAnsi="Times New Roman"/>
                <w:noProof/>
                <w:sz w:val="24"/>
              </w:rPr>
              <w:t>Приключване на регистрацията на отговарящи на изискванията кандидати за преместване от Италия;</w:t>
            </w:r>
          </w:p>
          <w:p w:rsidR="004C41E7" w:rsidRDefault="008B707F">
            <w:pPr>
              <w:pStyle w:val="ListParagraph"/>
              <w:numPr>
                <w:ilvl w:val="0"/>
                <w:numId w:val="22"/>
              </w:numPr>
              <w:ind w:left="426"/>
              <w:jc w:val="both"/>
              <w:rPr>
                <w:rFonts w:ascii="Times New Roman" w:hAnsi="Times New Roman" w:cs="Times New Roman"/>
                <w:noProof/>
                <w:sz w:val="24"/>
                <w:szCs w:val="24"/>
              </w:rPr>
            </w:pPr>
            <w:r>
              <w:rPr>
                <w:rFonts w:ascii="Times New Roman" w:hAnsi="Times New Roman"/>
                <w:noProof/>
                <w:sz w:val="24"/>
              </w:rPr>
              <w:t xml:space="preserve">Спешно преместване от държавите членки на </w:t>
            </w:r>
            <w:r>
              <w:rPr>
                <w:rFonts w:ascii="Times New Roman" w:hAnsi="Times New Roman"/>
                <w:noProof/>
                <w:sz w:val="24"/>
              </w:rPr>
              <w:t>оставащите отговарящи на изискванията кандидати от Италия и Гърция; специален акцент върху откриването на допълнителни места за преместване на непридружени ненавършили пълнолетие лица, които отговарят на изискванията; Комисията изразява готовност да продъл</w:t>
            </w:r>
            <w:r>
              <w:rPr>
                <w:rFonts w:ascii="Times New Roman" w:hAnsi="Times New Roman"/>
                <w:noProof/>
                <w:sz w:val="24"/>
              </w:rPr>
              <w:t>жи подкрепата си за държавите членки, които продължават преместването от Италия и Гърция извън настоящите схеми;</w:t>
            </w:r>
          </w:p>
          <w:p w:rsidR="004C41E7" w:rsidRDefault="008B707F">
            <w:pPr>
              <w:pStyle w:val="ListParagraph"/>
              <w:numPr>
                <w:ilvl w:val="0"/>
                <w:numId w:val="22"/>
              </w:numPr>
              <w:ind w:left="426"/>
              <w:jc w:val="both"/>
              <w:rPr>
                <w:rFonts w:ascii="Times New Roman" w:hAnsi="Times New Roman" w:cs="Times New Roman"/>
                <w:noProof/>
                <w:sz w:val="24"/>
                <w:szCs w:val="24"/>
              </w:rPr>
            </w:pPr>
            <w:r>
              <w:rPr>
                <w:rFonts w:ascii="Times New Roman" w:hAnsi="Times New Roman"/>
                <w:noProof/>
                <w:sz w:val="24"/>
              </w:rPr>
              <w:t>Поемане от държавите членки на ангажименти за достигане на целевия брой от 50 000 места за преместване;</w:t>
            </w:r>
          </w:p>
          <w:p w:rsidR="004C41E7" w:rsidRDefault="008B707F">
            <w:pPr>
              <w:pStyle w:val="ListParagraph"/>
              <w:numPr>
                <w:ilvl w:val="0"/>
                <w:numId w:val="22"/>
              </w:numPr>
              <w:ind w:left="426"/>
              <w:jc w:val="both"/>
              <w:rPr>
                <w:rFonts w:ascii="Times New Roman" w:hAnsi="Times New Roman" w:cs="Times New Roman"/>
                <w:noProof/>
                <w:sz w:val="24"/>
                <w:szCs w:val="24"/>
              </w:rPr>
            </w:pPr>
            <w:r>
              <w:rPr>
                <w:rFonts w:ascii="Times New Roman" w:hAnsi="Times New Roman"/>
                <w:noProof/>
                <w:sz w:val="24"/>
              </w:rPr>
              <w:t>Финализиране от Комисията и Върховния к</w:t>
            </w:r>
            <w:r>
              <w:rPr>
                <w:rFonts w:ascii="Times New Roman" w:hAnsi="Times New Roman"/>
                <w:noProof/>
                <w:sz w:val="24"/>
              </w:rPr>
              <w:t xml:space="preserve">омисар за бежанците на проект за евакуация на бежанците от Либия с цел презаселване; </w:t>
            </w:r>
          </w:p>
          <w:p w:rsidR="004C41E7" w:rsidRDefault="008B707F">
            <w:pPr>
              <w:pStyle w:val="ListParagraph"/>
              <w:numPr>
                <w:ilvl w:val="0"/>
                <w:numId w:val="22"/>
              </w:numPr>
              <w:ind w:left="426"/>
              <w:jc w:val="both"/>
              <w:rPr>
                <w:rFonts w:ascii="Times New Roman" w:hAnsi="Times New Roman" w:cs="Times New Roman"/>
                <w:noProof/>
                <w:sz w:val="24"/>
                <w:szCs w:val="24"/>
              </w:rPr>
            </w:pPr>
            <w:r>
              <w:rPr>
                <w:rFonts w:ascii="Times New Roman" w:hAnsi="Times New Roman"/>
                <w:noProof/>
                <w:sz w:val="24"/>
              </w:rPr>
              <w:t>Определяне заедно със заинтересованите държави членки на обхвата на пилотните проекти относно законната миграция и идентифициране на трети държави, които биха могли да уч</w:t>
            </w:r>
            <w:r>
              <w:rPr>
                <w:rFonts w:ascii="Times New Roman" w:hAnsi="Times New Roman"/>
                <w:noProof/>
                <w:sz w:val="24"/>
              </w:rPr>
              <w:t xml:space="preserve">астват. </w:t>
            </w:r>
          </w:p>
          <w:p w:rsidR="004C41E7" w:rsidRDefault="004C41E7">
            <w:pPr>
              <w:jc w:val="both"/>
              <w:rPr>
                <w:rFonts w:ascii="Times New Roman" w:hAnsi="Times New Roman" w:cs="Times New Roman"/>
                <w:noProof/>
                <w:sz w:val="24"/>
                <w:szCs w:val="24"/>
              </w:rPr>
            </w:pPr>
          </w:p>
        </w:tc>
      </w:tr>
    </w:tbl>
    <w:p w:rsidR="004C41E7" w:rsidRDefault="004C41E7">
      <w:pPr>
        <w:spacing w:line="240" w:lineRule="auto"/>
        <w:jc w:val="both"/>
        <w:rPr>
          <w:rFonts w:ascii="Times New Roman" w:hAnsi="Times New Roman" w:cs="Times New Roman"/>
          <w:b/>
          <w:noProof/>
          <w:sz w:val="24"/>
          <w:szCs w:val="24"/>
        </w:rPr>
      </w:pPr>
    </w:p>
    <w:p w:rsidR="004C41E7" w:rsidRDefault="008B707F">
      <w:pPr>
        <w:spacing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8. </w:t>
      </w:r>
      <w:r>
        <w:rPr>
          <w:noProof/>
        </w:rPr>
        <w:tab/>
      </w:r>
      <w:r>
        <w:rPr>
          <w:rFonts w:ascii="Times New Roman" w:hAnsi="Times New Roman"/>
          <w:b/>
          <w:noProof/>
          <w:sz w:val="24"/>
        </w:rPr>
        <w:t xml:space="preserve">НЕПРЕКЪСНАТО УКРЕПВАНЕ НА УПРАВЛЕНИЕТО НА ВЪНШНИТЕ ГРАНИЦИ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 xml:space="preserve">Една година след създаването си, понастоящем </w:t>
      </w:r>
      <w:r>
        <w:rPr>
          <w:rFonts w:ascii="Times New Roman" w:hAnsi="Times New Roman"/>
          <w:b/>
          <w:i/>
          <w:noProof/>
          <w:sz w:val="24"/>
        </w:rPr>
        <w:t>Европейската агенция за гранична и брегова охрана</w:t>
      </w:r>
      <w:r>
        <w:rPr>
          <w:rFonts w:ascii="Times New Roman" w:hAnsi="Times New Roman"/>
          <w:noProof/>
          <w:sz w:val="24"/>
        </w:rPr>
        <w:t xml:space="preserve"> оказва подкрепа на държавите членки чрез съвместни операции по главните маршрути на м</w:t>
      </w:r>
      <w:r>
        <w:rPr>
          <w:rFonts w:ascii="Times New Roman" w:hAnsi="Times New Roman"/>
          <w:noProof/>
          <w:sz w:val="24"/>
        </w:rPr>
        <w:t xml:space="preserve">играция през Източното, Централното и Западното Средиземноморие и Западните Балкани и е разположила над 1500 гранични и други служители. Поради нарастването на броя на пристиганията в Испания, операция „Indalo“, която обичайно се провежда само по време на </w:t>
      </w:r>
      <w:r>
        <w:rPr>
          <w:rFonts w:ascii="Times New Roman" w:hAnsi="Times New Roman"/>
          <w:noProof/>
          <w:sz w:val="24"/>
        </w:rPr>
        <w:t>летните пикове, бе удължена до края на 2017 г. Друга област от подкрепата е изготвянето на оценки на уязвимостта и свързани с това препоръки за държавите членки.</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Въпреки това все още има недостиг по отношение на текущите съвместни операции в подкрепа на дъ</w:t>
      </w:r>
      <w:r>
        <w:rPr>
          <w:rFonts w:ascii="Times New Roman" w:hAnsi="Times New Roman"/>
          <w:noProof/>
          <w:sz w:val="24"/>
        </w:rPr>
        <w:t>ржавите членки под натиск. Ангажиментите все още са твърде къси във времето и не съответстват в достатъчна степен на спецификациите, а освен това са и в недостатъчен мащаб. Единствената област, в която не се очаква недостиг до средата на ноември, е съвмест</w:t>
      </w:r>
      <w:r>
        <w:rPr>
          <w:rFonts w:ascii="Times New Roman" w:hAnsi="Times New Roman"/>
          <w:noProof/>
          <w:sz w:val="24"/>
        </w:rPr>
        <w:t xml:space="preserve">ната операция „Посейдон“.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Макар да е постигнат допълнителен напредък по създаването на постоянен капацитет за бърза реакция, до 9 ноември 2017 г. 26 държави членки са номинирали свои гранични служители, с което са запълнени 74 % от изисквания състав на ре</w:t>
      </w:r>
      <w:r>
        <w:rPr>
          <w:rFonts w:ascii="Times New Roman" w:hAnsi="Times New Roman"/>
          <w:noProof/>
          <w:sz w:val="24"/>
        </w:rPr>
        <w:t>зерва (1110 от 1500 служители). От септември няма допълнителен напредък относно фонда от оборудване за бързо реагиране</w:t>
      </w:r>
      <w:r>
        <w:rPr>
          <w:rStyle w:val="FootnoteReference"/>
          <w:rFonts w:ascii="Times New Roman" w:hAnsi="Times New Roman"/>
          <w:noProof/>
          <w:sz w:val="24"/>
        </w:rPr>
        <w:footnoteReference w:id="57"/>
      </w:r>
      <w:r>
        <w:rPr>
          <w:rFonts w:ascii="Times New Roman" w:hAnsi="Times New Roman"/>
          <w:noProof/>
          <w:sz w:val="24"/>
        </w:rPr>
        <w:t>, като за повечето видове оборудване е налице значителен недостиг — само 14 държави членки са дали своя принос, а след април не са получа</w:t>
      </w:r>
      <w:r>
        <w:rPr>
          <w:rFonts w:ascii="Times New Roman" w:hAnsi="Times New Roman"/>
          <w:noProof/>
          <w:sz w:val="24"/>
        </w:rPr>
        <w:t>вани нови заявки за ангажименти. За оказване на съдействие по отношение на оборудването, предоставено на Агенцията, през август 2017 г. Комисията отпусна допълнителни 76 милиона евро в рамките на специфичните действия</w:t>
      </w:r>
      <w:r>
        <w:rPr>
          <w:rStyle w:val="FootnoteReference"/>
          <w:rFonts w:ascii="Times New Roman" w:hAnsi="Times New Roman"/>
          <w:noProof/>
          <w:sz w:val="24"/>
        </w:rPr>
        <w:footnoteReference w:id="58"/>
      </w:r>
      <w:r>
        <w:rPr>
          <w:rFonts w:ascii="Times New Roman" w:hAnsi="Times New Roman"/>
          <w:noProof/>
          <w:sz w:val="24"/>
        </w:rPr>
        <w:t xml:space="preserve"> по фонд „Вътрешна сигурност“, предназ</w:t>
      </w:r>
      <w:r>
        <w:rPr>
          <w:rFonts w:ascii="Times New Roman" w:hAnsi="Times New Roman"/>
          <w:noProof/>
          <w:sz w:val="24"/>
        </w:rPr>
        <w:t>начени за закупуването на морски активи от държавите членки. Това допълва отпуснатите през 2015 г. за тази цел 132 милиона евро. Държавите членки следва сега да увеличат усилията си за изпълнение на тези проекти, за да може тези активи да бъдат достъпни за</w:t>
      </w:r>
      <w:r>
        <w:rPr>
          <w:rFonts w:ascii="Times New Roman" w:hAnsi="Times New Roman"/>
          <w:noProof/>
          <w:sz w:val="24"/>
        </w:rPr>
        <w:t xml:space="preserve"> Агенцията. В допълнение, Агенцията прие стратегия за придобиване на собствени активи в периода 2017—2020 г. и към момента разработва дългосрочна стратегия за периода до 2027 г.</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 xml:space="preserve">Основна област от работата на Агенцията е разработването на оценки на </w:t>
      </w:r>
      <w:r>
        <w:rPr>
          <w:rFonts w:ascii="Times New Roman" w:hAnsi="Times New Roman"/>
          <w:noProof/>
          <w:sz w:val="24"/>
        </w:rPr>
        <w:t>уязвимостта за идентифициране на възможни слабости в граничния контрол на държавите членки. Като следваща стъпка държавите членки трябва да изпълнят препоръките от юли 2017 г., а Агенцията да въведе ефективен механизъм за наблюдение, за да се гарантира изп</w:t>
      </w:r>
      <w:r>
        <w:rPr>
          <w:rFonts w:ascii="Times New Roman" w:hAnsi="Times New Roman"/>
          <w:noProof/>
          <w:sz w:val="24"/>
        </w:rPr>
        <w:t>ълнението на плановете за действие, представени от държавите членки през септември 2017 г. След провеждане на симулационни учения предстои Агенцията да завърши оценките</w:t>
      </w:r>
      <w:r>
        <w:rPr>
          <w:rStyle w:val="FootnoteReference"/>
          <w:rFonts w:ascii="Times New Roman" w:hAnsi="Times New Roman"/>
          <w:noProof/>
          <w:sz w:val="24"/>
        </w:rPr>
        <w:footnoteReference w:id="59"/>
      </w:r>
      <w:r>
        <w:rPr>
          <w:noProof/>
        </w:rPr>
        <w:t>.</w:t>
      </w:r>
      <w:r>
        <w:rPr>
          <w:rFonts w:ascii="Times New Roman" w:hAnsi="Times New Roman"/>
          <w:noProof/>
          <w:sz w:val="24"/>
        </w:rPr>
        <w:t xml:space="preserve"> Този процес може също така да доведе до допълнителни препоръки. Общата методология за</w:t>
      </w:r>
      <w:r>
        <w:rPr>
          <w:rFonts w:ascii="Times New Roman" w:hAnsi="Times New Roman"/>
          <w:noProof/>
          <w:sz w:val="24"/>
        </w:rPr>
        <w:t xml:space="preserve"> оценките на уязвимостта се очаква да бъде преразгледана на следващата среща на управителния съвет, която ще се проведе на 22 и 23 ноември 2017 г. Освен това се работи по стартиране на процеса за разполагане на служители за връзка</w:t>
      </w:r>
      <w:r>
        <w:rPr>
          <w:rStyle w:val="FootnoteReference"/>
          <w:rFonts w:ascii="Times New Roman" w:hAnsi="Times New Roman"/>
          <w:noProof/>
          <w:sz w:val="24"/>
        </w:rPr>
        <w:footnoteReference w:id="60"/>
      </w:r>
      <w:r>
        <w:rPr>
          <w:rFonts w:ascii="Times New Roman" w:hAnsi="Times New Roman"/>
          <w:noProof/>
          <w:sz w:val="24"/>
        </w:rPr>
        <w:t xml:space="preserve"> в държавите членки, като</w:t>
      </w:r>
      <w:r>
        <w:rPr>
          <w:rFonts w:ascii="Times New Roman" w:hAnsi="Times New Roman"/>
          <w:noProof/>
          <w:sz w:val="24"/>
        </w:rPr>
        <w:t xml:space="preserve"> той следва да бъде приключен от Агенцията до февруари 2018 г.</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 xml:space="preserve">Сътрудничеството с трети държави е съществено за работата на Агенцията. В момента текат преговори със Сърбия и бившата югославска република Македония за завършване на споразуменията за статут. </w:t>
      </w:r>
      <w:r>
        <w:rPr>
          <w:rFonts w:ascii="Times New Roman" w:hAnsi="Times New Roman"/>
          <w:noProof/>
          <w:sz w:val="24"/>
        </w:rPr>
        <w:t>На 16 октомври 2017 г. Съветът даде зелена светлина на преговорите за сходни споразумения с Албания, Черна гора и Босна и Херцеговина.</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 xml:space="preserve">Разработването на </w:t>
      </w:r>
      <w:r>
        <w:rPr>
          <w:rFonts w:ascii="Times New Roman" w:hAnsi="Times New Roman"/>
          <w:b/>
          <w:i/>
          <w:noProof/>
          <w:sz w:val="24"/>
        </w:rPr>
        <w:t>Европейската стратегия за интегрирано управление на границите</w:t>
      </w:r>
      <w:r>
        <w:rPr>
          <w:rFonts w:ascii="Times New Roman" w:hAnsi="Times New Roman"/>
          <w:noProof/>
          <w:sz w:val="24"/>
        </w:rPr>
        <w:t xml:space="preserve"> за обединяване на работата на национално </w:t>
      </w:r>
      <w:r>
        <w:rPr>
          <w:rFonts w:ascii="Times New Roman" w:hAnsi="Times New Roman"/>
          <w:noProof/>
          <w:sz w:val="24"/>
        </w:rPr>
        <w:t>равнище и равнище ЕС беше тема на специална среща с Европейския парламент и държавите членки на 17 октомври 2017 г. Това ще подпомогне последващата работа по определянето на основните елементи на общата стратегия за интегрирано управление на границите на Е</w:t>
      </w:r>
      <w:r>
        <w:rPr>
          <w:rFonts w:ascii="Times New Roman" w:hAnsi="Times New Roman"/>
          <w:noProof/>
          <w:sz w:val="24"/>
        </w:rPr>
        <w:t>С като цяло</w:t>
      </w:r>
      <w:r>
        <w:rPr>
          <w:rStyle w:val="FootnoteReference"/>
          <w:rFonts w:ascii="Times New Roman" w:hAnsi="Times New Roman"/>
          <w:noProof/>
          <w:sz w:val="24"/>
        </w:rPr>
        <w:footnoteReference w:id="61"/>
      </w:r>
      <w:r>
        <w:rPr>
          <w:noProof/>
        </w:rPr>
        <w:t>.</w:t>
      </w:r>
    </w:p>
    <w:tbl>
      <w:tblPr>
        <w:tblStyle w:val="TableGrid"/>
        <w:tblW w:w="0" w:type="auto"/>
        <w:tblLook w:val="04A0" w:firstRow="1" w:lastRow="0" w:firstColumn="1" w:lastColumn="0" w:noHBand="0" w:noVBand="1"/>
      </w:tblPr>
      <w:tblGrid>
        <w:gridCol w:w="9288"/>
      </w:tblGrid>
      <w:tr w:rsidR="004C41E7">
        <w:tc>
          <w:tcPr>
            <w:tcW w:w="9288" w:type="dxa"/>
          </w:tcPr>
          <w:p w:rsidR="004C41E7" w:rsidRDefault="008B707F">
            <w:pPr>
              <w:jc w:val="both"/>
              <w:rPr>
                <w:rFonts w:ascii="Times New Roman" w:hAnsi="Times New Roman" w:cs="Times New Roman"/>
                <w:b/>
                <w:i/>
                <w:noProof/>
                <w:sz w:val="24"/>
                <w:szCs w:val="24"/>
              </w:rPr>
            </w:pPr>
            <w:r>
              <w:rPr>
                <w:rFonts w:ascii="Times New Roman" w:hAnsi="Times New Roman"/>
                <w:b/>
                <w:i/>
                <w:noProof/>
                <w:sz w:val="24"/>
              </w:rPr>
              <w:t>Основни бъдещи действия</w:t>
            </w:r>
          </w:p>
          <w:p w:rsidR="004C41E7" w:rsidRDefault="004C41E7">
            <w:pPr>
              <w:jc w:val="both"/>
              <w:rPr>
                <w:rFonts w:ascii="Times New Roman" w:hAnsi="Times New Roman" w:cs="Times New Roman"/>
                <w:noProof/>
                <w:sz w:val="24"/>
                <w:szCs w:val="24"/>
              </w:rPr>
            </w:pPr>
          </w:p>
          <w:p w:rsidR="004C41E7" w:rsidRDefault="008B707F">
            <w:pPr>
              <w:pStyle w:val="ListParagraph"/>
              <w:numPr>
                <w:ilvl w:val="0"/>
                <w:numId w:val="21"/>
              </w:numPr>
              <w:ind w:left="426"/>
              <w:jc w:val="both"/>
              <w:rPr>
                <w:rFonts w:ascii="Times New Roman" w:hAnsi="Times New Roman" w:cs="Times New Roman"/>
                <w:noProof/>
                <w:sz w:val="24"/>
                <w:szCs w:val="24"/>
              </w:rPr>
            </w:pPr>
            <w:r>
              <w:rPr>
                <w:rFonts w:ascii="Times New Roman" w:hAnsi="Times New Roman"/>
                <w:noProof/>
                <w:sz w:val="24"/>
              </w:rPr>
              <w:t>Изпълнения от страна на държавите членки на задълженията за принос към резервите за бързо реагиране, създадени от Европейската агенция за гранична и брегова охрана;</w:t>
            </w:r>
          </w:p>
          <w:p w:rsidR="004C41E7" w:rsidRDefault="008B707F">
            <w:pPr>
              <w:pStyle w:val="ListParagraph"/>
              <w:numPr>
                <w:ilvl w:val="0"/>
                <w:numId w:val="21"/>
              </w:numPr>
              <w:ind w:left="426"/>
              <w:jc w:val="both"/>
              <w:rPr>
                <w:rFonts w:ascii="Times New Roman" w:hAnsi="Times New Roman" w:cs="Times New Roman"/>
                <w:noProof/>
                <w:sz w:val="24"/>
                <w:szCs w:val="24"/>
              </w:rPr>
            </w:pPr>
            <w:r>
              <w:rPr>
                <w:rFonts w:ascii="Times New Roman" w:hAnsi="Times New Roman"/>
                <w:noProof/>
                <w:sz w:val="24"/>
              </w:rPr>
              <w:t xml:space="preserve">Навременно изпълнение от страна на държавите членки </w:t>
            </w:r>
            <w:r>
              <w:rPr>
                <w:rFonts w:ascii="Times New Roman" w:hAnsi="Times New Roman"/>
                <w:noProof/>
                <w:sz w:val="24"/>
              </w:rPr>
              <w:t>на препоръките, отправени въз основа на оценката на уязвимостта, и ефективното им наблюдение от Европейската агенция за гранична и брегова охрана;</w:t>
            </w:r>
          </w:p>
          <w:p w:rsidR="004C41E7" w:rsidRDefault="008B707F">
            <w:pPr>
              <w:pStyle w:val="ListParagraph"/>
              <w:numPr>
                <w:ilvl w:val="0"/>
                <w:numId w:val="21"/>
              </w:numPr>
              <w:ind w:left="426"/>
              <w:jc w:val="both"/>
              <w:rPr>
                <w:rFonts w:ascii="Times New Roman" w:hAnsi="Times New Roman" w:cs="Times New Roman"/>
                <w:noProof/>
                <w:sz w:val="24"/>
                <w:szCs w:val="24"/>
              </w:rPr>
            </w:pPr>
            <w:r>
              <w:rPr>
                <w:rFonts w:ascii="Times New Roman" w:hAnsi="Times New Roman"/>
                <w:noProof/>
                <w:sz w:val="24"/>
              </w:rPr>
              <w:t>Пълноценно използване от държавите членки на цялата възможна подкрепа, предоставена от Агенцията.</w:t>
            </w:r>
          </w:p>
          <w:p w:rsidR="004C41E7" w:rsidRDefault="004C41E7">
            <w:pPr>
              <w:pStyle w:val="ListParagraph"/>
              <w:jc w:val="both"/>
              <w:rPr>
                <w:rFonts w:ascii="Times New Roman" w:hAnsi="Times New Roman" w:cs="Times New Roman"/>
                <w:noProof/>
                <w:sz w:val="24"/>
                <w:szCs w:val="24"/>
              </w:rPr>
            </w:pPr>
          </w:p>
        </w:tc>
      </w:tr>
    </w:tbl>
    <w:p w:rsidR="004C41E7" w:rsidRDefault="004C41E7">
      <w:pPr>
        <w:spacing w:line="240" w:lineRule="auto"/>
        <w:jc w:val="both"/>
        <w:rPr>
          <w:rFonts w:ascii="Times New Roman" w:hAnsi="Times New Roman" w:cs="Times New Roman"/>
          <w:b/>
          <w:noProof/>
          <w:sz w:val="24"/>
          <w:szCs w:val="24"/>
        </w:rPr>
      </w:pPr>
    </w:p>
    <w:p w:rsidR="004C41E7" w:rsidRDefault="008B707F">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9. </w:t>
      </w:r>
      <w:r>
        <w:rPr>
          <w:noProof/>
        </w:rPr>
        <w:tab/>
      </w:r>
      <w:r>
        <w:rPr>
          <w:rFonts w:ascii="Times New Roman" w:hAnsi="Times New Roman"/>
          <w:b/>
          <w:noProof/>
          <w:sz w:val="24"/>
        </w:rPr>
        <w:t xml:space="preserve">ЗАКЛЮЧЕНИЕ И СЛЕДВАЩИ СТЪПКИ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В настоящия доклад са обединени различните направления, по които се работи в рамките на европейската програма за миграцията. Той илюстрира всеобхватния характер на предприетата работа и абсолютната необходимост да се запази ин</w:t>
      </w:r>
      <w:r>
        <w:rPr>
          <w:rFonts w:ascii="Times New Roman" w:hAnsi="Times New Roman"/>
          <w:noProof/>
          <w:sz w:val="24"/>
        </w:rPr>
        <w:t xml:space="preserve">тензивността на усилията на ЕС във всички области. Занапред Комисията ще продължи да следва подхода за представяне на единен широкообхватен доклад, като подчертава въпросите, които се нуждаят от специално внимание. </w:t>
      </w:r>
    </w:p>
    <w:p w:rsidR="004C41E7" w:rsidRDefault="008B707F">
      <w:pPr>
        <w:spacing w:line="240" w:lineRule="auto"/>
        <w:jc w:val="both"/>
        <w:rPr>
          <w:rFonts w:ascii="Times New Roman" w:hAnsi="Times New Roman" w:cs="Times New Roman"/>
          <w:noProof/>
          <w:sz w:val="24"/>
          <w:szCs w:val="24"/>
        </w:rPr>
      </w:pPr>
      <w:r>
        <w:rPr>
          <w:rFonts w:ascii="Times New Roman" w:hAnsi="Times New Roman"/>
          <w:noProof/>
          <w:sz w:val="24"/>
        </w:rPr>
        <w:t>В настоящия доклад са набелязани основни</w:t>
      </w:r>
      <w:r>
        <w:rPr>
          <w:rFonts w:ascii="Times New Roman" w:hAnsi="Times New Roman"/>
          <w:noProof/>
          <w:sz w:val="24"/>
        </w:rPr>
        <w:t>те оперативни дейности, необходими да се гарантира ефективността на отговора на ЕС на настоящото миграционно предизвикателство. Те изискват неотложно внимание и устойчив ангажимент от страна на държавите членки и институциите и агенциите на ЕС. Те също так</w:t>
      </w:r>
      <w:r>
        <w:rPr>
          <w:rFonts w:ascii="Times New Roman" w:hAnsi="Times New Roman"/>
          <w:noProof/>
          <w:sz w:val="24"/>
        </w:rPr>
        <w:t>а допринасят за подготовка на почвата за постигането на споразумение относно реформата на общата европейска система за убежище. В това отношение Европейският съвет от декември ще бъде възможност да се обобщи постигнатият напредък и да се набележи пътят нап</w:t>
      </w:r>
      <w:r>
        <w:rPr>
          <w:rFonts w:ascii="Times New Roman" w:hAnsi="Times New Roman"/>
          <w:noProof/>
          <w:sz w:val="24"/>
        </w:rPr>
        <w:t>ред в съответствие с програмата на лидерите, приета на заседанието на Европейския съвет през октомври.</w:t>
      </w:r>
    </w:p>
    <w:p w:rsidR="004C41E7" w:rsidRDefault="008B707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cs="Times New Roman"/>
          <w:noProof/>
          <w:sz w:val="24"/>
          <w:szCs w:val="24"/>
        </w:rPr>
        <w:br/>
      </w:r>
    </w:p>
    <w:p w:rsidR="004C41E7" w:rsidRPr="008B707F" w:rsidRDefault="004C41E7">
      <w:pPr>
        <w:spacing w:after="0"/>
        <w:rPr>
          <w:i/>
          <w:noProof/>
        </w:rPr>
      </w:pPr>
    </w:p>
    <w:sectPr w:rsidR="004C41E7" w:rsidRPr="008B707F">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1E7" w:rsidRDefault="008B707F">
      <w:pPr>
        <w:spacing w:after="0" w:line="240" w:lineRule="auto"/>
      </w:pPr>
      <w:r>
        <w:separator/>
      </w:r>
    </w:p>
  </w:endnote>
  <w:endnote w:type="continuationSeparator" w:id="0">
    <w:p w:rsidR="004C41E7" w:rsidRDefault="008B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7F" w:rsidRPr="008B707F" w:rsidRDefault="008B707F" w:rsidP="008B70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7F" w:rsidRPr="008B707F" w:rsidRDefault="008B707F" w:rsidP="008B707F">
    <w:pPr>
      <w:pStyle w:val="FooterCoverPage"/>
      <w:rPr>
        <w:rFonts w:ascii="Arial" w:hAnsi="Arial" w:cs="Arial"/>
        <w:b/>
        <w:sz w:val="48"/>
      </w:rPr>
    </w:pPr>
    <w:r w:rsidRPr="008B707F">
      <w:rPr>
        <w:rFonts w:ascii="Arial" w:hAnsi="Arial" w:cs="Arial"/>
        <w:b/>
        <w:sz w:val="48"/>
      </w:rPr>
      <w:t>BG</w:t>
    </w:r>
    <w:r w:rsidRPr="008B707F">
      <w:rPr>
        <w:rFonts w:ascii="Arial" w:hAnsi="Arial" w:cs="Arial"/>
        <w:b/>
        <w:sz w:val="48"/>
      </w:rPr>
      <w:tab/>
    </w:r>
    <w:r w:rsidRPr="008B707F">
      <w:rPr>
        <w:rFonts w:ascii="Arial" w:hAnsi="Arial" w:cs="Arial"/>
        <w:b/>
        <w:sz w:val="48"/>
      </w:rPr>
      <w:tab/>
    </w:r>
    <w:r w:rsidRPr="008B707F">
      <w:tab/>
    </w:r>
    <w:r w:rsidRPr="008B707F">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7F" w:rsidRPr="008B707F" w:rsidRDefault="008B707F" w:rsidP="008B707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E7" w:rsidRDefault="004C41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647959"/>
      <w:docPartObj>
        <w:docPartGallery w:val="Page Numbers (Bottom of Page)"/>
        <w:docPartUnique/>
      </w:docPartObj>
    </w:sdtPr>
    <w:sdtEndPr>
      <w:rPr>
        <w:rFonts w:ascii="Times New Roman" w:hAnsi="Times New Roman" w:cs="Times New Roman"/>
        <w:noProof/>
        <w:sz w:val="24"/>
        <w:szCs w:val="24"/>
      </w:rPr>
    </w:sdtEndPr>
    <w:sdtContent>
      <w:p w:rsidR="004C41E7" w:rsidRDefault="008B707F">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rsidR="004C41E7" w:rsidRDefault="004C41E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E7" w:rsidRDefault="004C4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1E7" w:rsidRDefault="008B707F">
      <w:pPr>
        <w:spacing w:after="0" w:line="240" w:lineRule="auto"/>
      </w:pPr>
      <w:r>
        <w:separator/>
      </w:r>
    </w:p>
  </w:footnote>
  <w:footnote w:type="continuationSeparator" w:id="0">
    <w:p w:rsidR="004C41E7" w:rsidRDefault="008B707F">
      <w:pPr>
        <w:spacing w:after="0" w:line="240" w:lineRule="auto"/>
      </w:pPr>
      <w:r>
        <w:continuationSeparator/>
      </w:r>
    </w:p>
  </w:footnote>
  <w:footnote w:id="1">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COM(2015) 240 final, 13.5.2015 г.</w:t>
      </w:r>
    </w:p>
  </w:footnote>
  <w:footnote w:id="2">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558 final, 27.9.2017 г.</w:t>
      </w:r>
    </w:p>
  </w:footnote>
  <w:footnote w:id="3">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Заключения на Европейския съвет </w:t>
      </w:r>
      <w:r>
        <w:rPr>
          <w:rFonts w:ascii="Times New Roman" w:hAnsi="Times New Roman"/>
        </w:rPr>
        <w:t>от 19.10.2017 г., документ EUCO 14/17 CO EUR 17, CONCL 5.</w:t>
      </w:r>
    </w:p>
  </w:footnote>
  <w:footnote w:id="4">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Във връзка с изпълнението на Изявлението на ЕС и Турция бяха изготвени седем доклада, относно премесването и презаселването — петнадесет, относно привеждането в действие на европейската гранична </w:t>
      </w:r>
      <w:r>
        <w:rPr>
          <w:rFonts w:ascii="Times New Roman" w:hAnsi="Times New Roman"/>
        </w:rPr>
        <w:t>и брегова охрана — пет и относно напредъка, постигнат в областта на рамката за партньорство с трети държави — пет.</w:t>
      </w:r>
    </w:p>
  </w:footnote>
  <w:footnote w:id="5">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Представени са също така по-дългосрочни тенденции и сравнения.</w:t>
      </w:r>
    </w:p>
  </w:footnote>
  <w:footnote w:id="6">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сравнение с това, средният брой на пристигащите дневно в месеците, пре</w:t>
      </w:r>
      <w:r>
        <w:rPr>
          <w:rFonts w:ascii="Times New Roman" w:hAnsi="Times New Roman"/>
        </w:rPr>
        <w:t>дхождащи Изявлението на ЕС и Турция, е 1700.</w:t>
      </w:r>
    </w:p>
  </w:footnote>
  <w:footnote w:id="7">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Разпределението по гражданство на мигрантите, пристигнали след 1 август, е следното: сирийци (40 %), иракчани (22 %), афганистанци (12 %), турци (8 %).</w:t>
      </w:r>
    </w:p>
  </w:footnote>
  <w:footnote w:id="8">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Ако се съди по броя на задържаните от турската брегов</w:t>
      </w:r>
      <w:r>
        <w:rPr>
          <w:rFonts w:ascii="Times New Roman" w:hAnsi="Times New Roman"/>
        </w:rPr>
        <w:t>а охрана, разполагането на допълнителни средства за наблюдение в Черно море през втората половина на август, в съчетание с влошаващите се метеорологични условия, може да е допринесло за това.</w:t>
      </w:r>
    </w:p>
  </w:footnote>
  <w:footnote w:id="9">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 xml:space="preserve">Около 98 % от мигрантите, заминаващи от Тунис, са тунизийци, </w:t>
      </w:r>
      <w:r>
        <w:rPr>
          <w:rFonts w:ascii="Times New Roman" w:hAnsi="Times New Roman"/>
        </w:rPr>
        <w:t>общо 5749 до момента за 2017 г.</w:t>
      </w:r>
    </w:p>
  </w:footnote>
  <w:footnote w:id="10">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Източник: МОМ, проект „Missing migrants“ (https://missingmigrants.iom.int/region/mediterranean).</w:t>
      </w:r>
    </w:p>
  </w:footnote>
  <w:footnote w:id="11">
    <w:p w:rsidR="004C41E7" w:rsidRDefault="008B707F">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През годината до 5 ноември.</w:t>
      </w:r>
    </w:p>
  </w:footnote>
  <w:footnote w:id="12">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Преди това тези плавателни съдове са били задържани от Италия.</w:t>
      </w:r>
    </w:p>
  </w:footnote>
  <w:footnote w:id="13">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Извънреден Доверителен ф</w:t>
      </w:r>
      <w:r>
        <w:rPr>
          <w:rFonts w:ascii="Times New Roman" w:hAnsi="Times New Roman"/>
        </w:rPr>
        <w:t xml:space="preserve">онд на ЕС за стабилност и преодоляване на първопричините за незаконната миграция и разселването на хора в Африка („Доверителен фонд на ЕС за Африка“); Решение С(2015) 7293 final на Комисията. </w:t>
      </w:r>
    </w:p>
  </w:footnote>
  <w:footnote w:id="14">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Последни налични данни от Европейската служба за подкрепа в </w:t>
      </w:r>
      <w:r>
        <w:rPr>
          <w:rFonts w:ascii="Times New Roman" w:hAnsi="Times New Roman"/>
        </w:rPr>
        <w:t>областта на убежището (EASO).</w:t>
      </w:r>
    </w:p>
  </w:footnote>
  <w:footnote w:id="15">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Източник: Евростат. Последна актуализация: 26 октомври 2017 г.</w:t>
      </w:r>
    </w:p>
  </w:footnote>
  <w:footnote w:id="16">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SEC(2017) 372 от 14.11.2017 г.</w:t>
      </w:r>
    </w:p>
  </w:footnote>
  <w:footnote w:id="17">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Съобщение относно защитата на децата в контекста на миграцията, COM(2017) 211 final от 12.4.2017 г.</w:t>
      </w:r>
    </w:p>
  </w:footnote>
  <w:footnote w:id="18">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Общият брой на мигра</w:t>
      </w:r>
      <w:r>
        <w:rPr>
          <w:rFonts w:ascii="Times New Roman" w:hAnsi="Times New Roman"/>
        </w:rPr>
        <w:t>нтите, настанени понастоящем на гръцките острови, е приблизително 15 000 души, което надвишава над два пъти капацитета за приемане, възлизащ на 7000 души.</w:t>
      </w:r>
    </w:p>
  </w:footnote>
  <w:footnote w:id="19">
    <w:p w:rsidR="004C41E7" w:rsidRDefault="008B707F">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Програмата за отпускане на парични средства в Гърция осигурява на бежанците и мигрантите с </w:t>
      </w:r>
      <w:r>
        <w:rPr>
          <w:rFonts w:ascii="Times New Roman" w:hAnsi="Times New Roman"/>
          <w:sz w:val="20"/>
        </w:rPr>
        <w:t>хуманитарни нужди фиксирана месечна сума за покриване на нуждите от храни и нехранителни стоки.</w:t>
      </w:r>
    </w:p>
  </w:footnote>
  <w:footnote w:id="20">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Към EASO са разположени 107 национални експерти от държавите членки, които подкрепят изпълнението на изявлението на ЕС и Турция в Гърция</w:t>
      </w:r>
    </w:p>
  </w:footnote>
  <w:footnote w:id="21">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COM(2017) 470</w:t>
      </w:r>
      <w:r>
        <w:rPr>
          <w:rFonts w:ascii="Times New Roman" w:hAnsi="Times New Roman"/>
        </w:rPr>
        <w:t xml:space="preserve"> final от 6.9.2017 г.</w:t>
      </w:r>
    </w:p>
  </w:footnote>
  <w:footnote w:id="22">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От 20 март 2016 г. са извършени 1380 връщания на лица в Турция по силата на изявлението на ЕС и Турция и 589 връщания по силата на двустранния протокол между Гърция и Турция.</w:t>
      </w:r>
    </w:p>
  </w:footnote>
  <w:footnote w:id="23">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До момента 15 държави членки са презаселили сирийски </w:t>
      </w:r>
      <w:r>
        <w:rPr>
          <w:rFonts w:ascii="Times New Roman" w:hAnsi="Times New Roman"/>
        </w:rPr>
        <w:t>бежанци от Турция, а именно Австрия, Белгия, Германия, Естония, Испания, Италия, Латвия, Литва, Люксембург, Малта — с първа операция по презаселване съгласно изявлението на ЕС и Турция — Нидерландия, Португалия, Финландия, Франция и Швеция. В допълнение къ</w:t>
      </w:r>
      <w:r>
        <w:rPr>
          <w:rFonts w:ascii="Times New Roman" w:hAnsi="Times New Roman"/>
        </w:rPr>
        <w:t>м това, от 4 април 2016 г. досега Норвегия е презаселила 814 сирийци от Турция. През октомври Хърватия проведе първата си мисия за проверка в Турция и се очаква в следващите седмици да осъществи презаселване.</w:t>
      </w:r>
    </w:p>
  </w:footnote>
  <w:footnote w:id="24">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През декември 2017 г. предстои да бъдат подп</w:t>
      </w:r>
      <w:r>
        <w:rPr>
          <w:rFonts w:ascii="Times New Roman" w:hAnsi="Times New Roman"/>
        </w:rPr>
        <w:t>исани два големи договора за разширяване на Мрежата за социална закрила при извънредни обстоятелства и за проекта за обвързан с условия трансфер на средства в брой за образование.</w:t>
      </w:r>
    </w:p>
  </w:footnote>
  <w:footnote w:id="25">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Заключения на Европейския съвет от 19.10.2017 г., документ EUCO 14/17 CO </w:t>
      </w:r>
      <w:r>
        <w:rPr>
          <w:rFonts w:ascii="Times New Roman" w:hAnsi="Times New Roman"/>
        </w:rPr>
        <w:t>EUR 17, CONCL 5.</w:t>
      </w:r>
    </w:p>
  </w:footnote>
  <w:footnote w:id="26">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последен път на оперативен работен семинар през ноември, посветен на повишаването на ефективността на връщанията.</w:t>
      </w:r>
    </w:p>
  </w:footnote>
  <w:footnote w:id="27">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SEC(2017) 339 от 4.7.2017 г.</w:t>
      </w:r>
    </w:p>
  </w:footnote>
  <w:footnote w:id="28">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Съгласно националните програми на Италия по линия на фонд „Убежище, миграция и интег</w:t>
      </w:r>
      <w:r>
        <w:rPr>
          <w:rFonts w:ascii="Times New Roman" w:hAnsi="Times New Roman"/>
        </w:rPr>
        <w:t>рация“ за периода 2014—2020 г. Италия получи общо 634 милиона евро. От 2014 г. насам Европейската комисия е отпуснала на Италия спешна помощ, възлизаща на общо 149,1 милиона евро.</w:t>
      </w:r>
    </w:p>
  </w:footnote>
  <w:footnote w:id="29">
    <w:p w:rsidR="004C41E7" w:rsidRDefault="008B707F">
      <w:pPr>
        <w:pStyle w:val="FootnoteText"/>
        <w:ind w:left="284" w:hanging="284"/>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За най-добри практики във връзка с горещите точки, вж. стр. 4</w:t>
      </w:r>
    </w:p>
  </w:footnote>
  <w:footnote w:id="30">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края н</w:t>
      </w:r>
      <w:r>
        <w:rPr>
          <w:rFonts w:ascii="Times New Roman" w:hAnsi="Times New Roman"/>
        </w:rPr>
        <w:t xml:space="preserve">а януари 2017 г. в рамките на операция „София“ стартира втори модул за обучение на сушата, който се провежда в Гърция и Малта и в който бяха обучени още 40 служители. </w:t>
      </w:r>
    </w:p>
  </w:footnote>
  <w:footnote w:id="31">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същото време операциите в рамките на общата политика за сигурност и отбрана продълж</w:t>
      </w:r>
      <w:r>
        <w:rPr>
          <w:rFonts w:ascii="Times New Roman" w:hAnsi="Times New Roman"/>
        </w:rPr>
        <w:t>иха изграждането на капацитет в страните партньори: Мисията на ЕС за съдействие в областта на граничния контрол в Либия подкрепя развитието на нова интегрирана стратегия за управление на границите.</w:t>
      </w:r>
    </w:p>
  </w:footnote>
  <w:footnote w:id="32">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Заключения на Съвета относно Либия от 17.7.2017 г. (doc</w:t>
      </w:r>
      <w:r>
        <w:rPr>
          <w:rFonts w:ascii="Times New Roman" w:hAnsi="Times New Roman"/>
        </w:rPr>
        <w:t>. 11155/17).</w:t>
      </w:r>
    </w:p>
  </w:footnote>
  <w:footnote w:id="33">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Понастоящем в рамките на съвместната операция в Западното Средиземноморие са разположени три актива.</w:t>
      </w:r>
    </w:p>
  </w:footnote>
  <w:footnote w:id="34">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Севиля (Испания), 16 октомври 2017 г.</w:t>
      </w:r>
    </w:p>
  </w:footnote>
  <w:footnote w:id="35">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 сходен начин в Судан е в ход програма за по-добро управление на миграцията за свързване на н</w:t>
      </w:r>
      <w:r>
        <w:rPr>
          <w:rFonts w:ascii="Times New Roman" w:hAnsi="Times New Roman"/>
        </w:rPr>
        <w:t>ационалните и регионалните политики: това доведе до създаването на прокурорски служби, специализирани в трафика на хора.</w:t>
      </w:r>
    </w:p>
  </w:footnote>
  <w:footnote w:id="36">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 xml:space="preserve">Обявено от върховния представител/заместник-председателя по време на срещата на министерско равнище между ЕС и Г-5 от Сахел, провела се в Бамако на 5 юни 2017 г. </w:t>
      </w:r>
    </w:p>
  </w:footnote>
  <w:footnote w:id="37">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Мисията участва също така, заедно с европейския служител за връзка по въпросите на миграци</w:t>
      </w:r>
      <w:r>
        <w:rPr>
          <w:rFonts w:ascii="Times New Roman" w:hAnsi="Times New Roman"/>
        </w:rPr>
        <w:t>ята, служителя за връзка от Европейската агенция за гранична и брегова охрана и Европейската организация по миграция, в платформа за обмен на информация относно незаконната миграция.</w:t>
      </w:r>
    </w:p>
  </w:footnote>
  <w:footnote w:id="38">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 линия на оперативния план за действие на EMPACT (Европейска мултиди</w:t>
      </w:r>
      <w:r>
        <w:rPr>
          <w:rFonts w:ascii="Times New Roman" w:hAnsi="Times New Roman"/>
        </w:rPr>
        <w:t>сциплинарна платформа за борба с криминални заплахи) за 2018 г. за борба с подпомагането на незаконната имиграция.</w:t>
      </w:r>
    </w:p>
  </w:footnote>
  <w:footnote w:id="39">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Първият работен семинар на консулските служби в ЕС/Шенген за борба с измамите с визи е насрочен за 30 ноември—1 декември в Москва.</w:t>
      </w:r>
    </w:p>
  </w:footnote>
  <w:footnote w:id="40">
    <w:p w:rsidR="004C41E7" w:rsidRDefault="008B707F">
      <w:pPr>
        <w:pStyle w:val="FootnoteText"/>
        <w:ind w:left="284" w:hanging="284"/>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Втор</w:t>
      </w:r>
      <w:r>
        <w:rPr>
          <w:rFonts w:ascii="Times New Roman" w:hAnsi="Times New Roman"/>
        </w:rPr>
        <w:t>ата официална среща на платформата за сътрудничество между Пакистан и ЕС относно контрабандата на мигранти е насрочена за 23 ноември в Исламабад.</w:t>
      </w:r>
    </w:p>
  </w:footnote>
  <w:footnote w:id="41">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Решение С(2015) 7293 final на Комисията; Извънреден Доверителен фонд на ЕС за стабилност и преодоляване на </w:t>
      </w:r>
      <w:r>
        <w:rPr>
          <w:rFonts w:ascii="Times New Roman" w:hAnsi="Times New Roman"/>
        </w:rPr>
        <w:t>първопричините за незаконната миграция и разселването на хора в Африка (Доверителен фонд на ЕС за Африка).</w:t>
      </w:r>
    </w:p>
  </w:footnote>
  <w:footnote w:id="42">
    <w:p w:rsidR="004C41E7" w:rsidRDefault="008B707F">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Неотдавнашни примери за вноски от страна на държавите членки: Естония, Австрия, Чешката република и Италия са изплатили допълнителни вноски; Хърва</w:t>
      </w:r>
      <w:r>
        <w:rPr>
          <w:rFonts w:ascii="Times New Roman" w:hAnsi="Times New Roman"/>
          <w:sz w:val="20"/>
        </w:rPr>
        <w:t>тия, Латвия и Италия са изпратили сертификати за вноски, а България и други донори работят по официалното оформяне на ангажиментите си.</w:t>
      </w:r>
    </w:p>
  </w:footnote>
  <w:footnote w:id="43">
    <w:p w:rsidR="004C41E7" w:rsidRDefault="008B707F">
      <w:pPr>
        <w:pStyle w:val="FootnoteText"/>
        <w:ind w:left="284" w:hanging="284"/>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Паралелно с това ЕС участва активно в посрещането на хуманитарните нужди на общността рохингия и нейните приемни общно</w:t>
      </w:r>
      <w:r>
        <w:rPr>
          <w:rFonts w:ascii="Times New Roman" w:hAnsi="Times New Roman"/>
        </w:rPr>
        <w:t>сти както в Бангладеш, така и в Мианмар. По време на международната конференция за поемане на ангажименти в Женева на 23 октомври 2017 г. ЕС се ангажира да предостави допълнително 30 милиона евро, като така общата му подкрепа за тази криза достигна 51 мили</w:t>
      </w:r>
      <w:r>
        <w:rPr>
          <w:rFonts w:ascii="Times New Roman" w:hAnsi="Times New Roman"/>
        </w:rPr>
        <w:t>она евро за 2017 г. Хуманитарната подкрепа е фокусирана върху осигуряване на храна, борба с възникването на епидемии и сексуално и основано на пола насилие, както и образование в извънредни условия.</w:t>
      </w:r>
    </w:p>
  </w:footnote>
  <w:footnote w:id="44">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Устойчива енергия и устойчива свързаност; финансиране </w:t>
      </w:r>
      <w:r>
        <w:rPr>
          <w:rFonts w:ascii="Times New Roman" w:hAnsi="Times New Roman"/>
        </w:rPr>
        <w:t>на микро-, малки и средни предприятия; устойчиво земеделие, предприемачи от селските райони и аграрна промишленост; устойчиви градове; цифровизация за устойчиво развитие.</w:t>
      </w:r>
    </w:p>
  </w:footnote>
  <w:footnote w:id="45">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Първото заседание на стратегическия съвет на ЕФУР също се състоя на 28 септември. </w:t>
      </w:r>
      <w:r>
        <w:rPr>
          <w:rFonts w:ascii="Times New Roman" w:hAnsi="Times New Roman"/>
        </w:rPr>
        <w:t>Съвместното заседание на оперативните съвети за двете географски платформи — за държавите, обхванати от европейската политика за съседство, и за Африка— се проведе на 7 ноември, като на него бяха подробно обсъдени петте секторни прозореца на намеса.</w:t>
      </w:r>
    </w:p>
  </w:footnote>
  <w:footnote w:id="46">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Съо</w:t>
      </w:r>
      <w:r>
        <w:rPr>
          <w:rFonts w:ascii="Times New Roman" w:hAnsi="Times New Roman"/>
        </w:rPr>
        <w:t>бщение на Комисията относно по-ефективна политика на Европейския съюз в областта на връщането — обновен план за действие (COM(2017) 200 final от 2.3.2017 г.).</w:t>
      </w:r>
      <w:r>
        <w:tab/>
      </w:r>
    </w:p>
  </w:footnote>
  <w:footnote w:id="47">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последен път чрез подкрепа за организиран в Италия работен семинар относно повишаването на</w:t>
      </w:r>
      <w:r>
        <w:rPr>
          <w:rFonts w:ascii="Times New Roman" w:hAnsi="Times New Roman"/>
        </w:rPr>
        <w:t xml:space="preserve"> ефективността на политиката в областта на връщането (6 ноември).</w:t>
      </w:r>
    </w:p>
  </w:footnote>
  <w:footnote w:id="48">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Отчетен период 1.1.2017 г.—15.10.2017 г.</w:t>
      </w:r>
    </w:p>
  </w:footnote>
  <w:footnote w:id="49">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От които 153 в държави извън Западните Балкани.</w:t>
      </w:r>
    </w:p>
  </w:footnote>
  <w:footnote w:id="50">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Това название не засяга позициите по отношение на статута и е съобразено с Резолюция 1244/19</w:t>
      </w:r>
      <w:r>
        <w:rPr>
          <w:rFonts w:ascii="Times New Roman" w:hAnsi="Times New Roman"/>
        </w:rPr>
        <w:t>99 на Съвета за сигурност на ООН и становището на Международния съд относно обявяването на независимост от страна на Косово.</w:t>
      </w:r>
    </w:p>
  </w:footnote>
  <w:footnote w:id="51">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Данните включват съвместни операции по връщане, национални операции по връщане и операции по връщане, осъществявани от държавата</w:t>
      </w:r>
      <w:r>
        <w:rPr>
          <w:rFonts w:ascii="Times New Roman" w:hAnsi="Times New Roman"/>
        </w:rPr>
        <w:t xml:space="preserve"> на произход.</w:t>
      </w:r>
    </w:p>
  </w:footnote>
  <w:footnote w:id="52">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465 final, 6.9.2017 г.</w:t>
      </w:r>
    </w:p>
  </w:footnote>
  <w:footnote w:id="53">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Заключения на Съвета („относно презаселването посредством многостранни и национални схеми на 20 000 лица, очевидно нуждаещи се от международна закрила“), 20.7.2015 г., документ 11130/15.</w:t>
      </w:r>
    </w:p>
  </w:footnote>
  <w:footnote w:id="54">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Белгия, Чешка</w:t>
      </w:r>
      <w:r>
        <w:rPr>
          <w:rFonts w:ascii="Times New Roman" w:hAnsi="Times New Roman"/>
        </w:rPr>
        <w:t>та република, Дания, Германия, Естония, Франция, Исландия, Ирландия, Италия, Латвия, Лихтенщайн, Литва, Люксембург, Малта, Нидерландия, Норвегия, Австрия, Португалия, Румъния, Испания, Финландия, Швеция, Швейцария и Обединеното кралство.</w:t>
      </w:r>
    </w:p>
  </w:footnote>
  <w:footnote w:id="55">
    <w:p w:rsidR="004C41E7" w:rsidRDefault="008B707F">
      <w:pPr>
        <w:pStyle w:val="FootnoteText"/>
        <w:ind w:left="284" w:hanging="284"/>
        <w:jc w:val="both"/>
        <w:rPr>
          <w:rStyle w:val="FootnoteReference"/>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Препоръка на Ко</w:t>
      </w:r>
      <w:r>
        <w:rPr>
          <w:rFonts w:ascii="Times New Roman" w:hAnsi="Times New Roman"/>
        </w:rPr>
        <w:t>мисията от 27.9.2017 г. относно увеличаването на законните пътища за лицата, нуждаещи се от международна закрила; C(2017) 6504.</w:t>
      </w:r>
    </w:p>
  </w:footnote>
  <w:footnote w:id="56">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 29 ноември 2017 г. е насрочена да се проведе среща между заинтересованите държави членки и Комисията.</w:t>
      </w:r>
    </w:p>
  </w:footnote>
  <w:footnote w:id="57">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467 fin</w:t>
      </w:r>
      <w:r>
        <w:rPr>
          <w:rFonts w:ascii="Times New Roman" w:hAnsi="Times New Roman"/>
        </w:rPr>
        <w:t xml:space="preserve">al, 6.9.2017 г. </w:t>
      </w:r>
    </w:p>
  </w:footnote>
  <w:footnote w:id="58">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Специфичните действия са специална схема за допълващо финансиране по фонд „Вътрешна сигурност“ за съфинансирането на оборудване на държавите членки, което, след закупуване, трябва да бъде регистрирано във фонда от техническо оборудване </w:t>
      </w:r>
      <w:r>
        <w:rPr>
          <w:rFonts w:ascii="Times New Roman" w:hAnsi="Times New Roman"/>
        </w:rPr>
        <w:t>на Агенцията и при поискване да се предоставя на Агенцията за разполагане в която и да е част от външните граници, особено в случай на бърза гранична намеса.</w:t>
      </w:r>
    </w:p>
  </w:footnote>
  <w:footnote w:id="59">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България, Гърция, Италия и Хърватия този процес ще бъде приключен до края на ноември, за Фра</w:t>
      </w:r>
      <w:r>
        <w:rPr>
          <w:rFonts w:ascii="Times New Roman" w:hAnsi="Times New Roman"/>
        </w:rPr>
        <w:t>нция и Испания — през декември.</w:t>
      </w:r>
    </w:p>
  </w:footnote>
  <w:footnote w:id="60">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12 на Регламента за европейската гранична и брегова охрана (Регламент (ЕС) 2016/1624 от 14 септември 2016 г. (OВ L 251/1 от 16.9.2016 г.). Служителите за връзка ще бъдат разположени основно в клъстери от държави член</w:t>
      </w:r>
      <w:r>
        <w:rPr>
          <w:rFonts w:ascii="Times New Roman" w:hAnsi="Times New Roman"/>
        </w:rPr>
        <w:t>ки.</w:t>
      </w:r>
    </w:p>
  </w:footnote>
  <w:footnote w:id="61">
    <w:p w:rsidR="004C41E7" w:rsidRDefault="008B707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4 на Регламента за европейската гранична и брегова охрана.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7F" w:rsidRPr="008B707F" w:rsidRDefault="008B707F" w:rsidP="008B70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7F" w:rsidRPr="008B707F" w:rsidRDefault="008B707F" w:rsidP="008B707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7F" w:rsidRPr="008B707F" w:rsidRDefault="008B707F" w:rsidP="008B707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E7" w:rsidRDefault="004C41E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E7" w:rsidRDefault="004C41E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E7" w:rsidRDefault="004C41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848"/>
    <w:multiLevelType w:val="hybridMultilevel"/>
    <w:tmpl w:val="8D206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42FC9"/>
    <w:multiLevelType w:val="hybridMultilevel"/>
    <w:tmpl w:val="BAF24AC6"/>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1E6FC0"/>
    <w:multiLevelType w:val="hybridMultilevel"/>
    <w:tmpl w:val="E9F85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C8691E"/>
    <w:multiLevelType w:val="hybridMultilevel"/>
    <w:tmpl w:val="02E0A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A05320"/>
    <w:multiLevelType w:val="hybridMultilevel"/>
    <w:tmpl w:val="6226CFDA"/>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FE45CBA"/>
    <w:multiLevelType w:val="hybridMultilevel"/>
    <w:tmpl w:val="0B9CA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0F71928"/>
    <w:multiLevelType w:val="hybridMultilevel"/>
    <w:tmpl w:val="9B465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BC16F92"/>
    <w:multiLevelType w:val="hybridMultilevel"/>
    <w:tmpl w:val="89D4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741095"/>
    <w:multiLevelType w:val="hybridMultilevel"/>
    <w:tmpl w:val="D390EE7E"/>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E01182"/>
    <w:multiLevelType w:val="hybridMultilevel"/>
    <w:tmpl w:val="D5328A68"/>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237C75"/>
    <w:multiLevelType w:val="hybridMultilevel"/>
    <w:tmpl w:val="D4F6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9F295D"/>
    <w:multiLevelType w:val="hybridMultilevel"/>
    <w:tmpl w:val="057E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25674D"/>
    <w:multiLevelType w:val="hybridMultilevel"/>
    <w:tmpl w:val="95881874"/>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8CB0669"/>
    <w:multiLevelType w:val="hybridMultilevel"/>
    <w:tmpl w:val="290E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C024CD"/>
    <w:multiLevelType w:val="hybridMultilevel"/>
    <w:tmpl w:val="2532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355323"/>
    <w:multiLevelType w:val="hybridMultilevel"/>
    <w:tmpl w:val="3A2E6934"/>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1BA415B"/>
    <w:multiLevelType w:val="hybridMultilevel"/>
    <w:tmpl w:val="DE66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FE0207"/>
    <w:multiLevelType w:val="hybridMultilevel"/>
    <w:tmpl w:val="F6E09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D76796A"/>
    <w:multiLevelType w:val="hybridMultilevel"/>
    <w:tmpl w:val="68F61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083C9C"/>
    <w:multiLevelType w:val="hybridMultilevel"/>
    <w:tmpl w:val="FFD4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472F69"/>
    <w:multiLevelType w:val="hybridMultilevel"/>
    <w:tmpl w:val="2B525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DC0B72"/>
    <w:multiLevelType w:val="hybridMultilevel"/>
    <w:tmpl w:val="B5CA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C345E7"/>
    <w:multiLevelType w:val="hybridMultilevel"/>
    <w:tmpl w:val="CB5C1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C5130F"/>
    <w:multiLevelType w:val="hybridMultilevel"/>
    <w:tmpl w:val="8EA60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D2C764D"/>
    <w:multiLevelType w:val="hybridMultilevel"/>
    <w:tmpl w:val="75FCCD2A"/>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2B31F66"/>
    <w:multiLevelType w:val="hybridMultilevel"/>
    <w:tmpl w:val="94DE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6A0C3C"/>
    <w:multiLevelType w:val="hybridMultilevel"/>
    <w:tmpl w:val="0556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544F7E"/>
    <w:multiLevelType w:val="hybridMultilevel"/>
    <w:tmpl w:val="32E83538"/>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8"/>
  </w:num>
  <w:num w:numId="4">
    <w:abstractNumId w:val="5"/>
  </w:num>
  <w:num w:numId="5">
    <w:abstractNumId w:val="14"/>
  </w:num>
  <w:num w:numId="6">
    <w:abstractNumId w:val="6"/>
  </w:num>
  <w:num w:numId="7">
    <w:abstractNumId w:val="0"/>
  </w:num>
  <w:num w:numId="8">
    <w:abstractNumId w:val="23"/>
  </w:num>
  <w:num w:numId="9">
    <w:abstractNumId w:val="20"/>
  </w:num>
  <w:num w:numId="10">
    <w:abstractNumId w:val="17"/>
  </w:num>
  <w:num w:numId="11">
    <w:abstractNumId w:val="25"/>
  </w:num>
  <w:num w:numId="12">
    <w:abstractNumId w:val="9"/>
  </w:num>
  <w:num w:numId="13">
    <w:abstractNumId w:val="15"/>
  </w:num>
  <w:num w:numId="14">
    <w:abstractNumId w:val="12"/>
  </w:num>
  <w:num w:numId="15">
    <w:abstractNumId w:val="24"/>
  </w:num>
  <w:num w:numId="16">
    <w:abstractNumId w:val="4"/>
  </w:num>
  <w:num w:numId="17">
    <w:abstractNumId w:val="3"/>
  </w:num>
  <w:num w:numId="18">
    <w:abstractNumId w:val="27"/>
  </w:num>
  <w:num w:numId="19">
    <w:abstractNumId w:val="1"/>
  </w:num>
  <w:num w:numId="20">
    <w:abstractNumId w:val="16"/>
  </w:num>
  <w:num w:numId="21">
    <w:abstractNumId w:val="10"/>
  </w:num>
  <w:num w:numId="22">
    <w:abstractNumId w:val="7"/>
  </w:num>
  <w:num w:numId="23">
    <w:abstractNumId w:val="21"/>
  </w:num>
  <w:num w:numId="24">
    <w:abstractNumId w:val="26"/>
  </w:num>
  <w:num w:numId="25">
    <w:abstractNumId w:val="27"/>
  </w:num>
  <w:num w:numId="26">
    <w:abstractNumId w:val="16"/>
  </w:num>
  <w:num w:numId="27">
    <w:abstractNumId w:val="19"/>
  </w:num>
  <w:num w:numId="28">
    <w:abstractNumId w:val="8"/>
  </w:num>
  <w:num w:numId="29">
    <w:abstractNumId w:val="1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70193DA-6DF1-44D4-AD93-C2DB03264325"/>
    <w:docVar w:name="LW_COVERPAGE_TYPE" w:val="1"/>
    <w:docVar w:name="LW_CROSSREFERENCE" w:val="{SWD(2017) 372 final}"/>
    <w:docVar w:name="LW_DocType" w:val="NORMAL"/>
    <w:docVar w:name="LW_EMISSION" w:val="15.11.2017"/>
    <w:docVar w:name="LW_EMISSION_ISODATE" w:val="2017-11-15"/>
    <w:docVar w:name="LW_EMISSION_LOCATION" w:val="BRX"/>
    <w:docVar w:name="LW_EMISSION_PREFIX" w:val="\u1041?\u1088?\u1102?\u1082?\u1089?\u1077?\u1083?,"/>
    <w:docVar w:name="LW_EMISSION_SUFFIX" w:val="\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44?\u1054? \u1045?\u1042?\u1056?\u1054?\u1055?\u1045?\u1049?\u1057?\u1050?\u1048?\u1071? \u1055?\u1040?\u1056?\u1051?\u1040?\u1052?\u1045?\u1053?\u1058?, \u1045?\u1042?\u1056?\u1054?\u1055?\u1045?\u1049?\u1057?\u1050?\u1048?\u1071? \u1057?\u1066?\u1042?\u1045?\u1058? \u1048? \u1057?\u1066?\u1042?\u1045?\u1058?\u1040?&lt;/FMT&gt;_x000b__x000b_&lt;FMT:Font=Calibri Cyr&gt;\u1044?\u1086?\u1082?\u1083?\u1072?\u1076? \u1079?\u1072? \u1085?\u1072?\u1087?\u1088?\u1077?\u1076?\u1098?\u1082?\u1072? \u1087?\u1086? \u1077?\u1074?\u1088?\u1086?\u1087?\u1077?\u1081?\u1089?\u1082?\u1072?\u1090?\u1072? \u1087?\u1088?\u1086?\u1075?\u1088?\u1072?\u1084?\u1072? \u1079?\u1072? \u1084?\u1080?\u1075?\u1088?\u1072?\u1094?\u1080?\u1103?\u1090?\u1072?&lt;/FMT&gt;"/>
    <w:docVar w:name="LW_TYPE.DOC.CP" w:val="\u1044?\u1054?\u1050?\u1051?\u1040?\u1044? \u1053?\u1040? \u1050?\u1054?\u1052?\u1048?\u1057?\u1048?\u1071?\u1058?\u1040?"/>
  </w:docVars>
  <w:rsids>
    <w:rsidRoot w:val="004C41E7"/>
    <w:rsid w:val="004C41E7"/>
    <w:rsid w:val="008B70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70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70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70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7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Revision">
    <w:name w:val="Revision"/>
    <w:hidden/>
    <w:uiPriority w:val="99"/>
    <w:semiHidden/>
    <w:pPr>
      <w:spacing w:after="0" w:line="240" w:lineRule="auto"/>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style>
  <w:style w:type="table" w:customStyle="1" w:styleId="LightList-Accent111">
    <w:name w:val="Light List - Accent 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sid w:val="008B70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70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70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B707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70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70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70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7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Revision">
    <w:name w:val="Revision"/>
    <w:hidden/>
    <w:uiPriority w:val="99"/>
    <w:semiHidden/>
    <w:pPr>
      <w:spacing w:after="0" w:line="240" w:lineRule="auto"/>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style>
  <w:style w:type="table" w:customStyle="1" w:styleId="LightList-Accent111">
    <w:name w:val="Light List - Accent 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sid w:val="008B70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70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70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B707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3968">
      <w:bodyDiv w:val="1"/>
      <w:marLeft w:val="0"/>
      <w:marRight w:val="0"/>
      <w:marTop w:val="0"/>
      <w:marBottom w:val="0"/>
      <w:divBdr>
        <w:top w:val="none" w:sz="0" w:space="0" w:color="auto"/>
        <w:left w:val="none" w:sz="0" w:space="0" w:color="auto"/>
        <w:bottom w:val="none" w:sz="0" w:space="0" w:color="auto"/>
        <w:right w:val="none" w:sz="0" w:space="0" w:color="auto"/>
      </w:divBdr>
    </w:div>
    <w:div w:id="130681630">
      <w:bodyDiv w:val="1"/>
      <w:marLeft w:val="0"/>
      <w:marRight w:val="0"/>
      <w:marTop w:val="0"/>
      <w:marBottom w:val="0"/>
      <w:divBdr>
        <w:top w:val="none" w:sz="0" w:space="0" w:color="auto"/>
        <w:left w:val="none" w:sz="0" w:space="0" w:color="auto"/>
        <w:bottom w:val="none" w:sz="0" w:space="0" w:color="auto"/>
        <w:right w:val="none" w:sz="0" w:space="0" w:color="auto"/>
      </w:divBdr>
    </w:div>
    <w:div w:id="149104175">
      <w:bodyDiv w:val="1"/>
      <w:marLeft w:val="0"/>
      <w:marRight w:val="0"/>
      <w:marTop w:val="0"/>
      <w:marBottom w:val="0"/>
      <w:divBdr>
        <w:top w:val="none" w:sz="0" w:space="0" w:color="auto"/>
        <w:left w:val="none" w:sz="0" w:space="0" w:color="auto"/>
        <w:bottom w:val="none" w:sz="0" w:space="0" w:color="auto"/>
        <w:right w:val="none" w:sz="0" w:space="0" w:color="auto"/>
      </w:divBdr>
    </w:div>
    <w:div w:id="155848748">
      <w:bodyDiv w:val="1"/>
      <w:marLeft w:val="0"/>
      <w:marRight w:val="0"/>
      <w:marTop w:val="0"/>
      <w:marBottom w:val="0"/>
      <w:divBdr>
        <w:top w:val="none" w:sz="0" w:space="0" w:color="auto"/>
        <w:left w:val="none" w:sz="0" w:space="0" w:color="auto"/>
        <w:bottom w:val="none" w:sz="0" w:space="0" w:color="auto"/>
        <w:right w:val="none" w:sz="0" w:space="0" w:color="auto"/>
      </w:divBdr>
    </w:div>
    <w:div w:id="168645129">
      <w:bodyDiv w:val="1"/>
      <w:marLeft w:val="0"/>
      <w:marRight w:val="0"/>
      <w:marTop w:val="0"/>
      <w:marBottom w:val="0"/>
      <w:divBdr>
        <w:top w:val="none" w:sz="0" w:space="0" w:color="auto"/>
        <w:left w:val="none" w:sz="0" w:space="0" w:color="auto"/>
        <w:bottom w:val="none" w:sz="0" w:space="0" w:color="auto"/>
        <w:right w:val="none" w:sz="0" w:space="0" w:color="auto"/>
      </w:divBdr>
    </w:div>
    <w:div w:id="436799879">
      <w:bodyDiv w:val="1"/>
      <w:marLeft w:val="0"/>
      <w:marRight w:val="0"/>
      <w:marTop w:val="0"/>
      <w:marBottom w:val="0"/>
      <w:divBdr>
        <w:top w:val="none" w:sz="0" w:space="0" w:color="auto"/>
        <w:left w:val="none" w:sz="0" w:space="0" w:color="auto"/>
        <w:bottom w:val="none" w:sz="0" w:space="0" w:color="auto"/>
        <w:right w:val="none" w:sz="0" w:space="0" w:color="auto"/>
      </w:divBdr>
    </w:div>
    <w:div w:id="475687990">
      <w:bodyDiv w:val="1"/>
      <w:marLeft w:val="0"/>
      <w:marRight w:val="0"/>
      <w:marTop w:val="0"/>
      <w:marBottom w:val="0"/>
      <w:divBdr>
        <w:top w:val="none" w:sz="0" w:space="0" w:color="auto"/>
        <w:left w:val="none" w:sz="0" w:space="0" w:color="auto"/>
        <w:bottom w:val="none" w:sz="0" w:space="0" w:color="auto"/>
        <w:right w:val="none" w:sz="0" w:space="0" w:color="auto"/>
      </w:divBdr>
    </w:div>
    <w:div w:id="494222120">
      <w:bodyDiv w:val="1"/>
      <w:marLeft w:val="0"/>
      <w:marRight w:val="0"/>
      <w:marTop w:val="0"/>
      <w:marBottom w:val="0"/>
      <w:divBdr>
        <w:top w:val="none" w:sz="0" w:space="0" w:color="auto"/>
        <w:left w:val="none" w:sz="0" w:space="0" w:color="auto"/>
        <w:bottom w:val="none" w:sz="0" w:space="0" w:color="auto"/>
        <w:right w:val="none" w:sz="0" w:space="0" w:color="auto"/>
      </w:divBdr>
    </w:div>
    <w:div w:id="508717227">
      <w:bodyDiv w:val="1"/>
      <w:marLeft w:val="0"/>
      <w:marRight w:val="0"/>
      <w:marTop w:val="0"/>
      <w:marBottom w:val="0"/>
      <w:divBdr>
        <w:top w:val="none" w:sz="0" w:space="0" w:color="auto"/>
        <w:left w:val="none" w:sz="0" w:space="0" w:color="auto"/>
        <w:bottom w:val="none" w:sz="0" w:space="0" w:color="auto"/>
        <w:right w:val="none" w:sz="0" w:space="0" w:color="auto"/>
      </w:divBdr>
    </w:div>
    <w:div w:id="552887523">
      <w:bodyDiv w:val="1"/>
      <w:marLeft w:val="0"/>
      <w:marRight w:val="0"/>
      <w:marTop w:val="0"/>
      <w:marBottom w:val="0"/>
      <w:divBdr>
        <w:top w:val="none" w:sz="0" w:space="0" w:color="auto"/>
        <w:left w:val="none" w:sz="0" w:space="0" w:color="auto"/>
        <w:bottom w:val="none" w:sz="0" w:space="0" w:color="auto"/>
        <w:right w:val="none" w:sz="0" w:space="0" w:color="auto"/>
      </w:divBdr>
    </w:div>
    <w:div w:id="805775456">
      <w:bodyDiv w:val="1"/>
      <w:marLeft w:val="0"/>
      <w:marRight w:val="0"/>
      <w:marTop w:val="0"/>
      <w:marBottom w:val="0"/>
      <w:divBdr>
        <w:top w:val="none" w:sz="0" w:space="0" w:color="auto"/>
        <w:left w:val="none" w:sz="0" w:space="0" w:color="auto"/>
        <w:bottom w:val="none" w:sz="0" w:space="0" w:color="auto"/>
        <w:right w:val="none" w:sz="0" w:space="0" w:color="auto"/>
      </w:divBdr>
    </w:div>
    <w:div w:id="1001545351">
      <w:bodyDiv w:val="1"/>
      <w:marLeft w:val="0"/>
      <w:marRight w:val="0"/>
      <w:marTop w:val="0"/>
      <w:marBottom w:val="0"/>
      <w:divBdr>
        <w:top w:val="none" w:sz="0" w:space="0" w:color="auto"/>
        <w:left w:val="none" w:sz="0" w:space="0" w:color="auto"/>
        <w:bottom w:val="none" w:sz="0" w:space="0" w:color="auto"/>
        <w:right w:val="none" w:sz="0" w:space="0" w:color="auto"/>
      </w:divBdr>
    </w:div>
    <w:div w:id="1053117818">
      <w:bodyDiv w:val="1"/>
      <w:marLeft w:val="0"/>
      <w:marRight w:val="0"/>
      <w:marTop w:val="0"/>
      <w:marBottom w:val="0"/>
      <w:divBdr>
        <w:top w:val="none" w:sz="0" w:space="0" w:color="auto"/>
        <w:left w:val="none" w:sz="0" w:space="0" w:color="auto"/>
        <w:bottom w:val="none" w:sz="0" w:space="0" w:color="auto"/>
        <w:right w:val="none" w:sz="0" w:space="0" w:color="auto"/>
      </w:divBdr>
    </w:div>
    <w:div w:id="1162043888">
      <w:bodyDiv w:val="1"/>
      <w:marLeft w:val="0"/>
      <w:marRight w:val="0"/>
      <w:marTop w:val="0"/>
      <w:marBottom w:val="0"/>
      <w:divBdr>
        <w:top w:val="none" w:sz="0" w:space="0" w:color="auto"/>
        <w:left w:val="none" w:sz="0" w:space="0" w:color="auto"/>
        <w:bottom w:val="none" w:sz="0" w:space="0" w:color="auto"/>
        <w:right w:val="none" w:sz="0" w:space="0" w:color="auto"/>
      </w:divBdr>
    </w:div>
    <w:div w:id="1216891417">
      <w:bodyDiv w:val="1"/>
      <w:marLeft w:val="0"/>
      <w:marRight w:val="0"/>
      <w:marTop w:val="0"/>
      <w:marBottom w:val="0"/>
      <w:divBdr>
        <w:top w:val="none" w:sz="0" w:space="0" w:color="auto"/>
        <w:left w:val="none" w:sz="0" w:space="0" w:color="auto"/>
        <w:bottom w:val="none" w:sz="0" w:space="0" w:color="auto"/>
        <w:right w:val="none" w:sz="0" w:space="0" w:color="auto"/>
      </w:divBdr>
    </w:div>
    <w:div w:id="1224367895">
      <w:bodyDiv w:val="1"/>
      <w:marLeft w:val="0"/>
      <w:marRight w:val="0"/>
      <w:marTop w:val="0"/>
      <w:marBottom w:val="0"/>
      <w:divBdr>
        <w:top w:val="none" w:sz="0" w:space="0" w:color="auto"/>
        <w:left w:val="none" w:sz="0" w:space="0" w:color="auto"/>
        <w:bottom w:val="none" w:sz="0" w:space="0" w:color="auto"/>
        <w:right w:val="none" w:sz="0" w:space="0" w:color="auto"/>
      </w:divBdr>
    </w:div>
    <w:div w:id="1356417073">
      <w:bodyDiv w:val="1"/>
      <w:marLeft w:val="0"/>
      <w:marRight w:val="0"/>
      <w:marTop w:val="0"/>
      <w:marBottom w:val="0"/>
      <w:divBdr>
        <w:top w:val="none" w:sz="0" w:space="0" w:color="auto"/>
        <w:left w:val="none" w:sz="0" w:space="0" w:color="auto"/>
        <w:bottom w:val="none" w:sz="0" w:space="0" w:color="auto"/>
        <w:right w:val="none" w:sz="0" w:space="0" w:color="auto"/>
      </w:divBdr>
    </w:div>
    <w:div w:id="1358385938">
      <w:bodyDiv w:val="1"/>
      <w:marLeft w:val="0"/>
      <w:marRight w:val="0"/>
      <w:marTop w:val="0"/>
      <w:marBottom w:val="0"/>
      <w:divBdr>
        <w:top w:val="none" w:sz="0" w:space="0" w:color="auto"/>
        <w:left w:val="none" w:sz="0" w:space="0" w:color="auto"/>
        <w:bottom w:val="none" w:sz="0" w:space="0" w:color="auto"/>
        <w:right w:val="none" w:sz="0" w:space="0" w:color="auto"/>
      </w:divBdr>
    </w:div>
    <w:div w:id="1360398575">
      <w:bodyDiv w:val="1"/>
      <w:marLeft w:val="0"/>
      <w:marRight w:val="0"/>
      <w:marTop w:val="0"/>
      <w:marBottom w:val="0"/>
      <w:divBdr>
        <w:top w:val="none" w:sz="0" w:space="0" w:color="auto"/>
        <w:left w:val="none" w:sz="0" w:space="0" w:color="auto"/>
        <w:bottom w:val="none" w:sz="0" w:space="0" w:color="auto"/>
        <w:right w:val="none" w:sz="0" w:space="0" w:color="auto"/>
      </w:divBdr>
    </w:div>
    <w:div w:id="1438216180">
      <w:bodyDiv w:val="1"/>
      <w:marLeft w:val="0"/>
      <w:marRight w:val="0"/>
      <w:marTop w:val="0"/>
      <w:marBottom w:val="0"/>
      <w:divBdr>
        <w:top w:val="none" w:sz="0" w:space="0" w:color="auto"/>
        <w:left w:val="none" w:sz="0" w:space="0" w:color="auto"/>
        <w:bottom w:val="none" w:sz="0" w:space="0" w:color="auto"/>
        <w:right w:val="none" w:sz="0" w:space="0" w:color="auto"/>
      </w:divBdr>
    </w:div>
    <w:div w:id="1482113440">
      <w:bodyDiv w:val="1"/>
      <w:marLeft w:val="0"/>
      <w:marRight w:val="0"/>
      <w:marTop w:val="0"/>
      <w:marBottom w:val="0"/>
      <w:divBdr>
        <w:top w:val="none" w:sz="0" w:space="0" w:color="auto"/>
        <w:left w:val="none" w:sz="0" w:space="0" w:color="auto"/>
        <w:bottom w:val="none" w:sz="0" w:space="0" w:color="auto"/>
        <w:right w:val="none" w:sz="0" w:space="0" w:color="auto"/>
      </w:divBdr>
    </w:div>
    <w:div w:id="1551380702">
      <w:bodyDiv w:val="1"/>
      <w:marLeft w:val="0"/>
      <w:marRight w:val="0"/>
      <w:marTop w:val="0"/>
      <w:marBottom w:val="0"/>
      <w:divBdr>
        <w:top w:val="none" w:sz="0" w:space="0" w:color="auto"/>
        <w:left w:val="none" w:sz="0" w:space="0" w:color="auto"/>
        <w:bottom w:val="none" w:sz="0" w:space="0" w:color="auto"/>
        <w:right w:val="none" w:sz="0" w:space="0" w:color="auto"/>
      </w:divBdr>
    </w:div>
    <w:div w:id="1552307241">
      <w:bodyDiv w:val="1"/>
      <w:marLeft w:val="0"/>
      <w:marRight w:val="0"/>
      <w:marTop w:val="0"/>
      <w:marBottom w:val="0"/>
      <w:divBdr>
        <w:top w:val="none" w:sz="0" w:space="0" w:color="auto"/>
        <w:left w:val="none" w:sz="0" w:space="0" w:color="auto"/>
        <w:bottom w:val="none" w:sz="0" w:space="0" w:color="auto"/>
        <w:right w:val="none" w:sz="0" w:space="0" w:color="auto"/>
      </w:divBdr>
    </w:div>
    <w:div w:id="1619331947">
      <w:bodyDiv w:val="1"/>
      <w:marLeft w:val="0"/>
      <w:marRight w:val="0"/>
      <w:marTop w:val="0"/>
      <w:marBottom w:val="0"/>
      <w:divBdr>
        <w:top w:val="none" w:sz="0" w:space="0" w:color="auto"/>
        <w:left w:val="none" w:sz="0" w:space="0" w:color="auto"/>
        <w:bottom w:val="none" w:sz="0" w:space="0" w:color="auto"/>
        <w:right w:val="none" w:sz="0" w:space="0" w:color="auto"/>
      </w:divBdr>
    </w:div>
    <w:div w:id="1669598972">
      <w:bodyDiv w:val="1"/>
      <w:marLeft w:val="0"/>
      <w:marRight w:val="0"/>
      <w:marTop w:val="0"/>
      <w:marBottom w:val="0"/>
      <w:divBdr>
        <w:top w:val="none" w:sz="0" w:space="0" w:color="auto"/>
        <w:left w:val="none" w:sz="0" w:space="0" w:color="auto"/>
        <w:bottom w:val="none" w:sz="0" w:space="0" w:color="auto"/>
        <w:right w:val="none" w:sz="0" w:space="0" w:color="auto"/>
      </w:divBdr>
    </w:div>
    <w:div w:id="1747607654">
      <w:bodyDiv w:val="1"/>
      <w:marLeft w:val="0"/>
      <w:marRight w:val="0"/>
      <w:marTop w:val="0"/>
      <w:marBottom w:val="0"/>
      <w:divBdr>
        <w:top w:val="none" w:sz="0" w:space="0" w:color="auto"/>
        <w:left w:val="none" w:sz="0" w:space="0" w:color="auto"/>
        <w:bottom w:val="none" w:sz="0" w:space="0" w:color="auto"/>
        <w:right w:val="none" w:sz="0" w:space="0" w:color="auto"/>
      </w:divBdr>
    </w:div>
    <w:div w:id="1760445948">
      <w:bodyDiv w:val="1"/>
      <w:marLeft w:val="0"/>
      <w:marRight w:val="0"/>
      <w:marTop w:val="0"/>
      <w:marBottom w:val="0"/>
      <w:divBdr>
        <w:top w:val="none" w:sz="0" w:space="0" w:color="auto"/>
        <w:left w:val="none" w:sz="0" w:space="0" w:color="auto"/>
        <w:bottom w:val="none" w:sz="0" w:space="0" w:color="auto"/>
        <w:right w:val="none" w:sz="0" w:space="0" w:color="auto"/>
      </w:divBdr>
    </w:div>
    <w:div w:id="1789548811">
      <w:bodyDiv w:val="1"/>
      <w:marLeft w:val="0"/>
      <w:marRight w:val="0"/>
      <w:marTop w:val="0"/>
      <w:marBottom w:val="0"/>
      <w:divBdr>
        <w:top w:val="none" w:sz="0" w:space="0" w:color="auto"/>
        <w:left w:val="none" w:sz="0" w:space="0" w:color="auto"/>
        <w:bottom w:val="none" w:sz="0" w:space="0" w:color="auto"/>
        <w:right w:val="none" w:sz="0" w:space="0" w:color="auto"/>
      </w:divBdr>
    </w:div>
    <w:div w:id="1965891650">
      <w:bodyDiv w:val="1"/>
      <w:marLeft w:val="0"/>
      <w:marRight w:val="0"/>
      <w:marTop w:val="0"/>
      <w:marBottom w:val="0"/>
      <w:divBdr>
        <w:top w:val="none" w:sz="0" w:space="0" w:color="auto"/>
        <w:left w:val="none" w:sz="0" w:space="0" w:color="auto"/>
        <w:bottom w:val="none" w:sz="0" w:space="0" w:color="auto"/>
        <w:right w:val="none" w:sz="0" w:space="0" w:color="auto"/>
      </w:divBdr>
    </w:div>
    <w:div w:id="21253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8218C-477E-4BDD-A5EE-30BAC227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8862</Words>
  <Characters>50411</Characters>
  <Application>Microsoft Office Word</Application>
  <DocSecurity>0</DocSecurity>
  <Lines>890</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2017-11-14T08:57:00Z</dcterms:created>
  <dcterms:modified xsi:type="dcterms:W3CDTF">2017-11-30T12:15:00Z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