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E8" w:rsidRDefault="00C83878" w:rsidP="00C8387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413E960-FA20-44A8-9F27-F720FA92A3AC" style="width:450.35pt;height:434.7pt">
            <v:imagedata r:id="rId9" o:title=""/>
          </v:shape>
        </w:pict>
      </w:r>
    </w:p>
    <w:bookmarkEnd w:id="0"/>
    <w:p w:rsidR="004558E8" w:rsidRDefault="004558E8">
      <w:pPr>
        <w:rPr>
          <w:noProof/>
        </w:rPr>
        <w:sectPr w:rsidR="004558E8" w:rsidSect="00C8387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558E8" w:rsidRDefault="002038A0">
      <w:pPr>
        <w:suppressAutoHyphens/>
        <w:spacing w:after="120" w:line="240" w:lineRule="auto"/>
        <w:jc w:val="both"/>
        <w:rPr>
          <w:rFonts w:ascii="Times New Roman" w:hAnsi="Times New Roman"/>
          <w:b/>
          <w:noProof/>
          <w:color w:val="000000"/>
          <w:sz w:val="24"/>
          <w:szCs w:val="24"/>
        </w:rPr>
      </w:pPr>
      <w:bookmarkStart w:id="1" w:name="_GoBack"/>
      <w:bookmarkEnd w:id="1"/>
      <w:r>
        <w:rPr>
          <w:rFonts w:ascii="Times New Roman" w:hAnsi="Times New Roman"/>
          <w:b/>
          <w:noProof/>
          <w:color w:val="000000"/>
          <w:sz w:val="24"/>
          <w:szCs w:val="24"/>
        </w:rPr>
        <w:lastRenderedPageBreak/>
        <w:t>1.</w:t>
      </w:r>
      <w:r>
        <w:rPr>
          <w:rFonts w:ascii="Times New Roman" w:hAnsi="Times New Roman"/>
          <w:b/>
          <w:noProof/>
          <w:color w:val="000000"/>
          <w:sz w:val="24"/>
          <w:szCs w:val="24"/>
        </w:rPr>
        <w:tab/>
        <w:t xml:space="preserve">Deployments </w:t>
      </w:r>
    </w:p>
    <w:p w:rsidR="004558E8" w:rsidRDefault="002038A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Border Coast Guard Agency  continues to support frontline Member States, with deployments in Greece, Italy, Bulgaria, and Spain as well as in the Western Balkans, with approximately 1500 members of the European Border and Coast Guard teams. The map presents the situation in week 13-17 November 2017. </w:t>
      </w:r>
    </w:p>
    <w:p w:rsidR="004558E8" w:rsidRDefault="004558E8">
      <w:pPr>
        <w:spacing w:after="0" w:line="240" w:lineRule="auto"/>
        <w:jc w:val="both"/>
        <w:rPr>
          <w:rFonts w:ascii="Times New Roman" w:hAnsi="Times New Roman" w:cs="Times New Roman"/>
          <w:noProof/>
        </w:rPr>
      </w:pPr>
    </w:p>
    <w:p w:rsidR="004558E8" w:rsidRDefault="004558E8">
      <w:pPr>
        <w:pStyle w:val="ListParagraph"/>
        <w:spacing w:line="240" w:lineRule="auto"/>
        <w:jc w:val="center"/>
        <w:rPr>
          <w:rFonts w:ascii="Times New Roman" w:hAnsi="Times New Roman" w:cs="Times New Roman"/>
          <w:b/>
          <w:noProof/>
        </w:rPr>
      </w:pPr>
    </w:p>
    <w:p w:rsidR="004558E8" w:rsidRDefault="004558E8">
      <w:pPr>
        <w:pStyle w:val="ListParagraph"/>
        <w:spacing w:line="240" w:lineRule="auto"/>
        <w:ind w:left="0"/>
        <w:rPr>
          <w:rFonts w:ascii="Times New Roman" w:hAnsi="Times New Roman" w:cs="Times New Roman"/>
          <w:noProof/>
        </w:rPr>
      </w:pPr>
    </w:p>
    <w:p w:rsidR="004558E8" w:rsidRDefault="002038A0">
      <w:pPr>
        <w:pStyle w:val="ListParagraph"/>
        <w:spacing w:line="240" w:lineRule="auto"/>
        <w:ind w:left="0"/>
        <w:rPr>
          <w:rFonts w:ascii="Times New Roman" w:hAnsi="Times New Roman" w:cs="Times New Roman"/>
          <w:noProof/>
        </w:rPr>
      </w:pPr>
      <w:r>
        <w:rPr>
          <w:rFonts w:ascii="Times New Roman" w:hAnsi="Times New Roman" w:cs="Times New Roman"/>
          <w:noProof/>
          <w:lang w:eastAsia="en-GB"/>
        </w:rPr>
        <w:drawing>
          <wp:inline distT="0" distB="0" distL="0" distR="0" wp14:anchorId="497393F6" wp14:editId="72002B04">
            <wp:extent cx="5136543" cy="257506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Deployments in FX JOs_ Black and White_Updat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0090" cy="2576844"/>
                    </a:xfrm>
                    <a:prstGeom prst="rect">
                      <a:avLst/>
                    </a:prstGeom>
                  </pic:spPr>
                </pic:pic>
              </a:graphicData>
            </a:graphic>
          </wp:inline>
        </w:drawing>
      </w:r>
    </w:p>
    <w:p w:rsidR="004558E8" w:rsidRDefault="002038A0">
      <w:pPr>
        <w:pStyle w:val="ListParagraph"/>
        <w:spacing w:line="240" w:lineRule="auto"/>
        <w:ind w:left="0"/>
        <w:rPr>
          <w:rFonts w:ascii="Times New Roman" w:hAnsi="Times New Roman" w:cs="Times New Roman"/>
          <w:noProof/>
          <w:sz w:val="20"/>
        </w:rPr>
      </w:pPr>
      <w:r>
        <w:rPr>
          <w:rFonts w:ascii="Times New Roman" w:hAnsi="Times New Roman" w:cs="Times New Roman"/>
          <w:noProof/>
          <w:sz w:val="20"/>
        </w:rPr>
        <w:t>* Western Balkans</w:t>
      </w:r>
    </w:p>
    <w:p w:rsidR="004558E8" w:rsidRDefault="004558E8">
      <w:pPr>
        <w:pStyle w:val="ListParagraph"/>
        <w:spacing w:line="240" w:lineRule="auto"/>
        <w:ind w:left="0"/>
        <w:rPr>
          <w:rFonts w:ascii="Times New Roman" w:hAnsi="Times New Roman" w:cs="Times New Roman"/>
          <w:noProof/>
          <w:sz w:val="20"/>
        </w:rPr>
      </w:pPr>
    </w:p>
    <w:p w:rsidR="004558E8" w:rsidRDefault="002038A0">
      <w:pPr>
        <w:pStyle w:val="ListParagraph"/>
        <w:spacing w:line="240" w:lineRule="auto"/>
        <w:ind w:left="0"/>
        <w:rPr>
          <w:rFonts w:ascii="Times New Roman" w:hAnsi="Times New Roman" w:cs="Times New Roman"/>
          <w:noProof/>
          <w:sz w:val="24"/>
        </w:rPr>
      </w:pPr>
      <w:r>
        <w:rPr>
          <w:rFonts w:ascii="Times New Roman" w:hAnsi="Times New Roman" w:cs="Times New Roman"/>
          <w:noProof/>
          <w:sz w:val="24"/>
        </w:rPr>
        <w:t xml:space="preserve">Between 1 January and 31 October 2017, the Member States contributed over 489 000 man-days. </w:t>
      </w:r>
    </w:p>
    <w:p w:rsidR="004558E8" w:rsidRDefault="004558E8">
      <w:pPr>
        <w:pStyle w:val="ListParagraph"/>
        <w:spacing w:line="240" w:lineRule="auto"/>
        <w:ind w:left="0"/>
        <w:jc w:val="center"/>
        <w:rPr>
          <w:rFonts w:ascii="Times New Roman" w:hAnsi="Times New Roman" w:cs="Times New Roman"/>
          <w:noProof/>
          <w:sz w:val="24"/>
          <w:szCs w:val="24"/>
          <w:lang w:val="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828"/>
        <w:gridCol w:w="3068"/>
        <w:gridCol w:w="1316"/>
        <w:gridCol w:w="1402"/>
        <w:gridCol w:w="1390"/>
      </w:tblGrid>
      <w:tr w:rsidR="004558E8">
        <w:trPr>
          <w:cantSplit/>
          <w:trHeight w:val="161"/>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Human Resource deployments in Greece, Italy, Bulgaria, Spain and the Western Balkans from 01.01.2017 until 31.10.2017</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MS/SAC</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EBGT Deployment man-days (excl. Int. Deployments)</w:t>
            </w:r>
          </w:p>
        </w:tc>
        <w:tc>
          <w:tcPr>
            <w:tcW w:w="3068"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Crew/technical staff, coordinating staff &amp; interpreters deployment man-days (excl. Int. Deployments)</w:t>
            </w:r>
          </w:p>
        </w:tc>
        <w:tc>
          <w:tcPr>
            <w:tcW w:w="1282"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Internal deployment man-days</w:t>
            </w:r>
          </w:p>
        </w:tc>
        <w:tc>
          <w:tcPr>
            <w:tcW w:w="1366"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Western Balkan deployments</w:t>
            </w:r>
          </w:p>
        </w:tc>
        <w:tc>
          <w:tcPr>
            <w:tcW w:w="1390" w:type="dxa"/>
            <w:tcBorders>
              <w:top w:val="single" w:sz="4" w:space="0" w:color="auto"/>
              <w:left w:val="single" w:sz="4" w:space="0" w:color="auto"/>
              <w:bottom w:val="single" w:sz="4" w:space="0" w:color="auto"/>
              <w:right w:val="single" w:sz="4" w:space="0" w:color="auto"/>
            </w:tcBorders>
            <w:vAlign w:val="center"/>
            <w:hideMark/>
          </w:tcPr>
          <w:p w:rsidR="004558E8" w:rsidRDefault="002038A0">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Austria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6,484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366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3,713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10,563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Belgium</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979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174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1,153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Bulgaria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10,881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1,037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7,512 </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117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19,547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Croatia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1,739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1,353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29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3,121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Cyprus</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444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444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Czech Rep.</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6,190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228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162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6,580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Denmark</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2,082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1,722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3,804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Estonia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2,754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462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203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4,582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Finland</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891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3,204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487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4,582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France</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14,208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5,124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87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19,419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Germany</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24,842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8,092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1,499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34,433</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Greece</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9,504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131,354 </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rPr>
                <w:rFonts w:ascii="Times New Roman" w:hAnsi="Times New Roman" w:cs="Times New Roman"/>
                <w:noProof/>
              </w:rPr>
            </w:pPr>
            <w:r>
              <w:rPr>
                <w:rFonts w:ascii="Times New Roman" w:hAnsi="Times New Roman" w:cs="Times New Roman"/>
                <w:noProof/>
              </w:rPr>
              <w:t>218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141,078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Hungary</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1,657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44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1,701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Iceland</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775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775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Italy</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1,545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5,678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32,485 </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174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39,882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Latvia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2,914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4,465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303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7,682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lastRenderedPageBreak/>
              <w:t>Lithuania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3,859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758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234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4,851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Luxembourg</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802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971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1,773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Malta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rPr>
                <w:rFonts w:ascii="Times New Roman" w:hAnsi="Times New Roman" w:cs="Times New Roman"/>
                <w:noProof/>
              </w:rPr>
            </w:pPr>
            <w:r>
              <w:rPr>
                <w:rFonts w:ascii="Times New Roman" w:hAnsi="Times New Roman" w:cs="Times New Roman"/>
                <w:noProof/>
              </w:rPr>
              <w:t>168</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12,911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56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13,079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Netherlands</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13,151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9,075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205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22,431</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Norway</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917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13,183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14,100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Poland</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11,052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1,122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590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12,764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Portugal</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6,849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24,100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461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31,410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Romania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15,907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8,535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1,287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25,729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Slovakia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1,858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145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2,003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Slovenia</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1,240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594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1,834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Spain</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8,012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18,726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15,136 </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338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42,212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Sweden</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1,949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3,590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57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5,596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Switzerland</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760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200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960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United Kingdom*</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3,035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9,326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4558E8">
            <w:pPr>
              <w:spacing w:after="0"/>
              <w:rPr>
                <w:rFonts w:ascii="Times New Roman" w:hAnsi="Times New Roman" w:cs="Times New Roman"/>
                <w:noProof/>
              </w:rPr>
            </w:pP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 xml:space="preserve">12,361 </w:t>
            </w:r>
          </w:p>
        </w:tc>
      </w:tr>
      <w:tr w:rsidR="004558E8">
        <w:trPr>
          <w:cantSplit/>
          <w:trHeight w:val="161"/>
          <w:jc w:val="center"/>
        </w:trPr>
        <w:tc>
          <w:tcPr>
            <w:tcW w:w="141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Total</w:t>
            </w:r>
          </w:p>
        </w:tc>
        <w:tc>
          <w:tcPr>
            <w:tcW w:w="182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rPr>
              <w:t xml:space="preserve">156,673 </w:t>
            </w: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rPr>
              <w:t xml:space="preserve">134,805 </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rPr>
              <w:t xml:space="preserve">186,487 </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rPr>
              <w:t xml:space="preserve">11,321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4558E8" w:rsidRDefault="002038A0">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rPr>
              <w:t xml:space="preserve">489,286 </w:t>
            </w:r>
          </w:p>
        </w:tc>
      </w:tr>
    </w:tbl>
    <w:p w:rsidR="004558E8" w:rsidRDefault="002038A0">
      <w:pPr>
        <w:pStyle w:val="ListParagraph"/>
        <w:spacing w:line="240" w:lineRule="auto"/>
        <w:ind w:left="0"/>
        <w:rPr>
          <w:rFonts w:ascii="Times New Roman" w:hAnsi="Times New Roman" w:cs="Times New Roman"/>
          <w:noProof/>
          <w:sz w:val="20"/>
          <w:szCs w:val="20"/>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0"/>
          <w:szCs w:val="20"/>
          <w:lang w:val="en-US"/>
        </w:rPr>
        <w:t>Not formally EBGT contributor</w:t>
      </w:r>
    </w:p>
    <w:p w:rsidR="004558E8" w:rsidRDefault="004558E8">
      <w:pPr>
        <w:pStyle w:val="ListParagraph"/>
        <w:spacing w:line="240" w:lineRule="auto"/>
        <w:ind w:left="0"/>
        <w:rPr>
          <w:rFonts w:ascii="Times New Roman" w:hAnsi="Times New Roman" w:cs="Times New Roman"/>
          <w:noProof/>
          <w:color w:val="1F497D"/>
          <w:lang w:val="en-US"/>
        </w:rPr>
      </w:pPr>
    </w:p>
    <w:p w:rsidR="004558E8" w:rsidRDefault="002038A0">
      <w:pPr>
        <w:suppressAutoHyphens/>
        <w:spacing w:after="120" w:line="240" w:lineRule="auto"/>
        <w:jc w:val="both"/>
        <w:rPr>
          <w:rFonts w:ascii="Times New Roman" w:eastAsia="SimSun" w:hAnsi="Times New Roman" w:cs="Times New Roman"/>
          <w:b/>
          <w:bCs/>
          <w:noProof/>
          <w:color w:val="000000"/>
          <w:sz w:val="24"/>
          <w:szCs w:val="24"/>
          <w:lang w:eastAsia="ar-SA"/>
        </w:rPr>
      </w:pPr>
      <w:r>
        <w:rPr>
          <w:rFonts w:ascii="Times New Roman" w:eastAsia="SimSun" w:hAnsi="Times New Roman" w:cs="Times New Roman"/>
          <w:b/>
          <w:bCs/>
          <w:noProof/>
          <w:color w:val="000000"/>
          <w:sz w:val="24"/>
          <w:szCs w:val="24"/>
          <w:lang w:eastAsia="ar-SA"/>
        </w:rPr>
        <w:t>2.</w:t>
      </w:r>
      <w:r>
        <w:rPr>
          <w:rFonts w:ascii="Times New Roman" w:eastAsia="SimSun" w:hAnsi="Times New Roman" w:cs="Times New Roman"/>
          <w:b/>
          <w:bCs/>
          <w:noProof/>
          <w:color w:val="000000"/>
          <w:sz w:val="24"/>
          <w:szCs w:val="24"/>
          <w:lang w:eastAsia="ar-SA"/>
        </w:rPr>
        <w:tab/>
        <w:t>Rapid Reaction Capabilities, including the mandatory pooling of resources</w:t>
      </w:r>
    </w:p>
    <w:p w:rsidR="004558E8" w:rsidRDefault="002038A0">
      <w:pPr>
        <w:spacing w:line="240" w:lineRule="auto"/>
        <w:jc w:val="both"/>
        <w:rPr>
          <w:rFonts w:ascii="Times New Roman" w:hAnsi="Times New Roman" w:cs="Times New Roman"/>
          <w:noProof/>
        </w:rPr>
      </w:pPr>
      <w:r>
        <w:rPr>
          <w:rFonts w:ascii="Times New Roman" w:hAnsi="Times New Roman" w:cs="Times New Roman"/>
          <w:noProof/>
          <w:sz w:val="24"/>
          <w:szCs w:val="24"/>
        </w:rPr>
        <w:t xml:space="preserve">By 9 November 2017, the total number of "nominated" border guards available for deployments form Rapid Reaction Pool will be 1 110, representing 74% of the Pool. </w:t>
      </w:r>
    </w:p>
    <w:p w:rsidR="004558E8" w:rsidRDefault="004558E8">
      <w:pPr>
        <w:spacing w:after="0" w:line="240" w:lineRule="auto"/>
        <w:rPr>
          <w:rFonts w:ascii="Times New Roman" w:hAnsi="Times New Roman" w:cs="Times New Roman"/>
          <w:noProof/>
        </w:rPr>
      </w:pPr>
    </w:p>
    <w:tbl>
      <w:tblPr>
        <w:tblW w:w="10215" w:type="dxa"/>
        <w:jc w:val="center"/>
        <w:tblInd w:w="-1017" w:type="dxa"/>
        <w:tblLook w:val="04A0" w:firstRow="1" w:lastRow="0" w:firstColumn="1" w:lastColumn="0" w:noHBand="0" w:noVBand="1"/>
      </w:tblPr>
      <w:tblGrid>
        <w:gridCol w:w="885"/>
        <w:gridCol w:w="312"/>
        <w:gridCol w:w="312"/>
        <w:gridCol w:w="312"/>
        <w:gridCol w:w="313"/>
        <w:gridCol w:w="313"/>
        <w:gridCol w:w="345"/>
        <w:gridCol w:w="313"/>
        <w:gridCol w:w="345"/>
        <w:gridCol w:w="313"/>
        <w:gridCol w:w="345"/>
        <w:gridCol w:w="345"/>
        <w:gridCol w:w="313"/>
        <w:gridCol w:w="313"/>
        <w:gridCol w:w="313"/>
        <w:gridCol w:w="345"/>
        <w:gridCol w:w="313"/>
        <w:gridCol w:w="313"/>
        <w:gridCol w:w="313"/>
        <w:gridCol w:w="313"/>
        <w:gridCol w:w="313"/>
        <w:gridCol w:w="313"/>
        <w:gridCol w:w="345"/>
        <w:gridCol w:w="313"/>
        <w:gridCol w:w="345"/>
        <w:gridCol w:w="313"/>
        <w:gridCol w:w="313"/>
        <w:gridCol w:w="345"/>
        <w:gridCol w:w="313"/>
        <w:gridCol w:w="313"/>
      </w:tblGrid>
      <w:tr w:rsidR="004558E8">
        <w:trPr>
          <w:trHeight w:val="1678"/>
          <w:jc w:val="center"/>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Member States</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Austria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Belgium</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Bulgaria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Croatia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Cyprus</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Czech Republic</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Denmark</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Estonia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Finland</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France</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Germany</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Greece</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Hungary</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Iceland</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Italy</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Latvia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Lithuania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Luxembourg</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Malta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Netherlands</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Norway</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Poland</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Portugal</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Romania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Slovakia</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Slovenia</w:t>
            </w:r>
          </w:p>
        </w:tc>
        <w:tc>
          <w:tcPr>
            <w:tcW w:w="3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Spain</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Sweden</w:t>
            </w:r>
          </w:p>
        </w:tc>
        <w:tc>
          <w:tcPr>
            <w:tcW w:w="31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Switzerland</w:t>
            </w:r>
          </w:p>
        </w:tc>
      </w:tr>
      <w:tr w:rsidR="004558E8">
        <w:trPr>
          <w:trHeight w:val="806"/>
          <w:jc w:val="center"/>
        </w:trPr>
        <w:tc>
          <w:tcPr>
            <w:tcW w:w="83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Number of border guards nominated in Opera</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89</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97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132</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29</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168</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57</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378</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58</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131</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53</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14</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81</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275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196</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63</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46</w:t>
            </w:r>
          </w:p>
        </w:tc>
      </w:tr>
      <w:tr w:rsidR="004558E8">
        <w:trPr>
          <w:trHeight w:val="1154"/>
          <w:jc w:val="center"/>
        </w:trPr>
        <w:tc>
          <w:tcPr>
            <w:tcW w:w="83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Number available for mandatory deployment under the RRP</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34</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29</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18</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sz w:val="10"/>
                <w:lang w:eastAsia="en-GB"/>
              </w:rPr>
            </w:pPr>
            <w:r>
              <w:rPr>
                <w:rFonts w:ascii="Times New Roman" w:eastAsia="Times New Roman" w:hAnsi="Times New Roman" w:cs="Times New Roman"/>
                <w:noProof/>
                <w:sz w:val="10"/>
                <w:lang w:eastAsia="en-GB"/>
              </w:rPr>
              <w:t>30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39</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100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16</w:t>
            </w:r>
          </w:p>
        </w:tc>
      </w:tr>
      <w:tr w:rsidR="004558E8">
        <w:trPr>
          <w:trHeight w:val="1182"/>
          <w:jc w:val="center"/>
        </w:trPr>
        <w:tc>
          <w:tcPr>
            <w:tcW w:w="83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Contributions under Annex I of the EBCG Regulation</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34</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29</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18</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225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sz w:val="10"/>
                <w:lang w:eastAsia="en-GB"/>
              </w:rPr>
            </w:pPr>
            <w:r>
              <w:rPr>
                <w:rFonts w:ascii="Times New Roman" w:eastAsia="Times New Roman" w:hAnsi="Times New Roman" w:cs="Times New Roman"/>
                <w:noProof/>
                <w:sz w:val="10"/>
                <w:lang w:eastAsia="en-GB"/>
              </w:rPr>
              <w:t>30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39</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100</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47</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111</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w:t>
            </w:r>
          </w:p>
        </w:tc>
        <w:tc>
          <w:tcPr>
            <w:tcW w:w="31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558E8" w:rsidRDefault="002038A0">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16</w:t>
            </w:r>
          </w:p>
        </w:tc>
      </w:tr>
    </w:tbl>
    <w:p w:rsidR="004558E8" w:rsidRDefault="004558E8">
      <w:pPr>
        <w:spacing w:after="0" w:line="240" w:lineRule="auto"/>
        <w:rPr>
          <w:rFonts w:ascii="Times New Roman" w:hAnsi="Times New Roman" w:cs="Times New Roman"/>
          <w:noProof/>
        </w:rPr>
      </w:pPr>
    </w:p>
    <w:p w:rsidR="004558E8" w:rsidRDefault="004558E8">
      <w:pPr>
        <w:spacing w:after="0" w:line="240" w:lineRule="auto"/>
        <w:rPr>
          <w:rFonts w:ascii="Times New Roman" w:hAnsi="Times New Roman" w:cs="Times New Roman"/>
          <w:noProof/>
        </w:rPr>
      </w:pPr>
    </w:p>
    <w:p w:rsidR="004558E8" w:rsidRDefault="002038A0">
      <w:pPr>
        <w:spacing w:line="240" w:lineRule="auto"/>
        <w:rPr>
          <w:noProof/>
          <w:sz w:val="24"/>
        </w:rPr>
      </w:pPr>
      <w:r>
        <w:rPr>
          <w:rFonts w:ascii="Times New Roman" w:hAnsi="Times New Roman" w:cs="Times New Roman"/>
          <w:noProof/>
          <w:sz w:val="24"/>
          <w:lang w:val="en-US"/>
        </w:rPr>
        <w:t xml:space="preserve">Under the </w:t>
      </w:r>
      <w:r>
        <w:rPr>
          <w:rFonts w:ascii="Times New Roman" w:hAnsi="Times New Roman" w:cs="Times New Roman"/>
          <w:b/>
          <w:noProof/>
          <w:sz w:val="24"/>
          <w:lang w:val="en-US"/>
        </w:rPr>
        <w:t>Rapid Reaction Equipment Pool</w:t>
      </w:r>
      <w:r>
        <w:rPr>
          <w:rFonts w:ascii="Times New Roman" w:hAnsi="Times New Roman" w:cs="Times New Roman"/>
          <w:noProof/>
          <w:sz w:val="24"/>
          <w:lang w:val="en-US"/>
        </w:rPr>
        <w:t>, considerable gaps remain for most types of equipment and the current contributions continue to be ensured by only 14 Member States:</w:t>
      </w:r>
    </w:p>
    <w:tbl>
      <w:tblPr>
        <w:tblStyle w:val="GridTable4Accent1"/>
        <w:tblW w:w="957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88"/>
        <w:gridCol w:w="2253"/>
        <w:gridCol w:w="2046"/>
        <w:gridCol w:w="1030"/>
        <w:gridCol w:w="1860"/>
      </w:tblGrid>
      <w:tr w:rsidR="004558E8" w:rsidTr="004558E8">
        <w:trPr>
          <w:cnfStyle w:val="100000000000" w:firstRow="1" w:lastRow="0" w:firstColumn="0" w:lastColumn="0" w:oddVBand="0" w:evenVBand="0" w:oddHBand="0"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2388"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4558E8" w:rsidRDefault="002038A0">
            <w:pPr>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Type of equipment</w:t>
            </w:r>
          </w:p>
        </w:tc>
        <w:tc>
          <w:tcPr>
            <w:tcW w:w="225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4558E8" w:rsidRDefault="002038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No. of asset-months  Requested by Management Board Decision</w:t>
            </w:r>
          </w:p>
        </w:tc>
        <w:tc>
          <w:tcPr>
            <w:tcW w:w="204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4558E8" w:rsidRDefault="002038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No. of asset-months offered by MS/SAC</w:t>
            </w:r>
          </w:p>
        </w:tc>
        <w:tc>
          <w:tcPr>
            <w:tcW w:w="103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4558E8" w:rsidRDefault="002038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Gap</w:t>
            </w:r>
          </w:p>
        </w:tc>
        <w:tc>
          <w:tcPr>
            <w:tcW w:w="18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558E8" w:rsidRDefault="002038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Contributing MS</w:t>
            </w: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t>Buses</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36</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31</w:t>
            </w:r>
          </w:p>
        </w:tc>
        <w:tc>
          <w:tcPr>
            <w:tcW w:w="1860" w:type="dxa"/>
            <w:vMerge w:val="restart"/>
            <w:vAlign w:val="center"/>
          </w:tcPr>
          <w:p w:rsidR="004558E8" w:rsidRDefault="002038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Bulgaria, Czech </w:t>
            </w:r>
            <w:r>
              <w:rPr>
                <w:rFonts w:ascii="Times New Roman" w:hAnsi="Times New Roman" w:cs="Times New Roman"/>
                <w:noProof/>
                <w:sz w:val="20"/>
                <w:szCs w:val="20"/>
              </w:rPr>
              <w:lastRenderedPageBreak/>
              <w:t>Republic, Finland, Croatia, Hungary, Latvia, Netherlands, Slovenia, Portugal, Italy, Austria, Poland, Germany</w:t>
            </w: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lastRenderedPageBreak/>
              <w:t>Coastal Patrol Boat</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67</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24</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43</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lastRenderedPageBreak/>
              <w:t>Coastal Patrol Vessel</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33</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13</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20</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t>Fixed wing aircraft</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19</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16</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t>Helicopter</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20</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17</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t>Offshore Patrol Vessel</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28</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13</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15</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rPr>
              <w:t>Patrol car</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167</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442</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-275</w:t>
            </w:r>
            <w:r>
              <w:rPr>
                <w:rStyle w:val="FootnoteReference"/>
                <w:rFonts w:ascii="Times New Roman" w:hAnsi="Times New Roman" w:cs="Times New Roman"/>
                <w:noProof/>
                <w:sz w:val="20"/>
                <w:szCs w:val="20"/>
              </w:rPr>
              <w:footnoteReference w:id="1"/>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4558E8" w:rsidTr="004558E8">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4558E8" w:rsidRDefault="002038A0">
            <w:pPr>
              <w:rPr>
                <w:rFonts w:ascii="Times New Roman" w:hAnsi="Times New Roman" w:cs="Times New Roman"/>
                <w:b w:val="0"/>
                <w:noProof/>
                <w:sz w:val="20"/>
                <w:szCs w:val="20"/>
              </w:rPr>
            </w:pPr>
            <w:r>
              <w:rPr>
                <w:rFonts w:ascii="Times New Roman" w:hAnsi="Times New Roman" w:cs="Times New Roman"/>
                <w:b w:val="0"/>
                <w:noProof/>
                <w:sz w:val="20"/>
                <w:szCs w:val="20"/>
                <w:lang w:val="fr-BE"/>
              </w:rPr>
              <w:t>Thermo vision vehicles</w:t>
            </w:r>
          </w:p>
        </w:tc>
        <w:tc>
          <w:tcPr>
            <w:tcW w:w="2253"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55</w:t>
            </w:r>
          </w:p>
        </w:tc>
        <w:tc>
          <w:tcPr>
            <w:tcW w:w="2046"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33</w:t>
            </w:r>
          </w:p>
        </w:tc>
        <w:tc>
          <w:tcPr>
            <w:tcW w:w="1030" w:type="dxa"/>
            <w:hideMark/>
          </w:tcPr>
          <w:p w:rsidR="004558E8" w:rsidRDefault="002038A0">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22</w:t>
            </w:r>
          </w:p>
        </w:tc>
        <w:tc>
          <w:tcPr>
            <w:tcW w:w="1860" w:type="dxa"/>
            <w:vMerge/>
          </w:tcPr>
          <w:p w:rsidR="004558E8" w:rsidRDefault="004558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bl>
    <w:p w:rsidR="004558E8" w:rsidRDefault="004558E8">
      <w:pPr>
        <w:suppressAutoHyphens/>
        <w:spacing w:after="120" w:line="240" w:lineRule="auto"/>
        <w:contextualSpacing/>
        <w:jc w:val="both"/>
        <w:rPr>
          <w:rFonts w:ascii="Times New Roman" w:hAnsi="Times New Roman" w:cs="Times New Roman"/>
          <w:noProof/>
          <w:sz w:val="16"/>
          <w:szCs w:val="16"/>
        </w:rPr>
      </w:pPr>
    </w:p>
    <w:p w:rsidR="004558E8" w:rsidRDefault="004558E8">
      <w:pPr>
        <w:suppressAutoHyphens/>
        <w:spacing w:after="120" w:line="240" w:lineRule="auto"/>
        <w:contextualSpacing/>
        <w:jc w:val="both"/>
        <w:rPr>
          <w:rFonts w:ascii="Times New Roman" w:hAnsi="Times New Roman" w:cs="Times New Roman"/>
          <w:noProof/>
          <w:sz w:val="16"/>
          <w:szCs w:val="16"/>
        </w:rPr>
      </w:pPr>
    </w:p>
    <w:p w:rsidR="004558E8" w:rsidRDefault="002038A0">
      <w:pPr>
        <w:spacing w:line="240" w:lineRule="auto"/>
        <w:jc w:val="both"/>
        <w:rPr>
          <w:rFonts w:ascii="Times New Roman" w:hAnsi="Times New Roman"/>
          <w:b/>
          <w:noProof/>
          <w:color w:val="000000"/>
          <w:sz w:val="24"/>
        </w:rPr>
      </w:pPr>
      <w:r>
        <w:rPr>
          <w:rFonts w:ascii="Times New Roman" w:hAnsi="Times New Roman"/>
          <w:b/>
          <w:noProof/>
          <w:color w:val="000000"/>
          <w:sz w:val="24"/>
        </w:rPr>
        <w:t>3.</w:t>
      </w:r>
      <w:r>
        <w:rPr>
          <w:rFonts w:ascii="Times New Roman" w:hAnsi="Times New Roman"/>
          <w:b/>
          <w:noProof/>
          <w:color w:val="000000"/>
          <w:sz w:val="24"/>
        </w:rPr>
        <w:tab/>
        <w:t>Vulnerability Assessments</w:t>
      </w:r>
    </w:p>
    <w:p w:rsidR="004558E8" w:rsidRDefault="002038A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conclusion of 6 simulation exercises by December 2017, the Agency will complete the first cycle of the vulnerability assessments.</w:t>
      </w:r>
    </w:p>
    <w:tbl>
      <w:tblPr>
        <w:tblStyle w:val="TableGrid"/>
        <w:tblW w:w="0" w:type="auto"/>
        <w:jc w:val="center"/>
        <w:tblLook w:val="04A0" w:firstRow="1" w:lastRow="0" w:firstColumn="1" w:lastColumn="0" w:noHBand="0" w:noVBand="1"/>
      </w:tblPr>
      <w:tblGrid>
        <w:gridCol w:w="6586"/>
        <w:gridCol w:w="2702"/>
      </w:tblGrid>
      <w:tr w:rsidR="004558E8">
        <w:trPr>
          <w:cantSplit/>
          <w:jc w:val="center"/>
        </w:trPr>
        <w:tc>
          <w:tcPr>
            <w:tcW w:w="6586" w:type="dxa"/>
            <w:shd w:val="clear" w:color="auto" w:fill="D9D9D9" w:themeFill="background1" w:themeFillShade="D9"/>
          </w:tcPr>
          <w:p w:rsidR="004558E8" w:rsidRDefault="002038A0">
            <w:pPr>
              <w:rPr>
                <w:rFonts w:ascii="Times New Roman" w:hAnsi="Times New Roman" w:cs="Times New Roman"/>
                <w:b/>
                <w:noProof/>
                <w:sz w:val="20"/>
              </w:rPr>
            </w:pPr>
            <w:r>
              <w:rPr>
                <w:rFonts w:ascii="Times New Roman" w:hAnsi="Times New Roman" w:cs="Times New Roman"/>
                <w:b/>
                <w:noProof/>
                <w:sz w:val="20"/>
              </w:rPr>
              <w:t xml:space="preserve">Types of Agency feedback </w:t>
            </w:r>
          </w:p>
        </w:tc>
        <w:tc>
          <w:tcPr>
            <w:tcW w:w="2702" w:type="dxa"/>
            <w:shd w:val="clear" w:color="auto" w:fill="D9D9D9" w:themeFill="background1" w:themeFillShade="D9"/>
          </w:tcPr>
          <w:p w:rsidR="004558E8" w:rsidRDefault="002038A0">
            <w:pPr>
              <w:rPr>
                <w:rFonts w:ascii="Times New Roman" w:hAnsi="Times New Roman" w:cs="Times New Roman"/>
                <w:b/>
                <w:noProof/>
                <w:sz w:val="20"/>
              </w:rPr>
            </w:pPr>
            <w:r>
              <w:rPr>
                <w:rFonts w:ascii="Times New Roman" w:hAnsi="Times New Roman" w:cs="Times New Roman"/>
                <w:b/>
                <w:noProof/>
                <w:sz w:val="20"/>
              </w:rPr>
              <w:t xml:space="preserve">No. of Member States concerned </w:t>
            </w:r>
          </w:p>
        </w:tc>
      </w:tr>
      <w:tr w:rsidR="004558E8">
        <w:trPr>
          <w:cantSplit/>
          <w:jc w:val="center"/>
        </w:trPr>
        <w:tc>
          <w:tcPr>
            <w:tcW w:w="6586" w:type="dxa"/>
          </w:tcPr>
          <w:p w:rsidR="004558E8" w:rsidRDefault="002038A0">
            <w:pPr>
              <w:rPr>
                <w:rFonts w:ascii="Times New Roman" w:hAnsi="Times New Roman" w:cs="Times New Roman"/>
                <w:noProof/>
                <w:sz w:val="20"/>
              </w:rPr>
            </w:pPr>
            <w:r>
              <w:rPr>
                <w:rFonts w:ascii="Times New Roman" w:hAnsi="Times New Roman" w:cs="Times New Roman"/>
                <w:noProof/>
                <w:sz w:val="20"/>
              </w:rPr>
              <w:t>Member States addressed with recommendations containing measures including specific timelines for implementation</w:t>
            </w:r>
          </w:p>
        </w:tc>
        <w:tc>
          <w:tcPr>
            <w:tcW w:w="2702" w:type="dxa"/>
          </w:tcPr>
          <w:p w:rsidR="004558E8" w:rsidRDefault="002038A0">
            <w:pPr>
              <w:jc w:val="center"/>
              <w:rPr>
                <w:rFonts w:ascii="Times New Roman" w:hAnsi="Times New Roman" w:cs="Times New Roman"/>
                <w:noProof/>
                <w:sz w:val="20"/>
              </w:rPr>
            </w:pPr>
            <w:r>
              <w:rPr>
                <w:rFonts w:ascii="Times New Roman" w:hAnsi="Times New Roman" w:cs="Times New Roman"/>
                <w:noProof/>
                <w:sz w:val="20"/>
              </w:rPr>
              <w:t>21</w:t>
            </w:r>
          </w:p>
        </w:tc>
      </w:tr>
      <w:tr w:rsidR="004558E8">
        <w:trPr>
          <w:cantSplit/>
          <w:jc w:val="center"/>
        </w:trPr>
        <w:tc>
          <w:tcPr>
            <w:tcW w:w="6586" w:type="dxa"/>
          </w:tcPr>
          <w:p w:rsidR="004558E8" w:rsidRDefault="002038A0">
            <w:pPr>
              <w:rPr>
                <w:rFonts w:ascii="Times New Roman" w:hAnsi="Times New Roman" w:cs="Times New Roman"/>
                <w:noProof/>
                <w:sz w:val="20"/>
              </w:rPr>
            </w:pPr>
            <w:r>
              <w:rPr>
                <w:rFonts w:ascii="Times New Roman" w:hAnsi="Times New Roman" w:cs="Times New Roman"/>
                <w:noProof/>
                <w:sz w:val="20"/>
              </w:rPr>
              <w:t>Member States addressed with recommendations to take the vulnerabilities into account at national level (without any specific measures)</w:t>
            </w:r>
          </w:p>
        </w:tc>
        <w:tc>
          <w:tcPr>
            <w:tcW w:w="2702" w:type="dxa"/>
          </w:tcPr>
          <w:p w:rsidR="004558E8" w:rsidRDefault="002038A0">
            <w:pPr>
              <w:jc w:val="center"/>
              <w:rPr>
                <w:rFonts w:ascii="Times New Roman" w:hAnsi="Times New Roman" w:cs="Times New Roman"/>
                <w:noProof/>
                <w:sz w:val="20"/>
              </w:rPr>
            </w:pPr>
            <w:r>
              <w:rPr>
                <w:rFonts w:ascii="Times New Roman" w:hAnsi="Times New Roman" w:cs="Times New Roman"/>
                <w:noProof/>
                <w:sz w:val="20"/>
              </w:rPr>
              <w:t>6</w:t>
            </w:r>
          </w:p>
        </w:tc>
      </w:tr>
      <w:tr w:rsidR="004558E8">
        <w:trPr>
          <w:cantSplit/>
          <w:trHeight w:val="338"/>
          <w:jc w:val="center"/>
        </w:trPr>
        <w:tc>
          <w:tcPr>
            <w:tcW w:w="6586" w:type="dxa"/>
          </w:tcPr>
          <w:p w:rsidR="004558E8" w:rsidRDefault="002038A0">
            <w:pPr>
              <w:rPr>
                <w:rFonts w:ascii="Times New Roman" w:hAnsi="Times New Roman" w:cs="Times New Roman"/>
                <w:noProof/>
                <w:sz w:val="20"/>
              </w:rPr>
            </w:pPr>
            <w:r>
              <w:rPr>
                <w:rFonts w:ascii="Times New Roman" w:hAnsi="Times New Roman" w:cs="Times New Roman"/>
                <w:noProof/>
                <w:sz w:val="20"/>
              </w:rPr>
              <w:t>Member States with no recommendations</w:t>
            </w:r>
          </w:p>
        </w:tc>
        <w:tc>
          <w:tcPr>
            <w:tcW w:w="2702" w:type="dxa"/>
          </w:tcPr>
          <w:p w:rsidR="004558E8" w:rsidRDefault="002038A0">
            <w:pPr>
              <w:jc w:val="center"/>
              <w:rPr>
                <w:rFonts w:ascii="Times New Roman" w:hAnsi="Times New Roman" w:cs="Times New Roman"/>
                <w:noProof/>
                <w:sz w:val="20"/>
              </w:rPr>
            </w:pPr>
            <w:r>
              <w:rPr>
                <w:rFonts w:ascii="Times New Roman" w:hAnsi="Times New Roman" w:cs="Times New Roman"/>
                <w:noProof/>
                <w:sz w:val="20"/>
              </w:rPr>
              <w:t>2</w:t>
            </w:r>
          </w:p>
        </w:tc>
      </w:tr>
      <w:tr w:rsidR="004558E8">
        <w:trPr>
          <w:cantSplit/>
          <w:jc w:val="center"/>
        </w:trPr>
        <w:tc>
          <w:tcPr>
            <w:tcW w:w="6586" w:type="dxa"/>
          </w:tcPr>
          <w:p w:rsidR="004558E8" w:rsidRDefault="002038A0">
            <w:pPr>
              <w:rPr>
                <w:rFonts w:ascii="Times New Roman" w:hAnsi="Times New Roman" w:cs="Times New Roman"/>
                <w:b/>
                <w:noProof/>
                <w:sz w:val="20"/>
              </w:rPr>
            </w:pPr>
            <w:r>
              <w:rPr>
                <w:rFonts w:ascii="Times New Roman" w:hAnsi="Times New Roman" w:cs="Times New Roman"/>
                <w:b/>
                <w:noProof/>
                <w:sz w:val="20"/>
              </w:rPr>
              <w:t>TOTAL</w:t>
            </w:r>
          </w:p>
        </w:tc>
        <w:tc>
          <w:tcPr>
            <w:tcW w:w="2702" w:type="dxa"/>
          </w:tcPr>
          <w:p w:rsidR="004558E8" w:rsidRDefault="002038A0">
            <w:pPr>
              <w:jc w:val="center"/>
              <w:rPr>
                <w:rFonts w:ascii="Times New Roman" w:hAnsi="Times New Roman" w:cs="Times New Roman"/>
                <w:b/>
                <w:noProof/>
                <w:sz w:val="20"/>
              </w:rPr>
            </w:pPr>
            <w:r>
              <w:rPr>
                <w:rFonts w:ascii="Times New Roman" w:hAnsi="Times New Roman" w:cs="Times New Roman"/>
                <w:b/>
                <w:noProof/>
                <w:sz w:val="20"/>
              </w:rPr>
              <w:t>29</w:t>
            </w:r>
          </w:p>
        </w:tc>
      </w:tr>
    </w:tbl>
    <w:p w:rsidR="004558E8" w:rsidRDefault="004558E8">
      <w:pPr>
        <w:spacing w:after="0" w:line="240" w:lineRule="auto"/>
        <w:rPr>
          <w:rFonts w:ascii="Times New Roman" w:hAnsi="Times New Roman" w:cs="Times New Roman"/>
          <w:noProof/>
          <w:sz w:val="16"/>
          <w:szCs w:val="16"/>
        </w:rPr>
      </w:pPr>
    </w:p>
    <w:p w:rsidR="004558E8" w:rsidRDefault="002038A0">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In total, the Agency recommended 33 measures in 21 Member States addressing vulnerabilities in different areas. </w:t>
      </w:r>
    </w:p>
    <w:tbl>
      <w:tblPr>
        <w:tblStyle w:val="TableGrid"/>
        <w:tblW w:w="0" w:type="auto"/>
        <w:jc w:val="center"/>
        <w:tblInd w:w="-176" w:type="dxa"/>
        <w:tblLook w:val="04A0" w:firstRow="1" w:lastRow="0" w:firstColumn="1" w:lastColumn="0" w:noHBand="0" w:noVBand="1"/>
      </w:tblPr>
      <w:tblGrid>
        <w:gridCol w:w="1572"/>
        <w:gridCol w:w="5812"/>
        <w:gridCol w:w="1975"/>
      </w:tblGrid>
      <w:tr w:rsidR="004558E8">
        <w:trPr>
          <w:jc w:val="center"/>
        </w:trPr>
        <w:tc>
          <w:tcPr>
            <w:tcW w:w="1560" w:type="dxa"/>
            <w:shd w:val="clear" w:color="auto" w:fill="D9D9D9" w:themeFill="background1" w:themeFillShade="D9"/>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 xml:space="preserve">Vulnerabilities </w:t>
            </w:r>
          </w:p>
        </w:tc>
        <w:tc>
          <w:tcPr>
            <w:tcW w:w="5812" w:type="dxa"/>
            <w:shd w:val="clear" w:color="auto" w:fill="D9D9D9" w:themeFill="background1" w:themeFillShade="D9"/>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Recommended measures</w:t>
            </w:r>
          </w:p>
        </w:tc>
        <w:tc>
          <w:tcPr>
            <w:tcW w:w="1975" w:type="dxa"/>
            <w:shd w:val="clear" w:color="auto" w:fill="D9D9D9" w:themeFill="background1" w:themeFillShade="D9"/>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No. of Member States</w:t>
            </w:r>
          </w:p>
        </w:tc>
      </w:tr>
      <w:tr w:rsidR="004558E8">
        <w:trPr>
          <w:jc w:val="center"/>
        </w:trPr>
        <w:tc>
          <w:tcPr>
            <w:tcW w:w="1560" w:type="dxa"/>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 xml:space="preserve">Border checks </w:t>
            </w:r>
          </w:p>
        </w:tc>
        <w:tc>
          <w:tcPr>
            <w:tcW w:w="5812" w:type="dxa"/>
          </w:tcPr>
          <w:p w:rsidR="004558E8" w:rsidRDefault="002038A0">
            <w:pPr>
              <w:pStyle w:val="ListParagraph"/>
              <w:numPr>
                <w:ilvl w:val="0"/>
                <w:numId w:val="18"/>
              </w:numPr>
              <w:ind w:right="85"/>
              <w:rPr>
                <w:rFonts w:ascii="Times New Roman" w:hAnsi="Times New Roman" w:cs="Times New Roman"/>
                <w:noProof/>
                <w:sz w:val="20"/>
                <w:szCs w:val="20"/>
              </w:rPr>
            </w:pPr>
            <w:r>
              <w:rPr>
                <w:rFonts w:ascii="Times New Roman" w:hAnsi="Times New Roman" w:cs="Times New Roman"/>
                <w:noProof/>
                <w:sz w:val="20"/>
                <w:szCs w:val="20"/>
              </w:rPr>
              <w:t xml:space="preserve">Adapt procedures for database consultations for systematic checks </w:t>
            </w:r>
          </w:p>
          <w:p w:rsidR="004558E8" w:rsidRDefault="002038A0">
            <w:pPr>
              <w:pStyle w:val="ListParagraph"/>
              <w:numPr>
                <w:ilvl w:val="0"/>
                <w:numId w:val="18"/>
              </w:numPr>
              <w:ind w:right="85"/>
              <w:rPr>
                <w:rFonts w:ascii="Times New Roman" w:hAnsi="Times New Roman" w:cs="Times New Roman"/>
                <w:noProof/>
                <w:sz w:val="20"/>
                <w:szCs w:val="20"/>
              </w:rPr>
            </w:pPr>
            <w:r>
              <w:rPr>
                <w:rFonts w:ascii="Times New Roman" w:hAnsi="Times New Roman" w:cs="Times New Roman"/>
                <w:noProof/>
                <w:sz w:val="20"/>
                <w:szCs w:val="20"/>
              </w:rPr>
              <w:t>Establish an estimated number of undetected cases of document fraud/clandestine entries and perform targeted checks</w:t>
            </w:r>
          </w:p>
        </w:tc>
        <w:tc>
          <w:tcPr>
            <w:tcW w:w="1975" w:type="dxa"/>
            <w:vAlign w:val="center"/>
          </w:tcPr>
          <w:p w:rsidR="004558E8" w:rsidRDefault="002038A0">
            <w:pPr>
              <w:jc w:val="center"/>
              <w:rPr>
                <w:rFonts w:ascii="Times New Roman" w:hAnsi="Times New Roman" w:cs="Times New Roman"/>
                <w:noProof/>
                <w:sz w:val="20"/>
                <w:szCs w:val="20"/>
              </w:rPr>
            </w:pPr>
            <w:r>
              <w:rPr>
                <w:rFonts w:ascii="Times New Roman" w:hAnsi="Times New Roman" w:cs="Times New Roman"/>
                <w:noProof/>
                <w:sz w:val="20"/>
                <w:szCs w:val="20"/>
              </w:rPr>
              <w:t>20</w:t>
            </w:r>
          </w:p>
        </w:tc>
      </w:tr>
      <w:tr w:rsidR="004558E8">
        <w:trPr>
          <w:jc w:val="center"/>
        </w:trPr>
        <w:tc>
          <w:tcPr>
            <w:tcW w:w="1560" w:type="dxa"/>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 xml:space="preserve">Contingency planning </w:t>
            </w:r>
          </w:p>
        </w:tc>
        <w:tc>
          <w:tcPr>
            <w:tcW w:w="5812" w:type="dxa"/>
          </w:tcPr>
          <w:p w:rsidR="004558E8" w:rsidRDefault="002038A0">
            <w:pPr>
              <w:pStyle w:val="ListParagraph"/>
              <w:numPr>
                <w:ilvl w:val="0"/>
                <w:numId w:val="19"/>
              </w:numPr>
              <w:ind w:right="85"/>
              <w:rPr>
                <w:rFonts w:ascii="Times New Roman" w:hAnsi="Times New Roman" w:cs="Times New Roman"/>
                <w:noProof/>
                <w:sz w:val="20"/>
                <w:szCs w:val="20"/>
              </w:rPr>
            </w:pPr>
            <w:r>
              <w:rPr>
                <w:rFonts w:ascii="Times New Roman" w:hAnsi="Times New Roman" w:cs="Times New Roman"/>
                <w:noProof/>
                <w:sz w:val="20"/>
                <w:szCs w:val="20"/>
              </w:rPr>
              <w:t>Develop and/or update the contingency plan, test the plan</w:t>
            </w:r>
          </w:p>
        </w:tc>
        <w:tc>
          <w:tcPr>
            <w:tcW w:w="1975" w:type="dxa"/>
            <w:vAlign w:val="center"/>
          </w:tcPr>
          <w:p w:rsidR="004558E8" w:rsidRDefault="002038A0">
            <w:pPr>
              <w:jc w:val="center"/>
              <w:rPr>
                <w:rFonts w:ascii="Times New Roman" w:hAnsi="Times New Roman" w:cs="Times New Roman"/>
                <w:noProof/>
                <w:sz w:val="20"/>
                <w:szCs w:val="20"/>
              </w:rPr>
            </w:pPr>
            <w:r>
              <w:rPr>
                <w:rFonts w:ascii="Times New Roman" w:hAnsi="Times New Roman" w:cs="Times New Roman"/>
                <w:noProof/>
                <w:sz w:val="20"/>
                <w:szCs w:val="20"/>
              </w:rPr>
              <w:t>6</w:t>
            </w:r>
          </w:p>
        </w:tc>
      </w:tr>
      <w:tr w:rsidR="004558E8">
        <w:trPr>
          <w:jc w:val="center"/>
        </w:trPr>
        <w:tc>
          <w:tcPr>
            <w:tcW w:w="1560" w:type="dxa"/>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 xml:space="preserve">Registration and accommodation capacity </w:t>
            </w:r>
          </w:p>
        </w:tc>
        <w:tc>
          <w:tcPr>
            <w:tcW w:w="5812" w:type="dxa"/>
          </w:tcPr>
          <w:p w:rsidR="004558E8" w:rsidRDefault="002038A0">
            <w:pPr>
              <w:pStyle w:val="ListParagraph"/>
              <w:numPr>
                <w:ilvl w:val="0"/>
                <w:numId w:val="19"/>
              </w:numPr>
              <w:ind w:right="85"/>
              <w:rPr>
                <w:rFonts w:ascii="Times New Roman" w:hAnsi="Times New Roman" w:cs="Times New Roman"/>
                <w:noProof/>
                <w:sz w:val="20"/>
                <w:szCs w:val="20"/>
              </w:rPr>
            </w:pPr>
            <w:r>
              <w:rPr>
                <w:rFonts w:ascii="Times New Roman" w:hAnsi="Times New Roman" w:cs="Times New Roman"/>
                <w:noProof/>
                <w:sz w:val="20"/>
                <w:szCs w:val="20"/>
              </w:rPr>
              <w:t>Increase accommodation capacity</w:t>
            </w:r>
          </w:p>
          <w:p w:rsidR="004558E8" w:rsidRDefault="002038A0">
            <w:pPr>
              <w:pStyle w:val="ListParagraph"/>
              <w:numPr>
                <w:ilvl w:val="0"/>
                <w:numId w:val="19"/>
              </w:numPr>
              <w:ind w:right="85"/>
              <w:rPr>
                <w:rFonts w:ascii="Times New Roman" w:hAnsi="Times New Roman" w:cs="Times New Roman"/>
                <w:noProof/>
                <w:sz w:val="20"/>
                <w:szCs w:val="20"/>
              </w:rPr>
            </w:pPr>
            <w:r>
              <w:rPr>
                <w:rFonts w:ascii="Times New Roman" w:hAnsi="Times New Roman" w:cs="Times New Roman"/>
                <w:noProof/>
                <w:sz w:val="20"/>
                <w:szCs w:val="20"/>
              </w:rPr>
              <w:t>Establish a detailed inventory of EURODAC fingerprinting devices</w:t>
            </w:r>
          </w:p>
        </w:tc>
        <w:tc>
          <w:tcPr>
            <w:tcW w:w="1975" w:type="dxa"/>
            <w:vAlign w:val="center"/>
          </w:tcPr>
          <w:p w:rsidR="004558E8" w:rsidRDefault="002038A0">
            <w:pPr>
              <w:jc w:val="center"/>
              <w:rPr>
                <w:rFonts w:ascii="Times New Roman" w:hAnsi="Times New Roman" w:cs="Times New Roman"/>
                <w:noProof/>
                <w:sz w:val="20"/>
                <w:szCs w:val="20"/>
              </w:rPr>
            </w:pPr>
            <w:r>
              <w:rPr>
                <w:rFonts w:ascii="Times New Roman" w:hAnsi="Times New Roman" w:cs="Times New Roman"/>
                <w:noProof/>
                <w:sz w:val="20"/>
                <w:szCs w:val="20"/>
              </w:rPr>
              <w:t>4</w:t>
            </w:r>
          </w:p>
        </w:tc>
      </w:tr>
      <w:tr w:rsidR="004558E8">
        <w:trPr>
          <w:jc w:val="center"/>
        </w:trPr>
        <w:tc>
          <w:tcPr>
            <w:tcW w:w="1560" w:type="dxa"/>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Staffing for border control</w:t>
            </w:r>
          </w:p>
        </w:tc>
        <w:tc>
          <w:tcPr>
            <w:tcW w:w="5812" w:type="dxa"/>
          </w:tcPr>
          <w:p w:rsidR="004558E8" w:rsidRDefault="002038A0">
            <w:pPr>
              <w:pStyle w:val="ListParagraph"/>
              <w:numPr>
                <w:ilvl w:val="0"/>
                <w:numId w:val="20"/>
              </w:numPr>
              <w:ind w:right="85"/>
              <w:rPr>
                <w:rFonts w:ascii="Times New Roman" w:hAnsi="Times New Roman" w:cs="Times New Roman"/>
                <w:noProof/>
                <w:sz w:val="20"/>
                <w:szCs w:val="20"/>
              </w:rPr>
            </w:pPr>
            <w:r>
              <w:rPr>
                <w:rFonts w:ascii="Times New Roman" w:hAnsi="Times New Roman" w:cs="Times New Roman"/>
                <w:noProof/>
                <w:sz w:val="20"/>
                <w:szCs w:val="20"/>
              </w:rPr>
              <w:t>Increase the effective number of staff</w:t>
            </w:r>
          </w:p>
        </w:tc>
        <w:tc>
          <w:tcPr>
            <w:tcW w:w="1975" w:type="dxa"/>
            <w:vAlign w:val="center"/>
          </w:tcPr>
          <w:p w:rsidR="004558E8" w:rsidRDefault="002038A0">
            <w:pPr>
              <w:jc w:val="center"/>
              <w:rPr>
                <w:rFonts w:ascii="Times New Roman" w:hAnsi="Times New Roman" w:cs="Times New Roman"/>
                <w:noProof/>
                <w:sz w:val="20"/>
                <w:szCs w:val="20"/>
              </w:rPr>
            </w:pPr>
            <w:r>
              <w:rPr>
                <w:rFonts w:ascii="Times New Roman" w:hAnsi="Times New Roman" w:cs="Times New Roman"/>
                <w:noProof/>
                <w:sz w:val="20"/>
                <w:szCs w:val="20"/>
              </w:rPr>
              <w:t>2</w:t>
            </w:r>
          </w:p>
        </w:tc>
      </w:tr>
      <w:tr w:rsidR="004558E8">
        <w:trPr>
          <w:jc w:val="center"/>
        </w:trPr>
        <w:tc>
          <w:tcPr>
            <w:tcW w:w="1560" w:type="dxa"/>
          </w:tcPr>
          <w:p w:rsidR="004558E8" w:rsidRDefault="002038A0">
            <w:pPr>
              <w:rPr>
                <w:rFonts w:ascii="Times New Roman" w:hAnsi="Times New Roman" w:cs="Times New Roman"/>
                <w:b/>
                <w:noProof/>
                <w:sz w:val="20"/>
                <w:szCs w:val="20"/>
              </w:rPr>
            </w:pPr>
            <w:r>
              <w:rPr>
                <w:rFonts w:ascii="Times New Roman" w:hAnsi="Times New Roman" w:cs="Times New Roman"/>
                <w:b/>
                <w:noProof/>
                <w:sz w:val="20"/>
                <w:szCs w:val="20"/>
              </w:rPr>
              <w:t>Border surveillance</w:t>
            </w:r>
          </w:p>
        </w:tc>
        <w:tc>
          <w:tcPr>
            <w:tcW w:w="5812" w:type="dxa"/>
          </w:tcPr>
          <w:p w:rsidR="004558E8" w:rsidRDefault="002038A0">
            <w:pPr>
              <w:pStyle w:val="ListParagraph"/>
              <w:numPr>
                <w:ilvl w:val="0"/>
                <w:numId w:val="20"/>
              </w:numPr>
              <w:ind w:right="85"/>
              <w:rPr>
                <w:rFonts w:ascii="Times New Roman" w:hAnsi="Times New Roman" w:cs="Times New Roman"/>
                <w:noProof/>
                <w:sz w:val="20"/>
                <w:szCs w:val="20"/>
              </w:rPr>
            </w:pPr>
            <w:r>
              <w:rPr>
                <w:rFonts w:ascii="Times New Roman" w:hAnsi="Times New Roman" w:cs="Times New Roman"/>
                <w:noProof/>
                <w:sz w:val="20"/>
                <w:szCs w:val="20"/>
              </w:rPr>
              <w:t>Establish a log of reaction times after detection</w:t>
            </w:r>
          </w:p>
        </w:tc>
        <w:tc>
          <w:tcPr>
            <w:tcW w:w="1975" w:type="dxa"/>
            <w:vAlign w:val="center"/>
          </w:tcPr>
          <w:p w:rsidR="004558E8" w:rsidRDefault="002038A0">
            <w:pPr>
              <w:jc w:val="center"/>
              <w:rPr>
                <w:rFonts w:ascii="Times New Roman" w:hAnsi="Times New Roman" w:cs="Times New Roman"/>
                <w:noProof/>
                <w:sz w:val="20"/>
                <w:szCs w:val="20"/>
              </w:rPr>
            </w:pPr>
            <w:r>
              <w:rPr>
                <w:rFonts w:ascii="Times New Roman" w:hAnsi="Times New Roman" w:cs="Times New Roman"/>
                <w:noProof/>
                <w:sz w:val="20"/>
                <w:szCs w:val="20"/>
              </w:rPr>
              <w:t>1</w:t>
            </w:r>
          </w:p>
        </w:tc>
      </w:tr>
    </w:tbl>
    <w:p w:rsidR="004558E8" w:rsidRDefault="004558E8">
      <w:pPr>
        <w:suppressAutoHyphens/>
        <w:spacing w:after="120" w:line="240" w:lineRule="auto"/>
        <w:contextualSpacing/>
        <w:jc w:val="both"/>
        <w:rPr>
          <w:rFonts w:ascii="Times New Roman" w:hAnsi="Times New Roman" w:cs="Times New Roman"/>
          <w:b/>
          <w:bCs/>
          <w:noProof/>
          <w:color w:val="000000"/>
          <w:sz w:val="20"/>
          <w:szCs w:val="20"/>
          <w:lang w:eastAsia="en-GB"/>
        </w:rPr>
      </w:pPr>
    </w:p>
    <w:p w:rsidR="004558E8" w:rsidRDefault="004558E8">
      <w:pPr>
        <w:suppressAutoHyphens/>
        <w:spacing w:after="120" w:line="240" w:lineRule="auto"/>
        <w:contextualSpacing/>
        <w:jc w:val="both"/>
        <w:rPr>
          <w:rFonts w:ascii="Times New Roman" w:hAnsi="Times New Roman" w:cs="Times New Roman"/>
          <w:b/>
          <w:bCs/>
          <w:noProof/>
          <w:color w:val="000000"/>
          <w:sz w:val="20"/>
          <w:szCs w:val="20"/>
          <w:lang w:eastAsia="en-GB"/>
        </w:rPr>
      </w:pPr>
    </w:p>
    <w:p w:rsidR="004558E8" w:rsidRDefault="002038A0">
      <w:pPr>
        <w:spacing w:line="240" w:lineRule="auto"/>
        <w:ind w:left="720" w:hanging="720"/>
        <w:rPr>
          <w:rFonts w:ascii="Times New Roman" w:hAnsi="Times New Roman"/>
          <w:b/>
          <w:noProof/>
          <w:color w:val="000000"/>
          <w:sz w:val="24"/>
        </w:rPr>
      </w:pPr>
      <w:r>
        <w:rPr>
          <w:rFonts w:ascii="Times New Roman" w:hAnsi="Times New Roman"/>
          <w:b/>
          <w:noProof/>
          <w:color w:val="000000"/>
          <w:sz w:val="24"/>
        </w:rPr>
        <w:t>4.</w:t>
      </w:r>
      <w:r>
        <w:rPr>
          <w:rFonts w:ascii="Times New Roman" w:hAnsi="Times New Roman"/>
          <w:b/>
          <w:noProof/>
          <w:color w:val="000000"/>
          <w:sz w:val="24"/>
        </w:rPr>
        <w:tab/>
        <w:t>Pooling of resources and building the Agency's own capacities in view of providing operational support</w:t>
      </w:r>
    </w:p>
    <w:tbl>
      <w:tblPr>
        <w:tblStyle w:val="TableGrid"/>
        <w:tblW w:w="0" w:type="auto"/>
        <w:jc w:val="center"/>
        <w:tblLook w:val="04A0" w:firstRow="1" w:lastRow="0" w:firstColumn="1" w:lastColumn="0" w:noHBand="0" w:noVBand="1"/>
      </w:tblPr>
      <w:tblGrid>
        <w:gridCol w:w="1548"/>
        <w:gridCol w:w="1548"/>
        <w:gridCol w:w="1548"/>
        <w:gridCol w:w="1548"/>
        <w:gridCol w:w="1548"/>
        <w:gridCol w:w="1548"/>
      </w:tblGrid>
      <w:tr w:rsidR="004558E8">
        <w:trPr>
          <w:jc w:val="center"/>
        </w:trPr>
        <w:tc>
          <w:tcPr>
            <w:tcW w:w="1548" w:type="dxa"/>
            <w:shd w:val="clear" w:color="auto" w:fill="D9D9D9" w:themeFill="background1" w:themeFillShade="D9"/>
          </w:tcPr>
          <w:p w:rsidR="004558E8" w:rsidRDefault="004558E8">
            <w:pPr>
              <w:jc w:val="both"/>
              <w:rPr>
                <w:rFonts w:ascii="Times New Roman" w:hAnsi="Times New Roman" w:cs="Times New Roman"/>
                <w:b/>
                <w:noProof/>
                <w:sz w:val="20"/>
              </w:rPr>
            </w:pPr>
          </w:p>
        </w:tc>
        <w:tc>
          <w:tcPr>
            <w:tcW w:w="1548" w:type="dxa"/>
            <w:shd w:val="clear" w:color="auto" w:fill="D9D9D9" w:themeFill="background1" w:themeFillShade="D9"/>
          </w:tcPr>
          <w:p w:rsidR="004558E8" w:rsidRDefault="002038A0">
            <w:pPr>
              <w:jc w:val="both"/>
              <w:rPr>
                <w:rFonts w:ascii="Times New Roman" w:hAnsi="Times New Roman" w:cs="Times New Roman"/>
                <w:b/>
                <w:noProof/>
                <w:sz w:val="20"/>
              </w:rPr>
            </w:pPr>
            <w:r>
              <w:rPr>
                <w:rFonts w:ascii="Times New Roman" w:hAnsi="Times New Roman" w:cs="Times New Roman"/>
                <w:b/>
                <w:noProof/>
                <w:sz w:val="20"/>
              </w:rPr>
              <w:t>Fixed wing aircraft</w:t>
            </w:r>
          </w:p>
        </w:tc>
        <w:tc>
          <w:tcPr>
            <w:tcW w:w="1548" w:type="dxa"/>
            <w:shd w:val="clear" w:color="auto" w:fill="D9D9D9" w:themeFill="background1" w:themeFillShade="D9"/>
          </w:tcPr>
          <w:p w:rsidR="004558E8" w:rsidRDefault="002038A0">
            <w:pPr>
              <w:jc w:val="both"/>
              <w:rPr>
                <w:rFonts w:ascii="Times New Roman" w:hAnsi="Times New Roman" w:cs="Times New Roman"/>
                <w:b/>
                <w:noProof/>
                <w:sz w:val="20"/>
              </w:rPr>
            </w:pPr>
            <w:r>
              <w:rPr>
                <w:rFonts w:ascii="Times New Roman" w:hAnsi="Times New Roman" w:cs="Times New Roman"/>
                <w:b/>
                <w:noProof/>
                <w:sz w:val="20"/>
              </w:rPr>
              <w:t>Coastal patrol vessels</w:t>
            </w:r>
          </w:p>
        </w:tc>
        <w:tc>
          <w:tcPr>
            <w:tcW w:w="1548" w:type="dxa"/>
            <w:shd w:val="clear" w:color="auto" w:fill="D9D9D9" w:themeFill="background1" w:themeFillShade="D9"/>
          </w:tcPr>
          <w:p w:rsidR="004558E8" w:rsidRDefault="002038A0">
            <w:pPr>
              <w:jc w:val="both"/>
              <w:rPr>
                <w:rFonts w:ascii="Times New Roman" w:hAnsi="Times New Roman" w:cs="Times New Roman"/>
                <w:b/>
                <w:noProof/>
                <w:sz w:val="20"/>
              </w:rPr>
            </w:pPr>
            <w:r>
              <w:rPr>
                <w:rFonts w:ascii="Times New Roman" w:hAnsi="Times New Roman" w:cs="Times New Roman"/>
                <w:b/>
                <w:noProof/>
                <w:sz w:val="20"/>
              </w:rPr>
              <w:t>Coastal patrol boats</w:t>
            </w:r>
          </w:p>
        </w:tc>
        <w:tc>
          <w:tcPr>
            <w:tcW w:w="1548" w:type="dxa"/>
            <w:shd w:val="clear" w:color="auto" w:fill="D9D9D9" w:themeFill="background1" w:themeFillShade="D9"/>
          </w:tcPr>
          <w:p w:rsidR="004558E8" w:rsidRDefault="002038A0">
            <w:pPr>
              <w:jc w:val="both"/>
              <w:rPr>
                <w:rFonts w:ascii="Times New Roman" w:hAnsi="Times New Roman" w:cs="Times New Roman"/>
                <w:b/>
                <w:noProof/>
                <w:sz w:val="20"/>
                <w:lang w:val="fr-BE"/>
              </w:rPr>
            </w:pPr>
            <w:r>
              <w:rPr>
                <w:rFonts w:ascii="Times New Roman" w:hAnsi="Times New Roman" w:cs="Times New Roman"/>
                <w:b/>
                <w:noProof/>
                <w:sz w:val="20"/>
                <w:lang w:val="fr-BE"/>
              </w:rPr>
              <w:t>Thermo vision vehicles / surveillance vehicles</w:t>
            </w:r>
          </w:p>
        </w:tc>
        <w:tc>
          <w:tcPr>
            <w:tcW w:w="1548" w:type="dxa"/>
            <w:shd w:val="clear" w:color="auto" w:fill="D9D9D9" w:themeFill="background1" w:themeFillShade="D9"/>
          </w:tcPr>
          <w:p w:rsidR="004558E8" w:rsidRDefault="002038A0">
            <w:pPr>
              <w:jc w:val="both"/>
              <w:rPr>
                <w:rFonts w:ascii="Times New Roman" w:hAnsi="Times New Roman" w:cs="Times New Roman"/>
                <w:b/>
                <w:noProof/>
                <w:sz w:val="20"/>
                <w:lang w:val="fr-BE"/>
              </w:rPr>
            </w:pPr>
            <w:r>
              <w:rPr>
                <w:rFonts w:ascii="Times New Roman" w:hAnsi="Times New Roman" w:cs="Times New Roman"/>
                <w:b/>
                <w:noProof/>
                <w:sz w:val="20"/>
                <w:lang w:val="fr-BE"/>
              </w:rPr>
              <w:t xml:space="preserve">Total budget </w:t>
            </w:r>
          </w:p>
        </w:tc>
      </w:tr>
      <w:tr w:rsidR="004558E8">
        <w:trPr>
          <w:jc w:val="center"/>
        </w:trPr>
        <w:tc>
          <w:tcPr>
            <w:tcW w:w="1548" w:type="dxa"/>
          </w:tcPr>
          <w:p w:rsidR="004558E8" w:rsidRDefault="002038A0">
            <w:pPr>
              <w:jc w:val="both"/>
              <w:rPr>
                <w:rFonts w:ascii="Times New Roman" w:hAnsi="Times New Roman" w:cs="Times New Roman"/>
                <w:noProof/>
                <w:sz w:val="20"/>
              </w:rPr>
            </w:pPr>
            <w:r>
              <w:rPr>
                <w:rFonts w:ascii="Times New Roman" w:hAnsi="Times New Roman" w:cs="Times New Roman"/>
                <w:noProof/>
                <w:sz w:val="20"/>
              </w:rPr>
              <w:t>Internal Security Fund Specific actions 2015</w:t>
            </w:r>
          </w:p>
        </w:tc>
        <w:tc>
          <w:tcPr>
            <w:tcW w:w="1548" w:type="dxa"/>
          </w:tcPr>
          <w:p w:rsidR="004558E8" w:rsidRDefault="002038A0">
            <w:pPr>
              <w:jc w:val="both"/>
              <w:rPr>
                <w:rFonts w:ascii="Times New Roman" w:hAnsi="Times New Roman" w:cs="Times New Roman"/>
                <w:noProof/>
                <w:color w:val="000000"/>
                <w:sz w:val="20"/>
                <w:lang w:val="en-US"/>
              </w:rPr>
            </w:pPr>
            <w:r>
              <w:rPr>
                <w:rFonts w:ascii="Times New Roman" w:hAnsi="Times New Roman" w:cs="Times New Roman"/>
                <w:noProof/>
                <w:color w:val="000000"/>
                <w:sz w:val="20"/>
                <w:lang w:val="en-US"/>
              </w:rPr>
              <w:t>6 items: Poland (2), Spain (1), France (1), Malta (1), Italy (1)</w:t>
            </w:r>
          </w:p>
          <w:p w:rsidR="004558E8" w:rsidRDefault="004558E8">
            <w:pPr>
              <w:jc w:val="both"/>
              <w:rPr>
                <w:rFonts w:ascii="Times New Roman" w:hAnsi="Times New Roman" w:cs="Times New Roman"/>
                <w:noProof/>
                <w:sz w:val="20"/>
              </w:rPr>
            </w:pPr>
          </w:p>
        </w:tc>
        <w:tc>
          <w:tcPr>
            <w:tcW w:w="1548" w:type="dxa"/>
          </w:tcPr>
          <w:p w:rsidR="004558E8" w:rsidRDefault="002038A0">
            <w:pPr>
              <w:rPr>
                <w:noProof/>
                <w:sz w:val="20"/>
              </w:rPr>
            </w:pPr>
            <w:r>
              <w:rPr>
                <w:rFonts w:ascii="Times New Roman" w:hAnsi="Times New Roman" w:cs="Times New Roman"/>
                <w:noProof/>
                <w:color w:val="000000"/>
                <w:sz w:val="20"/>
                <w:lang w:val="en-US"/>
              </w:rPr>
              <w:t xml:space="preserve">6 items: Greece (2), Spain (1), </w:t>
            </w:r>
          </w:p>
          <w:p w:rsidR="004558E8" w:rsidRDefault="002038A0">
            <w:pPr>
              <w:rPr>
                <w:noProof/>
                <w:sz w:val="20"/>
              </w:rPr>
            </w:pPr>
            <w:r>
              <w:rPr>
                <w:rFonts w:ascii="Times New Roman" w:hAnsi="Times New Roman" w:cs="Times New Roman"/>
                <w:noProof/>
                <w:color w:val="000000"/>
                <w:sz w:val="20"/>
                <w:lang w:val="en-US"/>
              </w:rPr>
              <w:t>Italy (2), France (1)</w:t>
            </w:r>
          </w:p>
          <w:p w:rsidR="004558E8" w:rsidRDefault="004558E8">
            <w:pPr>
              <w:jc w:val="both"/>
              <w:rPr>
                <w:rFonts w:ascii="Times New Roman" w:hAnsi="Times New Roman" w:cs="Times New Roman"/>
                <w:noProof/>
                <w:sz w:val="20"/>
              </w:rPr>
            </w:pPr>
          </w:p>
        </w:tc>
        <w:tc>
          <w:tcPr>
            <w:tcW w:w="1548" w:type="dxa"/>
          </w:tcPr>
          <w:p w:rsidR="004558E8" w:rsidRDefault="002038A0">
            <w:pPr>
              <w:jc w:val="both"/>
              <w:rPr>
                <w:rFonts w:ascii="Times New Roman" w:hAnsi="Times New Roman" w:cs="Times New Roman"/>
                <w:noProof/>
                <w:sz w:val="20"/>
              </w:rPr>
            </w:pPr>
            <w:r>
              <w:rPr>
                <w:rFonts w:ascii="Times New Roman" w:hAnsi="Times New Roman" w:cs="Times New Roman"/>
                <w:noProof/>
                <w:sz w:val="20"/>
              </w:rPr>
              <w:t>Finland (1)</w:t>
            </w:r>
          </w:p>
        </w:tc>
        <w:tc>
          <w:tcPr>
            <w:tcW w:w="1548" w:type="dxa"/>
          </w:tcPr>
          <w:p w:rsidR="004558E8" w:rsidRDefault="002038A0">
            <w:pPr>
              <w:rPr>
                <w:noProof/>
                <w:sz w:val="20"/>
                <w:lang w:val="it-IT"/>
              </w:rPr>
            </w:pPr>
            <w:r>
              <w:rPr>
                <w:rFonts w:ascii="Times New Roman" w:hAnsi="Times New Roman" w:cs="Times New Roman"/>
                <w:noProof/>
                <w:color w:val="000000"/>
                <w:sz w:val="20"/>
                <w:lang w:val="it-IT"/>
              </w:rPr>
              <w:t xml:space="preserve">11 items: Greece (1), Latvia (2), </w:t>
            </w:r>
          </w:p>
          <w:p w:rsidR="004558E8" w:rsidRDefault="002038A0">
            <w:pPr>
              <w:rPr>
                <w:noProof/>
                <w:sz w:val="20"/>
                <w:lang w:val="it-IT"/>
              </w:rPr>
            </w:pPr>
            <w:r>
              <w:rPr>
                <w:rFonts w:ascii="Times New Roman" w:hAnsi="Times New Roman" w:cs="Times New Roman"/>
                <w:noProof/>
                <w:color w:val="000000"/>
                <w:sz w:val="20"/>
                <w:lang w:val="it-IT"/>
              </w:rPr>
              <w:t xml:space="preserve">Spain (2), Portugal (2), Bulgaria (1), </w:t>
            </w:r>
          </w:p>
          <w:p w:rsidR="004558E8" w:rsidRDefault="002038A0">
            <w:pPr>
              <w:rPr>
                <w:noProof/>
                <w:sz w:val="20"/>
                <w:lang w:val="it-IT"/>
              </w:rPr>
            </w:pPr>
            <w:r>
              <w:rPr>
                <w:rFonts w:ascii="Times New Roman" w:hAnsi="Times New Roman" w:cs="Times New Roman"/>
                <w:noProof/>
                <w:color w:val="000000"/>
                <w:sz w:val="20"/>
                <w:lang w:val="it-IT"/>
              </w:rPr>
              <w:t>Romania (1), Lithuania (1), Austria (1)</w:t>
            </w:r>
          </w:p>
          <w:p w:rsidR="004558E8" w:rsidRDefault="004558E8">
            <w:pPr>
              <w:jc w:val="both"/>
              <w:rPr>
                <w:rFonts w:ascii="Times New Roman" w:hAnsi="Times New Roman" w:cs="Times New Roman"/>
                <w:noProof/>
                <w:sz w:val="20"/>
                <w:lang w:val="it-IT"/>
              </w:rPr>
            </w:pPr>
          </w:p>
        </w:tc>
        <w:tc>
          <w:tcPr>
            <w:tcW w:w="1548" w:type="dxa"/>
          </w:tcPr>
          <w:p w:rsidR="004558E8" w:rsidRDefault="002038A0">
            <w:pPr>
              <w:jc w:val="both"/>
              <w:rPr>
                <w:rFonts w:ascii="Times New Roman" w:hAnsi="Times New Roman" w:cs="Times New Roman"/>
                <w:noProof/>
                <w:sz w:val="20"/>
                <w:lang w:val="fr-BE"/>
              </w:rPr>
            </w:pPr>
            <w:r>
              <w:rPr>
                <w:rFonts w:ascii="Times New Roman" w:hAnsi="Times New Roman" w:cs="Times New Roman"/>
                <w:noProof/>
                <w:sz w:val="20"/>
                <w:lang w:val="fr-BE"/>
              </w:rPr>
              <w:t>EUR 132 million</w:t>
            </w:r>
          </w:p>
        </w:tc>
      </w:tr>
      <w:tr w:rsidR="004558E8">
        <w:trPr>
          <w:jc w:val="center"/>
        </w:trPr>
        <w:tc>
          <w:tcPr>
            <w:tcW w:w="1548" w:type="dxa"/>
          </w:tcPr>
          <w:p w:rsidR="004558E8" w:rsidRDefault="002038A0">
            <w:pPr>
              <w:jc w:val="both"/>
              <w:rPr>
                <w:rFonts w:ascii="Times New Roman" w:hAnsi="Times New Roman" w:cs="Times New Roman"/>
                <w:noProof/>
                <w:sz w:val="20"/>
              </w:rPr>
            </w:pPr>
            <w:r>
              <w:rPr>
                <w:rFonts w:ascii="Times New Roman" w:hAnsi="Times New Roman" w:cs="Times New Roman"/>
                <w:noProof/>
                <w:sz w:val="20"/>
              </w:rPr>
              <w:t>Internal Security Fund Specific actions 2015</w:t>
            </w:r>
          </w:p>
        </w:tc>
        <w:tc>
          <w:tcPr>
            <w:tcW w:w="1548" w:type="dxa"/>
          </w:tcPr>
          <w:p w:rsidR="004558E8" w:rsidRDefault="004558E8">
            <w:pPr>
              <w:jc w:val="both"/>
              <w:rPr>
                <w:rFonts w:ascii="Times New Roman" w:hAnsi="Times New Roman" w:cs="Times New Roman"/>
                <w:noProof/>
                <w:sz w:val="20"/>
              </w:rPr>
            </w:pPr>
          </w:p>
        </w:tc>
        <w:tc>
          <w:tcPr>
            <w:tcW w:w="1548" w:type="dxa"/>
          </w:tcPr>
          <w:p w:rsidR="004558E8" w:rsidRDefault="002038A0">
            <w:pPr>
              <w:rPr>
                <w:noProof/>
                <w:sz w:val="20"/>
              </w:rPr>
            </w:pPr>
            <w:r>
              <w:rPr>
                <w:rFonts w:ascii="Times New Roman" w:hAnsi="Times New Roman" w:cs="Times New Roman"/>
                <w:noProof/>
                <w:color w:val="000000"/>
                <w:sz w:val="20"/>
                <w:lang w:val="en-US"/>
              </w:rPr>
              <w:t xml:space="preserve">5 items: Greece, Italy, Portugal, Lithuania, </w:t>
            </w:r>
          </w:p>
          <w:p w:rsidR="004558E8" w:rsidRDefault="002038A0">
            <w:pPr>
              <w:rPr>
                <w:noProof/>
                <w:sz w:val="20"/>
              </w:rPr>
            </w:pPr>
            <w:r>
              <w:rPr>
                <w:rFonts w:ascii="Times New Roman" w:hAnsi="Times New Roman" w:cs="Times New Roman"/>
                <w:noProof/>
                <w:color w:val="000000"/>
                <w:sz w:val="20"/>
                <w:lang w:val="en-US"/>
              </w:rPr>
              <w:t>Romania</w:t>
            </w:r>
          </w:p>
          <w:p w:rsidR="004558E8" w:rsidRDefault="004558E8">
            <w:pPr>
              <w:jc w:val="both"/>
              <w:rPr>
                <w:rFonts w:ascii="Times New Roman" w:hAnsi="Times New Roman" w:cs="Times New Roman"/>
                <w:noProof/>
                <w:sz w:val="20"/>
              </w:rPr>
            </w:pPr>
          </w:p>
        </w:tc>
        <w:tc>
          <w:tcPr>
            <w:tcW w:w="1548" w:type="dxa"/>
          </w:tcPr>
          <w:p w:rsidR="004558E8" w:rsidRDefault="002038A0">
            <w:pPr>
              <w:rPr>
                <w:noProof/>
                <w:sz w:val="20"/>
              </w:rPr>
            </w:pPr>
            <w:r>
              <w:rPr>
                <w:rFonts w:ascii="Times New Roman" w:hAnsi="Times New Roman" w:cs="Times New Roman"/>
                <w:noProof/>
                <w:color w:val="000000"/>
                <w:sz w:val="20"/>
                <w:lang w:val="en-US"/>
              </w:rPr>
              <w:t xml:space="preserve">20 items: Germany (1), Finland (3), </w:t>
            </w:r>
          </w:p>
          <w:p w:rsidR="004558E8" w:rsidRDefault="002038A0">
            <w:pPr>
              <w:rPr>
                <w:noProof/>
                <w:sz w:val="20"/>
              </w:rPr>
            </w:pPr>
            <w:r>
              <w:rPr>
                <w:rFonts w:ascii="Times New Roman" w:hAnsi="Times New Roman" w:cs="Times New Roman"/>
                <w:noProof/>
                <w:color w:val="000000"/>
                <w:sz w:val="20"/>
                <w:lang w:val="en-US"/>
              </w:rPr>
              <w:t xml:space="preserve">Greece (3), Latvia (3), Italy (3), </w:t>
            </w:r>
          </w:p>
          <w:p w:rsidR="004558E8" w:rsidRDefault="002038A0">
            <w:pPr>
              <w:rPr>
                <w:noProof/>
                <w:sz w:val="20"/>
              </w:rPr>
            </w:pPr>
            <w:r>
              <w:rPr>
                <w:rFonts w:ascii="Times New Roman" w:hAnsi="Times New Roman" w:cs="Times New Roman"/>
                <w:noProof/>
                <w:color w:val="000000"/>
                <w:sz w:val="20"/>
                <w:lang w:val="en-US"/>
              </w:rPr>
              <w:t>Portugal (3), Romania (3)</w:t>
            </w:r>
          </w:p>
          <w:p w:rsidR="004558E8" w:rsidRDefault="004558E8">
            <w:pPr>
              <w:jc w:val="both"/>
              <w:rPr>
                <w:rFonts w:ascii="Times New Roman" w:hAnsi="Times New Roman" w:cs="Times New Roman"/>
                <w:noProof/>
                <w:sz w:val="20"/>
              </w:rPr>
            </w:pPr>
          </w:p>
        </w:tc>
        <w:tc>
          <w:tcPr>
            <w:tcW w:w="1548" w:type="dxa"/>
          </w:tcPr>
          <w:p w:rsidR="004558E8" w:rsidRDefault="002038A0">
            <w:pPr>
              <w:rPr>
                <w:noProof/>
                <w:sz w:val="20"/>
                <w:lang w:val="it-IT"/>
              </w:rPr>
            </w:pPr>
            <w:r>
              <w:rPr>
                <w:rFonts w:ascii="Times New Roman" w:hAnsi="Times New Roman" w:cs="Times New Roman"/>
                <w:noProof/>
                <w:color w:val="000000"/>
                <w:sz w:val="20"/>
                <w:lang w:val="it-IT"/>
              </w:rPr>
              <w:t xml:space="preserve">11 items: Greece (1), Latvia (2), </w:t>
            </w:r>
          </w:p>
          <w:p w:rsidR="004558E8" w:rsidRDefault="002038A0">
            <w:pPr>
              <w:rPr>
                <w:noProof/>
                <w:sz w:val="20"/>
                <w:lang w:val="it-IT"/>
              </w:rPr>
            </w:pPr>
            <w:r>
              <w:rPr>
                <w:rFonts w:ascii="Times New Roman" w:hAnsi="Times New Roman" w:cs="Times New Roman"/>
                <w:noProof/>
                <w:color w:val="000000"/>
                <w:sz w:val="20"/>
                <w:lang w:val="it-IT"/>
              </w:rPr>
              <w:t xml:space="preserve">Spain (2), Portugal (2), Bulgaria (1), </w:t>
            </w:r>
          </w:p>
          <w:p w:rsidR="004558E8" w:rsidRDefault="002038A0">
            <w:pPr>
              <w:rPr>
                <w:noProof/>
                <w:sz w:val="20"/>
                <w:lang w:val="it-IT"/>
              </w:rPr>
            </w:pPr>
            <w:r>
              <w:rPr>
                <w:rFonts w:ascii="Times New Roman" w:hAnsi="Times New Roman" w:cs="Times New Roman"/>
                <w:noProof/>
                <w:color w:val="000000"/>
                <w:sz w:val="20"/>
                <w:lang w:val="it-IT"/>
              </w:rPr>
              <w:t>Romania (1), Lithuania (1), Austria (1)</w:t>
            </w:r>
          </w:p>
          <w:p w:rsidR="004558E8" w:rsidRDefault="004558E8">
            <w:pPr>
              <w:jc w:val="both"/>
              <w:rPr>
                <w:rFonts w:ascii="Times New Roman" w:hAnsi="Times New Roman" w:cs="Times New Roman"/>
                <w:noProof/>
                <w:sz w:val="20"/>
                <w:lang w:val="it-IT"/>
              </w:rPr>
            </w:pPr>
          </w:p>
        </w:tc>
        <w:tc>
          <w:tcPr>
            <w:tcW w:w="1548" w:type="dxa"/>
          </w:tcPr>
          <w:p w:rsidR="004558E8" w:rsidRDefault="002038A0">
            <w:pPr>
              <w:jc w:val="both"/>
              <w:rPr>
                <w:rFonts w:ascii="Times New Roman" w:hAnsi="Times New Roman" w:cs="Times New Roman"/>
                <w:noProof/>
                <w:sz w:val="20"/>
                <w:lang w:val="fr-BE"/>
              </w:rPr>
            </w:pPr>
            <w:r>
              <w:rPr>
                <w:rFonts w:ascii="Times New Roman" w:hAnsi="Times New Roman" w:cs="Times New Roman"/>
                <w:noProof/>
                <w:sz w:val="20"/>
                <w:lang w:val="fr-BE"/>
              </w:rPr>
              <w:t>EUR 86 million</w:t>
            </w:r>
          </w:p>
        </w:tc>
      </w:tr>
    </w:tbl>
    <w:p w:rsidR="004558E8" w:rsidRDefault="004558E8">
      <w:pPr>
        <w:jc w:val="both"/>
        <w:rPr>
          <w:rFonts w:ascii="Times New Roman" w:hAnsi="Times New Roman" w:cs="Times New Roman"/>
          <w:noProof/>
          <w:sz w:val="24"/>
          <w:szCs w:val="24"/>
          <w:lang w:val="fr-BE"/>
        </w:rPr>
      </w:pPr>
    </w:p>
    <w:sectPr w:rsidR="004558E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E8" w:rsidRDefault="002038A0">
      <w:pPr>
        <w:spacing w:after="0" w:line="240" w:lineRule="auto"/>
      </w:pPr>
      <w:r>
        <w:separator/>
      </w:r>
    </w:p>
  </w:endnote>
  <w:endnote w:type="continuationSeparator" w:id="0">
    <w:p w:rsidR="004558E8" w:rsidRDefault="0020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FooterCoverPage"/>
      <w:rPr>
        <w:rFonts w:ascii="Arial" w:hAnsi="Arial" w:cs="Arial"/>
        <w:b/>
        <w:sz w:val="48"/>
      </w:rPr>
    </w:pPr>
    <w:r w:rsidRPr="00C83878">
      <w:rPr>
        <w:rFonts w:ascii="Arial" w:hAnsi="Arial" w:cs="Arial"/>
        <w:b/>
        <w:sz w:val="48"/>
      </w:rPr>
      <w:t>EN</w:t>
    </w:r>
    <w:r w:rsidRPr="00C83878">
      <w:rPr>
        <w:rFonts w:ascii="Arial" w:hAnsi="Arial" w:cs="Arial"/>
        <w:b/>
        <w:sz w:val="48"/>
      </w:rPr>
      <w:tab/>
    </w:r>
    <w:r w:rsidRPr="00C83878">
      <w:rPr>
        <w:rFonts w:ascii="Arial" w:hAnsi="Arial" w:cs="Arial"/>
        <w:b/>
        <w:sz w:val="48"/>
      </w:rPr>
      <w:tab/>
    </w:r>
    <w:r w:rsidRPr="00C83878">
      <w:tab/>
    </w:r>
    <w:r w:rsidRPr="00C8387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E8" w:rsidRDefault="004558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42920"/>
      <w:docPartObj>
        <w:docPartGallery w:val="Page Numbers (Bottom of Page)"/>
        <w:docPartUnique/>
      </w:docPartObj>
    </w:sdtPr>
    <w:sdtEndPr>
      <w:rPr>
        <w:noProof/>
      </w:rPr>
    </w:sdtEndPr>
    <w:sdtContent>
      <w:p w:rsidR="004558E8" w:rsidRDefault="002038A0">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83878">
          <w:rPr>
            <w:rFonts w:ascii="Times New Roman" w:hAnsi="Times New Roman" w:cs="Times New Roman"/>
            <w:noProof/>
          </w:rPr>
          <w:t>1</w:t>
        </w:r>
        <w:r>
          <w:rPr>
            <w:rFonts w:ascii="Times New Roman" w:hAnsi="Times New Roman" w:cs="Times New Roman"/>
            <w:noProof/>
          </w:rPr>
          <w:fldChar w:fldCharType="end"/>
        </w:r>
      </w:p>
    </w:sdtContent>
  </w:sdt>
  <w:p w:rsidR="004558E8" w:rsidRDefault="004558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E8" w:rsidRDefault="0045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E8" w:rsidRDefault="002038A0">
      <w:pPr>
        <w:spacing w:after="0" w:line="240" w:lineRule="auto"/>
      </w:pPr>
      <w:r>
        <w:separator/>
      </w:r>
    </w:p>
  </w:footnote>
  <w:footnote w:type="continuationSeparator" w:id="0">
    <w:p w:rsidR="004558E8" w:rsidRDefault="002038A0">
      <w:pPr>
        <w:spacing w:after="0" w:line="240" w:lineRule="auto"/>
      </w:pPr>
      <w:r>
        <w:continuationSeparator/>
      </w:r>
    </w:p>
  </w:footnote>
  <w:footnote w:id="1">
    <w:p w:rsidR="004558E8" w:rsidRDefault="002038A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6"/>
          <w:szCs w:val="16"/>
        </w:rPr>
        <w:t>The negative value illustrates that the resources agreed are more than the resources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8" w:rsidRPr="00C83878" w:rsidRDefault="00C83878" w:rsidP="00C8387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E8" w:rsidRDefault="004558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E8" w:rsidRDefault="004558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E8" w:rsidRDefault="00455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48"/>
    <w:multiLevelType w:val="hybridMultilevel"/>
    <w:tmpl w:val="8D206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A1F34"/>
    <w:multiLevelType w:val="hybridMultilevel"/>
    <w:tmpl w:val="4E54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1E6FC0"/>
    <w:multiLevelType w:val="hybridMultilevel"/>
    <w:tmpl w:val="E9F85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A05320"/>
    <w:multiLevelType w:val="hybridMultilevel"/>
    <w:tmpl w:val="6226CFD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E45CBA"/>
    <w:multiLevelType w:val="hybridMultilevel"/>
    <w:tmpl w:val="0B9C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F71928"/>
    <w:multiLevelType w:val="hybridMultilevel"/>
    <w:tmpl w:val="9B465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C512C7"/>
    <w:multiLevelType w:val="hybridMultilevel"/>
    <w:tmpl w:val="2B0A6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253B33"/>
    <w:multiLevelType w:val="multilevel"/>
    <w:tmpl w:val="B24EDDA2"/>
    <w:lvl w:ilvl="0">
      <w:start w:val="1"/>
      <w:numFmt w:val="decimal"/>
      <w:lvlText w:val="%1."/>
      <w:lvlJc w:val="left"/>
      <w:pPr>
        <w:ind w:left="780" w:hanging="4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3D1C32"/>
    <w:multiLevelType w:val="hybridMultilevel"/>
    <w:tmpl w:val="AA5C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B04F71"/>
    <w:multiLevelType w:val="multilevel"/>
    <w:tmpl w:val="B24EDDA2"/>
    <w:lvl w:ilvl="0">
      <w:start w:val="1"/>
      <w:numFmt w:val="decimal"/>
      <w:lvlText w:val="%1."/>
      <w:lvlJc w:val="left"/>
      <w:pPr>
        <w:ind w:left="780" w:hanging="4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E01182"/>
    <w:multiLevelType w:val="hybridMultilevel"/>
    <w:tmpl w:val="D5328A6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6A2C7C"/>
    <w:multiLevelType w:val="multilevel"/>
    <w:tmpl w:val="B24EDDA2"/>
    <w:lvl w:ilvl="0">
      <w:start w:val="1"/>
      <w:numFmt w:val="decimal"/>
      <w:lvlText w:val="%1."/>
      <w:lvlJc w:val="left"/>
      <w:pPr>
        <w:ind w:left="780" w:hanging="4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25674D"/>
    <w:multiLevelType w:val="hybridMultilevel"/>
    <w:tmpl w:val="9588187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D818F6"/>
    <w:multiLevelType w:val="hybridMultilevel"/>
    <w:tmpl w:val="A3D6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C024CD"/>
    <w:multiLevelType w:val="hybridMultilevel"/>
    <w:tmpl w:val="2532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4FE0207"/>
    <w:multiLevelType w:val="hybridMultilevel"/>
    <w:tmpl w:val="F6E09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D76796A"/>
    <w:multiLevelType w:val="hybridMultilevel"/>
    <w:tmpl w:val="68F6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472F69"/>
    <w:multiLevelType w:val="hybridMultilevel"/>
    <w:tmpl w:val="2B52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345E7"/>
    <w:multiLevelType w:val="hybridMultilevel"/>
    <w:tmpl w:val="CB5C1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C5130F"/>
    <w:multiLevelType w:val="hybridMultilevel"/>
    <w:tmpl w:val="8EA6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D2C764D"/>
    <w:multiLevelType w:val="hybridMultilevel"/>
    <w:tmpl w:val="75FCCD2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A00CD7"/>
    <w:multiLevelType w:val="hybridMultilevel"/>
    <w:tmpl w:val="9DA2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7"/>
  </w:num>
  <w:num w:numId="4">
    <w:abstractNumId w:val="4"/>
  </w:num>
  <w:num w:numId="5">
    <w:abstractNumId w:val="14"/>
  </w:num>
  <w:num w:numId="6">
    <w:abstractNumId w:val="5"/>
  </w:num>
  <w:num w:numId="7">
    <w:abstractNumId w:val="0"/>
  </w:num>
  <w:num w:numId="8">
    <w:abstractNumId w:val="20"/>
  </w:num>
  <w:num w:numId="9">
    <w:abstractNumId w:val="18"/>
  </w:num>
  <w:num w:numId="10">
    <w:abstractNumId w:val="16"/>
  </w:num>
  <w:num w:numId="11">
    <w:abstractNumId w:val="22"/>
  </w:num>
  <w:num w:numId="12">
    <w:abstractNumId w:val="10"/>
  </w:num>
  <w:num w:numId="13">
    <w:abstractNumId w:val="15"/>
  </w:num>
  <w:num w:numId="14">
    <w:abstractNumId w:val="12"/>
  </w:num>
  <w:num w:numId="15">
    <w:abstractNumId w:val="21"/>
  </w:num>
  <w:num w:numId="16">
    <w:abstractNumId w:val="3"/>
  </w:num>
  <w:num w:numId="17">
    <w:abstractNumId w:val="13"/>
  </w:num>
  <w:num w:numId="18">
    <w:abstractNumId w:val="8"/>
  </w:num>
  <w:num w:numId="19">
    <w:abstractNumId w:val="1"/>
  </w:num>
  <w:num w:numId="20">
    <w:abstractNumId w:val="6"/>
  </w:num>
  <w:num w:numId="21">
    <w:abstractNumId w:val="9"/>
  </w:num>
  <w:num w:numId="22">
    <w:abstractNumId w:val="11"/>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4"/>
    <w:docVar w:name="LW_ANNEX_NBR_LAST" w:val="4"/>
    <w:docVar w:name="LW_ANNEX_UNIQUE" w:val="0"/>
    <w:docVar w:name="LW_CORRIGENDUM" w:val="&lt;UNUSED&gt;"/>
    <w:docVar w:name="LW_COVERPAGE_EXISTS" w:val="True"/>
    <w:docVar w:name="LW_COVERPAGE_GUID" w:val="3413E960-FA20-44A8-9F27-F720FA92A3AC"/>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European Agenda on Migration_x000b__x000b_European Border and Coast Guard"/>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REPORT FROM THE COMMISSION TO THE EUROPEAN PARLIAMENT, THE EUROPEAN COUNCIL AND THE COUNCIL_x000b_"/>
  </w:docVars>
  <w:rsids>
    <w:rsidRoot w:val="004558E8"/>
    <w:rsid w:val="002038A0"/>
    <w:rsid w:val="004558E8"/>
    <w:rsid w:val="00C8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8560">
      <w:bodyDiv w:val="1"/>
      <w:marLeft w:val="0"/>
      <w:marRight w:val="0"/>
      <w:marTop w:val="0"/>
      <w:marBottom w:val="0"/>
      <w:divBdr>
        <w:top w:val="none" w:sz="0" w:space="0" w:color="auto"/>
        <w:left w:val="none" w:sz="0" w:space="0" w:color="auto"/>
        <w:bottom w:val="none" w:sz="0" w:space="0" w:color="auto"/>
        <w:right w:val="none" w:sz="0" w:space="0" w:color="auto"/>
      </w:divBdr>
    </w:div>
    <w:div w:id="250823289">
      <w:bodyDiv w:val="1"/>
      <w:marLeft w:val="0"/>
      <w:marRight w:val="0"/>
      <w:marTop w:val="0"/>
      <w:marBottom w:val="0"/>
      <w:divBdr>
        <w:top w:val="none" w:sz="0" w:space="0" w:color="auto"/>
        <w:left w:val="none" w:sz="0" w:space="0" w:color="auto"/>
        <w:bottom w:val="none" w:sz="0" w:space="0" w:color="auto"/>
        <w:right w:val="none" w:sz="0" w:space="0" w:color="auto"/>
      </w:divBdr>
    </w:div>
    <w:div w:id="269317856">
      <w:bodyDiv w:val="1"/>
      <w:marLeft w:val="0"/>
      <w:marRight w:val="0"/>
      <w:marTop w:val="0"/>
      <w:marBottom w:val="0"/>
      <w:divBdr>
        <w:top w:val="none" w:sz="0" w:space="0" w:color="auto"/>
        <w:left w:val="none" w:sz="0" w:space="0" w:color="auto"/>
        <w:bottom w:val="none" w:sz="0" w:space="0" w:color="auto"/>
        <w:right w:val="none" w:sz="0" w:space="0" w:color="auto"/>
      </w:divBdr>
    </w:div>
    <w:div w:id="354041386">
      <w:bodyDiv w:val="1"/>
      <w:marLeft w:val="0"/>
      <w:marRight w:val="0"/>
      <w:marTop w:val="0"/>
      <w:marBottom w:val="0"/>
      <w:divBdr>
        <w:top w:val="none" w:sz="0" w:space="0" w:color="auto"/>
        <w:left w:val="none" w:sz="0" w:space="0" w:color="auto"/>
        <w:bottom w:val="none" w:sz="0" w:space="0" w:color="auto"/>
        <w:right w:val="none" w:sz="0" w:space="0" w:color="auto"/>
      </w:divBdr>
    </w:div>
    <w:div w:id="683089782">
      <w:bodyDiv w:val="1"/>
      <w:marLeft w:val="0"/>
      <w:marRight w:val="0"/>
      <w:marTop w:val="0"/>
      <w:marBottom w:val="0"/>
      <w:divBdr>
        <w:top w:val="none" w:sz="0" w:space="0" w:color="auto"/>
        <w:left w:val="none" w:sz="0" w:space="0" w:color="auto"/>
        <w:bottom w:val="none" w:sz="0" w:space="0" w:color="auto"/>
        <w:right w:val="none" w:sz="0" w:space="0" w:color="auto"/>
      </w:divBdr>
    </w:div>
    <w:div w:id="825584025">
      <w:bodyDiv w:val="1"/>
      <w:marLeft w:val="0"/>
      <w:marRight w:val="0"/>
      <w:marTop w:val="0"/>
      <w:marBottom w:val="0"/>
      <w:divBdr>
        <w:top w:val="none" w:sz="0" w:space="0" w:color="auto"/>
        <w:left w:val="none" w:sz="0" w:space="0" w:color="auto"/>
        <w:bottom w:val="none" w:sz="0" w:space="0" w:color="auto"/>
        <w:right w:val="none" w:sz="0" w:space="0" w:color="auto"/>
      </w:divBdr>
    </w:div>
    <w:div w:id="910623812">
      <w:bodyDiv w:val="1"/>
      <w:marLeft w:val="0"/>
      <w:marRight w:val="0"/>
      <w:marTop w:val="0"/>
      <w:marBottom w:val="0"/>
      <w:divBdr>
        <w:top w:val="none" w:sz="0" w:space="0" w:color="auto"/>
        <w:left w:val="none" w:sz="0" w:space="0" w:color="auto"/>
        <w:bottom w:val="none" w:sz="0" w:space="0" w:color="auto"/>
        <w:right w:val="none" w:sz="0" w:space="0" w:color="auto"/>
      </w:divBdr>
    </w:div>
    <w:div w:id="913398954">
      <w:bodyDiv w:val="1"/>
      <w:marLeft w:val="0"/>
      <w:marRight w:val="0"/>
      <w:marTop w:val="0"/>
      <w:marBottom w:val="0"/>
      <w:divBdr>
        <w:top w:val="none" w:sz="0" w:space="0" w:color="auto"/>
        <w:left w:val="none" w:sz="0" w:space="0" w:color="auto"/>
        <w:bottom w:val="none" w:sz="0" w:space="0" w:color="auto"/>
        <w:right w:val="none" w:sz="0" w:space="0" w:color="auto"/>
      </w:divBdr>
    </w:div>
    <w:div w:id="1042708884">
      <w:bodyDiv w:val="1"/>
      <w:marLeft w:val="0"/>
      <w:marRight w:val="0"/>
      <w:marTop w:val="0"/>
      <w:marBottom w:val="0"/>
      <w:divBdr>
        <w:top w:val="none" w:sz="0" w:space="0" w:color="auto"/>
        <w:left w:val="none" w:sz="0" w:space="0" w:color="auto"/>
        <w:bottom w:val="none" w:sz="0" w:space="0" w:color="auto"/>
        <w:right w:val="none" w:sz="0" w:space="0" w:color="auto"/>
      </w:divBdr>
    </w:div>
    <w:div w:id="1185172742">
      <w:bodyDiv w:val="1"/>
      <w:marLeft w:val="0"/>
      <w:marRight w:val="0"/>
      <w:marTop w:val="0"/>
      <w:marBottom w:val="0"/>
      <w:divBdr>
        <w:top w:val="none" w:sz="0" w:space="0" w:color="auto"/>
        <w:left w:val="none" w:sz="0" w:space="0" w:color="auto"/>
        <w:bottom w:val="none" w:sz="0" w:space="0" w:color="auto"/>
        <w:right w:val="none" w:sz="0" w:space="0" w:color="auto"/>
      </w:divBdr>
    </w:div>
    <w:div w:id="1388918817">
      <w:bodyDiv w:val="1"/>
      <w:marLeft w:val="0"/>
      <w:marRight w:val="0"/>
      <w:marTop w:val="0"/>
      <w:marBottom w:val="0"/>
      <w:divBdr>
        <w:top w:val="none" w:sz="0" w:space="0" w:color="auto"/>
        <w:left w:val="none" w:sz="0" w:space="0" w:color="auto"/>
        <w:bottom w:val="none" w:sz="0" w:space="0" w:color="auto"/>
        <w:right w:val="none" w:sz="0" w:space="0" w:color="auto"/>
      </w:divBdr>
    </w:div>
    <w:div w:id="1404179422">
      <w:bodyDiv w:val="1"/>
      <w:marLeft w:val="0"/>
      <w:marRight w:val="0"/>
      <w:marTop w:val="0"/>
      <w:marBottom w:val="0"/>
      <w:divBdr>
        <w:top w:val="none" w:sz="0" w:space="0" w:color="auto"/>
        <w:left w:val="none" w:sz="0" w:space="0" w:color="auto"/>
        <w:bottom w:val="none" w:sz="0" w:space="0" w:color="auto"/>
        <w:right w:val="none" w:sz="0" w:space="0" w:color="auto"/>
      </w:divBdr>
    </w:div>
    <w:div w:id="1502812130">
      <w:bodyDiv w:val="1"/>
      <w:marLeft w:val="0"/>
      <w:marRight w:val="0"/>
      <w:marTop w:val="0"/>
      <w:marBottom w:val="0"/>
      <w:divBdr>
        <w:top w:val="none" w:sz="0" w:space="0" w:color="auto"/>
        <w:left w:val="none" w:sz="0" w:space="0" w:color="auto"/>
        <w:bottom w:val="none" w:sz="0" w:space="0" w:color="auto"/>
        <w:right w:val="none" w:sz="0" w:space="0" w:color="auto"/>
      </w:divBdr>
    </w:div>
    <w:div w:id="1567033427">
      <w:bodyDiv w:val="1"/>
      <w:marLeft w:val="0"/>
      <w:marRight w:val="0"/>
      <w:marTop w:val="0"/>
      <w:marBottom w:val="0"/>
      <w:divBdr>
        <w:top w:val="none" w:sz="0" w:space="0" w:color="auto"/>
        <w:left w:val="none" w:sz="0" w:space="0" w:color="auto"/>
        <w:bottom w:val="none" w:sz="0" w:space="0" w:color="auto"/>
        <w:right w:val="none" w:sz="0" w:space="0" w:color="auto"/>
      </w:divBdr>
    </w:div>
    <w:div w:id="1577402567">
      <w:bodyDiv w:val="1"/>
      <w:marLeft w:val="0"/>
      <w:marRight w:val="0"/>
      <w:marTop w:val="0"/>
      <w:marBottom w:val="0"/>
      <w:divBdr>
        <w:top w:val="none" w:sz="0" w:space="0" w:color="auto"/>
        <w:left w:val="none" w:sz="0" w:space="0" w:color="auto"/>
        <w:bottom w:val="none" w:sz="0" w:space="0" w:color="auto"/>
        <w:right w:val="none" w:sz="0" w:space="0" w:color="auto"/>
      </w:divBdr>
    </w:div>
    <w:div w:id="1779135469">
      <w:bodyDiv w:val="1"/>
      <w:marLeft w:val="0"/>
      <w:marRight w:val="0"/>
      <w:marTop w:val="0"/>
      <w:marBottom w:val="0"/>
      <w:divBdr>
        <w:top w:val="none" w:sz="0" w:space="0" w:color="auto"/>
        <w:left w:val="none" w:sz="0" w:space="0" w:color="auto"/>
        <w:bottom w:val="none" w:sz="0" w:space="0" w:color="auto"/>
        <w:right w:val="none" w:sz="0" w:space="0" w:color="auto"/>
      </w:divBdr>
    </w:div>
    <w:div w:id="1880050408">
      <w:bodyDiv w:val="1"/>
      <w:marLeft w:val="0"/>
      <w:marRight w:val="0"/>
      <w:marTop w:val="0"/>
      <w:marBottom w:val="0"/>
      <w:divBdr>
        <w:top w:val="none" w:sz="0" w:space="0" w:color="auto"/>
        <w:left w:val="none" w:sz="0" w:space="0" w:color="auto"/>
        <w:bottom w:val="none" w:sz="0" w:space="0" w:color="auto"/>
        <w:right w:val="none" w:sz="0" w:space="0" w:color="auto"/>
      </w:divBdr>
    </w:div>
    <w:div w:id="21416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106E-D51A-4952-8198-7D64078B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4535</Characters>
  <Application>Microsoft Office Word</Application>
  <DocSecurity>0</DocSecurity>
  <Lines>546</Lines>
  <Paragraphs>378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2017-11-13T15:38:00Z</dcterms:created>
  <dcterms:modified xsi:type="dcterms:W3CDTF">2017-11-14T15:22:00Z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4</vt:lpwstr>
  </property>
  <property fmtid="{D5CDD505-2E9C-101B-9397-08002B2CF9AE}" pid="5" name="Last annex">
    <vt:lpwstr>4</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