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34" w:rsidRDefault="00741CEB" w:rsidP="00741CE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BD81E90-D631-4690-9AC9-C4C1BD13DCEE" style="width:450.5pt;height:420.5pt">
            <v:imagedata r:id="rId8" o:title=""/>
          </v:shape>
        </w:pict>
      </w:r>
    </w:p>
    <w:bookmarkEnd w:id="0"/>
    <w:p w:rsidR="00F45434" w:rsidRDefault="00F45434">
      <w:pPr>
        <w:rPr>
          <w:noProof/>
        </w:rPr>
        <w:sectPr w:rsidR="00F45434" w:rsidSect="00741CE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10065" w:type="dxa"/>
        <w:tblInd w:w="-176" w:type="dxa"/>
        <w:tblLook w:val="04A0" w:firstRow="1" w:lastRow="0" w:firstColumn="1" w:lastColumn="0" w:noHBand="0" w:noVBand="1"/>
      </w:tblPr>
      <w:tblGrid>
        <w:gridCol w:w="2087"/>
        <w:gridCol w:w="7978"/>
      </w:tblGrid>
      <w:tr w:rsidR="00F45434">
        <w:trPr>
          <w:cantSplit/>
          <w:tblHeader/>
        </w:trPr>
        <w:tc>
          <w:tcPr>
            <w:tcW w:w="2087" w:type="dxa"/>
            <w:shd w:val="clear" w:color="auto" w:fill="D9D9D9" w:themeFill="background1" w:themeFillShade="D9"/>
          </w:tcPr>
          <w:p w:rsidR="00F45434" w:rsidRDefault="00741CEB">
            <w:pPr>
              <w:jc w:val="center"/>
              <w:rPr>
                <w:rFonts w:ascii="Times New Roman" w:hAnsi="Times New Roman" w:cs="Times New Roman"/>
                <w:b/>
                <w:noProof/>
                <w:sz w:val="20"/>
                <w:szCs w:val="20"/>
              </w:rPr>
            </w:pPr>
            <w:r>
              <w:rPr>
                <w:rFonts w:ascii="Times New Roman" w:hAnsi="Times New Roman"/>
                <w:b/>
                <w:noProof/>
                <w:sz w:val="20"/>
              </w:rPr>
              <w:lastRenderedPageBreak/>
              <w:t>Actions prioritaires</w:t>
            </w:r>
          </w:p>
        </w:tc>
        <w:tc>
          <w:tcPr>
            <w:tcW w:w="7978" w:type="dxa"/>
            <w:shd w:val="clear" w:color="auto" w:fill="D9D9D9" w:themeFill="background1" w:themeFillShade="D9"/>
          </w:tcPr>
          <w:p w:rsidR="00F45434" w:rsidRDefault="00741CEB">
            <w:pPr>
              <w:jc w:val="center"/>
              <w:rPr>
                <w:rFonts w:ascii="Times New Roman" w:hAnsi="Times New Roman" w:cs="Times New Roman"/>
                <w:b/>
                <w:noProof/>
                <w:sz w:val="20"/>
                <w:szCs w:val="20"/>
              </w:rPr>
            </w:pPr>
            <w:r>
              <w:rPr>
                <w:rFonts w:ascii="Times New Roman" w:hAnsi="Times New Roman"/>
                <w:b/>
                <w:noProof/>
                <w:sz w:val="20"/>
              </w:rPr>
              <w:t>État d'avancement</w:t>
            </w:r>
            <w:r>
              <w:rPr>
                <w:rStyle w:val="FootnoteReference"/>
                <w:rFonts w:ascii="Times New Roman" w:hAnsi="Times New Roman"/>
                <w:b/>
                <w:noProof/>
                <w:sz w:val="20"/>
              </w:rPr>
              <w:footnoteReference w:id="1"/>
            </w:r>
          </w:p>
        </w:tc>
      </w:tr>
      <w:tr w:rsidR="00F45434">
        <w:trPr>
          <w:cantSplit/>
          <w:trHeight w:val="1640"/>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Renforcement du déploiement du personnel affecté au traitement des demandes d’asile dans les îles</w:t>
            </w:r>
          </w:p>
        </w:tc>
        <w:tc>
          <w:tcPr>
            <w:tcW w:w="7978" w:type="dxa"/>
          </w:tcPr>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À la date du 12 novembre, le Bureau européen d’appui en matière d’asile (EASO) déploie 232 personnes, dont 107 experts des États membres en tant qu’agents chargés des dossiers, experts en vulnérabilité et experts en fourniture d’informations, 17 membres du</w:t>
            </w:r>
            <w:r>
              <w:rPr>
                <w:rFonts w:ascii="Times New Roman" w:hAnsi="Times New Roman"/>
                <w:noProof/>
                <w:sz w:val="20"/>
              </w:rPr>
              <w:t xml:space="preserve"> personnel de l’EASO et 25 membres du personnel intérimaire de l’EASO, ainsi que 83 interprètes dans les centres d’accueil et d’enregistrement dans les îles. L’EASO a récemment recruté 15 agents intérimaires supplémentaires chargés des dossiers. Ils suiven</w:t>
            </w:r>
            <w:r>
              <w:rPr>
                <w:rFonts w:ascii="Times New Roman" w:hAnsi="Times New Roman"/>
                <w:noProof/>
                <w:sz w:val="20"/>
              </w:rPr>
              <w:t>t actuellement une formation spécifique et seront bientôt opérationnels et déployés. L’EASO informe régulièrement les États membres au sujet des profils et besoins spécifiques concernant les experts dans les centres d’accueil et d’enregistrement. Il existe</w:t>
            </w:r>
            <w:r>
              <w:rPr>
                <w:rFonts w:ascii="Times New Roman" w:hAnsi="Times New Roman"/>
                <w:noProof/>
                <w:sz w:val="20"/>
              </w:rPr>
              <w:t xml:space="preserve"> des dossiers d’information décrivant les profils requis et fournissant des renseignements préalables au déploiement pour chaque île.  </w:t>
            </w:r>
          </w:p>
          <w:p w:rsidR="00F45434" w:rsidRDefault="00741CEB">
            <w:pPr>
              <w:spacing w:before="120" w:after="120"/>
              <w:jc w:val="both"/>
              <w:rPr>
                <w:rFonts w:ascii="Times New Roman" w:hAnsi="Times New Roman" w:cs="Times New Roman"/>
                <w:noProof/>
                <w:sz w:val="20"/>
                <w:szCs w:val="20"/>
              </w:rPr>
            </w:pPr>
            <w:r>
              <w:rPr>
                <w:rFonts w:ascii="Times New Roman" w:hAnsi="Times New Roman"/>
                <w:b/>
                <w:noProof/>
                <w:sz w:val="20"/>
              </w:rPr>
              <w:t>Service d’asile grec</w:t>
            </w:r>
            <w:r>
              <w:rPr>
                <w:rFonts w:ascii="Times New Roman" w:hAnsi="Times New Roman"/>
                <w:noProof/>
                <w:sz w:val="20"/>
              </w:rPr>
              <w:t xml:space="preserve">: début novembre, 101 personnes travaillent dans les zones de crise.     </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Traitement des dossiers «</w:t>
            </w:r>
            <w:r>
              <w:rPr>
                <w:rFonts w:ascii="Times New Roman" w:hAnsi="Times New Roman"/>
                <w:b/>
                <w:noProof/>
                <w:sz w:val="20"/>
              </w:rPr>
              <w:t>Dublin» de regroupement familial</w:t>
            </w:r>
          </w:p>
        </w:tc>
        <w:tc>
          <w:tcPr>
            <w:tcW w:w="7978" w:type="dxa"/>
          </w:tcPr>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L’</w:t>
            </w:r>
            <w:r>
              <w:rPr>
                <w:rFonts w:ascii="Times New Roman" w:hAnsi="Times New Roman"/>
                <w:b/>
                <w:noProof/>
                <w:sz w:val="20"/>
              </w:rPr>
              <w:t>adoption d’une disposition prévoyant que les demandeurs d’asile candidats à un regroupement familial</w:t>
            </w:r>
            <w:r>
              <w:rPr>
                <w:rFonts w:ascii="Times New Roman" w:hAnsi="Times New Roman"/>
                <w:noProof/>
                <w:sz w:val="20"/>
              </w:rPr>
              <w:t xml:space="preserve"> au titre du règlement Dublin III ne soient pas exemptés de la procédure à la frontière, est toujours en instance au Parl</w:t>
            </w:r>
            <w:r>
              <w:rPr>
                <w:rFonts w:ascii="Times New Roman" w:hAnsi="Times New Roman"/>
                <w:noProof/>
                <w:sz w:val="20"/>
              </w:rPr>
              <w:t xml:space="preserve">ement grec.  </w:t>
            </w:r>
          </w:p>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Le service d’asile grec analyse les informations que l’EASO a reçues de 15 États membres concernant les procédures applicables au regroupement familial en provenance de Turquie; des lignes directrices en la matière sont actuellement élaborées</w:t>
            </w:r>
            <w:r>
              <w:rPr>
                <w:rFonts w:ascii="Times New Roman" w:hAnsi="Times New Roman"/>
                <w:noProof/>
                <w:sz w:val="20"/>
              </w:rPr>
              <w:t xml:space="preserve">.   </w:t>
            </w:r>
          </w:p>
        </w:tc>
      </w:tr>
      <w:tr w:rsidR="00F45434">
        <w:trPr>
          <w:cantSplit/>
          <w:trHeight w:val="60"/>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Traitement des dossiers vulnérables</w:t>
            </w:r>
          </w:p>
        </w:tc>
        <w:tc>
          <w:tcPr>
            <w:tcW w:w="7978" w:type="dxa"/>
          </w:tcPr>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Le service d’asile grec estime que</w:t>
            </w:r>
            <w:r>
              <w:rPr>
                <w:rFonts w:ascii="Times New Roman" w:hAnsi="Times New Roman"/>
                <w:b/>
                <w:noProof/>
                <w:sz w:val="20"/>
              </w:rPr>
              <w:t xml:space="preserve"> les groupes vulnérables devraient être exemptés de la procédure à la frontière, afin de</w:t>
            </w:r>
            <w:r>
              <w:rPr>
                <w:rFonts w:ascii="Times New Roman" w:hAnsi="Times New Roman"/>
                <w:noProof/>
                <w:sz w:val="20"/>
              </w:rPr>
              <w:t xml:space="preserve"> mettre en place des garanties procédurales spéciales suffisantes (par exemple, services méd</w:t>
            </w:r>
            <w:r>
              <w:rPr>
                <w:rFonts w:ascii="Times New Roman" w:hAnsi="Times New Roman"/>
                <w:noProof/>
                <w:sz w:val="20"/>
              </w:rPr>
              <w:t>icaux et psychiatriques non adaptés aux objectifs) pour les groupes vulnérables.</w:t>
            </w:r>
          </w:p>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 xml:space="preserve">Il est toutefois très important de garantir une évaluation objective de la vulnérabilité. C’est pourquoi un </w:t>
            </w:r>
            <w:r>
              <w:rPr>
                <w:rFonts w:ascii="Times New Roman" w:hAnsi="Times New Roman"/>
                <w:b/>
                <w:noProof/>
                <w:sz w:val="20"/>
              </w:rPr>
              <w:t>nouveau modèle de vulnérabilité médicale</w:t>
            </w:r>
            <w:r>
              <w:rPr>
                <w:rFonts w:ascii="Times New Roman" w:hAnsi="Times New Roman"/>
                <w:noProof/>
                <w:sz w:val="20"/>
              </w:rPr>
              <w:t xml:space="preserve"> devrait être utilisé proch</w:t>
            </w:r>
            <w:r>
              <w:rPr>
                <w:rFonts w:ascii="Times New Roman" w:hAnsi="Times New Roman"/>
                <w:noProof/>
                <w:sz w:val="20"/>
              </w:rPr>
              <w:t>ainement dans les centres d’accueil et d’enregistrement  afin de garantir une détection normalisée et objective de la vulnérabilité. En outre, il est nécessaire que les autorités grecques assurent la présence permanente d’un nombre suffisant de médecins ay</w:t>
            </w:r>
            <w:r>
              <w:rPr>
                <w:rFonts w:ascii="Times New Roman" w:hAnsi="Times New Roman"/>
                <w:noProof/>
                <w:sz w:val="20"/>
              </w:rPr>
              <w:t>ant reçu une formation appropriée et d’autres professionnels chargés de l’assistance médicale et psychologique dans toutes les zones de crise afin de réaliser efficacement les évaluations de vulnérabilité.</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lastRenderedPageBreak/>
              <w:t xml:space="preserve">Accélération des entretiens et des procédures </w:t>
            </w:r>
            <w:r>
              <w:rPr>
                <w:rFonts w:ascii="Times New Roman" w:hAnsi="Times New Roman"/>
                <w:b/>
                <w:noProof/>
                <w:sz w:val="20"/>
              </w:rPr>
              <w:t>pour l’examen des demandes d’asile</w:t>
            </w:r>
          </w:p>
        </w:tc>
        <w:tc>
          <w:tcPr>
            <w:tcW w:w="7978" w:type="dxa"/>
          </w:tcPr>
          <w:p w:rsidR="00F45434" w:rsidRDefault="00741CEB">
            <w:pPr>
              <w:autoSpaceDE w:val="0"/>
              <w:autoSpaceDN w:val="0"/>
              <w:adjustRightInd w:val="0"/>
              <w:jc w:val="both"/>
              <w:rPr>
                <w:rFonts w:ascii="Times New Roman" w:hAnsi="Times New Roman" w:cs="Times New Roman"/>
                <w:noProof/>
                <w:sz w:val="20"/>
                <w:szCs w:val="20"/>
              </w:rPr>
            </w:pPr>
            <w:r>
              <w:rPr>
                <w:rFonts w:ascii="Times New Roman" w:hAnsi="Times New Roman"/>
                <w:noProof/>
                <w:sz w:val="20"/>
              </w:rPr>
              <w:t xml:space="preserve">Fin septembre, l’EASO a mis en place, en coopération avec le service d’asile grec, un </w:t>
            </w:r>
            <w:r>
              <w:rPr>
                <w:rFonts w:ascii="Times New Roman" w:hAnsi="Times New Roman"/>
                <w:b/>
                <w:noProof/>
                <w:sz w:val="20"/>
              </w:rPr>
              <w:t>service d’assistance basé à Athènes</w:t>
            </w:r>
            <w:r>
              <w:rPr>
                <w:rFonts w:ascii="Times New Roman" w:hAnsi="Times New Roman"/>
                <w:noProof/>
                <w:sz w:val="20"/>
              </w:rPr>
              <w:t>, où trois experts confirmés des États membres et un expert du pays d’origine sont à la disposition des agents de l’EASO chargés des dossiers et des experts en vulnérabilité pour répondre à des questions relatives à la procédure, à l’examen de la qualité e</w:t>
            </w:r>
            <w:r>
              <w:rPr>
                <w:rFonts w:ascii="Times New Roman" w:hAnsi="Times New Roman"/>
                <w:noProof/>
                <w:sz w:val="20"/>
              </w:rPr>
              <w:t xml:space="preserve">t à l’évaluation de la vulnérabilité. </w:t>
            </w:r>
          </w:p>
          <w:p w:rsidR="00F45434" w:rsidRDefault="00741CEB">
            <w:pPr>
              <w:autoSpaceDE w:val="0"/>
              <w:autoSpaceDN w:val="0"/>
              <w:adjustRightInd w:val="0"/>
              <w:spacing w:before="120"/>
              <w:jc w:val="both"/>
              <w:rPr>
                <w:rFonts w:ascii="Times New Roman" w:hAnsi="Times New Roman" w:cs="Times New Roman"/>
                <w:noProof/>
                <w:sz w:val="20"/>
                <w:szCs w:val="20"/>
              </w:rPr>
            </w:pPr>
            <w:r>
              <w:rPr>
                <w:rFonts w:ascii="Times New Roman" w:hAnsi="Times New Roman"/>
                <w:noProof/>
                <w:sz w:val="20"/>
              </w:rPr>
              <w:t xml:space="preserve">Parmi les outils actuellement opérationnels en matière d’asile, on peut citer les </w:t>
            </w:r>
            <w:r>
              <w:rPr>
                <w:rFonts w:ascii="Times New Roman" w:hAnsi="Times New Roman"/>
                <w:b/>
                <w:noProof/>
                <w:sz w:val="20"/>
              </w:rPr>
              <w:t>nouvelles procédures opérationnelles standard</w:t>
            </w:r>
            <w:r>
              <w:rPr>
                <w:rFonts w:ascii="Times New Roman" w:hAnsi="Times New Roman"/>
                <w:noProof/>
                <w:sz w:val="20"/>
              </w:rPr>
              <w:t xml:space="preserve"> pour la procédure d’asile à la frontière, un </w:t>
            </w:r>
            <w:r>
              <w:rPr>
                <w:rFonts w:ascii="Times New Roman" w:hAnsi="Times New Roman"/>
                <w:b/>
                <w:noProof/>
                <w:sz w:val="20"/>
              </w:rPr>
              <w:t>modèle pour les entretiens combinés</w:t>
            </w:r>
            <w:r>
              <w:rPr>
                <w:rFonts w:ascii="Times New Roman" w:hAnsi="Times New Roman"/>
                <w:noProof/>
                <w:sz w:val="20"/>
              </w:rPr>
              <w:t xml:space="preserve"> et une </w:t>
            </w:r>
            <w:r>
              <w:rPr>
                <w:rFonts w:ascii="Times New Roman" w:hAnsi="Times New Roman"/>
                <w:b/>
                <w:noProof/>
                <w:sz w:val="20"/>
              </w:rPr>
              <w:t>l</w:t>
            </w:r>
            <w:r>
              <w:rPr>
                <w:rFonts w:ascii="Times New Roman" w:hAnsi="Times New Roman"/>
                <w:b/>
                <w:noProof/>
                <w:sz w:val="20"/>
              </w:rPr>
              <w:t>iste</w:t>
            </w:r>
            <w:r>
              <w:rPr>
                <w:rFonts w:ascii="Times New Roman" w:hAnsi="Times New Roman"/>
                <w:noProof/>
                <w:sz w:val="20"/>
              </w:rPr>
              <w:t xml:space="preserve"> de références pour des </w:t>
            </w:r>
            <w:r>
              <w:rPr>
                <w:rFonts w:ascii="Times New Roman" w:hAnsi="Times New Roman"/>
                <w:b/>
                <w:noProof/>
                <w:sz w:val="20"/>
              </w:rPr>
              <w:t>informations sur le pays d’origine</w:t>
            </w:r>
            <w:r>
              <w:rPr>
                <w:rFonts w:ascii="Times New Roman" w:hAnsi="Times New Roman"/>
                <w:noProof/>
                <w:sz w:val="20"/>
              </w:rPr>
              <w:t xml:space="preserve">. Le </w:t>
            </w:r>
            <w:r>
              <w:rPr>
                <w:rFonts w:ascii="Times New Roman" w:hAnsi="Times New Roman"/>
                <w:b/>
                <w:noProof/>
                <w:sz w:val="20"/>
              </w:rPr>
              <w:t>planning des entretiens en matière d’asile</w:t>
            </w:r>
            <w:r>
              <w:rPr>
                <w:rFonts w:ascii="Times New Roman" w:hAnsi="Times New Roman"/>
                <w:noProof/>
                <w:sz w:val="20"/>
              </w:rPr>
              <w:t xml:space="preserve"> a été considérablement amélioré, de même que </w:t>
            </w:r>
            <w:r>
              <w:rPr>
                <w:rFonts w:ascii="Times New Roman" w:hAnsi="Times New Roman"/>
                <w:b/>
                <w:noProof/>
                <w:sz w:val="20"/>
              </w:rPr>
              <w:t>la qualité et la durée</w:t>
            </w:r>
            <w:r>
              <w:rPr>
                <w:rFonts w:ascii="Times New Roman" w:hAnsi="Times New Roman"/>
                <w:noProof/>
                <w:sz w:val="20"/>
              </w:rPr>
              <w:t xml:space="preserve"> de ces entretiens.    </w:t>
            </w:r>
          </w:p>
          <w:p w:rsidR="00F45434" w:rsidRDefault="00741CEB">
            <w:pPr>
              <w:autoSpaceDE w:val="0"/>
              <w:autoSpaceDN w:val="0"/>
              <w:adjustRightInd w:val="0"/>
              <w:spacing w:before="120" w:after="120"/>
              <w:jc w:val="both"/>
              <w:rPr>
                <w:rFonts w:ascii="Times New Roman" w:hAnsi="Times New Roman" w:cs="Times New Roman"/>
                <w:noProof/>
                <w:color w:val="000000" w:themeColor="text1"/>
                <w:sz w:val="20"/>
                <w:szCs w:val="20"/>
              </w:rPr>
            </w:pPr>
            <w:r>
              <w:rPr>
                <w:rFonts w:ascii="Times New Roman" w:hAnsi="Times New Roman"/>
                <w:noProof/>
                <w:sz w:val="20"/>
              </w:rPr>
              <w:t xml:space="preserve">Le </w:t>
            </w:r>
            <w:r>
              <w:rPr>
                <w:rFonts w:ascii="Times New Roman" w:hAnsi="Times New Roman"/>
                <w:noProof/>
                <w:color w:val="000000"/>
                <w:sz w:val="20"/>
              </w:rPr>
              <w:t>délai qui s’écoule entre la manifestation d’un intér</w:t>
            </w:r>
            <w:r>
              <w:rPr>
                <w:rFonts w:ascii="Times New Roman" w:hAnsi="Times New Roman"/>
                <w:noProof/>
                <w:color w:val="000000"/>
                <w:sz w:val="20"/>
              </w:rPr>
              <w:t xml:space="preserve">êt pour la présentation d’une demande d’asile et l’introduction effective d’une telle demande ne dépasse pas deux semaines en moyenne. La diffusion d’information parmi les résidents des centres d’accueil et d’enregistrement s’est également améliorée grâce </w:t>
            </w:r>
            <w:r>
              <w:rPr>
                <w:rFonts w:ascii="Times New Roman" w:hAnsi="Times New Roman"/>
                <w:noProof/>
                <w:color w:val="000000"/>
                <w:sz w:val="20"/>
              </w:rPr>
              <w:t xml:space="preserve">aux guichets d’information qui fonctionnent efficacement dans toutes les îles.   </w:t>
            </w:r>
          </w:p>
          <w:p w:rsidR="00F45434" w:rsidRDefault="00741CEB">
            <w:pPr>
              <w:autoSpaceDE w:val="0"/>
              <w:autoSpaceDN w:val="0"/>
              <w:adjustRightInd w:val="0"/>
              <w:jc w:val="both"/>
              <w:rPr>
                <w:rFonts w:ascii="Times New Roman" w:hAnsi="Times New Roman" w:cs="Times New Roman"/>
                <w:noProof/>
                <w:color w:val="000000" w:themeColor="text1"/>
                <w:sz w:val="20"/>
                <w:szCs w:val="20"/>
              </w:rPr>
            </w:pPr>
            <w:r>
              <w:rPr>
                <w:rFonts w:ascii="Times New Roman" w:hAnsi="Times New Roman"/>
                <w:noProof/>
                <w:color w:val="000000" w:themeColor="text1"/>
                <w:sz w:val="20"/>
              </w:rPr>
              <w:t>La mise en place de procédures accélérées n’a pas encore eu d’incidence sur les résultats de la procédure d’appel. Lors d’une réunion récente avec des membres des comités d’a</w:t>
            </w:r>
            <w:r>
              <w:rPr>
                <w:rFonts w:ascii="Times New Roman" w:hAnsi="Times New Roman"/>
                <w:noProof/>
                <w:color w:val="000000" w:themeColor="text1"/>
                <w:sz w:val="20"/>
              </w:rPr>
              <w:t>ppel, il a été conclu que les propositions suivantes seront examinées de façon plus approfondie afin de contribuer à améliorer les résultats: a) amélioration du système d’attribution des dossiers; b) recrutement de rapporteurs supplémentaires et modificati</w:t>
            </w:r>
            <w:r>
              <w:rPr>
                <w:rFonts w:ascii="Times New Roman" w:hAnsi="Times New Roman"/>
                <w:noProof/>
                <w:color w:val="000000" w:themeColor="text1"/>
                <w:sz w:val="20"/>
              </w:rPr>
              <w:t>on des arrangements de travail; c) spécialisation des comités; et d) fixation des objectifs de performance et surveillance de la productivité.</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Maintien et accélération supplémentaire de la procédure d’admissibilité pour les demandeurs dont le pays d’origi</w:t>
            </w:r>
            <w:r>
              <w:rPr>
                <w:rFonts w:ascii="Times New Roman" w:hAnsi="Times New Roman"/>
                <w:b/>
                <w:noProof/>
                <w:sz w:val="20"/>
              </w:rPr>
              <w:t>ne présente un faible taux de reconnaissance</w:t>
            </w:r>
          </w:p>
        </w:tc>
        <w:tc>
          <w:tcPr>
            <w:tcW w:w="7978" w:type="dxa"/>
          </w:tcPr>
          <w:p w:rsidR="00F45434" w:rsidRDefault="00741CEB">
            <w:pPr>
              <w:pStyle w:val="Default"/>
              <w:spacing w:before="120" w:after="120"/>
              <w:jc w:val="both"/>
              <w:rPr>
                <w:rFonts w:ascii="Times New Roman" w:hAnsi="Times New Roman" w:cs="Times New Roman"/>
                <w:noProof/>
                <w:color w:val="auto"/>
                <w:sz w:val="20"/>
                <w:szCs w:val="20"/>
              </w:rPr>
            </w:pPr>
            <w:r>
              <w:rPr>
                <w:rFonts w:ascii="Times New Roman" w:hAnsi="Times New Roman"/>
                <w:noProof/>
                <w:color w:val="auto"/>
                <w:sz w:val="20"/>
              </w:rPr>
              <w:t xml:space="preserve">La procédure est accélérée dans toutes les îles, et le service d’asile et l’EASO surveillent de près la situation. </w:t>
            </w:r>
          </w:p>
          <w:p w:rsidR="00F45434" w:rsidRDefault="00741CEB">
            <w:pPr>
              <w:pStyle w:val="Default"/>
              <w:spacing w:before="120" w:after="120"/>
              <w:jc w:val="both"/>
              <w:rPr>
                <w:rFonts w:ascii="Times New Roman" w:hAnsi="Times New Roman" w:cs="Times New Roman"/>
                <w:noProof/>
                <w:color w:val="auto"/>
                <w:sz w:val="20"/>
                <w:szCs w:val="20"/>
              </w:rPr>
            </w:pPr>
            <w:r>
              <w:rPr>
                <w:rFonts w:ascii="Times New Roman" w:hAnsi="Times New Roman"/>
                <w:noProof/>
                <w:color w:val="auto"/>
                <w:sz w:val="20"/>
              </w:rPr>
              <w:t xml:space="preserve">Le 19 octobre 2017, lors d’une réunion opérationnelle conjointe, le service grec d’asile et l’EASO ont examiné des </w:t>
            </w:r>
            <w:r>
              <w:rPr>
                <w:rFonts w:ascii="Times New Roman" w:hAnsi="Times New Roman"/>
                <w:b/>
                <w:noProof/>
                <w:color w:val="auto"/>
                <w:sz w:val="20"/>
              </w:rPr>
              <w:t>questions de première importance</w:t>
            </w:r>
            <w:r>
              <w:rPr>
                <w:noProof/>
              </w:rPr>
              <w:t xml:space="preserve"> </w:t>
            </w:r>
            <w:r>
              <w:rPr>
                <w:rFonts w:ascii="Times New Roman" w:hAnsi="Times New Roman"/>
                <w:b/>
                <w:noProof/>
                <w:color w:val="000000" w:themeColor="text1"/>
                <w:sz w:val="20"/>
              </w:rPr>
              <w:t xml:space="preserve">concernant la programmation et la planification à l’avance, la gestion des services d’interprétation et des </w:t>
            </w:r>
            <w:r>
              <w:rPr>
                <w:rFonts w:ascii="Times New Roman" w:hAnsi="Times New Roman"/>
                <w:b/>
                <w:noProof/>
                <w:color w:val="000000" w:themeColor="text1"/>
                <w:sz w:val="20"/>
              </w:rPr>
              <w:t>questions de procédure</w:t>
            </w:r>
            <w:r>
              <w:rPr>
                <w:rFonts w:ascii="Times New Roman" w:hAnsi="Times New Roman"/>
                <w:noProof/>
                <w:color w:val="000000" w:themeColor="text1"/>
                <w:sz w:val="20"/>
              </w:rPr>
              <w:t>, dans le but d’évaluer les besoins pour les prochains mois et de renforcer davantage leur coopération aux niveaux central et local.  </w:t>
            </w:r>
            <w:r>
              <w:rPr>
                <w:rFonts w:ascii="Times New Roman" w:hAnsi="Times New Roman"/>
                <w:noProof/>
                <w:color w:val="auto"/>
                <w:sz w:val="20"/>
              </w:rPr>
              <w:t xml:space="preserve"> </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Amélioration des dispositions prises dans les îles en matière de sécurité et de sûreté</w:t>
            </w:r>
          </w:p>
        </w:tc>
        <w:tc>
          <w:tcPr>
            <w:tcW w:w="7978" w:type="dxa"/>
          </w:tcPr>
          <w:p w:rsidR="00F45434" w:rsidRDefault="00741CEB">
            <w:pPr>
              <w:pStyle w:val="Default"/>
              <w:spacing w:before="120" w:after="120"/>
              <w:jc w:val="both"/>
              <w:rPr>
                <w:rFonts w:ascii="Times New Roman" w:hAnsi="Times New Roman" w:cs="Times New Roman"/>
                <w:noProof/>
                <w:color w:val="FF0000"/>
                <w:sz w:val="20"/>
                <w:szCs w:val="20"/>
              </w:rPr>
            </w:pPr>
            <w:r>
              <w:rPr>
                <w:rFonts w:ascii="Times New Roman" w:hAnsi="Times New Roman"/>
                <w:b/>
                <w:noProof/>
                <w:color w:val="auto"/>
                <w:sz w:val="20"/>
              </w:rPr>
              <w:t xml:space="preserve">Des plans </w:t>
            </w:r>
            <w:r>
              <w:rPr>
                <w:rFonts w:ascii="Times New Roman" w:hAnsi="Times New Roman"/>
                <w:b/>
                <w:noProof/>
                <w:color w:val="auto"/>
                <w:sz w:val="20"/>
              </w:rPr>
              <w:t>d’évacuation et des résumés complets</w:t>
            </w:r>
            <w:r>
              <w:rPr>
                <w:noProof/>
              </w:rPr>
              <w:t xml:space="preserve"> </w:t>
            </w:r>
            <w:r>
              <w:rPr>
                <w:rFonts w:ascii="Times New Roman" w:hAnsi="Times New Roman"/>
                <w:noProof/>
                <w:color w:val="auto"/>
                <w:sz w:val="20"/>
              </w:rPr>
              <w:t>pour toutes les îles sont à présent disponibles pour chaque zone de crise.</w:t>
            </w:r>
            <w:r>
              <w:rPr>
                <w:noProof/>
              </w:rPr>
              <w:t xml:space="preserve"> </w:t>
            </w:r>
            <w:r>
              <w:rPr>
                <w:rFonts w:ascii="Times New Roman" w:hAnsi="Times New Roman"/>
                <w:noProof/>
                <w:color w:val="auto"/>
                <w:sz w:val="20"/>
              </w:rPr>
              <w:t xml:space="preserve"> Des exercices d’évacuation pour le personnel qui travaille dans les zones de crise ont eu lieu dans tous les centres d’accueil et d’enregistrem</w:t>
            </w:r>
            <w:r>
              <w:rPr>
                <w:rFonts w:ascii="Times New Roman" w:hAnsi="Times New Roman"/>
                <w:noProof/>
                <w:color w:val="auto"/>
                <w:sz w:val="20"/>
              </w:rPr>
              <w:t xml:space="preserve">ent. </w:t>
            </w:r>
            <w:r>
              <w:rPr>
                <w:rFonts w:ascii="Times New Roman" w:hAnsi="Times New Roman"/>
                <w:noProof/>
                <w:sz w:val="20"/>
              </w:rPr>
              <w:t>Un appui supplémentaire des policiers grecs est nécessaire pour garantir un contrôle systématique à l’entrée des centres d’accueil et d’enregistrement. Il est nécessaire d’augmenter le nombre de patrouilles à l’intérieur des zones d’hébergement et d’a</w:t>
            </w:r>
            <w:r>
              <w:rPr>
                <w:rFonts w:ascii="Times New Roman" w:hAnsi="Times New Roman"/>
                <w:noProof/>
                <w:sz w:val="20"/>
              </w:rPr>
              <w:t>ssurer une surveillance stricte de chaque zone de sécurité pour les mineurs non accompagnés, ce qui fait encore défaut dans certains centres d’accueil et d’enregistrement.</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Désignation des coordinateurs permanents des zones de crise</w:t>
            </w:r>
          </w:p>
        </w:tc>
        <w:tc>
          <w:tcPr>
            <w:tcW w:w="7978" w:type="dxa"/>
          </w:tcPr>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Depuis le 20 février 20</w:t>
            </w:r>
            <w:r>
              <w:rPr>
                <w:rFonts w:ascii="Times New Roman" w:hAnsi="Times New Roman"/>
                <w:noProof/>
                <w:sz w:val="20"/>
              </w:rPr>
              <w:t xml:space="preserve">17, des commandants permanents assurent la coordination dans les zones de crise.  </w:t>
            </w:r>
          </w:p>
          <w:p w:rsidR="00F45434" w:rsidRDefault="00741CEB">
            <w:pPr>
              <w:spacing w:before="120" w:after="120"/>
              <w:jc w:val="both"/>
              <w:rPr>
                <w:rFonts w:ascii="Times New Roman" w:hAnsi="Times New Roman" w:cs="Times New Roman"/>
                <w:b/>
                <w:noProof/>
                <w:sz w:val="20"/>
                <w:szCs w:val="20"/>
              </w:rPr>
            </w:pPr>
            <w:r>
              <w:rPr>
                <w:rFonts w:ascii="Times New Roman" w:hAnsi="Times New Roman"/>
                <w:noProof/>
                <w:sz w:val="20"/>
              </w:rPr>
              <w:t xml:space="preserve">Il est </w:t>
            </w:r>
            <w:r>
              <w:rPr>
                <w:rFonts w:ascii="Times New Roman" w:hAnsi="Times New Roman"/>
                <w:b/>
                <w:noProof/>
                <w:sz w:val="20"/>
              </w:rPr>
              <w:t>nécessaire et urgent</w:t>
            </w:r>
            <w:r>
              <w:rPr>
                <w:rFonts w:ascii="Times New Roman" w:hAnsi="Times New Roman"/>
                <w:noProof/>
                <w:sz w:val="20"/>
              </w:rPr>
              <w:t xml:space="preserve"> que les autorités grecques </w:t>
            </w:r>
            <w:r>
              <w:rPr>
                <w:rFonts w:ascii="Times New Roman" w:hAnsi="Times New Roman"/>
                <w:b/>
                <w:noProof/>
                <w:sz w:val="20"/>
              </w:rPr>
              <w:t>adoptent formellement les procédures opérationnelles standard</w:t>
            </w:r>
            <w:r>
              <w:rPr>
                <w:rFonts w:ascii="Times New Roman" w:hAnsi="Times New Roman"/>
                <w:noProof/>
                <w:sz w:val="20"/>
              </w:rPr>
              <w:t xml:space="preserve"> pour les zones de crise pour que les centres d’accueil e</w:t>
            </w:r>
            <w:r>
              <w:rPr>
                <w:rFonts w:ascii="Times New Roman" w:hAnsi="Times New Roman"/>
                <w:noProof/>
                <w:sz w:val="20"/>
              </w:rPr>
              <w:t xml:space="preserve">t d’enregistrement commencent à les appliquer dans toutes les zones de crise. </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Augmentation du nombre de comités d’appel</w:t>
            </w:r>
          </w:p>
        </w:tc>
        <w:tc>
          <w:tcPr>
            <w:tcW w:w="7978" w:type="dxa"/>
          </w:tcPr>
          <w:p w:rsidR="00F45434" w:rsidRDefault="00741CEB">
            <w:pPr>
              <w:spacing w:before="120" w:after="120"/>
              <w:jc w:val="both"/>
              <w:rPr>
                <w:rFonts w:ascii="Times New Roman" w:hAnsi="Times New Roman" w:cs="Times New Roman"/>
                <w:noProof/>
                <w:sz w:val="20"/>
                <w:szCs w:val="20"/>
              </w:rPr>
            </w:pPr>
            <w:r>
              <w:rPr>
                <w:rFonts w:ascii="Times New Roman" w:hAnsi="Times New Roman"/>
                <w:b/>
                <w:noProof/>
                <w:sz w:val="20"/>
              </w:rPr>
              <w:t>13 comités d’appel</w:t>
            </w:r>
            <w:r>
              <w:rPr>
                <w:noProof/>
              </w:rPr>
              <w:t xml:space="preserve"> </w:t>
            </w:r>
            <w:r>
              <w:rPr>
                <w:rFonts w:ascii="Times New Roman" w:hAnsi="Times New Roman"/>
                <w:noProof/>
                <w:sz w:val="20"/>
              </w:rPr>
              <w:t xml:space="preserve">sont opérationnels, auquel s’ajoute un comité suppléant. </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Augmentation du nombre de décisions par comité d’appel</w:t>
            </w:r>
          </w:p>
        </w:tc>
        <w:tc>
          <w:tcPr>
            <w:tcW w:w="7978" w:type="dxa"/>
          </w:tcPr>
          <w:p w:rsidR="00F45434" w:rsidRDefault="00741CEB">
            <w:pPr>
              <w:spacing w:before="120" w:after="120"/>
              <w:jc w:val="both"/>
              <w:rPr>
                <w:rFonts w:ascii="Times New Roman" w:hAnsi="Times New Roman"/>
                <w:noProof/>
                <w:sz w:val="20"/>
                <w:szCs w:val="20"/>
              </w:rPr>
            </w:pPr>
            <w:r>
              <w:rPr>
                <w:rFonts w:ascii="Times New Roman" w:hAnsi="Times New Roman"/>
                <w:noProof/>
                <w:sz w:val="20"/>
              </w:rPr>
              <w:t>M</w:t>
            </w:r>
            <w:r>
              <w:rPr>
                <w:rFonts w:ascii="Times New Roman" w:hAnsi="Times New Roman"/>
                <w:noProof/>
                <w:sz w:val="20"/>
              </w:rPr>
              <w:t>algré l’</w:t>
            </w:r>
            <w:r>
              <w:rPr>
                <w:rFonts w:ascii="Times New Roman" w:hAnsi="Times New Roman"/>
                <w:b/>
                <w:noProof/>
                <w:sz w:val="20"/>
              </w:rPr>
              <w:t>augmentation du nombre de comités d’appel</w:t>
            </w:r>
            <w:r>
              <w:rPr>
                <w:rFonts w:ascii="Times New Roman" w:hAnsi="Times New Roman"/>
                <w:noProof/>
                <w:sz w:val="20"/>
              </w:rPr>
              <w:t xml:space="preserve"> et l’aide de 11 rapporteurs de l’EASO, le nombre de décisions en deuxième instance rendues par les comités d’appel demeure faible. Le nombre d’avis rendus par les rapporteurs est aussi un sujet de préoccupa</w:t>
            </w:r>
            <w:r>
              <w:rPr>
                <w:rFonts w:ascii="Times New Roman" w:hAnsi="Times New Roman"/>
                <w:noProof/>
                <w:sz w:val="20"/>
              </w:rPr>
              <w:t>tion. Les autorités grecques pourraient augmenter de toute urgence la production des comités notamment en engageant à temps plein leurs membres qui ne se consacreraient qu’à cette tâche; en trouvant des solutions pour faire en sorte que les comités d’appel</w:t>
            </w:r>
            <w:r>
              <w:rPr>
                <w:rFonts w:ascii="Times New Roman" w:hAnsi="Times New Roman"/>
                <w:noProof/>
                <w:sz w:val="20"/>
              </w:rPr>
              <w:t xml:space="preserve"> soient établis à proximité immédiate des lieux où se trouvent les demandeurs d’asile concernés (de préférence dans les îles elles-mêmes); et en augmentant le nombre de comités.</w:t>
            </w:r>
          </w:p>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La décision du Conseil d’État rendue publique le 22 septembre, confirmant l’irrecevabilité de la demande d’asile de deux Syriens qui avait été prononcée préalablement en première et deuxième instances au motif qu’ils peuvent retourner en Turquie considérée</w:t>
            </w:r>
            <w:r>
              <w:rPr>
                <w:rFonts w:ascii="Times New Roman" w:hAnsi="Times New Roman"/>
                <w:noProof/>
                <w:sz w:val="20"/>
              </w:rPr>
              <w:t xml:space="preserve"> comme un pays tiers sûr, n’a pas encore eu l’effet attendu d’augmenter le nombre de décisions d’appel de manière à accroître le nombre de retours. Au cours de la semaine du 30 octobre, les comités d’appel ont rendu 63 décisions négatives en deuxième insta</w:t>
            </w:r>
            <w:r>
              <w:rPr>
                <w:rFonts w:ascii="Times New Roman" w:hAnsi="Times New Roman"/>
                <w:noProof/>
                <w:sz w:val="20"/>
              </w:rPr>
              <w:t xml:space="preserve">nce dans des dossiers irrecevables concernant des Syriens.   </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Maintien de déploiements de l’Agence européenne de garde-frontières et de garde-côtes aux niveaux nécessaires</w:t>
            </w:r>
          </w:p>
        </w:tc>
        <w:tc>
          <w:tcPr>
            <w:tcW w:w="7978" w:type="dxa"/>
          </w:tcPr>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 xml:space="preserve">L’Agence européenne de garde-frontières et de garde-côtes déploie actuellement 45 </w:t>
            </w:r>
            <w:r>
              <w:rPr>
                <w:rFonts w:ascii="Times New Roman" w:hAnsi="Times New Roman"/>
                <w:b/>
                <w:noProof/>
                <w:sz w:val="20"/>
              </w:rPr>
              <w:t>agents d’escorte</w:t>
            </w:r>
            <w:r>
              <w:rPr>
                <w:rFonts w:ascii="Times New Roman" w:hAnsi="Times New Roman"/>
                <w:noProof/>
                <w:sz w:val="20"/>
              </w:rPr>
              <w:t xml:space="preserve"> à Lesbos, qui couvrent les besoins de transport des opérations de retour. Il est nécessaire de poursuivre les déploiements des États membres.</w:t>
            </w:r>
          </w:p>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L’Agence européenne de garde-frontières et de garde-côtes doit être prête à intensifier rapidemen</w:t>
            </w:r>
            <w:r>
              <w:rPr>
                <w:rFonts w:ascii="Times New Roman" w:hAnsi="Times New Roman"/>
                <w:noProof/>
                <w:sz w:val="20"/>
              </w:rPr>
              <w:t>t son appui dans la perspective d’un possible accroissement des opérations de retour vers la Turquie.</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Limitation du risque de fuite</w:t>
            </w:r>
          </w:p>
        </w:tc>
        <w:tc>
          <w:tcPr>
            <w:tcW w:w="7978" w:type="dxa"/>
          </w:tcPr>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Les autorités grecques continuent d’</w:t>
            </w:r>
            <w:r>
              <w:rPr>
                <w:rFonts w:ascii="Times New Roman" w:hAnsi="Times New Roman"/>
                <w:b/>
                <w:noProof/>
                <w:sz w:val="20"/>
              </w:rPr>
              <w:t>appliquer des restrictions géographiques au déplacement</w:t>
            </w:r>
            <w:r>
              <w:rPr>
                <w:rFonts w:ascii="Times New Roman" w:hAnsi="Times New Roman"/>
                <w:noProof/>
                <w:sz w:val="20"/>
              </w:rPr>
              <w:t xml:space="preserve"> des migrants nouvellement arriv</w:t>
            </w:r>
            <w:r>
              <w:rPr>
                <w:rFonts w:ascii="Times New Roman" w:hAnsi="Times New Roman"/>
                <w:noProof/>
                <w:sz w:val="20"/>
              </w:rPr>
              <w:t xml:space="preserve">és et des demandeurs d’asile qui ne sont pas autorisés à quitter l’île sur laquelle ils sont arrivés. </w:t>
            </w:r>
          </w:p>
          <w:p w:rsidR="00F45434" w:rsidRDefault="00741CEB">
            <w:pPr>
              <w:spacing w:before="120" w:after="120"/>
              <w:jc w:val="both"/>
              <w:rPr>
                <w:rFonts w:ascii="Times New Roman" w:hAnsi="Times New Roman" w:cs="Times New Roman"/>
                <w:bCs/>
                <w:noProof/>
                <w:sz w:val="20"/>
                <w:szCs w:val="20"/>
              </w:rPr>
            </w:pPr>
            <w:r>
              <w:rPr>
                <w:rFonts w:ascii="Times New Roman" w:hAnsi="Times New Roman"/>
                <w:noProof/>
                <w:sz w:val="20"/>
              </w:rPr>
              <w:t xml:space="preserve">Il existe un suivi électronique au moyen de rapports/listes quotidiens et hebdomadaires automatisés: </w:t>
            </w:r>
            <w:r>
              <w:rPr>
                <w:rFonts w:ascii="Times New Roman" w:hAnsi="Times New Roman"/>
                <w:noProof/>
                <w:sz w:val="20"/>
                <w:u w:val="single"/>
              </w:rPr>
              <w:t>quotidiens</w:t>
            </w:r>
            <w:r>
              <w:rPr>
                <w:rFonts w:ascii="Times New Roman" w:hAnsi="Times New Roman"/>
                <w:noProof/>
                <w:sz w:val="20"/>
              </w:rPr>
              <w:t xml:space="preserve">: liste d’entretiens programmés, liste de </w:t>
            </w:r>
            <w:r>
              <w:rPr>
                <w:rFonts w:ascii="Times New Roman" w:hAnsi="Times New Roman"/>
                <w:noProof/>
                <w:sz w:val="20"/>
              </w:rPr>
              <w:t>rendez-vous pour l’enregistrement, liste de décisions qui n’ont pas pu être notifiées, liste de cas de retours possibles, liste quotidienne de dossiers classés sans suite, liste de dossiers archivés, que les autorités grecques utilisent pour assurer le sui</w:t>
            </w:r>
            <w:r>
              <w:rPr>
                <w:rFonts w:ascii="Times New Roman" w:hAnsi="Times New Roman"/>
                <w:noProof/>
                <w:sz w:val="20"/>
              </w:rPr>
              <w:t xml:space="preserve">vi des personnes en situation préoccupante et exécuter les mesures de retour, le cas échéant; </w:t>
            </w:r>
            <w:r>
              <w:rPr>
                <w:rFonts w:ascii="Times New Roman" w:hAnsi="Times New Roman"/>
                <w:noProof/>
                <w:sz w:val="20"/>
                <w:u w:val="single"/>
              </w:rPr>
              <w:t>hebdomadaires</w:t>
            </w:r>
            <w:r>
              <w:rPr>
                <w:rFonts w:ascii="Times New Roman" w:hAnsi="Times New Roman"/>
                <w:noProof/>
                <w:sz w:val="20"/>
              </w:rPr>
              <w:t xml:space="preserve">: liste des personnes absentes à l’entretien, liste des personnes absentes aux rendez-vous pour l’enregistrement. </w:t>
            </w:r>
          </w:p>
          <w:p w:rsidR="00F45434" w:rsidRDefault="00741CEB">
            <w:pPr>
              <w:spacing w:before="120" w:after="120"/>
              <w:jc w:val="both"/>
              <w:rPr>
                <w:rFonts w:ascii="Times New Roman" w:hAnsi="Times New Roman" w:cs="Times New Roman"/>
                <w:bCs/>
                <w:noProof/>
                <w:sz w:val="20"/>
                <w:szCs w:val="20"/>
              </w:rPr>
            </w:pPr>
            <w:r>
              <w:rPr>
                <w:rFonts w:ascii="Times New Roman" w:hAnsi="Times New Roman"/>
                <w:noProof/>
                <w:sz w:val="20"/>
              </w:rPr>
              <w:t>L’augmentation des patrouilles eff</w:t>
            </w:r>
            <w:r>
              <w:rPr>
                <w:rFonts w:ascii="Times New Roman" w:hAnsi="Times New Roman"/>
                <w:noProof/>
                <w:sz w:val="20"/>
              </w:rPr>
              <w:t xml:space="preserve">ectuées par les policiers grecs limiterait encore le risque de fuite. </w:t>
            </w:r>
          </w:p>
          <w:p w:rsidR="00F45434" w:rsidRDefault="00741CEB">
            <w:pPr>
              <w:spacing w:before="120" w:after="120"/>
              <w:jc w:val="both"/>
              <w:rPr>
                <w:rFonts w:ascii="Times New Roman" w:hAnsi="Times New Roman" w:cs="Times New Roman"/>
                <w:bCs/>
                <w:noProof/>
                <w:sz w:val="20"/>
                <w:szCs w:val="20"/>
              </w:rPr>
            </w:pPr>
            <w:r>
              <w:rPr>
                <w:rFonts w:ascii="Times New Roman" w:hAnsi="Times New Roman"/>
                <w:noProof/>
                <w:sz w:val="20"/>
              </w:rPr>
              <w:t>L’application urgente d’un système d’entrée/sortie dans les zones de crise contribuerait également à mieux surveiller la population migrante et à tracer le lieu où elle se trouve.</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Renf</w:t>
            </w:r>
            <w:r>
              <w:rPr>
                <w:rFonts w:ascii="Times New Roman" w:hAnsi="Times New Roman"/>
                <w:b/>
                <w:noProof/>
                <w:sz w:val="20"/>
              </w:rPr>
              <w:t>orcement du programme d’aide au retour volontaire et à la réintégration (AVRR) dans les îles</w:t>
            </w:r>
          </w:p>
        </w:tc>
        <w:tc>
          <w:tcPr>
            <w:tcW w:w="7978" w:type="dxa"/>
          </w:tcPr>
          <w:p w:rsidR="00F45434" w:rsidRDefault="00741CEB">
            <w:p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 xml:space="preserve">Entre janvier et septembre 2017, </w:t>
            </w:r>
            <w:r>
              <w:rPr>
                <w:rFonts w:ascii="Times New Roman" w:hAnsi="Times New Roman"/>
                <w:b/>
                <w:noProof/>
                <w:sz w:val="20"/>
              </w:rPr>
              <w:t>145 personnes par mois</w:t>
            </w:r>
            <w:r>
              <w:rPr>
                <w:rFonts w:ascii="Times New Roman" w:hAnsi="Times New Roman"/>
                <w:noProof/>
                <w:sz w:val="20"/>
              </w:rPr>
              <w:t xml:space="preserve"> en moyenne ont été transférées au moyen du </w:t>
            </w:r>
            <w:r>
              <w:rPr>
                <w:rFonts w:ascii="Times New Roman" w:hAnsi="Times New Roman"/>
                <w:b/>
                <w:noProof/>
                <w:sz w:val="20"/>
              </w:rPr>
              <w:t>programme d’aide au retour volontaire et à la réintégration depu</w:t>
            </w:r>
            <w:r>
              <w:rPr>
                <w:rFonts w:ascii="Times New Roman" w:hAnsi="Times New Roman"/>
                <w:b/>
                <w:noProof/>
                <w:sz w:val="20"/>
              </w:rPr>
              <w:t>is les îles grecques</w:t>
            </w:r>
            <w:r>
              <w:rPr>
                <w:rFonts w:ascii="Times New Roman" w:hAnsi="Times New Roman"/>
                <w:noProof/>
                <w:sz w:val="20"/>
              </w:rPr>
              <w:t xml:space="preserve">, alors que de juin à décembre 2016, </w:t>
            </w:r>
            <w:r>
              <w:rPr>
                <w:rFonts w:ascii="Times New Roman" w:hAnsi="Times New Roman"/>
                <w:b/>
                <w:noProof/>
                <w:sz w:val="20"/>
              </w:rPr>
              <w:t>70 bénéficiaires</w:t>
            </w:r>
            <w:r>
              <w:rPr>
                <w:rFonts w:ascii="Times New Roman" w:hAnsi="Times New Roman"/>
                <w:noProof/>
                <w:sz w:val="20"/>
              </w:rPr>
              <w:t xml:space="preserve"> étaient transférés en moyenne chaque mois.   </w:t>
            </w:r>
          </w:p>
          <w:p w:rsidR="00F45434" w:rsidRDefault="00741CEB">
            <w:p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Il est nécessaire d’apporter un soutien supplémentaire aux activités au titre du programme AVRR au départ des îles, qui sont actuellemen</w:t>
            </w:r>
            <w:r>
              <w:rPr>
                <w:rFonts w:ascii="Times New Roman" w:hAnsi="Times New Roman"/>
                <w:noProof/>
                <w:sz w:val="20"/>
              </w:rPr>
              <w:t>t réalisées par l’Organisation internationale pour les migrations, afin d’augmenter le nombre d’opérations au titre du programme AVRR.</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Adoption de décisions de retour à un stade plus précoce du processus de retour</w:t>
            </w:r>
          </w:p>
        </w:tc>
        <w:tc>
          <w:tcPr>
            <w:tcW w:w="7978" w:type="dxa"/>
          </w:tcPr>
          <w:p w:rsidR="00F45434" w:rsidRDefault="00741CEB">
            <w:pPr>
              <w:spacing w:before="120" w:after="120"/>
              <w:jc w:val="both"/>
              <w:rPr>
                <w:rFonts w:ascii="Times New Roman" w:hAnsi="Times New Roman" w:cs="Times New Roman"/>
                <w:noProof/>
                <w:sz w:val="20"/>
                <w:szCs w:val="20"/>
              </w:rPr>
            </w:pPr>
            <w:r>
              <w:rPr>
                <w:rFonts w:ascii="Times New Roman" w:hAnsi="Times New Roman"/>
                <w:noProof/>
                <w:sz w:val="20"/>
              </w:rPr>
              <w:t>Des ajustements techniques et informatiqu</w:t>
            </w:r>
            <w:r>
              <w:rPr>
                <w:rFonts w:ascii="Times New Roman" w:hAnsi="Times New Roman"/>
                <w:noProof/>
                <w:sz w:val="20"/>
              </w:rPr>
              <w:t>es sont nécessaires de toute urgence pour pouvoir rendre des décisions de retour en même temps que notifier les décisions négatives en matière d’asile en première instance.</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Création de nouvelles capacités d’accueil dans les îles et mise à niveau des insta</w:t>
            </w:r>
            <w:r>
              <w:rPr>
                <w:rFonts w:ascii="Times New Roman" w:hAnsi="Times New Roman"/>
                <w:b/>
                <w:noProof/>
                <w:sz w:val="20"/>
              </w:rPr>
              <w:t>llations existantes</w:t>
            </w:r>
          </w:p>
        </w:tc>
        <w:tc>
          <w:tcPr>
            <w:tcW w:w="7978" w:type="dxa"/>
          </w:tcPr>
          <w:p w:rsidR="00F45434" w:rsidRDefault="00741CEB">
            <w:pPr>
              <w:autoSpaceDE w:val="0"/>
              <w:autoSpaceDN w:val="0"/>
              <w:adjustRightInd w:val="0"/>
              <w:spacing w:before="120" w:after="120"/>
              <w:jc w:val="both"/>
              <w:rPr>
                <w:rFonts w:ascii="Times New Roman" w:hAnsi="Times New Roman" w:cs="Times New Roman"/>
                <w:noProof/>
                <w:sz w:val="20"/>
                <w:szCs w:val="20"/>
              </w:rPr>
            </w:pPr>
            <w:r>
              <w:rPr>
                <w:rFonts w:ascii="Times New Roman" w:hAnsi="Times New Roman"/>
                <w:noProof/>
                <w:sz w:val="20"/>
              </w:rPr>
              <w:t>Malgré les efforts considérables déployés pour accroître la capacité d’accueil dans les îles et en améliorer les conditions, l’hébergement des nouveaux arrivants demeure dans de nombreux cas au-dessous des niveaux acceptés. Cette défail</w:t>
            </w:r>
            <w:r>
              <w:rPr>
                <w:rFonts w:ascii="Times New Roman" w:hAnsi="Times New Roman"/>
                <w:noProof/>
                <w:sz w:val="20"/>
              </w:rPr>
              <w:t xml:space="preserve">lance, qui a été mise en lumière du fait du nombre accru d’arrivées, requiert une mise à niveau de toute urgence pour s’adapter aux conditions hivernales.  </w:t>
            </w:r>
          </w:p>
          <w:p w:rsidR="00F45434" w:rsidRDefault="00741CEB">
            <w:pPr>
              <w:autoSpaceDE w:val="0"/>
              <w:autoSpaceDN w:val="0"/>
              <w:adjustRightInd w:val="0"/>
              <w:spacing w:before="120" w:after="120"/>
              <w:jc w:val="both"/>
              <w:rPr>
                <w:rFonts w:ascii="Times New Roman" w:hAnsi="Times New Roman" w:cs="Times New Roman"/>
                <w:noProof/>
                <w:sz w:val="20"/>
                <w:szCs w:val="20"/>
                <w:highlight w:val="yellow"/>
              </w:rPr>
            </w:pPr>
            <w:r>
              <w:rPr>
                <w:rFonts w:ascii="Times New Roman" w:hAnsi="Times New Roman"/>
                <w:noProof/>
                <w:sz w:val="20"/>
              </w:rPr>
              <w:t>Des conditions d’accueil appropriées pour les mineurs non accompagnés, y compris des dispositifs de</w:t>
            </w:r>
            <w:r>
              <w:rPr>
                <w:rFonts w:ascii="Times New Roman" w:hAnsi="Times New Roman"/>
                <w:noProof/>
                <w:sz w:val="20"/>
              </w:rPr>
              <w:t xml:space="preserve"> sécurité, ne sont toujours pas entièrement garanties dans les îles, notamment pour les enfants qui sont toujours placés sous protection.</w:t>
            </w:r>
          </w:p>
        </w:tc>
      </w:tr>
      <w:tr w:rsidR="00F45434">
        <w:trPr>
          <w:cantSplit/>
        </w:trPr>
        <w:tc>
          <w:tcPr>
            <w:tcW w:w="2087" w:type="dxa"/>
          </w:tcPr>
          <w:p w:rsidR="00F45434" w:rsidRDefault="00741CEB">
            <w:pPr>
              <w:spacing w:before="120" w:after="120"/>
              <w:rPr>
                <w:rFonts w:ascii="Times New Roman" w:hAnsi="Times New Roman" w:cs="Times New Roman"/>
                <w:b/>
                <w:noProof/>
                <w:sz w:val="20"/>
                <w:szCs w:val="20"/>
              </w:rPr>
            </w:pPr>
            <w:r>
              <w:rPr>
                <w:rFonts w:ascii="Times New Roman" w:hAnsi="Times New Roman"/>
                <w:b/>
                <w:noProof/>
                <w:sz w:val="20"/>
              </w:rPr>
              <w:t>Création de capacités de rétention supplémentaires suffisantes dans les îles</w:t>
            </w:r>
          </w:p>
        </w:tc>
        <w:tc>
          <w:tcPr>
            <w:tcW w:w="7978" w:type="dxa"/>
          </w:tcPr>
          <w:p w:rsidR="00F45434" w:rsidRDefault="00741CEB">
            <w:pPr>
              <w:spacing w:before="120" w:after="120"/>
              <w:jc w:val="both"/>
              <w:rPr>
                <w:rFonts w:ascii="Times New Roman" w:hAnsi="Times New Roman" w:cs="Times New Roman"/>
                <w:b/>
                <w:noProof/>
                <w:sz w:val="20"/>
                <w:szCs w:val="20"/>
              </w:rPr>
            </w:pPr>
            <w:r>
              <w:rPr>
                <w:rFonts w:ascii="Times New Roman" w:hAnsi="Times New Roman"/>
                <w:b/>
                <w:noProof/>
                <w:sz w:val="20"/>
              </w:rPr>
              <w:t>710 places</w:t>
            </w:r>
            <w:r>
              <w:rPr>
                <w:noProof/>
              </w:rPr>
              <w:t xml:space="preserve"> </w:t>
            </w:r>
            <w:r>
              <w:rPr>
                <w:rFonts w:ascii="Times New Roman" w:hAnsi="Times New Roman"/>
                <w:noProof/>
                <w:sz w:val="20"/>
              </w:rPr>
              <w:t xml:space="preserve">sont actuellement disponibles </w:t>
            </w:r>
            <w:r>
              <w:rPr>
                <w:rFonts w:ascii="Times New Roman" w:hAnsi="Times New Roman"/>
                <w:b/>
                <w:noProof/>
                <w:sz w:val="20"/>
              </w:rPr>
              <w:t>dans les centres de rétention préalable à l’éloignement</w:t>
            </w:r>
            <w:r>
              <w:rPr>
                <w:rFonts w:ascii="Times New Roman" w:hAnsi="Times New Roman"/>
                <w:noProof/>
                <w:sz w:val="20"/>
              </w:rPr>
              <w:t xml:space="preserve"> dans les îles, 210 à Lesbos et 500 à Kos. Il n’existe toujours </w:t>
            </w:r>
            <w:r>
              <w:rPr>
                <w:rFonts w:ascii="Times New Roman" w:hAnsi="Times New Roman"/>
                <w:b/>
                <w:noProof/>
                <w:sz w:val="20"/>
              </w:rPr>
              <w:t>pas de centres de rétention à Samos et Chios</w:t>
            </w:r>
            <w:r>
              <w:rPr>
                <w:rFonts w:ascii="Times New Roman" w:hAnsi="Times New Roman"/>
                <w:noProof/>
                <w:sz w:val="20"/>
              </w:rPr>
              <w:t>.</w:t>
            </w:r>
            <w:r>
              <w:rPr>
                <w:rFonts w:ascii="Times New Roman" w:hAnsi="Times New Roman"/>
                <w:b/>
                <w:noProof/>
                <w:sz w:val="20"/>
              </w:rPr>
              <w:t xml:space="preserve"> </w:t>
            </w:r>
          </w:p>
          <w:p w:rsidR="00F45434" w:rsidRDefault="00741CEB">
            <w:pPr>
              <w:spacing w:before="120" w:after="120"/>
              <w:jc w:val="both"/>
              <w:rPr>
                <w:rFonts w:ascii="Times New Roman" w:hAnsi="Times New Roman" w:cs="Times New Roman"/>
                <w:noProof/>
                <w:sz w:val="20"/>
                <w:szCs w:val="20"/>
              </w:rPr>
            </w:pPr>
            <w:r>
              <w:rPr>
                <w:rFonts w:ascii="Times New Roman" w:hAnsi="Times New Roman"/>
                <w:b/>
                <w:noProof/>
                <w:sz w:val="20"/>
              </w:rPr>
              <w:t>Les autorités grecques doivent augmenter de toute urgence le</w:t>
            </w:r>
            <w:r>
              <w:rPr>
                <w:rFonts w:ascii="Times New Roman" w:hAnsi="Times New Roman"/>
                <w:b/>
                <w:noProof/>
                <w:sz w:val="20"/>
              </w:rPr>
              <w:t>s capacités de rétention afin d’être en mesure d’accroître le rythme des retours.</w:t>
            </w:r>
          </w:p>
        </w:tc>
      </w:tr>
    </w:tbl>
    <w:p w:rsidR="00F45434" w:rsidRDefault="00F45434">
      <w:pPr>
        <w:rPr>
          <w:rFonts w:ascii="Times New Roman" w:hAnsi="Times New Roman" w:cs="Times New Roman"/>
          <w:noProof/>
          <w:sz w:val="20"/>
          <w:szCs w:val="20"/>
        </w:rPr>
      </w:pPr>
    </w:p>
    <w:p w:rsidR="00F45434" w:rsidRPr="00741CEB" w:rsidRDefault="00F45434">
      <w:pPr>
        <w:rPr>
          <w:noProof/>
        </w:rPr>
      </w:pPr>
    </w:p>
    <w:sectPr w:rsidR="00F45434" w:rsidRPr="00741CE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99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34" w:rsidRDefault="00741CEB">
      <w:pPr>
        <w:spacing w:after="0" w:line="240" w:lineRule="auto"/>
      </w:pPr>
      <w:r>
        <w:separator/>
      </w:r>
    </w:p>
  </w:endnote>
  <w:endnote w:type="continuationSeparator" w:id="0">
    <w:p w:rsidR="00F45434" w:rsidRDefault="0074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EB" w:rsidRPr="00741CEB" w:rsidRDefault="00741CEB" w:rsidP="00741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EB" w:rsidRPr="00741CEB" w:rsidRDefault="00741CEB" w:rsidP="00741CEB">
    <w:pPr>
      <w:pStyle w:val="FooterCoverPage"/>
      <w:rPr>
        <w:rFonts w:ascii="Arial" w:hAnsi="Arial" w:cs="Arial"/>
        <w:b/>
        <w:sz w:val="48"/>
      </w:rPr>
    </w:pPr>
    <w:r w:rsidRPr="00741CEB">
      <w:rPr>
        <w:rFonts w:ascii="Arial" w:hAnsi="Arial" w:cs="Arial"/>
        <w:b/>
        <w:sz w:val="48"/>
      </w:rPr>
      <w:t>FR</w:t>
    </w:r>
    <w:r w:rsidRPr="00741CEB">
      <w:rPr>
        <w:rFonts w:ascii="Arial" w:hAnsi="Arial" w:cs="Arial"/>
        <w:b/>
        <w:sz w:val="48"/>
      </w:rPr>
      <w:tab/>
    </w:r>
    <w:r w:rsidRPr="00741CEB">
      <w:rPr>
        <w:rFonts w:ascii="Arial" w:hAnsi="Arial" w:cs="Arial"/>
        <w:b/>
        <w:sz w:val="48"/>
      </w:rPr>
      <w:tab/>
    </w:r>
    <w:r w:rsidRPr="00741CEB">
      <w:tab/>
    </w:r>
    <w:proofErr w:type="spellStart"/>
    <w:r w:rsidRPr="00741CEB">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EB" w:rsidRPr="00741CEB" w:rsidRDefault="00741CEB" w:rsidP="00741CE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34" w:rsidRDefault="00F454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235598"/>
      <w:docPartObj>
        <w:docPartGallery w:val="Page Numbers (Bottom of Page)"/>
        <w:docPartUnique/>
      </w:docPartObj>
    </w:sdtPr>
    <w:sdtEndPr>
      <w:rPr>
        <w:rFonts w:ascii="Times New Roman" w:hAnsi="Times New Roman" w:cs="Times New Roman"/>
        <w:noProof/>
      </w:rPr>
    </w:sdtEndPr>
    <w:sdtContent>
      <w:p w:rsidR="00F45434" w:rsidRDefault="00741CEB">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noProof/>
          </w:rPr>
          <w:fldChar w:fldCharType="end"/>
        </w:r>
      </w:p>
    </w:sdtContent>
  </w:sdt>
  <w:p w:rsidR="00F45434" w:rsidRDefault="00F4543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34" w:rsidRDefault="00F45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34" w:rsidRDefault="00741CEB">
      <w:pPr>
        <w:spacing w:after="0" w:line="240" w:lineRule="auto"/>
      </w:pPr>
      <w:r>
        <w:separator/>
      </w:r>
    </w:p>
  </w:footnote>
  <w:footnote w:type="continuationSeparator" w:id="0">
    <w:p w:rsidR="00F45434" w:rsidRDefault="00741CEB">
      <w:pPr>
        <w:spacing w:after="0" w:line="240" w:lineRule="auto"/>
      </w:pPr>
      <w:r>
        <w:continuationSeparator/>
      </w:r>
    </w:p>
  </w:footnote>
  <w:footnote w:id="1">
    <w:p w:rsidR="00F45434" w:rsidRDefault="00741CEB">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présente annexe est fondée sur le compte rendu antérieur des faits qui figure dans le septième rapport sur les progrès </w:t>
      </w:r>
      <w:r>
        <w:rPr>
          <w:rFonts w:ascii="Times New Roman" w:hAnsi="Times New Roman"/>
        </w:rPr>
        <w:t>réalisés dans la mise en œuvre de la déclaration UE-Turquie (COM/2017/470), et notamment son annexe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EB" w:rsidRPr="00741CEB" w:rsidRDefault="00741CEB" w:rsidP="00741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EB" w:rsidRPr="00741CEB" w:rsidRDefault="00741CEB" w:rsidP="00741CE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CEB" w:rsidRPr="00741CEB" w:rsidRDefault="00741CEB" w:rsidP="00741CE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34" w:rsidRDefault="00F45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34" w:rsidRDefault="00F454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34" w:rsidRDefault="00F45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u"/>
    <w:docVar w:name="LW_ANNEX_NBR_FIRST" w:val="2"/>
    <w:docVar w:name="LW_ANNEX_NBR_LAST" w:val="2"/>
    <w:docVar w:name="LW_ANNEX_UNIQUE" w:val="0"/>
    <w:docVar w:name="LW_CORRIGENDUM" w:val="&lt;UNUSED&gt;"/>
    <w:docVar w:name="LW_COVERPAGE_EXISTS" w:val="True"/>
    <w:docVar w:name="LW_COVERPAGE_GUID" w:val="EBD81E90-D631-4690-9AC9-C4C1BD13DCEE"/>
    <w:docVar w:name="LW_COVERPAGE_TYPE" w:val="1"/>
    <w:docVar w:name="LW_CROSSREFERENCE" w:val="{SWD(2017) 372 final}"/>
    <w:docVar w:name="LW_DocType" w:val="NORMAL"/>
    <w:docVar w:name="LW_EMISSION" w:val="15.11.2017"/>
    <w:docVar w:name="LW_EMISSION_ISODATE" w:val="2017-11-15"/>
    <w:docVar w:name="LW_EMISSION_LOCATION" w:val="BRX"/>
    <w:docVar w:name="LW_EMISSION_PREFIX" w:val="Bruxelles, le"/>
    <w:docVar w:name="LW_EMISSION_SUFFIX" w:val="&lt;EMPTY&gt;"/>
    <w:docVar w:name="LW_ID_DOCTYPE_NONLW" w:val="CP-039"/>
    <w:docVar w:name="LW_LANGUE" w:val="FR"/>
    <w:docVar w:name="LW_LEVEL_OF_SENSITIVITY" w:val="Standard treatment"/>
    <w:docVar w:name="LW_NOM.INST" w:val="COMMISSION EUROPÉENNE"/>
    <w:docVar w:name="LW_NOM.INST_JOINTDOC" w:val="&lt;EMPTY&gt;"/>
    <w:docVar w:name="LW_OBJETACTEPRINCIPAL.CP" w:val="Rapport d'avancement sur l'agenda européen en matière de migration _x000b__x000b_Plan d'action conjoint relatif à la mise en \u339?uvre de la déclaration UE-Turquie"/>
    <w:docVar w:name="LW_PART_NBR" w:val="1"/>
    <w:docVar w:name="LW_PART_NBR_TOTAL" w:val="1"/>
    <w:docVar w:name="LW_REF.INST.NEW" w:val="COM"/>
    <w:docVar w:name="LW_REF.INST.NEW_ADOPTED" w:val="final"/>
    <w:docVar w:name="LW_REF.INST.NEW_TEXT" w:val="(2017) 6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RAPPORT DE LA COMMISSION AU PARLEMENT EUROPÉEN, AU CONSEIL EUROPÉEN ET AU CONSEIL"/>
  </w:docVars>
  <w:rsids>
    <w:rsidRoot w:val="00F45434"/>
    <w:rsid w:val="00741CEB"/>
    <w:rsid w:val="00F4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1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1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1C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1C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741C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1C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1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41CE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1C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1C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1C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1CE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pPr>
      <w:spacing w:after="160"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sid w:val="00741C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1C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41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41CE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4F22-749A-4CA9-A3B8-AB18D99C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9985</Characters>
  <Application>Microsoft Office Word</Application>
  <DocSecurity>0</DocSecurity>
  <Lines>208</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2017-11-13T15:45:00Z</dcterms:created>
  <dcterms:modified xsi:type="dcterms:W3CDTF">2017-11-30T12:22:00Z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First annex">
    <vt:lpwstr>2</vt:lpwstr>
  </property>
  <property fmtid="{D5CDD505-2E9C-101B-9397-08002B2CF9AE}" pid="5" name="Last annex">
    <vt:lpwstr>2</vt:lpwstr>
  </property>
  <property fmtid="{D5CDD505-2E9C-101B-9397-08002B2CF9AE}" pid="6" name="Unique annex">
    <vt:lpwstr>0</vt:lpwstr>
  </property>
  <property fmtid="{D5CDD505-2E9C-101B-9397-08002B2CF9AE}" pid="7" name="Part">
    <vt:lpwstr>1</vt:lpwstr>
  </property>
  <property fmtid="{D5CDD505-2E9C-101B-9397-08002B2CF9AE}" pid="8" name="Total parts">
    <vt:lpwstr>1</vt:lpwstr>
  </property>
</Properties>
</file>