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81" w:rsidRDefault="00C907C0" w:rsidP="00C907C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B7AB1943-AF6E-4BF1-96E4-66B249776EF9" style="width:450.6pt;height:434.4pt">
            <v:imagedata r:id="rId8" o:title=""/>
          </v:shape>
        </w:pict>
      </w:r>
    </w:p>
    <w:bookmarkEnd w:id="0"/>
    <w:p w:rsidR="00650381" w:rsidRDefault="00650381">
      <w:pPr>
        <w:rPr>
          <w:noProof/>
        </w:rPr>
        <w:sectPr w:rsidR="00650381" w:rsidSect="00C907C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W w:w="15435" w:type="dxa"/>
        <w:tblLook w:val="04A0" w:firstRow="1" w:lastRow="0" w:firstColumn="1" w:lastColumn="0" w:noHBand="0" w:noVBand="1"/>
      </w:tblPr>
      <w:tblGrid>
        <w:gridCol w:w="2808"/>
        <w:gridCol w:w="1353"/>
        <w:gridCol w:w="1488"/>
        <w:gridCol w:w="1368"/>
        <w:gridCol w:w="1353"/>
        <w:gridCol w:w="1488"/>
        <w:gridCol w:w="1368"/>
        <w:gridCol w:w="1353"/>
        <w:gridCol w:w="1488"/>
        <w:gridCol w:w="1368"/>
      </w:tblGrid>
      <w:tr w:rsidR="00650381">
        <w:trPr>
          <w:trHeight w:val="227"/>
        </w:trPr>
        <w:tc>
          <w:tcPr>
            <w:tcW w:w="2808" w:type="dxa"/>
            <w:tcBorders>
              <w:top w:val="nil"/>
              <w:left w:val="nil"/>
              <w:bottom w:val="nil"/>
              <w:right w:val="nil"/>
            </w:tcBorders>
            <w:shd w:val="clear" w:color="auto" w:fill="auto"/>
            <w:noWrap/>
            <w:vAlign w:val="center"/>
            <w:hideMark/>
          </w:tcPr>
          <w:p w:rsidR="00650381" w:rsidRDefault="00650381">
            <w:pPr>
              <w:spacing w:after="0" w:line="240" w:lineRule="auto"/>
              <w:rPr>
                <w:rFonts w:ascii="Times New Roman" w:eastAsia="Times New Roman" w:hAnsi="Times New Roman" w:cs="Times New Roman"/>
                <w:noProof/>
                <w:sz w:val="16"/>
                <w:szCs w:val="20"/>
              </w:rPr>
            </w:pPr>
          </w:p>
        </w:tc>
        <w:tc>
          <w:tcPr>
            <w:tcW w:w="4209" w:type="dxa"/>
            <w:gridSpan w:val="3"/>
            <w:tcBorders>
              <w:top w:val="single" w:sz="8" w:space="0" w:color="auto"/>
              <w:left w:val="single" w:sz="8" w:space="0" w:color="auto"/>
              <w:bottom w:val="single" w:sz="4" w:space="0" w:color="000000"/>
              <w:right w:val="single" w:sz="8" w:space="0" w:color="000000"/>
            </w:tcBorders>
            <w:shd w:val="clear" w:color="000000" w:fill="99CCFF"/>
            <w:vAlign w:val="center"/>
            <w:hideMark/>
          </w:tcPr>
          <w:p w:rsidR="00650381" w:rsidRDefault="0099753E">
            <w:pPr>
              <w:spacing w:after="0" w:line="240" w:lineRule="auto"/>
              <w:jc w:val="center"/>
              <w:rPr>
                <w:rFonts w:ascii="Times New Roman" w:eastAsia="Times New Roman" w:hAnsi="Times New Roman" w:cs="Times New Roman"/>
                <w:b/>
                <w:bCs/>
                <w:noProof/>
                <w:sz w:val="16"/>
                <w:szCs w:val="20"/>
              </w:rPr>
            </w:pPr>
            <w:r>
              <w:rPr>
                <w:rFonts w:ascii="Times New Roman" w:hAnsi="Times New Roman"/>
                <w:b/>
                <w:noProof/>
                <w:sz w:val="16"/>
              </w:rPr>
              <w:t>2014</w:t>
            </w:r>
          </w:p>
        </w:tc>
        <w:tc>
          <w:tcPr>
            <w:tcW w:w="4209" w:type="dxa"/>
            <w:gridSpan w:val="3"/>
            <w:tcBorders>
              <w:top w:val="single" w:sz="8" w:space="0" w:color="auto"/>
              <w:left w:val="nil"/>
              <w:bottom w:val="single" w:sz="4" w:space="0" w:color="000000"/>
              <w:right w:val="single" w:sz="8" w:space="0" w:color="000000"/>
            </w:tcBorders>
            <w:shd w:val="clear" w:color="000000" w:fill="99CCFF"/>
            <w:vAlign w:val="center"/>
            <w:hideMark/>
          </w:tcPr>
          <w:p w:rsidR="00650381" w:rsidRDefault="0099753E">
            <w:pPr>
              <w:spacing w:after="0" w:line="240" w:lineRule="auto"/>
              <w:jc w:val="center"/>
              <w:rPr>
                <w:rFonts w:ascii="Times New Roman" w:eastAsia="Times New Roman" w:hAnsi="Times New Roman" w:cs="Times New Roman"/>
                <w:b/>
                <w:bCs/>
                <w:noProof/>
                <w:sz w:val="16"/>
                <w:szCs w:val="20"/>
              </w:rPr>
            </w:pPr>
            <w:r>
              <w:rPr>
                <w:rFonts w:ascii="Times New Roman" w:hAnsi="Times New Roman"/>
                <w:b/>
                <w:noProof/>
                <w:sz w:val="16"/>
              </w:rPr>
              <w:t>2015</w:t>
            </w:r>
          </w:p>
        </w:tc>
        <w:tc>
          <w:tcPr>
            <w:tcW w:w="4209" w:type="dxa"/>
            <w:gridSpan w:val="3"/>
            <w:tcBorders>
              <w:top w:val="single" w:sz="8" w:space="0" w:color="auto"/>
              <w:left w:val="nil"/>
              <w:bottom w:val="single" w:sz="4" w:space="0" w:color="000000"/>
              <w:right w:val="single" w:sz="8" w:space="0" w:color="000000"/>
            </w:tcBorders>
            <w:shd w:val="clear" w:color="000000" w:fill="99CCFF"/>
            <w:vAlign w:val="center"/>
            <w:hideMark/>
          </w:tcPr>
          <w:p w:rsidR="00650381" w:rsidRDefault="0099753E">
            <w:pPr>
              <w:spacing w:after="0" w:line="240" w:lineRule="auto"/>
              <w:jc w:val="center"/>
              <w:rPr>
                <w:rFonts w:ascii="Times New Roman" w:eastAsia="Times New Roman" w:hAnsi="Times New Roman" w:cs="Times New Roman"/>
                <w:b/>
                <w:bCs/>
                <w:noProof/>
                <w:sz w:val="16"/>
                <w:szCs w:val="20"/>
              </w:rPr>
            </w:pPr>
            <w:r>
              <w:rPr>
                <w:rFonts w:ascii="Times New Roman" w:hAnsi="Times New Roman"/>
                <w:b/>
                <w:noProof/>
                <w:sz w:val="16"/>
              </w:rPr>
              <w:t>2016</w:t>
            </w:r>
          </w:p>
        </w:tc>
      </w:tr>
      <w:tr w:rsidR="00650381">
        <w:trPr>
          <w:trHeight w:val="227"/>
        </w:trPr>
        <w:tc>
          <w:tcPr>
            <w:tcW w:w="2808" w:type="dxa"/>
            <w:tcBorders>
              <w:top w:val="nil"/>
              <w:left w:val="nil"/>
              <w:bottom w:val="nil"/>
              <w:right w:val="nil"/>
            </w:tcBorders>
            <w:shd w:val="clear" w:color="auto" w:fill="auto"/>
            <w:noWrap/>
            <w:vAlign w:val="center"/>
            <w:hideMark/>
          </w:tcPr>
          <w:p w:rsidR="00650381" w:rsidRDefault="00650381">
            <w:pPr>
              <w:spacing w:after="0" w:line="240" w:lineRule="auto"/>
              <w:rPr>
                <w:rFonts w:ascii="Times New Roman" w:eastAsia="Times New Roman" w:hAnsi="Times New Roman" w:cs="Times New Roman"/>
                <w:noProof/>
                <w:sz w:val="16"/>
                <w:szCs w:val="20"/>
              </w:rPr>
            </w:pPr>
          </w:p>
        </w:tc>
        <w:tc>
          <w:tcPr>
            <w:tcW w:w="1353" w:type="dxa"/>
            <w:tcBorders>
              <w:top w:val="nil"/>
              <w:left w:val="single" w:sz="8" w:space="0" w:color="auto"/>
              <w:bottom w:val="nil"/>
              <w:right w:val="single" w:sz="4" w:space="0" w:color="000000"/>
            </w:tcBorders>
            <w:shd w:val="clear" w:color="000000" w:fill="99CCFF"/>
            <w:vAlign w:val="center"/>
            <w:hideMark/>
          </w:tcPr>
          <w:p w:rsidR="00650381" w:rsidRDefault="0099753E">
            <w:pPr>
              <w:spacing w:after="0" w:line="240" w:lineRule="auto"/>
              <w:jc w:val="center"/>
              <w:rPr>
                <w:rFonts w:ascii="Times New Roman" w:eastAsia="Times New Roman" w:hAnsi="Times New Roman" w:cs="Times New Roman"/>
                <w:b/>
                <w:bCs/>
                <w:noProof/>
                <w:sz w:val="16"/>
                <w:szCs w:val="20"/>
              </w:rPr>
            </w:pPr>
            <w:r>
              <w:rPr>
                <w:rFonts w:ascii="Times New Roman" w:hAnsi="Times New Roman"/>
                <w:b/>
                <w:noProof/>
                <w:sz w:val="16"/>
              </w:rPr>
              <w:t>Personnes ayant reçu l’ordre de quitter le territoire</w:t>
            </w:r>
          </w:p>
        </w:tc>
        <w:tc>
          <w:tcPr>
            <w:tcW w:w="1488" w:type="dxa"/>
            <w:tcBorders>
              <w:top w:val="nil"/>
              <w:left w:val="nil"/>
              <w:bottom w:val="nil"/>
              <w:right w:val="single" w:sz="4" w:space="0" w:color="000000"/>
            </w:tcBorders>
            <w:shd w:val="clear" w:color="000000" w:fill="99CCFF"/>
            <w:vAlign w:val="center"/>
            <w:hideMark/>
          </w:tcPr>
          <w:p w:rsidR="00650381" w:rsidRDefault="0099753E">
            <w:pPr>
              <w:spacing w:after="0" w:line="240" w:lineRule="auto"/>
              <w:jc w:val="center"/>
              <w:rPr>
                <w:rFonts w:ascii="Times New Roman" w:eastAsia="Times New Roman" w:hAnsi="Times New Roman" w:cs="Times New Roman"/>
                <w:b/>
                <w:bCs/>
                <w:noProof/>
                <w:sz w:val="16"/>
                <w:szCs w:val="20"/>
              </w:rPr>
            </w:pPr>
            <w:r>
              <w:rPr>
                <w:rFonts w:ascii="Times New Roman" w:hAnsi="Times New Roman"/>
                <w:b/>
                <w:noProof/>
                <w:sz w:val="16"/>
              </w:rPr>
              <w:t>Personnes retournées dans un pays tiers</w:t>
            </w:r>
          </w:p>
        </w:tc>
        <w:tc>
          <w:tcPr>
            <w:tcW w:w="1368" w:type="dxa"/>
            <w:tcBorders>
              <w:top w:val="nil"/>
              <w:left w:val="nil"/>
              <w:bottom w:val="nil"/>
              <w:right w:val="single" w:sz="8" w:space="0" w:color="auto"/>
            </w:tcBorders>
            <w:shd w:val="clear" w:color="000000" w:fill="99CCFF"/>
            <w:vAlign w:val="center"/>
            <w:hideMark/>
          </w:tcPr>
          <w:p w:rsidR="00650381" w:rsidRDefault="0099753E">
            <w:pPr>
              <w:spacing w:after="0" w:line="240" w:lineRule="auto"/>
              <w:jc w:val="center"/>
              <w:rPr>
                <w:rFonts w:ascii="Times New Roman" w:eastAsia="Times New Roman" w:hAnsi="Times New Roman" w:cs="Times New Roman"/>
                <w:b/>
                <w:bCs/>
                <w:noProof/>
                <w:sz w:val="16"/>
                <w:szCs w:val="20"/>
              </w:rPr>
            </w:pPr>
            <w:r>
              <w:rPr>
                <w:rFonts w:ascii="Times New Roman" w:hAnsi="Times New Roman"/>
                <w:b/>
                <w:noProof/>
                <w:sz w:val="16"/>
              </w:rPr>
              <w:t>Taux de retour</w:t>
            </w:r>
            <w:r>
              <w:rPr>
                <w:rStyle w:val="FootnoteReference"/>
                <w:rFonts w:ascii="Times New Roman" w:hAnsi="Times New Roman"/>
                <w:b/>
                <w:noProof/>
                <w:sz w:val="16"/>
              </w:rPr>
              <w:footnoteReference w:id="1"/>
            </w:r>
          </w:p>
        </w:tc>
        <w:tc>
          <w:tcPr>
            <w:tcW w:w="1353" w:type="dxa"/>
            <w:tcBorders>
              <w:top w:val="nil"/>
              <w:left w:val="nil"/>
              <w:bottom w:val="nil"/>
              <w:right w:val="single" w:sz="4" w:space="0" w:color="000000"/>
            </w:tcBorders>
            <w:shd w:val="clear" w:color="000000" w:fill="99CCFF"/>
            <w:vAlign w:val="center"/>
            <w:hideMark/>
          </w:tcPr>
          <w:p w:rsidR="00650381" w:rsidRDefault="0099753E">
            <w:pPr>
              <w:spacing w:after="0" w:line="240" w:lineRule="auto"/>
              <w:jc w:val="center"/>
              <w:rPr>
                <w:rFonts w:ascii="Times New Roman" w:eastAsia="Times New Roman" w:hAnsi="Times New Roman" w:cs="Times New Roman"/>
                <w:b/>
                <w:bCs/>
                <w:noProof/>
                <w:sz w:val="16"/>
                <w:szCs w:val="20"/>
              </w:rPr>
            </w:pPr>
            <w:r>
              <w:rPr>
                <w:rFonts w:ascii="Times New Roman" w:hAnsi="Times New Roman"/>
                <w:b/>
                <w:noProof/>
                <w:sz w:val="16"/>
              </w:rPr>
              <w:t>Personnes ayant reçu l’ordre de quitter le territoire</w:t>
            </w:r>
          </w:p>
        </w:tc>
        <w:tc>
          <w:tcPr>
            <w:tcW w:w="1488" w:type="dxa"/>
            <w:tcBorders>
              <w:top w:val="nil"/>
              <w:left w:val="nil"/>
              <w:bottom w:val="nil"/>
              <w:right w:val="single" w:sz="4" w:space="0" w:color="000000"/>
            </w:tcBorders>
            <w:shd w:val="clear" w:color="000000" w:fill="99CCFF"/>
            <w:vAlign w:val="center"/>
            <w:hideMark/>
          </w:tcPr>
          <w:p w:rsidR="00650381" w:rsidRDefault="0099753E">
            <w:pPr>
              <w:spacing w:after="0" w:line="240" w:lineRule="auto"/>
              <w:jc w:val="center"/>
              <w:rPr>
                <w:rFonts w:ascii="Times New Roman" w:eastAsia="Times New Roman" w:hAnsi="Times New Roman" w:cs="Times New Roman"/>
                <w:b/>
                <w:bCs/>
                <w:noProof/>
                <w:sz w:val="16"/>
                <w:szCs w:val="20"/>
              </w:rPr>
            </w:pPr>
            <w:r>
              <w:rPr>
                <w:rFonts w:ascii="Times New Roman" w:hAnsi="Times New Roman"/>
                <w:b/>
                <w:noProof/>
                <w:sz w:val="16"/>
              </w:rPr>
              <w:t>Personnes retournées dans un pays tiers</w:t>
            </w:r>
          </w:p>
        </w:tc>
        <w:tc>
          <w:tcPr>
            <w:tcW w:w="1368" w:type="dxa"/>
            <w:tcBorders>
              <w:top w:val="nil"/>
              <w:left w:val="nil"/>
              <w:bottom w:val="nil"/>
              <w:right w:val="single" w:sz="8" w:space="0" w:color="auto"/>
            </w:tcBorders>
            <w:shd w:val="clear" w:color="000000" w:fill="99CCFF"/>
            <w:vAlign w:val="center"/>
            <w:hideMark/>
          </w:tcPr>
          <w:p w:rsidR="00650381" w:rsidRDefault="0099753E">
            <w:pPr>
              <w:spacing w:after="0" w:line="240" w:lineRule="auto"/>
              <w:jc w:val="center"/>
              <w:rPr>
                <w:rFonts w:ascii="Times New Roman" w:eastAsia="Times New Roman" w:hAnsi="Times New Roman" w:cs="Times New Roman"/>
                <w:b/>
                <w:bCs/>
                <w:noProof/>
                <w:sz w:val="16"/>
                <w:szCs w:val="20"/>
              </w:rPr>
            </w:pPr>
            <w:r>
              <w:rPr>
                <w:rFonts w:ascii="Times New Roman" w:hAnsi="Times New Roman"/>
                <w:b/>
                <w:noProof/>
                <w:sz w:val="16"/>
              </w:rPr>
              <w:t>Taux de retour</w:t>
            </w:r>
          </w:p>
        </w:tc>
        <w:tc>
          <w:tcPr>
            <w:tcW w:w="1353" w:type="dxa"/>
            <w:tcBorders>
              <w:top w:val="nil"/>
              <w:left w:val="nil"/>
              <w:bottom w:val="nil"/>
              <w:right w:val="single" w:sz="4" w:space="0" w:color="000000"/>
            </w:tcBorders>
            <w:shd w:val="clear" w:color="000000" w:fill="99CCFF"/>
            <w:vAlign w:val="center"/>
            <w:hideMark/>
          </w:tcPr>
          <w:p w:rsidR="00650381" w:rsidRDefault="0099753E">
            <w:pPr>
              <w:spacing w:after="0" w:line="240" w:lineRule="auto"/>
              <w:jc w:val="center"/>
              <w:rPr>
                <w:rFonts w:ascii="Times New Roman" w:eastAsia="Times New Roman" w:hAnsi="Times New Roman" w:cs="Times New Roman"/>
                <w:b/>
                <w:bCs/>
                <w:noProof/>
                <w:sz w:val="16"/>
                <w:szCs w:val="20"/>
              </w:rPr>
            </w:pPr>
            <w:r>
              <w:rPr>
                <w:rFonts w:ascii="Times New Roman" w:hAnsi="Times New Roman"/>
                <w:b/>
                <w:noProof/>
                <w:sz w:val="16"/>
              </w:rPr>
              <w:t>Personnes ayant reçu l’ordre de quitter le territoire</w:t>
            </w:r>
          </w:p>
        </w:tc>
        <w:tc>
          <w:tcPr>
            <w:tcW w:w="1488" w:type="dxa"/>
            <w:tcBorders>
              <w:top w:val="nil"/>
              <w:left w:val="nil"/>
              <w:bottom w:val="nil"/>
              <w:right w:val="single" w:sz="4" w:space="0" w:color="000000"/>
            </w:tcBorders>
            <w:shd w:val="clear" w:color="000000" w:fill="99CCFF"/>
            <w:vAlign w:val="center"/>
            <w:hideMark/>
          </w:tcPr>
          <w:p w:rsidR="00650381" w:rsidRDefault="0099753E">
            <w:pPr>
              <w:spacing w:after="0" w:line="240" w:lineRule="auto"/>
              <w:jc w:val="center"/>
              <w:rPr>
                <w:rFonts w:ascii="Times New Roman" w:eastAsia="Times New Roman" w:hAnsi="Times New Roman" w:cs="Times New Roman"/>
                <w:b/>
                <w:bCs/>
                <w:noProof/>
                <w:sz w:val="16"/>
                <w:szCs w:val="20"/>
              </w:rPr>
            </w:pPr>
            <w:r>
              <w:rPr>
                <w:rFonts w:ascii="Times New Roman" w:hAnsi="Times New Roman"/>
                <w:b/>
                <w:noProof/>
                <w:sz w:val="16"/>
              </w:rPr>
              <w:t>Personnes retournées dans un pays tiers</w:t>
            </w:r>
          </w:p>
        </w:tc>
        <w:tc>
          <w:tcPr>
            <w:tcW w:w="1368" w:type="dxa"/>
            <w:tcBorders>
              <w:top w:val="nil"/>
              <w:left w:val="nil"/>
              <w:bottom w:val="nil"/>
              <w:right w:val="single" w:sz="8" w:space="0" w:color="auto"/>
            </w:tcBorders>
            <w:shd w:val="clear" w:color="000000" w:fill="99CCFF"/>
            <w:vAlign w:val="center"/>
            <w:hideMark/>
          </w:tcPr>
          <w:p w:rsidR="00650381" w:rsidRDefault="0099753E">
            <w:pPr>
              <w:spacing w:after="0" w:line="240" w:lineRule="auto"/>
              <w:jc w:val="center"/>
              <w:rPr>
                <w:rFonts w:ascii="Times New Roman" w:eastAsia="Times New Roman" w:hAnsi="Times New Roman" w:cs="Times New Roman"/>
                <w:b/>
                <w:bCs/>
                <w:noProof/>
                <w:sz w:val="16"/>
                <w:szCs w:val="20"/>
              </w:rPr>
            </w:pPr>
            <w:r>
              <w:rPr>
                <w:rFonts w:ascii="Times New Roman" w:hAnsi="Times New Roman"/>
                <w:b/>
                <w:noProof/>
                <w:sz w:val="16"/>
              </w:rPr>
              <w:t>Taux de retour</w:t>
            </w:r>
          </w:p>
        </w:tc>
      </w:tr>
      <w:tr w:rsidR="00650381">
        <w:trPr>
          <w:trHeight w:val="227"/>
        </w:trPr>
        <w:tc>
          <w:tcPr>
            <w:tcW w:w="2808" w:type="dxa"/>
            <w:tcBorders>
              <w:top w:val="single" w:sz="8" w:space="0" w:color="auto"/>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Union européenne (28 pays)</w:t>
            </w:r>
          </w:p>
        </w:tc>
        <w:tc>
          <w:tcPr>
            <w:tcW w:w="1353" w:type="dxa"/>
            <w:tcBorders>
              <w:top w:val="single" w:sz="8" w:space="0" w:color="auto"/>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470 080</w:t>
            </w:r>
          </w:p>
        </w:tc>
        <w:tc>
          <w:tcPr>
            <w:tcW w:w="1488" w:type="dxa"/>
            <w:tcBorders>
              <w:top w:val="single" w:sz="8" w:space="0" w:color="auto"/>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196 280</w:t>
            </w:r>
          </w:p>
        </w:tc>
        <w:tc>
          <w:tcPr>
            <w:tcW w:w="1368" w:type="dxa"/>
            <w:tcBorders>
              <w:top w:val="single" w:sz="8" w:space="0" w:color="auto"/>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41,75 %</w:t>
            </w:r>
          </w:p>
        </w:tc>
        <w:tc>
          <w:tcPr>
            <w:tcW w:w="1353" w:type="dxa"/>
            <w:tcBorders>
              <w:top w:val="single" w:sz="8" w:space="0" w:color="auto"/>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533 395</w:t>
            </w:r>
          </w:p>
        </w:tc>
        <w:tc>
          <w:tcPr>
            <w:tcW w:w="1488" w:type="dxa"/>
            <w:tcBorders>
              <w:top w:val="single" w:sz="8" w:space="0" w:color="auto"/>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196 190</w:t>
            </w:r>
          </w:p>
        </w:tc>
        <w:tc>
          <w:tcPr>
            <w:tcW w:w="1368" w:type="dxa"/>
            <w:tcBorders>
              <w:top w:val="single" w:sz="8" w:space="0" w:color="auto"/>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36,78 %</w:t>
            </w:r>
          </w:p>
        </w:tc>
        <w:tc>
          <w:tcPr>
            <w:tcW w:w="1353" w:type="dxa"/>
            <w:tcBorders>
              <w:top w:val="single" w:sz="8" w:space="0" w:color="auto"/>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493 790</w:t>
            </w:r>
          </w:p>
        </w:tc>
        <w:tc>
          <w:tcPr>
            <w:tcW w:w="1488" w:type="dxa"/>
            <w:tcBorders>
              <w:top w:val="single" w:sz="8" w:space="0" w:color="auto"/>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226 150</w:t>
            </w:r>
          </w:p>
        </w:tc>
        <w:tc>
          <w:tcPr>
            <w:tcW w:w="1368" w:type="dxa"/>
            <w:tcBorders>
              <w:top w:val="single" w:sz="8" w:space="0" w:color="auto"/>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45,80 %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Belgique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35 245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5 575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15,82 %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31 045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5 550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17,88 %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33 020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6 920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20,96 %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Bulgarie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12 870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1 155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8,97 %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20 810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540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2,59 %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14 120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1 105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7,83 %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République tchèque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2 460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320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13,01 %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4 510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330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7,32 %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3 760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390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10,37 %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Danemark</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2 905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1 400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48,19 %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3 925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1 040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26,50 %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3 050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930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30,49 %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Allemagne (jusqu’en 1990, territoire de l’ex-RFA)</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34 255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21 895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63,92 %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54 080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53 640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99,19 %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70 005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74 080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105,82 %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Estonie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475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445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93,68 %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590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6,78 %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505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380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75,25 %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Irlande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970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345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35,57 %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875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205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23,43 %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1 355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245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18,08 %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Grèce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73 670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27 055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36,72 %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104 575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14 390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13,76 %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33 790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19 055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56,39 %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Espagne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42 150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15 150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35,94 %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33 495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12 235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36,53 %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27 845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9 530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34,23 %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France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86 955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19 525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22,45 %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79 950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12 195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15,25 %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81 000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10 930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13,49 %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Croatie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3 120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2 245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71,96 %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3 910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1 405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35,93 %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4 730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1 720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36,36 %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Italie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25 300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5 310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20,99 %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27 305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4 670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17,10 %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32 365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5 715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17,66 %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Chypre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3 525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2 990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84,82 %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2 250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1 840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81,78 %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1 575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1 035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65,71 %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Lettonie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1 555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1 550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99,68 %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1 190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1 030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86,55 %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1 450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1 355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93,45 %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Lituanie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2 245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1 930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85,97 %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1 870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1 685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90,11 %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1 740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1 545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88,79 %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Luxembourg</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775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605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78,06 %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700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720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102,86 %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655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405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61,83 %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Hongrie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5 885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4 345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73,83 %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11 750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5 755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48,98 %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10 765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780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7,25 %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Malte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990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495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50,00 %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575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465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80,87 %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415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420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101,20 %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Pays-Bas</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33 735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7 995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23,70 %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23 765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8 380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35,26 %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32 950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11 215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34,04 %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Autriche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2 480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9 910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11 850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5 895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49,75 %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Pologne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10 160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9 280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91,34 %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13 635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12 750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93,51 %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20 010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18 530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92,60 %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Portugal</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3 845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820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21,33 %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5 080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565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11,12 %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6 200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0,00 %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Roumanie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2 030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2 085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102,71 %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1 930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1 995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103,37 %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2 070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1 865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90,10 %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Slovénie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1 025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840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81,95 %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1 025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155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15,12 %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1 375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205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14,91 %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Slovaquie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925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695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75,14 %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1 575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970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61,59 %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1 735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1 390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80,12 %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Finlande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3 360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3 195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95,09 %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4 905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2 980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60,75 %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17 975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5 610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31,21 %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Suède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14 280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6 630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46,43 %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18 150</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9 695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53,42 %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17 585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10 160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57,78 %</w:t>
            </w:r>
          </w:p>
        </w:tc>
      </w:tr>
      <w:tr w:rsidR="00650381">
        <w:trPr>
          <w:trHeight w:val="227"/>
        </w:trPr>
        <w:tc>
          <w:tcPr>
            <w:tcW w:w="2808" w:type="dxa"/>
            <w:tcBorders>
              <w:top w:val="nil"/>
              <w:left w:val="single" w:sz="8" w:space="0" w:color="auto"/>
              <w:bottom w:val="nil"/>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Royaume-Uni</w:t>
            </w:r>
          </w:p>
        </w:tc>
        <w:tc>
          <w:tcPr>
            <w:tcW w:w="1353" w:type="dxa"/>
            <w:tcBorders>
              <w:top w:val="nil"/>
              <w:left w:val="nil"/>
              <w:bottom w:val="nil"/>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65 365</w:t>
            </w:r>
          </w:p>
        </w:tc>
        <w:tc>
          <w:tcPr>
            <w:tcW w:w="1488" w:type="dxa"/>
            <w:tcBorders>
              <w:top w:val="nil"/>
              <w:left w:val="nil"/>
              <w:bottom w:val="nil"/>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49 920</w:t>
            </w:r>
          </w:p>
        </w:tc>
        <w:tc>
          <w:tcPr>
            <w:tcW w:w="1368" w:type="dxa"/>
            <w:tcBorders>
              <w:top w:val="nil"/>
              <w:left w:val="nil"/>
              <w:bottom w:val="nil"/>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76,37 %</w:t>
            </w:r>
          </w:p>
        </w:tc>
        <w:tc>
          <w:tcPr>
            <w:tcW w:w="1353" w:type="dxa"/>
            <w:tcBorders>
              <w:top w:val="nil"/>
              <w:left w:val="nil"/>
              <w:bottom w:val="nil"/>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70 020</w:t>
            </w:r>
          </w:p>
        </w:tc>
        <w:tc>
          <w:tcPr>
            <w:tcW w:w="1488" w:type="dxa"/>
            <w:tcBorders>
              <w:top w:val="nil"/>
              <w:left w:val="nil"/>
              <w:bottom w:val="nil"/>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40 965</w:t>
            </w:r>
          </w:p>
        </w:tc>
        <w:tc>
          <w:tcPr>
            <w:tcW w:w="1368" w:type="dxa"/>
            <w:tcBorders>
              <w:top w:val="nil"/>
              <w:left w:val="nil"/>
              <w:bottom w:val="nil"/>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58,50 %</w:t>
            </w:r>
          </w:p>
        </w:tc>
        <w:tc>
          <w:tcPr>
            <w:tcW w:w="1353" w:type="dxa"/>
            <w:tcBorders>
              <w:top w:val="nil"/>
              <w:left w:val="nil"/>
              <w:bottom w:val="nil"/>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59 895</w:t>
            </w:r>
          </w:p>
        </w:tc>
        <w:tc>
          <w:tcPr>
            <w:tcW w:w="1488" w:type="dxa"/>
            <w:tcBorders>
              <w:top w:val="nil"/>
              <w:left w:val="nil"/>
              <w:bottom w:val="nil"/>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34 740</w:t>
            </w:r>
          </w:p>
        </w:tc>
        <w:tc>
          <w:tcPr>
            <w:tcW w:w="1368" w:type="dxa"/>
            <w:tcBorders>
              <w:top w:val="nil"/>
              <w:left w:val="nil"/>
              <w:bottom w:val="nil"/>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58,00 %</w:t>
            </w:r>
          </w:p>
        </w:tc>
      </w:tr>
      <w:tr w:rsidR="00650381">
        <w:trPr>
          <w:trHeight w:val="227"/>
        </w:trPr>
        <w:tc>
          <w:tcPr>
            <w:tcW w:w="2808" w:type="dxa"/>
            <w:tcBorders>
              <w:top w:val="single" w:sz="8" w:space="0" w:color="auto"/>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Islande</w:t>
            </w:r>
          </w:p>
        </w:tc>
        <w:tc>
          <w:tcPr>
            <w:tcW w:w="1353" w:type="dxa"/>
            <w:tcBorders>
              <w:top w:val="single" w:sz="8" w:space="0" w:color="auto"/>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488" w:type="dxa"/>
            <w:tcBorders>
              <w:top w:val="single" w:sz="8" w:space="0" w:color="auto"/>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368" w:type="dxa"/>
            <w:tcBorders>
              <w:top w:val="single" w:sz="8" w:space="0" w:color="auto"/>
              <w:left w:val="nil"/>
              <w:bottom w:val="single" w:sz="4" w:space="0" w:color="000000"/>
              <w:right w:val="single" w:sz="8" w:space="0" w:color="auto"/>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353" w:type="dxa"/>
            <w:tcBorders>
              <w:top w:val="single" w:sz="8" w:space="0" w:color="auto"/>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488" w:type="dxa"/>
            <w:tcBorders>
              <w:top w:val="single" w:sz="8" w:space="0" w:color="auto"/>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368" w:type="dxa"/>
            <w:tcBorders>
              <w:top w:val="single" w:sz="8" w:space="0" w:color="auto"/>
              <w:left w:val="nil"/>
              <w:bottom w:val="single" w:sz="4" w:space="0" w:color="000000"/>
              <w:right w:val="single" w:sz="8" w:space="0" w:color="auto"/>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353" w:type="dxa"/>
            <w:tcBorders>
              <w:top w:val="single" w:sz="8" w:space="0" w:color="auto"/>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488" w:type="dxa"/>
            <w:tcBorders>
              <w:top w:val="single" w:sz="8" w:space="0" w:color="auto"/>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368" w:type="dxa"/>
            <w:tcBorders>
              <w:top w:val="single" w:sz="8" w:space="0" w:color="auto"/>
              <w:left w:val="nil"/>
              <w:bottom w:val="single" w:sz="4" w:space="0" w:color="000000"/>
              <w:right w:val="single" w:sz="8" w:space="0" w:color="auto"/>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Liechtenstein</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100,00 %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0,00 %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33,33 %</w:t>
            </w:r>
          </w:p>
        </w:tc>
      </w:tr>
      <w:tr w:rsidR="00650381">
        <w:trPr>
          <w:trHeight w:val="227"/>
        </w:trPr>
        <w:tc>
          <w:tcPr>
            <w:tcW w:w="2808" w:type="dxa"/>
            <w:tcBorders>
              <w:top w:val="nil"/>
              <w:left w:val="single" w:sz="8" w:space="0" w:color="auto"/>
              <w:bottom w:val="single" w:sz="4" w:space="0" w:color="000000"/>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Norvège</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13 305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5 365</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40,32 %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13 705</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3 540</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25,83 %</w:t>
            </w:r>
          </w:p>
        </w:tc>
        <w:tc>
          <w:tcPr>
            <w:tcW w:w="1353"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488" w:type="dxa"/>
            <w:tcBorders>
              <w:top w:val="nil"/>
              <w:left w:val="nil"/>
              <w:bottom w:val="single" w:sz="4" w:space="0" w:color="000000"/>
              <w:right w:val="single" w:sz="4" w:space="0" w:color="000000"/>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368" w:type="dxa"/>
            <w:tcBorders>
              <w:top w:val="nil"/>
              <w:left w:val="nil"/>
              <w:bottom w:val="single" w:sz="4" w:space="0" w:color="000000"/>
              <w:right w:val="single" w:sz="8" w:space="0" w:color="auto"/>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r>
      <w:tr w:rsidR="00650381">
        <w:trPr>
          <w:trHeight w:val="227"/>
        </w:trPr>
        <w:tc>
          <w:tcPr>
            <w:tcW w:w="2808" w:type="dxa"/>
            <w:tcBorders>
              <w:top w:val="nil"/>
              <w:left w:val="single" w:sz="8" w:space="0" w:color="auto"/>
              <w:bottom w:val="single" w:sz="8" w:space="0" w:color="auto"/>
              <w:right w:val="single" w:sz="8" w:space="0" w:color="auto"/>
            </w:tcBorders>
            <w:shd w:val="clear" w:color="000000" w:fill="99CCFF"/>
            <w:noWrap/>
            <w:vAlign w:val="center"/>
            <w:hideMark/>
          </w:tcPr>
          <w:p w:rsidR="00650381" w:rsidRDefault="0099753E">
            <w:pPr>
              <w:spacing w:after="0" w:line="240" w:lineRule="auto"/>
              <w:rPr>
                <w:rFonts w:ascii="Times New Roman" w:eastAsia="Times New Roman" w:hAnsi="Times New Roman" w:cs="Times New Roman"/>
                <w:b/>
                <w:bCs/>
                <w:noProof/>
                <w:sz w:val="16"/>
                <w:szCs w:val="20"/>
              </w:rPr>
            </w:pPr>
            <w:r>
              <w:rPr>
                <w:rFonts w:ascii="Times New Roman" w:hAnsi="Times New Roman"/>
                <w:b/>
                <w:noProof/>
                <w:sz w:val="16"/>
              </w:rPr>
              <w:t>Suisse</w:t>
            </w:r>
          </w:p>
        </w:tc>
        <w:tc>
          <w:tcPr>
            <w:tcW w:w="1353" w:type="dxa"/>
            <w:tcBorders>
              <w:top w:val="nil"/>
              <w:left w:val="nil"/>
              <w:bottom w:val="single" w:sz="8" w:space="0" w:color="auto"/>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3 335</w:t>
            </w:r>
          </w:p>
        </w:tc>
        <w:tc>
          <w:tcPr>
            <w:tcW w:w="1488" w:type="dxa"/>
            <w:tcBorders>
              <w:top w:val="nil"/>
              <w:left w:val="nil"/>
              <w:bottom w:val="single" w:sz="8" w:space="0" w:color="auto"/>
              <w:right w:val="single" w:sz="4" w:space="0" w:color="000000"/>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368" w:type="dxa"/>
            <w:tcBorders>
              <w:top w:val="nil"/>
              <w:left w:val="nil"/>
              <w:bottom w:val="single" w:sz="8" w:space="0" w:color="auto"/>
              <w:right w:val="single" w:sz="8" w:space="0" w:color="auto"/>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353" w:type="dxa"/>
            <w:tcBorders>
              <w:top w:val="nil"/>
              <w:left w:val="nil"/>
              <w:bottom w:val="single" w:sz="8" w:space="0" w:color="auto"/>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3 730</w:t>
            </w:r>
          </w:p>
        </w:tc>
        <w:tc>
          <w:tcPr>
            <w:tcW w:w="1488" w:type="dxa"/>
            <w:tcBorders>
              <w:top w:val="nil"/>
              <w:left w:val="nil"/>
              <w:bottom w:val="single" w:sz="8" w:space="0" w:color="auto"/>
              <w:right w:val="single" w:sz="4" w:space="0" w:color="000000"/>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0</w:t>
            </w:r>
          </w:p>
        </w:tc>
        <w:tc>
          <w:tcPr>
            <w:tcW w:w="1368" w:type="dxa"/>
            <w:tcBorders>
              <w:top w:val="nil"/>
              <w:left w:val="nil"/>
              <w:bottom w:val="single" w:sz="8" w:space="0" w:color="auto"/>
              <w:right w:val="single" w:sz="8" w:space="0" w:color="auto"/>
            </w:tcBorders>
            <w:shd w:val="clear" w:color="auto" w:fill="auto"/>
            <w:noWrap/>
            <w:vAlign w:val="center"/>
            <w:hideMark/>
          </w:tcPr>
          <w:p w:rsidR="00650381" w:rsidRDefault="0099753E">
            <w:pPr>
              <w:spacing w:after="0" w:line="240" w:lineRule="auto"/>
              <w:jc w:val="right"/>
              <w:rPr>
                <w:rFonts w:ascii="Times New Roman" w:eastAsia="Times New Roman" w:hAnsi="Times New Roman" w:cs="Times New Roman"/>
                <w:noProof/>
                <w:sz w:val="16"/>
                <w:szCs w:val="20"/>
              </w:rPr>
            </w:pPr>
            <w:r>
              <w:rPr>
                <w:rFonts w:ascii="Times New Roman" w:hAnsi="Times New Roman"/>
                <w:noProof/>
                <w:sz w:val="16"/>
              </w:rPr>
              <w:t>0,00 %</w:t>
            </w:r>
          </w:p>
        </w:tc>
        <w:tc>
          <w:tcPr>
            <w:tcW w:w="1353" w:type="dxa"/>
            <w:tcBorders>
              <w:top w:val="nil"/>
              <w:left w:val="nil"/>
              <w:bottom w:val="single" w:sz="8" w:space="0" w:color="auto"/>
              <w:right w:val="single" w:sz="4" w:space="0" w:color="000000"/>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488" w:type="dxa"/>
            <w:tcBorders>
              <w:top w:val="nil"/>
              <w:left w:val="nil"/>
              <w:bottom w:val="single" w:sz="8" w:space="0" w:color="auto"/>
              <w:right w:val="single" w:sz="4" w:space="0" w:color="000000"/>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c>
          <w:tcPr>
            <w:tcW w:w="1368" w:type="dxa"/>
            <w:tcBorders>
              <w:top w:val="nil"/>
              <w:left w:val="nil"/>
              <w:bottom w:val="single" w:sz="8" w:space="0" w:color="auto"/>
              <w:right w:val="single" w:sz="8" w:space="0" w:color="auto"/>
            </w:tcBorders>
            <w:shd w:val="clear" w:color="auto" w:fill="auto"/>
            <w:noWrap/>
            <w:vAlign w:val="center"/>
            <w:hideMark/>
          </w:tcPr>
          <w:p w:rsidR="00650381" w:rsidRDefault="0099753E">
            <w:pPr>
              <w:spacing w:after="0" w:line="240" w:lineRule="auto"/>
              <w:rPr>
                <w:rFonts w:ascii="Times New Roman" w:eastAsia="Times New Roman" w:hAnsi="Times New Roman" w:cs="Times New Roman"/>
                <w:noProof/>
                <w:sz w:val="16"/>
                <w:szCs w:val="20"/>
              </w:rPr>
            </w:pPr>
            <w:r>
              <w:rPr>
                <w:rFonts w:ascii="Times New Roman" w:hAnsi="Times New Roman"/>
                <w:noProof/>
                <w:sz w:val="16"/>
              </w:rPr>
              <w:t>:</w:t>
            </w:r>
          </w:p>
        </w:tc>
      </w:tr>
    </w:tbl>
    <w:p w:rsidR="00650381" w:rsidRPr="00C907C0" w:rsidRDefault="00650381">
      <w:pPr>
        <w:rPr>
          <w:noProof/>
        </w:rPr>
      </w:pPr>
    </w:p>
    <w:sectPr w:rsidR="00650381" w:rsidRPr="00C907C0">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708"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81" w:rsidRDefault="0099753E">
      <w:pPr>
        <w:spacing w:after="0" w:line="240" w:lineRule="auto"/>
      </w:pPr>
      <w:r>
        <w:separator/>
      </w:r>
    </w:p>
  </w:endnote>
  <w:endnote w:type="continuationSeparator" w:id="0">
    <w:p w:rsidR="00650381" w:rsidRDefault="0099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C0" w:rsidRPr="00C907C0" w:rsidRDefault="00C907C0" w:rsidP="00C907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C0" w:rsidRPr="00C907C0" w:rsidRDefault="00C907C0" w:rsidP="00C907C0">
    <w:pPr>
      <w:pStyle w:val="FooterCoverPage"/>
      <w:rPr>
        <w:rFonts w:ascii="Arial" w:hAnsi="Arial" w:cs="Arial"/>
        <w:b/>
        <w:sz w:val="48"/>
      </w:rPr>
    </w:pPr>
    <w:r w:rsidRPr="00C907C0">
      <w:rPr>
        <w:rFonts w:ascii="Arial" w:hAnsi="Arial" w:cs="Arial"/>
        <w:b/>
        <w:sz w:val="48"/>
      </w:rPr>
      <w:t>FR</w:t>
    </w:r>
    <w:r w:rsidRPr="00C907C0">
      <w:rPr>
        <w:rFonts w:ascii="Arial" w:hAnsi="Arial" w:cs="Arial"/>
        <w:b/>
        <w:sz w:val="48"/>
      </w:rPr>
      <w:tab/>
    </w:r>
    <w:r w:rsidRPr="00C907C0">
      <w:rPr>
        <w:rFonts w:ascii="Arial" w:hAnsi="Arial" w:cs="Arial"/>
        <w:b/>
        <w:sz w:val="48"/>
      </w:rPr>
      <w:tab/>
    </w:r>
    <w:r w:rsidRPr="00C907C0">
      <w:tab/>
    </w:r>
    <w:proofErr w:type="spellStart"/>
    <w:r w:rsidRPr="00C907C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C0" w:rsidRPr="00C907C0" w:rsidRDefault="00C907C0" w:rsidP="00C907C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81" w:rsidRDefault="0065038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585360"/>
      <w:docPartObj>
        <w:docPartGallery w:val="Page Numbers (Bottom of Page)"/>
        <w:docPartUnique/>
      </w:docPartObj>
    </w:sdtPr>
    <w:sdtEndPr>
      <w:rPr>
        <w:rFonts w:ascii="Times New Roman" w:hAnsi="Times New Roman" w:cs="Times New Roman"/>
        <w:noProof/>
      </w:rPr>
    </w:sdtEndPr>
    <w:sdtContent>
      <w:p w:rsidR="00650381" w:rsidRDefault="0099753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907C0">
          <w:rPr>
            <w:rFonts w:ascii="Times New Roman" w:hAnsi="Times New Roman" w:cs="Times New Roman"/>
            <w:noProof/>
          </w:rPr>
          <w:t>1</w:t>
        </w:r>
        <w:r>
          <w:rPr>
            <w:rFonts w:ascii="Times New Roman" w:hAnsi="Times New Roman" w:cs="Times New Roman"/>
            <w:noProof/>
          </w:rPr>
          <w:fldChar w:fldCharType="end"/>
        </w:r>
      </w:p>
    </w:sdtContent>
  </w:sdt>
  <w:p w:rsidR="00650381" w:rsidRDefault="0065038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81" w:rsidRDefault="00650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81" w:rsidRDefault="0099753E">
      <w:pPr>
        <w:spacing w:after="0" w:line="240" w:lineRule="auto"/>
      </w:pPr>
      <w:r>
        <w:separator/>
      </w:r>
    </w:p>
  </w:footnote>
  <w:footnote w:type="continuationSeparator" w:id="0">
    <w:p w:rsidR="00650381" w:rsidRDefault="0099753E">
      <w:pPr>
        <w:spacing w:after="0" w:line="240" w:lineRule="auto"/>
      </w:pPr>
      <w:r>
        <w:continuationSeparator/>
      </w:r>
    </w:p>
  </w:footnote>
  <w:footnote w:id="1">
    <w:p w:rsidR="00650381" w:rsidRDefault="0099753E">
      <w:pPr>
        <w:pStyle w:val="FootnoteText"/>
        <w:jc w:val="both"/>
        <w:rPr>
          <w:rFonts w:ascii="Times New Roman" w:hAnsi="Times New Roman" w:cs="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Le taux de retour est le rapport entre le nombre de personnes ayant fait l’objet d’une décision de retour et le nombre de personnes effectivement retournées (qu’il s’agisse de retours volontaires ou forcés).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C0" w:rsidRPr="00C907C0" w:rsidRDefault="00C907C0" w:rsidP="00C907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C0" w:rsidRPr="00C907C0" w:rsidRDefault="00C907C0" w:rsidP="00C907C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C0" w:rsidRPr="00C907C0" w:rsidRDefault="00C907C0" w:rsidP="00C907C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81" w:rsidRDefault="006503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81" w:rsidRDefault="0065038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81" w:rsidRDefault="006503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5"/>
    <w:docVar w:name="LW_ANNEX_NBR_LAST" w:val="5"/>
    <w:docVar w:name="LW_ANNEX_UNIQUE" w:val="0"/>
    <w:docVar w:name="LW_CORRIGENDUM" w:val="&lt;UNUSED&gt;"/>
    <w:docVar w:name="LW_COVERPAGE_EXISTS" w:val="True"/>
    <w:docVar w:name="LW_COVERPAGE_GUID" w:val="B7AB1943-AF6E-4BF1-96E4-66B249776EF9"/>
    <w:docVar w:name="LW_COVERPAGE_TYPE" w:val="1"/>
    <w:docVar w:name="LW_CROSSREFERENCE" w:val="{SWD(2017) 372 final}"/>
    <w:docVar w:name="LW_DocType" w:val="NORMAL"/>
    <w:docVar w:name="LW_EMISSION" w:val="15.11.2017"/>
    <w:docVar w:name="LW_EMISSION_ISODATE" w:val="2017-11-15"/>
    <w:docVar w:name="LW_EMISSION_LOCATION" w:val="BRX"/>
    <w:docVar w:name="LW_EMISSION_PREFIX" w:val="Bruxelles, le"/>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d'avancement sur l'agenda européen en matière de migration_x000b__x000b_Retours"/>
    <w:docVar w:name="LW_PART_NBR" w:val="1"/>
    <w:docVar w:name="LW_PART_NBR_TOTAL" w:val="1"/>
    <w:docVar w:name="LW_REF.INST.NEW" w:val="COM"/>
    <w:docVar w:name="LW_REF.INST.NEW_ADOPTED" w:val="final"/>
    <w:docVar w:name="LW_REF.INST.NEW_TEXT" w:val="(2017)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AU PARLEMENT EUROPÉEN, AU CONSEIL EUROPÉEN ET AU CONSEIL_x000b_"/>
  </w:docVars>
  <w:rsids>
    <w:rsidRoot w:val="00650381"/>
    <w:rsid w:val="00650381"/>
    <w:rsid w:val="0099753E"/>
    <w:rsid w:val="00C90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0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0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07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07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sid w:val="00C907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907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907C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907C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0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0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07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07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sid w:val="00C907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907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907C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907C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18124">
      <w:bodyDiv w:val="1"/>
      <w:marLeft w:val="0"/>
      <w:marRight w:val="0"/>
      <w:marTop w:val="0"/>
      <w:marBottom w:val="0"/>
      <w:divBdr>
        <w:top w:val="none" w:sz="0" w:space="0" w:color="auto"/>
        <w:left w:val="none" w:sz="0" w:space="0" w:color="auto"/>
        <w:bottom w:val="none" w:sz="0" w:space="0" w:color="auto"/>
        <w:right w:val="none" w:sz="0" w:space="0" w:color="auto"/>
      </w:divBdr>
    </w:div>
    <w:div w:id="14461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E6017-FFF1-4299-A868-1145CE18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1945</Characters>
  <Application>Microsoft Office Word</Application>
  <DocSecurity>0</DocSecurity>
  <Lines>389</Lines>
  <Paragraphs>429</Paragraphs>
  <ScaleCrop>false</ScaleCrop>
  <Manager/>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2017-11-10T17:03:00Z</dcterms:created>
  <dcterms:modified xsi:type="dcterms:W3CDTF">2017-12-12T11:47:00Z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First annex">
    <vt:lpwstr>5</vt:lpwstr>
  </property>
  <property fmtid="{D5CDD505-2E9C-101B-9397-08002B2CF9AE}" pid="5" name="Last annex">
    <vt:lpwstr>5</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ies>
</file>