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F6" w:rsidRDefault="00E961E0" w:rsidP="00E961E0">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FBEEA9FE-B6B0-4FF6-8657-D45F72FA88D0" style="width:450.6pt;height:434.4pt">
            <v:imagedata r:id="rId9" o:title=""/>
          </v:shape>
        </w:pict>
      </w:r>
    </w:p>
    <w:bookmarkEnd w:id="0"/>
    <w:p w:rsidR="00E471F6" w:rsidRDefault="00E471F6">
      <w:pPr>
        <w:rPr>
          <w:noProof/>
        </w:rPr>
        <w:sectPr w:rsidR="00E471F6" w:rsidSect="00E961E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E471F6" w:rsidRDefault="007804E9">
      <w:pPr>
        <w:widowControl w:val="0"/>
        <w:spacing w:after="0" w:line="240" w:lineRule="auto"/>
        <w:jc w:val="both"/>
        <w:rPr>
          <w:rFonts w:ascii="Times New Roman" w:hAnsi="Times New Roman" w:cs="Times New Roman"/>
          <w:i/>
          <w:noProof/>
          <w:sz w:val="24"/>
          <w:szCs w:val="24"/>
        </w:rPr>
      </w:pPr>
      <w:r>
        <w:rPr>
          <w:rFonts w:ascii="Times New Roman" w:hAnsi="Times New Roman"/>
          <w:noProof/>
          <w:sz w:val="24"/>
        </w:rPr>
        <w:lastRenderedPageBreak/>
        <w:t>Механизмът на ЕС за бежанците в Турция за 2016—2017 г. възлиза на 3 милиарда евро, като 2,9 милиарда вече са отпуснати и са подписани договори за 55 проекта</w:t>
      </w:r>
      <w:r>
        <w:rPr>
          <w:rStyle w:val="FootnoteReference"/>
          <w:rFonts w:ascii="Times New Roman" w:hAnsi="Times New Roman"/>
          <w:noProof/>
          <w:sz w:val="24"/>
        </w:rPr>
        <w:footnoteReference w:id="1"/>
      </w:r>
      <w:r>
        <w:rPr>
          <w:rFonts w:ascii="Times New Roman" w:hAnsi="Times New Roman"/>
          <w:noProof/>
          <w:sz w:val="24"/>
        </w:rPr>
        <w:t xml:space="preserve"> на стойност 1,78 милиарда евро. Всички тези договори са в процес на изпълнение. Общата изплатена сума достигна 908 милиона евро.</w:t>
      </w:r>
      <w:r>
        <w:rPr>
          <w:rFonts w:ascii="Times New Roman" w:hAnsi="Times New Roman"/>
          <w:noProof/>
          <w:sz w:val="24"/>
          <w:vertAlign w:val="superscript"/>
        </w:rPr>
        <w:footnoteReference w:id="2"/>
      </w:r>
    </w:p>
    <w:p w:rsidR="00E471F6" w:rsidRDefault="00E471F6">
      <w:pPr>
        <w:widowControl w:val="0"/>
        <w:spacing w:after="0" w:line="240" w:lineRule="auto"/>
        <w:jc w:val="both"/>
        <w:rPr>
          <w:rFonts w:ascii="Times New Roman" w:eastAsia="Calibri" w:hAnsi="Times New Roman" w:cs="Times New Roman"/>
          <w:noProof/>
          <w:sz w:val="24"/>
          <w:szCs w:val="24"/>
        </w:rPr>
      </w:pPr>
    </w:p>
    <w:p w:rsidR="00E471F6" w:rsidRDefault="007804E9">
      <w:pPr>
        <w:widowControl w:val="0"/>
        <w:spacing w:after="0" w:line="240" w:lineRule="auto"/>
        <w:jc w:val="both"/>
        <w:rPr>
          <w:rFonts w:ascii="Times New Roman" w:eastAsia="Calibri" w:hAnsi="Times New Roman" w:cs="Times New Roman"/>
          <w:b/>
          <w:i/>
          <w:noProof/>
          <w:sz w:val="24"/>
          <w:szCs w:val="24"/>
        </w:rPr>
      </w:pPr>
      <w:r>
        <w:rPr>
          <w:rFonts w:ascii="Times New Roman" w:hAnsi="Times New Roman"/>
          <w:b/>
          <w:i/>
          <w:noProof/>
          <w:sz w:val="24"/>
        </w:rPr>
        <w:t>Хуманитарна помощ</w:t>
      </w:r>
      <w:r>
        <w:rPr>
          <w:rFonts w:ascii="Times New Roman" w:hAnsi="Times New Roman"/>
          <w:noProof/>
          <w:sz w:val="24"/>
          <w:vertAlign w:val="superscript"/>
        </w:rPr>
        <w:footnoteReference w:id="3"/>
      </w:r>
    </w:p>
    <w:p w:rsidR="00E471F6" w:rsidRDefault="00E471F6">
      <w:pPr>
        <w:widowControl w:val="0"/>
        <w:spacing w:after="0" w:line="240" w:lineRule="auto"/>
        <w:jc w:val="both"/>
        <w:rPr>
          <w:rFonts w:ascii="Times New Roman" w:hAnsi="Times New Roman" w:cs="Times New Roman"/>
          <w:noProof/>
          <w:sz w:val="24"/>
          <w:szCs w:val="24"/>
        </w:rPr>
      </w:pPr>
    </w:p>
    <w:p w:rsidR="00E471F6" w:rsidRDefault="007804E9">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Размерът на финансирането, за което са сключени договори, се увеличи до 638 милиона евро благодарение на 40 хуманитарни проекта с 119 партньори, като проектите са насочени към покриване на основни нужди, закрила, образование, здравеопазване, храна и подслон. Понастоящем от средствата в размер на 638 милиона евро, за които са сключени договори, 488 милиона са изплатени. Ключовите проекти включват:</w:t>
      </w:r>
    </w:p>
    <w:p w:rsidR="00E471F6" w:rsidRDefault="00E471F6">
      <w:pPr>
        <w:widowControl w:val="0"/>
        <w:spacing w:after="60" w:line="240" w:lineRule="auto"/>
        <w:jc w:val="both"/>
        <w:rPr>
          <w:rFonts w:ascii="Times New Roman" w:hAnsi="Times New Roman" w:cs="Times New Roman"/>
          <w:noProof/>
          <w:sz w:val="24"/>
          <w:szCs w:val="24"/>
        </w:rPr>
      </w:pPr>
    </w:p>
    <w:p w:rsidR="00E471F6" w:rsidRDefault="007804E9">
      <w:pPr>
        <w:pStyle w:val="ListParagraph"/>
        <w:widowControl w:val="0"/>
        <w:numPr>
          <w:ilvl w:val="0"/>
          <w:numId w:val="10"/>
        </w:numPr>
        <w:spacing w:after="0" w:line="240" w:lineRule="auto"/>
        <w:ind w:left="426"/>
        <w:jc w:val="both"/>
        <w:rPr>
          <w:rFonts w:ascii="Times New Roman" w:hAnsi="Times New Roman" w:cs="Times New Roman"/>
          <w:noProof/>
          <w:sz w:val="24"/>
          <w:szCs w:val="24"/>
        </w:rPr>
      </w:pPr>
      <w:r>
        <w:rPr>
          <w:rFonts w:ascii="Times New Roman" w:hAnsi="Times New Roman"/>
          <w:noProof/>
          <w:sz w:val="24"/>
        </w:rPr>
        <w:t>Мрежата за социална закрила при извънредни обстоятелства: през септември бе отбелязан важен етап с достигането на един милион получатели. Проектът за обвързан с условия трансфер на средства в брой за образование също подпомага над 136 000 деца. Предстои и двата проекта да бъдат продължени през декември.</w:t>
      </w:r>
    </w:p>
    <w:p w:rsidR="00E471F6" w:rsidRDefault="007804E9">
      <w:pPr>
        <w:pStyle w:val="ListParagraph"/>
        <w:widowControl w:val="0"/>
        <w:numPr>
          <w:ilvl w:val="0"/>
          <w:numId w:val="10"/>
        </w:numPr>
        <w:spacing w:after="0" w:line="240" w:lineRule="auto"/>
        <w:ind w:left="426"/>
        <w:jc w:val="both"/>
        <w:rPr>
          <w:rFonts w:ascii="Times New Roman" w:hAnsi="Times New Roman" w:cs="Times New Roman"/>
          <w:noProof/>
          <w:sz w:val="24"/>
          <w:szCs w:val="24"/>
        </w:rPr>
      </w:pPr>
      <w:r>
        <w:rPr>
          <w:rFonts w:ascii="Times New Roman" w:hAnsi="Times New Roman"/>
          <w:noProof/>
          <w:sz w:val="24"/>
        </w:rPr>
        <w:t>Други проекти, които предоставят достъп до услуги, включително закрила, социални услуги, държавни социалноосигурителни схеми и услуги, свързани със сексуалното и репродуктивното здраве и със сексуалното и основаното на пола насилие.</w:t>
      </w:r>
    </w:p>
    <w:p w:rsidR="00E471F6" w:rsidRDefault="00E471F6">
      <w:pPr>
        <w:pStyle w:val="ListParagraph"/>
        <w:widowControl w:val="0"/>
        <w:spacing w:after="0" w:line="240" w:lineRule="auto"/>
        <w:ind w:left="426"/>
        <w:jc w:val="both"/>
        <w:rPr>
          <w:rFonts w:ascii="Times New Roman" w:hAnsi="Times New Roman" w:cs="Times New Roman"/>
          <w:noProof/>
          <w:sz w:val="24"/>
          <w:szCs w:val="24"/>
        </w:rPr>
      </w:pPr>
    </w:p>
    <w:p w:rsidR="00E471F6" w:rsidRDefault="007804E9">
      <w:pPr>
        <w:widowControl w:val="0"/>
        <w:spacing w:after="0" w:line="240" w:lineRule="auto"/>
        <w:jc w:val="both"/>
        <w:rPr>
          <w:rFonts w:ascii="Times New Roman" w:eastAsia="Calibri" w:hAnsi="Times New Roman" w:cs="Times New Roman"/>
          <w:b/>
          <w:i/>
          <w:noProof/>
          <w:sz w:val="24"/>
          <w:szCs w:val="24"/>
        </w:rPr>
      </w:pPr>
      <w:r>
        <w:rPr>
          <w:rFonts w:ascii="Times New Roman" w:hAnsi="Times New Roman"/>
          <w:b/>
          <w:i/>
          <w:noProof/>
          <w:sz w:val="24"/>
        </w:rPr>
        <w:t>Нехуманитарна помощ</w:t>
      </w:r>
    </w:p>
    <w:p w:rsidR="00E471F6" w:rsidRDefault="00E471F6">
      <w:pPr>
        <w:widowControl w:val="0"/>
        <w:spacing w:after="0" w:line="240" w:lineRule="auto"/>
        <w:jc w:val="both"/>
        <w:rPr>
          <w:rFonts w:ascii="Times New Roman" w:hAnsi="Times New Roman" w:cs="Times New Roman"/>
          <w:noProof/>
          <w:sz w:val="24"/>
          <w:szCs w:val="24"/>
        </w:rPr>
      </w:pPr>
    </w:p>
    <w:p w:rsidR="00E471F6" w:rsidRDefault="007804E9">
      <w:pPr>
        <w:pStyle w:val="ListParagraph"/>
        <w:widowControl w:val="0"/>
        <w:spacing w:after="0" w:line="240" w:lineRule="auto"/>
        <w:ind w:left="0"/>
        <w:jc w:val="both"/>
        <w:rPr>
          <w:rFonts w:ascii="Times New Roman" w:hAnsi="Times New Roman" w:cs="Times New Roman"/>
          <w:noProof/>
          <w:sz w:val="24"/>
          <w:szCs w:val="24"/>
        </w:rPr>
      </w:pPr>
      <w:r>
        <w:rPr>
          <w:rFonts w:ascii="Times New Roman" w:hAnsi="Times New Roman"/>
          <w:noProof/>
          <w:sz w:val="24"/>
        </w:rPr>
        <w:t xml:space="preserve">Стойността на сключените договори се увеличи на 1,14 милиарда евро, а изплатените средства достигнаха 420 милиона евро. </w:t>
      </w:r>
    </w:p>
    <w:p w:rsidR="00E471F6" w:rsidRDefault="00E471F6">
      <w:pPr>
        <w:widowControl w:val="0"/>
        <w:spacing w:after="0" w:line="240" w:lineRule="auto"/>
        <w:ind w:left="66"/>
        <w:jc w:val="both"/>
        <w:rPr>
          <w:rFonts w:ascii="Times New Roman" w:hAnsi="Times New Roman" w:cs="Times New Roman"/>
          <w:noProof/>
          <w:sz w:val="24"/>
          <w:szCs w:val="24"/>
        </w:rPr>
      </w:pPr>
    </w:p>
    <w:p w:rsidR="00E471F6" w:rsidRDefault="007804E9">
      <w:pPr>
        <w:pStyle w:val="ListParagraph"/>
        <w:widowControl w:val="0"/>
        <w:numPr>
          <w:ilvl w:val="0"/>
          <w:numId w:val="9"/>
        </w:numPr>
        <w:spacing w:after="60" w:line="240" w:lineRule="auto"/>
        <w:jc w:val="both"/>
        <w:rPr>
          <w:rFonts w:ascii="Times New Roman" w:hAnsi="Times New Roman" w:cs="Times New Roman"/>
          <w:noProof/>
          <w:sz w:val="24"/>
          <w:szCs w:val="24"/>
        </w:rPr>
      </w:pPr>
      <w:r>
        <w:rPr>
          <w:rFonts w:ascii="Times New Roman" w:hAnsi="Times New Roman"/>
          <w:noProof/>
          <w:sz w:val="24"/>
        </w:rPr>
        <w:t>През ноември беше подписан първи проект за увеличаване на достъпа до професионално образование и обучение за сирийски бежанци и уязвими подрастващи лица от Турция, втори проект за изграждане на шест системи за снабдяване с питейна вода, инсталации за обработка на отпадъци и канализационна инфраструктура, и трети проект за изграждане на болница с 300 легла.</w:t>
      </w:r>
    </w:p>
    <w:p w:rsidR="00E471F6" w:rsidRPr="00E961E0" w:rsidRDefault="007804E9">
      <w:pPr>
        <w:pStyle w:val="ListParagraph"/>
        <w:widowControl w:val="0"/>
        <w:numPr>
          <w:ilvl w:val="0"/>
          <w:numId w:val="9"/>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Текущите дейности по линия на Механизма оказаха значително въздействие на място. До момента над 20 000 сирийски пациенти са преминали през консултации в трите медицински центъра, отворени от ЕС, в които работят 585 души медицински и немедицински персонал и чиято дейност помага за справяне с натиска върху местната система на здравеопазване. В областта на образованието са наети 100 учители по арабски език, на 11 445 сирийски деца са преподавани уроци за преодоляване на изоставането, а на над 25 000 деца е предоставено ново училищно оборудване. 1605 души вече са участвали в курсове за професионални умения, </w:t>
      </w:r>
      <w:r>
        <w:rPr>
          <w:rFonts w:ascii="Times New Roman" w:hAnsi="Times New Roman"/>
          <w:noProof/>
          <w:sz w:val="24"/>
        </w:rPr>
        <w:lastRenderedPageBreak/>
        <w:t xml:space="preserve">професионално обучение или развитие на стопанска дейност. </w:t>
      </w:r>
    </w:p>
    <w:sectPr w:rsidR="00E471F6" w:rsidRPr="00E961E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993"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1F6" w:rsidRDefault="007804E9">
      <w:pPr>
        <w:spacing w:after="0" w:line="240" w:lineRule="auto"/>
      </w:pPr>
      <w:r>
        <w:separator/>
      </w:r>
    </w:p>
  </w:endnote>
  <w:endnote w:type="continuationSeparator" w:id="0">
    <w:p w:rsidR="00E471F6" w:rsidRDefault="0078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E0" w:rsidRPr="00E961E0" w:rsidRDefault="00E961E0" w:rsidP="00E961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E0" w:rsidRPr="00E961E0" w:rsidRDefault="00E961E0" w:rsidP="00E961E0">
    <w:pPr>
      <w:pStyle w:val="FooterCoverPage"/>
      <w:rPr>
        <w:rFonts w:ascii="Arial" w:hAnsi="Arial" w:cs="Arial"/>
        <w:b/>
        <w:sz w:val="48"/>
      </w:rPr>
    </w:pPr>
    <w:r w:rsidRPr="00E961E0">
      <w:rPr>
        <w:rFonts w:ascii="Arial" w:hAnsi="Arial" w:cs="Arial"/>
        <w:b/>
        <w:sz w:val="48"/>
      </w:rPr>
      <w:t>BG</w:t>
    </w:r>
    <w:r w:rsidRPr="00E961E0">
      <w:rPr>
        <w:rFonts w:ascii="Arial" w:hAnsi="Arial" w:cs="Arial"/>
        <w:b/>
        <w:sz w:val="48"/>
      </w:rPr>
      <w:tab/>
    </w:r>
    <w:r w:rsidRPr="00E961E0">
      <w:rPr>
        <w:rFonts w:ascii="Arial" w:hAnsi="Arial" w:cs="Arial"/>
        <w:b/>
        <w:sz w:val="48"/>
      </w:rPr>
      <w:tab/>
    </w:r>
    <w:r w:rsidRPr="00E961E0">
      <w:tab/>
    </w:r>
    <w:proofErr w:type="spellStart"/>
    <w:r w:rsidRPr="00E961E0">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E0" w:rsidRPr="00E961E0" w:rsidRDefault="00E961E0" w:rsidP="00E961E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F6" w:rsidRDefault="00E471F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452748"/>
      <w:docPartObj>
        <w:docPartGallery w:val="Page Numbers (Bottom of Page)"/>
        <w:docPartUnique/>
      </w:docPartObj>
    </w:sdtPr>
    <w:sdtEndPr>
      <w:rPr>
        <w:rFonts w:ascii="Times New Roman" w:hAnsi="Times New Roman" w:cs="Times New Roman"/>
        <w:noProof/>
      </w:rPr>
    </w:sdtEndPr>
    <w:sdtContent>
      <w:p w:rsidR="00E471F6" w:rsidRDefault="007804E9">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961E0">
          <w:rPr>
            <w:rFonts w:ascii="Times New Roman" w:hAnsi="Times New Roman" w:cs="Times New Roman"/>
            <w:noProof/>
          </w:rPr>
          <w:t>1</w:t>
        </w:r>
        <w:r>
          <w:rPr>
            <w:rFonts w:ascii="Times New Roman" w:hAnsi="Times New Roman" w:cs="Times New Roman"/>
            <w:noProof/>
          </w:rPr>
          <w:fldChar w:fldCharType="end"/>
        </w:r>
      </w:p>
    </w:sdtContent>
  </w:sdt>
  <w:p w:rsidR="00E471F6" w:rsidRDefault="00E471F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F6" w:rsidRDefault="00E47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1F6" w:rsidRDefault="007804E9">
      <w:pPr>
        <w:spacing w:after="0" w:line="240" w:lineRule="auto"/>
      </w:pPr>
      <w:r>
        <w:separator/>
      </w:r>
    </w:p>
  </w:footnote>
  <w:footnote w:type="continuationSeparator" w:id="0">
    <w:p w:rsidR="00E471F6" w:rsidRDefault="007804E9">
      <w:pPr>
        <w:spacing w:after="0" w:line="240" w:lineRule="auto"/>
      </w:pPr>
      <w:r>
        <w:continuationSeparator/>
      </w:r>
    </w:p>
  </w:footnote>
  <w:footnote w:id="1">
    <w:p w:rsidR="00E471F6" w:rsidRDefault="007804E9">
      <w:pPr>
        <w:pStyle w:val="FootnoteText"/>
        <w:ind w:left="284" w:hanging="284"/>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Списъкът с проектите по линия на Механизма е достъпен на адрес:</w:t>
      </w:r>
      <w:r>
        <w:t xml:space="preserve"> </w:t>
      </w:r>
      <w:hyperlink r:id="rId1">
        <w:r>
          <w:rPr>
            <w:rStyle w:val="Hyperlink"/>
            <w:rFonts w:ascii="Times New Roman" w:hAnsi="Times New Roman"/>
          </w:rPr>
          <w:t>https://ec.europa.eu/neighbourhood-enlargement/sites/near/files/facility_table.pdf</w:t>
        </w:r>
      </w:hyperlink>
      <w:r>
        <w:t xml:space="preserve">  </w:t>
      </w:r>
    </w:p>
  </w:footnote>
  <w:footnote w:id="2">
    <w:p w:rsidR="00E471F6" w:rsidRDefault="007804E9">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Средствата се изплащат на траншове до приключването на проектите в съответствие с принципите на добро финансово управление. Като част от дейностите за осигуряване на видимост по линия на Механизма е изготвена интерактивна карта, която позволява директна визуализация на мястото на изпълнение на различните проекти и очакваните резултати от тях </w:t>
      </w:r>
      <w:hyperlink r:id="rId2">
        <w:r>
          <w:rPr>
            <w:rStyle w:val="Hyperlink"/>
            <w:rFonts w:ascii="Times New Roman" w:hAnsi="Times New Roman"/>
          </w:rPr>
          <w:t>http://ec.europa.eu/enlargement/news_corner/migration/index_en.htm</w:t>
        </w:r>
      </w:hyperlink>
      <w:r>
        <w:rPr>
          <w:rFonts w:ascii="Times New Roman" w:hAnsi="Times New Roman"/>
        </w:rPr>
        <w:t>.</w:t>
      </w:r>
    </w:p>
  </w:footnote>
  <w:footnote w:id="3">
    <w:p w:rsidR="00E471F6" w:rsidRDefault="007804E9">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Предоставянето на хуманитарна помощ по Механизма продължава да се извършва в съответствие със законодателството на ЕС в областта на хуманитарната помощ и принципите, залегнали в Европейския консенсус относно хуманитарната помощ.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E0" w:rsidRPr="00E961E0" w:rsidRDefault="00E961E0" w:rsidP="00E961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E0" w:rsidRPr="00E961E0" w:rsidRDefault="00E961E0" w:rsidP="00E961E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E0" w:rsidRPr="00E961E0" w:rsidRDefault="00E961E0" w:rsidP="00E961E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F6" w:rsidRDefault="00E471F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F6" w:rsidRDefault="00E471F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F6" w:rsidRDefault="00E471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44C4A"/>
    <w:multiLevelType w:val="hybridMultilevel"/>
    <w:tmpl w:val="26D28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355323"/>
    <w:multiLevelType w:val="hybridMultilevel"/>
    <w:tmpl w:val="3A2E6934"/>
    <w:lvl w:ilvl="0" w:tplc="A5AEA5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62649AC"/>
    <w:multiLevelType w:val="hybridMultilevel"/>
    <w:tmpl w:val="1346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D50210"/>
    <w:multiLevelType w:val="hybridMultilevel"/>
    <w:tmpl w:val="887A4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9DC0B72"/>
    <w:multiLevelType w:val="hybridMultilevel"/>
    <w:tmpl w:val="B5CA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E20C82"/>
    <w:multiLevelType w:val="hybridMultilevel"/>
    <w:tmpl w:val="1D2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567180"/>
    <w:multiLevelType w:val="hybridMultilevel"/>
    <w:tmpl w:val="2B2CBD10"/>
    <w:lvl w:ilvl="0" w:tplc="A5AEA5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2B31F66"/>
    <w:multiLevelType w:val="hybridMultilevel"/>
    <w:tmpl w:val="94DE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6A0C3C"/>
    <w:multiLevelType w:val="hybridMultilevel"/>
    <w:tmpl w:val="0556F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0"/>
  </w:num>
  <w:num w:numId="6">
    <w:abstractNumId w:val="4"/>
  </w:num>
  <w:num w:numId="7">
    <w:abstractNumId w:val="8"/>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3"/>
    <w:docVar w:name="LW_ANNEX_NBR_LAST" w:val="3"/>
    <w:docVar w:name="LW_ANNEX_UNIQUE" w:val="0"/>
    <w:docVar w:name="LW_CORRIGENDUM" w:val="&lt;UNUSED&gt;"/>
    <w:docVar w:name="LW_COVERPAGE_EXISTS" w:val="True"/>
    <w:docVar w:name="LW_COVERPAGE_GUID" w:val="FBEEA9FE-B6B0-4FF6-8657-D45F72FA88D0"/>
    <w:docVar w:name="LW_COVERPAGE_TYPE" w:val="1"/>
    <w:docVar w:name="LW_CROSSREFERENCE" w:val="{SWD(2017) 372 final}"/>
    <w:docVar w:name="LW_DocType" w:val="NORMAL"/>
    <w:docVar w:name="LW_EMISSION" w:val="15.11.2017"/>
    <w:docVar w:name="LW_EMISSION_ISODATE" w:val="2017-11-15"/>
    <w:docVar w:name="LW_EMISSION_LOCATION" w:val="BRX"/>
    <w:docVar w:name="LW_EMISSION_PREFIX" w:val="\u1041?\u1088?\u1102?\u1082?\u1089?\u1077?\u1083?,"/>
    <w:docVar w:name="LW_EMISSION_SUFFIX" w:val="\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79?\u1072? \u1085?\u1072?\u1087?\u1088?\u1077?\u1076?\u1098?\u1082?\u1072? \u1087?\u1086? \u1077?\u1074?\u1088?\u1086?\u1087?\u1077?\u1081?\u1089?\u1082?\u1072?\u1090?\u1072? \u1087?\u1088?\u1086?\u1075?\u1088?\u1072?\u1084?\u1072? \u1079?\u1072? \u1084?\u1080?\u1075?\u1088?\u1072?\u1094?\u1080?\u1103?\u1090?\u1072?_x000b__x000b_\u1052?\u1077?\u1093?\u1072?\u1085?\u1080?\u1079?\u1098?\u1084? \u1079?\u1072? \u1073?\u1077?\u1078?\u1072?\u1085?\u1094?\u1080?\u1090?\u1077? \u1074? \u1058?\u1091?\u1088?\u1094?\u1080?\u1103?_x000b_"/>
    <w:docVar w:name="LW_PART_NBR" w:val="1"/>
    <w:docVar w:name="LW_PART_NBR_TOTAL" w:val="1"/>
    <w:docVar w:name="LW_REF.INST.NEW" w:val="COM"/>
    <w:docVar w:name="LW_REF.INST.NEW_ADOPTED" w:val="final"/>
    <w:docVar w:name="LW_REF.INST.NEW_TEXT" w:val="(2017) 6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44?\u1054?\u1050?\u1051?\u1040?\u1044?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w:rsids>
    <w:rsidRoot w:val="00E471F6"/>
    <w:rsid w:val="007804E9"/>
    <w:rsid w:val="00E471F6"/>
    <w:rsid w:val="00E96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61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961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61E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61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ListParagraphChar">
    <w:name w:val="List Paragraph Char"/>
    <w:basedOn w:val="DefaultParagraphFont"/>
    <w:link w:val="ListParagraph"/>
    <w:uiPriority w:val="34"/>
  </w:style>
  <w:style w:type="character" w:customStyle="1" w:styleId="FooterCoverPageChar">
    <w:name w:val="Footer Cover Page Char"/>
    <w:basedOn w:val="ListParagraphChar"/>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ListParagraphChar"/>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sid w:val="00E961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961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961E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961E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61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961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61E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61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ListParagraphChar">
    <w:name w:val="List Paragraph Char"/>
    <w:basedOn w:val="DefaultParagraphFont"/>
    <w:link w:val="ListParagraph"/>
    <w:uiPriority w:val="34"/>
  </w:style>
  <w:style w:type="character" w:customStyle="1" w:styleId="FooterCoverPageChar">
    <w:name w:val="Footer Cover Page Char"/>
    <w:basedOn w:val="ListParagraphChar"/>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ListParagraphChar"/>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sid w:val="00E961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961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961E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961E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98588">
      <w:bodyDiv w:val="1"/>
      <w:marLeft w:val="0"/>
      <w:marRight w:val="0"/>
      <w:marTop w:val="0"/>
      <w:marBottom w:val="0"/>
      <w:divBdr>
        <w:top w:val="none" w:sz="0" w:space="0" w:color="auto"/>
        <w:left w:val="none" w:sz="0" w:space="0" w:color="auto"/>
        <w:bottom w:val="none" w:sz="0" w:space="0" w:color="auto"/>
        <w:right w:val="none" w:sz="0" w:space="0" w:color="auto"/>
      </w:divBdr>
    </w:div>
    <w:div w:id="581841195">
      <w:bodyDiv w:val="1"/>
      <w:marLeft w:val="0"/>
      <w:marRight w:val="0"/>
      <w:marTop w:val="0"/>
      <w:marBottom w:val="0"/>
      <w:divBdr>
        <w:top w:val="none" w:sz="0" w:space="0" w:color="auto"/>
        <w:left w:val="none" w:sz="0" w:space="0" w:color="auto"/>
        <w:bottom w:val="none" w:sz="0" w:space="0" w:color="auto"/>
        <w:right w:val="none" w:sz="0" w:space="0" w:color="auto"/>
      </w:divBdr>
    </w:div>
    <w:div w:id="1410998000">
      <w:bodyDiv w:val="1"/>
      <w:marLeft w:val="0"/>
      <w:marRight w:val="0"/>
      <w:marTop w:val="0"/>
      <w:marBottom w:val="0"/>
      <w:divBdr>
        <w:top w:val="none" w:sz="0" w:space="0" w:color="auto"/>
        <w:left w:val="none" w:sz="0" w:space="0" w:color="auto"/>
        <w:bottom w:val="none" w:sz="0" w:space="0" w:color="auto"/>
        <w:right w:val="none" w:sz="0" w:space="0" w:color="auto"/>
      </w:divBdr>
    </w:div>
    <w:div w:id="208699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largement/news_corner/migration/index_en.htm" TargetMode="External"/><Relationship Id="rId1" Type="http://schemas.openxmlformats.org/officeDocument/2006/relationships/hyperlink" Target="https://ec.europa.eu/neighbourhood-enlargement/sites/near/files/facility_t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4DABC-A720-4DE6-8010-E90ACBF5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2064</Characters>
  <Application>Microsoft Office Word</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2017-11-10T18:07:00Z</dcterms:created>
  <dcterms:modified xsi:type="dcterms:W3CDTF">2017-12-12T11:30:00Z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First annex">
    <vt:lpwstr>3</vt:lpwstr>
  </property>
  <property fmtid="{D5CDD505-2E9C-101B-9397-08002B2CF9AE}" pid="5" name="Last annex">
    <vt:lpwstr>3</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ies>
</file>