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8A" w:rsidRDefault="008A45EE" w:rsidP="008A45E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4B5356-C45A-464C-939D-9F82CE7494E3" style="width:450.5pt;height:447.5pt">
            <v:imagedata r:id="rId8" o:title=""/>
          </v:shape>
        </w:pict>
      </w:r>
    </w:p>
    <w:bookmarkEnd w:id="0"/>
    <w:p w:rsidR="0048158A" w:rsidRDefault="0048158A">
      <w:pPr>
        <w:rPr>
          <w:noProof/>
        </w:rPr>
        <w:sectPr w:rsidR="0048158A" w:rsidSect="008A45E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065" w:type="dxa"/>
        <w:tblInd w:w="-176" w:type="dxa"/>
        <w:tblLook w:val="04A0" w:firstRow="1" w:lastRow="0" w:firstColumn="1" w:lastColumn="0" w:noHBand="0" w:noVBand="1"/>
      </w:tblPr>
      <w:tblGrid>
        <w:gridCol w:w="2411"/>
        <w:gridCol w:w="7654"/>
      </w:tblGrid>
      <w:tr w:rsidR="0048158A">
        <w:trPr>
          <w:cantSplit/>
          <w:tblHeader/>
        </w:trPr>
        <w:tc>
          <w:tcPr>
            <w:tcW w:w="2411" w:type="dxa"/>
            <w:shd w:val="clear" w:color="auto" w:fill="D9D9D9" w:themeFill="background1" w:themeFillShade="D9"/>
          </w:tcPr>
          <w:p w:rsidR="0048158A" w:rsidRDefault="008A45EE">
            <w:pPr>
              <w:jc w:val="center"/>
              <w:rPr>
                <w:rFonts w:ascii="Times New Roman" w:hAnsi="Times New Roman" w:cs="Times New Roman"/>
                <w:b/>
                <w:noProof/>
                <w:sz w:val="20"/>
                <w:szCs w:val="20"/>
              </w:rPr>
            </w:pPr>
            <w:r>
              <w:rPr>
                <w:rFonts w:ascii="Times New Roman" w:hAnsi="Times New Roman"/>
                <w:b/>
                <w:noProof/>
                <w:sz w:val="20"/>
              </w:rPr>
              <w:lastRenderedPageBreak/>
              <w:t>Приоритетни действия</w:t>
            </w:r>
          </w:p>
        </w:tc>
        <w:tc>
          <w:tcPr>
            <w:tcW w:w="7654" w:type="dxa"/>
            <w:shd w:val="clear" w:color="auto" w:fill="D9D9D9" w:themeFill="background1" w:themeFillShade="D9"/>
          </w:tcPr>
          <w:p w:rsidR="0048158A" w:rsidRDefault="008A45EE">
            <w:pPr>
              <w:jc w:val="center"/>
              <w:rPr>
                <w:rFonts w:ascii="Times New Roman" w:hAnsi="Times New Roman" w:cs="Times New Roman"/>
                <w:b/>
                <w:noProof/>
                <w:sz w:val="20"/>
                <w:szCs w:val="20"/>
              </w:rPr>
            </w:pPr>
            <w:r>
              <w:rPr>
                <w:rFonts w:ascii="Times New Roman" w:hAnsi="Times New Roman"/>
                <w:b/>
                <w:noProof/>
                <w:sz w:val="20"/>
              </w:rPr>
              <w:t>Актуално състояние</w:t>
            </w:r>
            <w:r>
              <w:rPr>
                <w:rStyle w:val="FootnoteReference"/>
                <w:rFonts w:ascii="Times New Roman" w:hAnsi="Times New Roman"/>
                <w:b/>
                <w:noProof/>
                <w:sz w:val="20"/>
              </w:rPr>
              <w:footnoteReference w:id="1"/>
            </w:r>
          </w:p>
        </w:tc>
      </w:tr>
      <w:tr w:rsidR="0048158A">
        <w:trPr>
          <w:cantSplit/>
          <w:trHeight w:val="1640"/>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Увеличаване на числеността на персонала за обработка на молбите за убежище на островите</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 xml:space="preserve">Към 12 ноември </w:t>
            </w:r>
            <w:r>
              <w:rPr>
                <w:rFonts w:ascii="Times New Roman" w:hAnsi="Times New Roman"/>
                <w:b/>
                <w:noProof/>
                <w:sz w:val="20"/>
              </w:rPr>
              <w:t>EASO</w:t>
            </w:r>
            <w:r>
              <w:rPr>
                <w:rFonts w:ascii="Times New Roman" w:hAnsi="Times New Roman"/>
                <w:noProof/>
                <w:sz w:val="20"/>
              </w:rPr>
              <w:t xml:space="preserve"> е разположила 232 служители, включително 107 експерти от държавите членки за обработване на молби, експерти в областта на уязвимостта и експерти по предоставяне на информация, 17 служители на EASO и 25 временни служители на EASO, както и 83 преводачи в це</w:t>
            </w:r>
            <w:r>
              <w:rPr>
                <w:rFonts w:ascii="Times New Roman" w:hAnsi="Times New Roman"/>
                <w:noProof/>
                <w:sz w:val="20"/>
              </w:rPr>
              <w:t>нтровете за прием и установяване на самоличността на островите. Неотдавна EASO нае 15 допълнителни временни служители за обработване на молби. В момента те се обучават и скоро ще бъдат оперативни и ще започнат работа. EASO информира редовно държавите членк</w:t>
            </w:r>
            <w:r>
              <w:rPr>
                <w:rFonts w:ascii="Times New Roman" w:hAnsi="Times New Roman"/>
                <w:noProof/>
                <w:sz w:val="20"/>
              </w:rPr>
              <w:t xml:space="preserve">и за специфични профили и необходимост от експерти в центровете за прием и установяване на самоличността. За всеки остров са налични информационни пакети, съдържащи описания на необходимите профили и информация преди изпращането на терен. </w:t>
            </w:r>
          </w:p>
          <w:p w:rsidR="0048158A" w:rsidRDefault="008A45EE">
            <w:pPr>
              <w:spacing w:before="120" w:after="120"/>
              <w:jc w:val="both"/>
              <w:rPr>
                <w:rFonts w:ascii="Times New Roman" w:hAnsi="Times New Roman" w:cs="Times New Roman"/>
                <w:noProof/>
                <w:sz w:val="20"/>
                <w:szCs w:val="20"/>
              </w:rPr>
            </w:pPr>
            <w:r>
              <w:rPr>
                <w:rFonts w:ascii="Times New Roman" w:hAnsi="Times New Roman"/>
                <w:b/>
                <w:noProof/>
                <w:sz w:val="20"/>
              </w:rPr>
              <w:t>Служба по въпрос</w:t>
            </w:r>
            <w:r>
              <w:rPr>
                <w:rFonts w:ascii="Times New Roman" w:hAnsi="Times New Roman"/>
                <w:b/>
                <w:noProof/>
                <w:sz w:val="20"/>
              </w:rPr>
              <w:t>ите на убежището на Гърция</w:t>
            </w:r>
            <w:r>
              <w:rPr>
                <w:rFonts w:ascii="Times New Roman" w:hAnsi="Times New Roman"/>
                <w:noProof/>
                <w:sz w:val="20"/>
              </w:rPr>
              <w:t xml:space="preserve">: Към началото на ноември в горещите точки броят на действащия персонал възлиза на 101 души. </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Обработка на делата за събиране на семейства по Регламента от Дъблин</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b/>
                <w:noProof/>
                <w:sz w:val="20"/>
              </w:rPr>
              <w:t>Приемането на разпоредба, която предвижда, че търсещите убежище ли</w:t>
            </w:r>
            <w:r>
              <w:rPr>
                <w:rFonts w:ascii="Times New Roman" w:hAnsi="Times New Roman"/>
                <w:b/>
                <w:noProof/>
                <w:sz w:val="20"/>
              </w:rPr>
              <w:t>ца, които кандидатстват за събиране на семейството</w:t>
            </w:r>
            <w:r>
              <w:rPr>
                <w:rFonts w:ascii="Times New Roman" w:hAnsi="Times New Roman"/>
                <w:noProof/>
                <w:sz w:val="20"/>
              </w:rPr>
              <w:t xml:space="preserve"> съгласно регламент „Дъблин III“, не са освободени от процедурата на границата, остава висящо в гръцкия парламент. </w:t>
            </w:r>
          </w:p>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Гръцката служба по въпросите на убежището анализира информацията, събрана от EASO от 15 дъ</w:t>
            </w:r>
            <w:r>
              <w:rPr>
                <w:rFonts w:ascii="Times New Roman" w:hAnsi="Times New Roman"/>
                <w:noProof/>
                <w:sz w:val="20"/>
              </w:rPr>
              <w:t xml:space="preserve">ржави членки по отношение на процедури, приложими за събирането на семейства от Турция; съответните насоки са в процес на изготвяне. </w:t>
            </w:r>
          </w:p>
        </w:tc>
      </w:tr>
      <w:tr w:rsidR="0048158A">
        <w:trPr>
          <w:cantSplit/>
          <w:trHeight w:val="60"/>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Обработка на случаите на уязвими лица</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 xml:space="preserve">Гръцката служба по въпросите на убежището счита, че </w:t>
            </w:r>
            <w:r>
              <w:rPr>
                <w:rFonts w:ascii="Times New Roman" w:hAnsi="Times New Roman"/>
                <w:b/>
                <w:noProof/>
                <w:sz w:val="20"/>
              </w:rPr>
              <w:t>уязвимите групи следва да бъдат</w:t>
            </w:r>
            <w:r>
              <w:rPr>
                <w:rFonts w:ascii="Times New Roman" w:hAnsi="Times New Roman"/>
                <w:b/>
                <w:noProof/>
                <w:sz w:val="20"/>
              </w:rPr>
              <w:t xml:space="preserve"> освободени от процедурата на границата, с цел да </w:t>
            </w:r>
            <w:r>
              <w:rPr>
                <w:rFonts w:ascii="Times New Roman" w:hAnsi="Times New Roman"/>
                <w:noProof/>
                <w:sz w:val="20"/>
              </w:rPr>
              <w:t>се гарантират в достатъчна степен специалните процесуални гаранции (напр. подходящи медицински и психиатрични услуги) за уязвимите групи.</w:t>
            </w:r>
          </w:p>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При все това е много важно да се гарантира обективна оценка на уязви</w:t>
            </w:r>
            <w:r>
              <w:rPr>
                <w:rFonts w:ascii="Times New Roman" w:hAnsi="Times New Roman"/>
                <w:noProof/>
                <w:sz w:val="20"/>
              </w:rPr>
              <w:t xml:space="preserve">мостта. Поради това скоро в центровете за прием и установяване на самоличността следва да бъде въведен </w:t>
            </w:r>
            <w:r>
              <w:rPr>
                <w:rFonts w:ascii="Times New Roman" w:hAnsi="Times New Roman"/>
                <w:b/>
                <w:noProof/>
                <w:sz w:val="20"/>
              </w:rPr>
              <w:t>нов медицински образец за уязвимостта</w:t>
            </w:r>
            <w:r>
              <w:rPr>
                <w:rFonts w:ascii="Times New Roman" w:hAnsi="Times New Roman"/>
                <w:noProof/>
                <w:sz w:val="20"/>
              </w:rPr>
              <w:t xml:space="preserve"> в интерес на стандартизираното и обективно откриване на уязвимост. В допълнение, с цел ефективно извършване на оцен</w:t>
            </w:r>
            <w:r>
              <w:rPr>
                <w:rFonts w:ascii="Times New Roman" w:hAnsi="Times New Roman"/>
                <w:noProof/>
                <w:sz w:val="20"/>
              </w:rPr>
              <w:t>ките на уязвимостта е необходимо гръцките органи да гарантират постоянното присъствие на достатъчен брой подходящо обучени лекари и друг персонал за медицинска и психологическа подкрепа във всички горещи точки.</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lastRenderedPageBreak/>
              <w:t xml:space="preserve">Ускоряване на интервютата и процедурите за </w:t>
            </w:r>
            <w:r>
              <w:rPr>
                <w:rFonts w:ascii="Times New Roman" w:hAnsi="Times New Roman"/>
                <w:b/>
                <w:noProof/>
                <w:sz w:val="20"/>
              </w:rPr>
              <w:t>оценяване на молбите за убежище</w:t>
            </w:r>
          </w:p>
        </w:tc>
        <w:tc>
          <w:tcPr>
            <w:tcW w:w="7654" w:type="dxa"/>
          </w:tcPr>
          <w:p w:rsidR="0048158A" w:rsidRDefault="008A45EE">
            <w:pPr>
              <w:autoSpaceDE w:val="0"/>
              <w:autoSpaceDN w:val="0"/>
              <w:adjustRightInd w:val="0"/>
              <w:jc w:val="both"/>
              <w:rPr>
                <w:rFonts w:ascii="Times New Roman" w:hAnsi="Times New Roman" w:cs="Times New Roman"/>
                <w:noProof/>
                <w:sz w:val="20"/>
                <w:szCs w:val="20"/>
              </w:rPr>
            </w:pPr>
            <w:r>
              <w:rPr>
                <w:rFonts w:ascii="Times New Roman" w:hAnsi="Times New Roman"/>
                <w:noProof/>
                <w:sz w:val="20"/>
              </w:rPr>
              <w:t xml:space="preserve">В края на септември EASO, със сътрудничеството на гръцката служба по въпросите на убежището, установи </w:t>
            </w:r>
            <w:r>
              <w:rPr>
                <w:rFonts w:ascii="Times New Roman" w:hAnsi="Times New Roman"/>
                <w:b/>
                <w:noProof/>
                <w:sz w:val="20"/>
              </w:rPr>
              <w:t>информационно бюро в Атина</w:t>
            </w:r>
            <w:r>
              <w:rPr>
                <w:rFonts w:ascii="Times New Roman" w:hAnsi="Times New Roman"/>
                <w:noProof/>
                <w:sz w:val="20"/>
              </w:rPr>
              <w:t>, където трима старши експерти от държавите членки и един експерт по държави на произход са на разположение за отговор на запитвания от служители на EASO, обработващи молби, и експерти по уязвимостта по въпроси в областта на процедурите, проверката на каче</w:t>
            </w:r>
            <w:r>
              <w:rPr>
                <w:rFonts w:ascii="Times New Roman" w:hAnsi="Times New Roman"/>
                <w:noProof/>
                <w:sz w:val="20"/>
              </w:rPr>
              <w:t xml:space="preserve">ството и оценката на уязвимостта. </w:t>
            </w:r>
          </w:p>
          <w:p w:rsidR="0048158A" w:rsidRDefault="008A45EE">
            <w:pPr>
              <w:autoSpaceDE w:val="0"/>
              <w:autoSpaceDN w:val="0"/>
              <w:adjustRightInd w:val="0"/>
              <w:spacing w:before="120"/>
              <w:jc w:val="both"/>
              <w:rPr>
                <w:rFonts w:ascii="Times New Roman" w:hAnsi="Times New Roman" w:cs="Times New Roman"/>
                <w:noProof/>
                <w:sz w:val="20"/>
                <w:szCs w:val="20"/>
              </w:rPr>
            </w:pPr>
            <w:r>
              <w:rPr>
                <w:rFonts w:ascii="Times New Roman" w:hAnsi="Times New Roman"/>
                <w:noProof/>
                <w:sz w:val="20"/>
              </w:rPr>
              <w:t xml:space="preserve">Наличните към момента инструменти в областта на убежището включват </w:t>
            </w:r>
            <w:r>
              <w:rPr>
                <w:rFonts w:ascii="Times New Roman" w:hAnsi="Times New Roman"/>
                <w:b/>
                <w:noProof/>
                <w:sz w:val="20"/>
              </w:rPr>
              <w:t>новите стандартни оперативни процедури</w:t>
            </w:r>
            <w:r>
              <w:rPr>
                <w:rFonts w:ascii="Times New Roman" w:hAnsi="Times New Roman"/>
                <w:noProof/>
                <w:sz w:val="20"/>
              </w:rPr>
              <w:t xml:space="preserve"> за процедурата за убежище на границата, </w:t>
            </w:r>
            <w:r>
              <w:rPr>
                <w:rFonts w:ascii="Times New Roman" w:hAnsi="Times New Roman"/>
                <w:b/>
                <w:noProof/>
                <w:sz w:val="20"/>
              </w:rPr>
              <w:t>образец за комбинирани интервюта</w:t>
            </w:r>
            <w:r>
              <w:rPr>
                <w:rFonts w:ascii="Times New Roman" w:hAnsi="Times New Roman"/>
                <w:noProof/>
                <w:sz w:val="20"/>
              </w:rPr>
              <w:t xml:space="preserve"> и</w:t>
            </w:r>
            <w:r>
              <w:rPr>
                <w:rFonts w:ascii="Times New Roman" w:hAnsi="Times New Roman"/>
                <w:b/>
                <w:noProof/>
                <w:sz w:val="20"/>
              </w:rPr>
              <w:t xml:space="preserve"> списък с</w:t>
            </w:r>
            <w:r>
              <w:rPr>
                <w:rFonts w:ascii="Times New Roman" w:hAnsi="Times New Roman"/>
                <w:noProof/>
                <w:sz w:val="20"/>
              </w:rPr>
              <w:t xml:space="preserve"> препратки към </w:t>
            </w:r>
            <w:r>
              <w:rPr>
                <w:rFonts w:ascii="Times New Roman" w:hAnsi="Times New Roman"/>
                <w:b/>
                <w:noProof/>
                <w:sz w:val="20"/>
              </w:rPr>
              <w:t>информацията отно</w:t>
            </w:r>
            <w:r>
              <w:rPr>
                <w:rFonts w:ascii="Times New Roman" w:hAnsi="Times New Roman"/>
                <w:b/>
                <w:noProof/>
                <w:sz w:val="20"/>
              </w:rPr>
              <w:t>сно държавата на произход</w:t>
            </w:r>
            <w:r>
              <w:rPr>
                <w:rFonts w:ascii="Times New Roman" w:hAnsi="Times New Roman"/>
                <w:noProof/>
                <w:sz w:val="20"/>
              </w:rPr>
              <w:t xml:space="preserve">. Регистрирани са значителни подобрения в </w:t>
            </w:r>
            <w:r>
              <w:rPr>
                <w:rFonts w:ascii="Times New Roman" w:hAnsi="Times New Roman"/>
                <w:b/>
                <w:noProof/>
                <w:sz w:val="20"/>
              </w:rPr>
              <w:t>насрочването на интервюта за предоставяне на убежище</w:t>
            </w:r>
            <w:r>
              <w:rPr>
                <w:rFonts w:ascii="Times New Roman" w:hAnsi="Times New Roman"/>
                <w:noProof/>
                <w:sz w:val="20"/>
              </w:rPr>
              <w:t xml:space="preserve">, както и по отношение на </w:t>
            </w:r>
            <w:r>
              <w:rPr>
                <w:rFonts w:ascii="Times New Roman" w:hAnsi="Times New Roman"/>
                <w:b/>
                <w:noProof/>
                <w:sz w:val="20"/>
              </w:rPr>
              <w:t>качеството и времетраенето</w:t>
            </w:r>
            <w:r>
              <w:rPr>
                <w:rFonts w:ascii="Times New Roman" w:hAnsi="Times New Roman"/>
                <w:noProof/>
                <w:sz w:val="20"/>
              </w:rPr>
              <w:t xml:space="preserve"> на тези интервюта.</w:t>
            </w:r>
          </w:p>
          <w:p w:rsidR="0048158A" w:rsidRDefault="008A45EE">
            <w:pPr>
              <w:autoSpaceDE w:val="0"/>
              <w:autoSpaceDN w:val="0"/>
              <w:adjustRightInd w:val="0"/>
              <w:spacing w:before="120" w:after="120"/>
              <w:jc w:val="both"/>
              <w:rPr>
                <w:rFonts w:ascii="Times New Roman" w:hAnsi="Times New Roman" w:cs="Times New Roman"/>
                <w:noProof/>
                <w:color w:val="000000" w:themeColor="text1"/>
                <w:sz w:val="20"/>
                <w:szCs w:val="20"/>
              </w:rPr>
            </w:pPr>
            <w:r>
              <w:rPr>
                <w:rFonts w:ascii="Times New Roman" w:hAnsi="Times New Roman"/>
                <w:noProof/>
                <w:color w:val="000000"/>
                <w:sz w:val="20"/>
              </w:rPr>
              <w:t>Периодът между заявяването на интерес към кандидатстване за убежи</w:t>
            </w:r>
            <w:r>
              <w:rPr>
                <w:rFonts w:ascii="Times New Roman" w:hAnsi="Times New Roman"/>
                <w:noProof/>
                <w:color w:val="000000"/>
                <w:sz w:val="20"/>
              </w:rPr>
              <w:t xml:space="preserve">ще и самото внасяне на молба за убежище средно не надвишава две седмици. Информацията за пребиваващите в центровете за прием и установяване на самоличността също се е подобрила, като на всички острови успешно функционират информационни пунктове. </w:t>
            </w:r>
          </w:p>
          <w:p w:rsidR="0048158A" w:rsidRDefault="008A45EE">
            <w:pPr>
              <w:autoSpaceDE w:val="0"/>
              <w:autoSpaceDN w:val="0"/>
              <w:adjustRightInd w:val="0"/>
              <w:jc w:val="both"/>
              <w:rPr>
                <w:rFonts w:ascii="Times New Roman" w:hAnsi="Times New Roman" w:cs="Times New Roman"/>
                <w:noProof/>
                <w:color w:val="000000" w:themeColor="text1"/>
                <w:sz w:val="20"/>
                <w:szCs w:val="20"/>
              </w:rPr>
            </w:pPr>
            <w:r>
              <w:rPr>
                <w:rFonts w:ascii="Times New Roman" w:hAnsi="Times New Roman"/>
                <w:noProof/>
                <w:color w:val="000000" w:themeColor="text1"/>
                <w:sz w:val="20"/>
              </w:rPr>
              <w:t>Ускоренит</w:t>
            </w:r>
            <w:r>
              <w:rPr>
                <w:rFonts w:ascii="Times New Roman" w:hAnsi="Times New Roman"/>
                <w:noProof/>
                <w:color w:val="000000" w:themeColor="text1"/>
                <w:sz w:val="20"/>
              </w:rPr>
              <w:t>е процедури все още не са оказали влияние върху резултата от процедурата за обжалване. По време на проведена неотдавна среща с членове на апелативните комитети бе стигнато до заключението, че допълнително ще се разгледат следните предложения с цел постиган</w:t>
            </w:r>
            <w:r>
              <w:rPr>
                <w:rFonts w:ascii="Times New Roman" w:hAnsi="Times New Roman"/>
                <w:noProof/>
                <w:color w:val="000000" w:themeColor="text1"/>
                <w:sz w:val="20"/>
              </w:rPr>
              <w:t>ето на повече резултати: a) подобряване на системата за разпределение на случаите, б) наемане на повече докладчици и изменение на работните договорености, в)</w:t>
            </w:r>
            <w:r>
              <w:rPr>
                <w:rFonts w:ascii="Times New Roman" w:hAnsi="Times New Roman"/>
                <w:noProof/>
                <w:color w:val="000000" w:themeColor="text1"/>
                <w:sz w:val="20"/>
                <w:lang w:val="it-IT"/>
              </w:rPr>
              <w:t> </w:t>
            </w:r>
            <w:r>
              <w:rPr>
                <w:rFonts w:ascii="Times New Roman" w:hAnsi="Times New Roman"/>
                <w:noProof/>
                <w:color w:val="000000" w:themeColor="text1"/>
                <w:sz w:val="20"/>
              </w:rPr>
              <w:t>специализация на комитетите и г) определяне на целеви показатели и наблюдение на производителностт</w:t>
            </w:r>
            <w:r>
              <w:rPr>
                <w:rFonts w:ascii="Times New Roman" w:hAnsi="Times New Roman"/>
                <w:noProof/>
                <w:color w:val="000000" w:themeColor="text1"/>
                <w:sz w:val="20"/>
              </w:rPr>
              <w:t>а.</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Запазване на темпа и по-нататъшно ускоряване на процедурата за допустимост за кандидати от държави на произход с нисък процент на признаване</w:t>
            </w:r>
          </w:p>
        </w:tc>
        <w:tc>
          <w:tcPr>
            <w:tcW w:w="7654" w:type="dxa"/>
          </w:tcPr>
          <w:p w:rsidR="0048158A" w:rsidRDefault="008A45EE">
            <w:pPr>
              <w:pStyle w:val="Default"/>
              <w:spacing w:before="120" w:after="120"/>
              <w:jc w:val="both"/>
              <w:rPr>
                <w:rFonts w:ascii="Times New Roman" w:hAnsi="Times New Roman" w:cs="Times New Roman"/>
                <w:noProof/>
                <w:color w:val="auto"/>
                <w:sz w:val="20"/>
                <w:szCs w:val="20"/>
              </w:rPr>
            </w:pPr>
            <w:r>
              <w:rPr>
                <w:rFonts w:ascii="Times New Roman" w:hAnsi="Times New Roman"/>
                <w:noProof/>
                <w:color w:val="auto"/>
                <w:sz w:val="20"/>
              </w:rPr>
              <w:t xml:space="preserve">Процедурата е ускорена на всички острови, а службата по въпросите на убежището и EASO наблюдават ситуацията отблизо. </w:t>
            </w:r>
          </w:p>
          <w:p w:rsidR="0048158A" w:rsidRDefault="008A45EE">
            <w:pPr>
              <w:pStyle w:val="Default"/>
              <w:spacing w:before="120" w:after="120"/>
              <w:jc w:val="both"/>
              <w:rPr>
                <w:rFonts w:ascii="Times New Roman" w:hAnsi="Times New Roman" w:cs="Times New Roman"/>
                <w:noProof/>
                <w:color w:val="auto"/>
                <w:sz w:val="20"/>
                <w:szCs w:val="20"/>
              </w:rPr>
            </w:pPr>
            <w:r>
              <w:rPr>
                <w:rFonts w:ascii="Times New Roman" w:hAnsi="Times New Roman"/>
                <w:noProof/>
                <w:color w:val="auto"/>
                <w:sz w:val="20"/>
              </w:rPr>
              <w:t xml:space="preserve">На 19 октомври 2017 г., по време на съвместна оперативна среща гръцката служба по въпросите на убежището и EASO обсъдиха </w:t>
            </w:r>
            <w:r>
              <w:rPr>
                <w:rFonts w:ascii="Times New Roman" w:hAnsi="Times New Roman"/>
                <w:b/>
                <w:noProof/>
                <w:color w:val="auto"/>
                <w:sz w:val="20"/>
              </w:rPr>
              <w:t xml:space="preserve">основни въпроси, </w:t>
            </w:r>
            <w:r>
              <w:rPr>
                <w:rFonts w:ascii="Times New Roman" w:hAnsi="Times New Roman"/>
                <w:b/>
                <w:noProof/>
                <w:color w:val="auto"/>
                <w:sz w:val="20"/>
              </w:rPr>
              <w:t xml:space="preserve">отнасящи се до </w:t>
            </w:r>
            <w:r>
              <w:rPr>
                <w:rFonts w:ascii="Times New Roman" w:hAnsi="Times New Roman"/>
                <w:b/>
                <w:noProof/>
                <w:color w:val="000000" w:themeColor="text1"/>
                <w:sz w:val="20"/>
              </w:rPr>
              <w:t>предварително планиране, управление на преводите и процедурни въпроси</w:t>
            </w:r>
            <w:r>
              <w:rPr>
                <w:rFonts w:ascii="Times New Roman" w:hAnsi="Times New Roman"/>
                <w:noProof/>
                <w:color w:val="000000" w:themeColor="text1"/>
                <w:sz w:val="20"/>
              </w:rPr>
              <w:t xml:space="preserve">, с оглед на оценка на нуждите през идните месеци и допълнително засилване на сътрудничеството им на централно и местно равнище. </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Подобряване на диспозитива за сигурност и</w:t>
            </w:r>
            <w:r>
              <w:rPr>
                <w:rFonts w:ascii="Times New Roman" w:hAnsi="Times New Roman"/>
                <w:b/>
                <w:noProof/>
                <w:sz w:val="20"/>
              </w:rPr>
              <w:t xml:space="preserve"> безопасност на островите</w:t>
            </w:r>
          </w:p>
        </w:tc>
        <w:tc>
          <w:tcPr>
            <w:tcW w:w="7654" w:type="dxa"/>
          </w:tcPr>
          <w:p w:rsidR="0048158A" w:rsidRDefault="008A45EE">
            <w:pPr>
              <w:pStyle w:val="Default"/>
              <w:spacing w:before="120" w:after="120"/>
              <w:jc w:val="both"/>
              <w:rPr>
                <w:rFonts w:ascii="Times New Roman" w:hAnsi="Times New Roman" w:cs="Times New Roman"/>
                <w:noProof/>
                <w:color w:val="FF0000"/>
                <w:sz w:val="20"/>
                <w:szCs w:val="20"/>
              </w:rPr>
            </w:pPr>
            <w:r>
              <w:rPr>
                <w:rFonts w:ascii="Times New Roman" w:hAnsi="Times New Roman"/>
                <w:noProof/>
                <w:color w:val="auto"/>
                <w:sz w:val="20"/>
              </w:rPr>
              <w:t xml:space="preserve">За всяка гореща точка вече са налични </w:t>
            </w:r>
            <w:r>
              <w:rPr>
                <w:rFonts w:ascii="Times New Roman" w:hAnsi="Times New Roman"/>
                <w:b/>
                <w:noProof/>
                <w:color w:val="auto"/>
                <w:sz w:val="20"/>
              </w:rPr>
              <w:t>подробни планове за евакуация и резюмета</w:t>
            </w:r>
            <w:r>
              <w:rPr>
                <w:rFonts w:ascii="Times New Roman" w:hAnsi="Times New Roman"/>
                <w:noProof/>
                <w:color w:val="auto"/>
                <w:sz w:val="20"/>
              </w:rPr>
              <w:t xml:space="preserve"> за всички острови. Във всички центрове за прием и установяване на самоличността вече са проведени евакуационни учения за персонала, работещ в горещите </w:t>
            </w:r>
            <w:r>
              <w:rPr>
                <w:rFonts w:ascii="Times New Roman" w:hAnsi="Times New Roman"/>
                <w:noProof/>
                <w:color w:val="auto"/>
                <w:sz w:val="20"/>
              </w:rPr>
              <w:t xml:space="preserve">точки. </w:t>
            </w:r>
            <w:r>
              <w:rPr>
                <w:rFonts w:ascii="Times New Roman" w:hAnsi="Times New Roman"/>
                <w:noProof/>
                <w:sz w:val="20"/>
              </w:rPr>
              <w:t>Необходима е допълнителна подкрепа от гръцките полицейски служители за гарантиране на систематичен контрол на входовете на центровете за прием и установяване на самоличността. Трябва да се увеличат патрулите в зоните за настаняване, заедно със стрик</w:t>
            </w:r>
            <w:r>
              <w:rPr>
                <w:rFonts w:ascii="Times New Roman" w:hAnsi="Times New Roman"/>
                <w:noProof/>
                <w:sz w:val="20"/>
              </w:rPr>
              <w:t>тно наблюдение на всяка безопасна зона за непридружени ненавършили пълнолетие лица, каквато все още липсва в някои центрове за прием и установяване на самоличността.</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Назначаване на постоянни координатори за горещите точки</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Считано от 20 февруари 2017 г. ко</w:t>
            </w:r>
            <w:r>
              <w:rPr>
                <w:rFonts w:ascii="Times New Roman" w:hAnsi="Times New Roman"/>
                <w:noProof/>
                <w:sz w:val="20"/>
              </w:rPr>
              <w:t xml:space="preserve">ординацията в горещите точки се осигурява от постоянни командващи. </w:t>
            </w:r>
          </w:p>
          <w:p w:rsidR="0048158A" w:rsidRDefault="008A45EE">
            <w:pPr>
              <w:spacing w:before="120" w:after="120"/>
              <w:jc w:val="both"/>
              <w:rPr>
                <w:rFonts w:ascii="Times New Roman" w:hAnsi="Times New Roman" w:cs="Times New Roman"/>
                <w:b/>
                <w:noProof/>
                <w:sz w:val="20"/>
                <w:szCs w:val="20"/>
              </w:rPr>
            </w:pPr>
            <w:r>
              <w:rPr>
                <w:rFonts w:ascii="Times New Roman" w:hAnsi="Times New Roman"/>
                <w:noProof/>
                <w:sz w:val="20"/>
              </w:rPr>
              <w:t xml:space="preserve">Налице е </w:t>
            </w:r>
            <w:r>
              <w:rPr>
                <w:rFonts w:ascii="Times New Roman" w:hAnsi="Times New Roman"/>
                <w:b/>
                <w:noProof/>
                <w:sz w:val="20"/>
              </w:rPr>
              <w:t>неотложна необходимост тръцките органи официално да приемат стандартни оперативни процедури</w:t>
            </w:r>
            <w:r>
              <w:rPr>
                <w:rFonts w:ascii="Times New Roman" w:hAnsi="Times New Roman"/>
                <w:noProof/>
                <w:sz w:val="20"/>
              </w:rPr>
              <w:t xml:space="preserve"> за горещите точки, за да може центровете за прием и установяване на самоличността във в</w:t>
            </w:r>
            <w:r>
              <w:rPr>
                <w:rFonts w:ascii="Times New Roman" w:hAnsi="Times New Roman"/>
                <w:noProof/>
                <w:sz w:val="20"/>
              </w:rPr>
              <w:t xml:space="preserve">сички горещи точки да започнат да ги прилагат </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Увеличаване на броя на апелативните комитети</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 xml:space="preserve">Понастоящем функционират </w:t>
            </w:r>
            <w:r>
              <w:rPr>
                <w:rFonts w:ascii="Times New Roman" w:hAnsi="Times New Roman"/>
                <w:b/>
                <w:noProof/>
                <w:sz w:val="20"/>
              </w:rPr>
              <w:t>13 апелативни комитета</w:t>
            </w:r>
            <w:r>
              <w:rPr>
                <w:rFonts w:ascii="Times New Roman" w:hAnsi="Times New Roman"/>
                <w:noProof/>
                <w:sz w:val="20"/>
              </w:rPr>
              <w:t xml:space="preserve">, към които има заместващ комитет. </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Увеличаване на броя на решенията, които взема всеки апелативен комитет</w:t>
            </w:r>
          </w:p>
        </w:tc>
        <w:tc>
          <w:tcPr>
            <w:tcW w:w="7654" w:type="dxa"/>
          </w:tcPr>
          <w:p w:rsidR="0048158A" w:rsidRDefault="008A45EE">
            <w:pPr>
              <w:spacing w:before="120" w:after="120"/>
              <w:jc w:val="both"/>
              <w:rPr>
                <w:rFonts w:ascii="Times New Roman" w:hAnsi="Times New Roman"/>
                <w:noProof/>
                <w:sz w:val="20"/>
                <w:szCs w:val="20"/>
              </w:rPr>
            </w:pPr>
            <w:r>
              <w:rPr>
                <w:rFonts w:ascii="Times New Roman" w:hAnsi="Times New Roman"/>
                <w:noProof/>
                <w:sz w:val="20"/>
              </w:rPr>
              <w:t xml:space="preserve">Въпреки </w:t>
            </w:r>
            <w:r>
              <w:rPr>
                <w:rFonts w:ascii="Times New Roman" w:hAnsi="Times New Roman"/>
                <w:b/>
                <w:noProof/>
                <w:sz w:val="20"/>
              </w:rPr>
              <w:t>увеличаването на броя на апелативните комитети</w:t>
            </w:r>
            <w:r>
              <w:rPr>
                <w:rFonts w:ascii="Times New Roman" w:hAnsi="Times New Roman"/>
                <w:noProof/>
                <w:sz w:val="20"/>
              </w:rPr>
              <w:t xml:space="preserve"> и съдействието на 11 докладчици от EASO, броят на второинстанционните решения, постановени от апелативните комитети, остава нисък. Броят на изготвените становища от докладчиците също представлява проблем. Гръц</w:t>
            </w:r>
            <w:r>
              <w:rPr>
                <w:rFonts w:ascii="Times New Roman" w:hAnsi="Times New Roman"/>
                <w:noProof/>
                <w:sz w:val="20"/>
              </w:rPr>
              <w:t>ките органи могат спешно да увеличат резултата от работата на комитетите, като ангажират членовете на комитетите на пълно работно време и гарантират, че дейността им е изцяло посветена на тази задача; като намерят решения, за да гарантират, че апелативните</w:t>
            </w:r>
            <w:r>
              <w:rPr>
                <w:rFonts w:ascii="Times New Roman" w:hAnsi="Times New Roman"/>
                <w:noProof/>
                <w:sz w:val="20"/>
              </w:rPr>
              <w:t xml:space="preserve"> комитети са в непосредствена близост до местоположението на съответните търсещи убежище лица (за предпочитане на самите острови), и като увеличат броя на комитетите.</w:t>
            </w:r>
          </w:p>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Решението на Държавния съвет, публикувано на 22 септември, което потвърди недопустимостта</w:t>
            </w:r>
            <w:r>
              <w:rPr>
                <w:rFonts w:ascii="Times New Roman" w:hAnsi="Times New Roman"/>
                <w:noProof/>
                <w:sz w:val="20"/>
              </w:rPr>
              <w:t xml:space="preserve"> на молбите за предоставяне на убежище на двама сирийци, постановена преди това на първа и втора инстанция въз основа на това, че Турция е безопасна трета държава, където те могат да се върнат, все още не е имало очаквания ефект на увеличаване на апелативн</w:t>
            </w:r>
            <w:r>
              <w:rPr>
                <w:rFonts w:ascii="Times New Roman" w:hAnsi="Times New Roman"/>
                <w:noProof/>
                <w:sz w:val="20"/>
              </w:rPr>
              <w:t xml:space="preserve">ите решения, така че броят на връщанията да нарасне. През седмицата на 30 октомври апелативните комитети издадоха 63 негативни решения на втора инстанция във връзка със сирийски граждани, които не отговарят на условията за допустимост. </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Поддържане на броя</w:t>
            </w:r>
            <w:r>
              <w:rPr>
                <w:rFonts w:ascii="Times New Roman" w:hAnsi="Times New Roman"/>
                <w:b/>
                <w:noProof/>
                <w:sz w:val="20"/>
              </w:rPr>
              <w:t xml:space="preserve"> на изпратените служители на Европейската агенция за гранична и брегова охрана на необходимите равнища</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 xml:space="preserve">Понастоящем Европейската агенция за гранична и брегова охрана има разположени 45 </w:t>
            </w:r>
            <w:r>
              <w:rPr>
                <w:rFonts w:ascii="Times New Roman" w:hAnsi="Times New Roman"/>
                <w:b/>
                <w:noProof/>
                <w:sz w:val="20"/>
              </w:rPr>
              <w:t>ескортиращи лица</w:t>
            </w:r>
            <w:r>
              <w:rPr>
                <w:rFonts w:ascii="Times New Roman" w:hAnsi="Times New Roman"/>
                <w:noProof/>
                <w:sz w:val="20"/>
              </w:rPr>
              <w:t xml:space="preserve"> на Лесбос, които покриват транспортните нужди на операциите по връщане. Наложителни са трайно разположени активи на държавите членки.</w:t>
            </w:r>
          </w:p>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Европейската агенция за гранична и брегова охрана трябва да има готовност за бързо увеличаване на подкрепата си с оглед н</w:t>
            </w:r>
            <w:r>
              <w:rPr>
                <w:rFonts w:ascii="Times New Roman" w:hAnsi="Times New Roman"/>
                <w:noProof/>
                <w:sz w:val="20"/>
              </w:rPr>
              <w:t>а възможното увеличение на операциите по връщане в Турция.</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Ограничаване на риска от укриване</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 xml:space="preserve">Гръцките органи продължават да </w:t>
            </w:r>
            <w:r>
              <w:rPr>
                <w:rFonts w:ascii="Times New Roman" w:hAnsi="Times New Roman"/>
                <w:b/>
                <w:noProof/>
                <w:sz w:val="20"/>
              </w:rPr>
              <w:t>прилагат географско ограничение на движението</w:t>
            </w:r>
            <w:r>
              <w:rPr>
                <w:rFonts w:ascii="Times New Roman" w:hAnsi="Times New Roman"/>
                <w:noProof/>
                <w:sz w:val="20"/>
              </w:rPr>
              <w:t xml:space="preserve"> за новопристигнали мигранти и кандидати за убежище, които нямат право да напускат ост</w:t>
            </w:r>
            <w:r>
              <w:rPr>
                <w:rFonts w:ascii="Times New Roman" w:hAnsi="Times New Roman"/>
                <w:noProof/>
                <w:sz w:val="20"/>
              </w:rPr>
              <w:t xml:space="preserve">рова, на който са пристигнали. </w:t>
            </w:r>
          </w:p>
          <w:p w:rsidR="0048158A" w:rsidRDefault="008A45EE">
            <w:pPr>
              <w:spacing w:before="120" w:after="120"/>
              <w:jc w:val="both"/>
              <w:rPr>
                <w:rFonts w:ascii="Times New Roman" w:hAnsi="Times New Roman" w:cs="Times New Roman"/>
                <w:bCs/>
                <w:noProof/>
                <w:sz w:val="20"/>
                <w:szCs w:val="20"/>
              </w:rPr>
            </w:pPr>
            <w:r>
              <w:rPr>
                <w:rFonts w:ascii="Times New Roman" w:hAnsi="Times New Roman"/>
                <w:noProof/>
                <w:sz w:val="20"/>
              </w:rPr>
              <w:t xml:space="preserve">Налице е електронно проследяване на случаите чрез автоматизирани ежедневни и ежеседмични списъци/доклади: </w:t>
            </w:r>
            <w:r>
              <w:rPr>
                <w:rFonts w:ascii="Times New Roman" w:hAnsi="Times New Roman"/>
                <w:noProof/>
                <w:sz w:val="20"/>
                <w:u w:val="single"/>
              </w:rPr>
              <w:t>ежедневен</w:t>
            </w:r>
            <w:r>
              <w:rPr>
                <w:rFonts w:ascii="Times New Roman" w:hAnsi="Times New Roman"/>
                <w:noProof/>
                <w:sz w:val="20"/>
              </w:rPr>
              <w:t>: списък на насрочените интервюта, списък на насрочените часове за регистрация, списък на решенията с невръче</w:t>
            </w:r>
            <w:r>
              <w:rPr>
                <w:rFonts w:ascii="Times New Roman" w:hAnsi="Times New Roman"/>
                <w:noProof/>
                <w:sz w:val="20"/>
              </w:rPr>
              <w:t>ни уведомления, списък на случаите на лица, подлежащи на връщане, ежедневен списък на прекратените случаи, списък на архивираните случаи, използвани от гръцките органи за проследяване на досиетата на лицата, чието положение буди загриженост, и прилагане на</w:t>
            </w:r>
            <w:r>
              <w:rPr>
                <w:rFonts w:ascii="Times New Roman" w:hAnsi="Times New Roman"/>
                <w:noProof/>
                <w:sz w:val="20"/>
              </w:rPr>
              <w:t xml:space="preserve"> мерки по връщането, когато е приложимо; </w:t>
            </w:r>
            <w:r>
              <w:rPr>
                <w:rFonts w:ascii="Times New Roman" w:hAnsi="Times New Roman"/>
                <w:noProof/>
                <w:sz w:val="20"/>
                <w:u w:val="single"/>
              </w:rPr>
              <w:t>Ежеседмичен</w:t>
            </w:r>
            <w:r>
              <w:rPr>
                <w:rFonts w:ascii="Times New Roman" w:hAnsi="Times New Roman"/>
                <w:noProof/>
                <w:sz w:val="20"/>
              </w:rPr>
              <w:t xml:space="preserve">: списък на неявилите се за интервю лица, списък на неявилите се за регистрация лица. </w:t>
            </w:r>
          </w:p>
          <w:p w:rsidR="0048158A" w:rsidRDefault="008A45EE">
            <w:pPr>
              <w:spacing w:before="120" w:after="120"/>
              <w:jc w:val="both"/>
              <w:rPr>
                <w:rFonts w:ascii="Times New Roman" w:hAnsi="Times New Roman" w:cs="Times New Roman"/>
                <w:bCs/>
                <w:noProof/>
                <w:sz w:val="20"/>
                <w:szCs w:val="20"/>
              </w:rPr>
            </w:pPr>
            <w:r>
              <w:rPr>
                <w:rFonts w:ascii="Times New Roman" w:hAnsi="Times New Roman"/>
                <w:noProof/>
                <w:sz w:val="20"/>
              </w:rPr>
              <w:t xml:space="preserve">Увеличаването на патрулите от гръцки полицейски служители допълнително би ограничило риска от укриване. </w:t>
            </w:r>
          </w:p>
          <w:p w:rsidR="0048158A" w:rsidRDefault="008A45EE">
            <w:pPr>
              <w:spacing w:before="120" w:after="120"/>
              <w:jc w:val="both"/>
              <w:rPr>
                <w:rFonts w:ascii="Times New Roman" w:hAnsi="Times New Roman" w:cs="Times New Roman"/>
                <w:bCs/>
                <w:noProof/>
                <w:sz w:val="20"/>
                <w:szCs w:val="20"/>
              </w:rPr>
            </w:pPr>
            <w:r>
              <w:rPr>
                <w:rFonts w:ascii="Times New Roman" w:hAnsi="Times New Roman"/>
                <w:noProof/>
                <w:sz w:val="20"/>
              </w:rPr>
              <w:t>Спешното при</w:t>
            </w:r>
            <w:r>
              <w:rPr>
                <w:rFonts w:ascii="Times New Roman" w:hAnsi="Times New Roman"/>
                <w:noProof/>
                <w:sz w:val="20"/>
              </w:rPr>
              <w:t>лагане на система за влизане/излизане на горещите точки също би подпомогнало по-доброто наблюдение на мигрантите и проследяване на тяхното местонахождение.</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 xml:space="preserve">По-активно прилагане на Програмата за подпомагане на доброволното връщане и реинтеграцията (ППДВР) </w:t>
            </w:r>
            <w:r>
              <w:rPr>
                <w:rFonts w:ascii="Times New Roman" w:hAnsi="Times New Roman"/>
                <w:b/>
                <w:noProof/>
                <w:sz w:val="20"/>
              </w:rPr>
              <w:t>на островите</w:t>
            </w:r>
          </w:p>
        </w:tc>
        <w:tc>
          <w:tcPr>
            <w:tcW w:w="7654" w:type="dxa"/>
          </w:tcPr>
          <w:p w:rsidR="0048158A" w:rsidRDefault="008A45E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 xml:space="preserve">Между януари и септември 2017 г. средно по </w:t>
            </w:r>
            <w:r>
              <w:rPr>
                <w:rFonts w:ascii="Times New Roman" w:hAnsi="Times New Roman"/>
                <w:b/>
                <w:noProof/>
                <w:sz w:val="20"/>
              </w:rPr>
              <w:t xml:space="preserve">145 души на месец </w:t>
            </w:r>
            <w:r>
              <w:rPr>
                <w:rFonts w:ascii="Times New Roman" w:hAnsi="Times New Roman"/>
                <w:noProof/>
                <w:sz w:val="20"/>
              </w:rPr>
              <w:t xml:space="preserve">са били прехвърлени </w:t>
            </w:r>
            <w:r>
              <w:rPr>
                <w:rFonts w:ascii="Times New Roman" w:hAnsi="Times New Roman"/>
                <w:b/>
                <w:noProof/>
                <w:sz w:val="20"/>
              </w:rPr>
              <w:t>от гръцките острови</w:t>
            </w:r>
            <w:r>
              <w:rPr>
                <w:rFonts w:ascii="Times New Roman" w:hAnsi="Times New Roman"/>
                <w:noProof/>
                <w:sz w:val="20"/>
              </w:rPr>
              <w:t xml:space="preserve"> </w:t>
            </w:r>
            <w:r>
              <w:rPr>
                <w:rFonts w:ascii="Times New Roman" w:hAnsi="Times New Roman"/>
                <w:b/>
                <w:noProof/>
                <w:sz w:val="20"/>
              </w:rPr>
              <w:t>чрез Програмата за подпомагане на доброволното връщане и реинтеграцията</w:t>
            </w:r>
            <w:r>
              <w:rPr>
                <w:rFonts w:ascii="Times New Roman" w:hAnsi="Times New Roman"/>
                <w:noProof/>
                <w:sz w:val="20"/>
              </w:rPr>
              <w:t xml:space="preserve">, докато през юни—декември 2016 г. са били прехвърляни средно около </w:t>
            </w:r>
            <w:r>
              <w:rPr>
                <w:rFonts w:ascii="Times New Roman" w:hAnsi="Times New Roman"/>
                <w:b/>
                <w:noProof/>
                <w:sz w:val="20"/>
              </w:rPr>
              <w:t xml:space="preserve">70 </w:t>
            </w:r>
            <w:r>
              <w:rPr>
                <w:rFonts w:ascii="Times New Roman" w:hAnsi="Times New Roman"/>
                <w:b/>
                <w:noProof/>
                <w:sz w:val="20"/>
              </w:rPr>
              <w:t>бенефициера</w:t>
            </w:r>
            <w:r>
              <w:rPr>
                <w:rFonts w:ascii="Times New Roman" w:hAnsi="Times New Roman"/>
                <w:noProof/>
                <w:sz w:val="20"/>
              </w:rPr>
              <w:t xml:space="preserve"> на месец. </w:t>
            </w:r>
          </w:p>
          <w:p w:rsidR="0048158A" w:rsidRDefault="008A45E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Дейностите по ППДВР от островите, изпълнявани понастоящем от Международната организация по миграция, трябва да бъдат допълнително подкрепени с цел увеличаване на честотата на операциите по ППДВР.</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Издаване на решения за връщане на по</w:t>
            </w:r>
            <w:r>
              <w:rPr>
                <w:rFonts w:ascii="Times New Roman" w:hAnsi="Times New Roman"/>
                <w:b/>
                <w:noProof/>
                <w:sz w:val="20"/>
              </w:rPr>
              <w:t>-ранен етап от процеса на връщане</w:t>
            </w:r>
          </w:p>
        </w:tc>
        <w:tc>
          <w:tcPr>
            <w:tcW w:w="7654" w:type="dxa"/>
          </w:tcPr>
          <w:p w:rsidR="0048158A" w:rsidRDefault="008A45EE">
            <w:pPr>
              <w:spacing w:before="120" w:after="120"/>
              <w:jc w:val="both"/>
              <w:rPr>
                <w:rFonts w:ascii="Times New Roman" w:hAnsi="Times New Roman" w:cs="Times New Roman"/>
                <w:noProof/>
                <w:sz w:val="20"/>
                <w:szCs w:val="20"/>
              </w:rPr>
            </w:pPr>
            <w:r>
              <w:rPr>
                <w:rFonts w:ascii="Times New Roman" w:hAnsi="Times New Roman"/>
                <w:noProof/>
                <w:sz w:val="20"/>
              </w:rPr>
              <w:t>Налице е неотложна необходимост от техническо и ИТ адаптиране, за да може да се издават решения за връщане едновременно с уведомяването за отрицателно решение за предоставяне на убежище на първа инстанция.</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Създаване на до</w:t>
            </w:r>
            <w:r>
              <w:rPr>
                <w:rFonts w:ascii="Times New Roman" w:hAnsi="Times New Roman"/>
                <w:b/>
                <w:noProof/>
                <w:sz w:val="20"/>
              </w:rPr>
              <w:t>пълнителен капацитет за приемане на островите и подобряване на съществуващите центрове</w:t>
            </w:r>
          </w:p>
        </w:tc>
        <w:tc>
          <w:tcPr>
            <w:tcW w:w="7654" w:type="dxa"/>
          </w:tcPr>
          <w:p w:rsidR="0048158A" w:rsidRDefault="008A45E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Въпреки значителните усилия за увеличаване на капацитета на островите и подобряване на условията, в редица случаи настаняването на новопристигналите остава под приемливи</w:t>
            </w:r>
            <w:r>
              <w:rPr>
                <w:rFonts w:ascii="Times New Roman" w:hAnsi="Times New Roman"/>
                <w:noProof/>
                <w:sz w:val="20"/>
              </w:rPr>
              <w:t xml:space="preserve">те равнища. Тези недостатъци се подчертават от увеличаващия се брой пристигащи и са необходими спешни подобрения по отношение на подготовка за зимата. </w:t>
            </w:r>
          </w:p>
          <w:p w:rsidR="0048158A" w:rsidRDefault="008A45EE">
            <w:pPr>
              <w:autoSpaceDE w:val="0"/>
              <w:autoSpaceDN w:val="0"/>
              <w:adjustRightInd w:val="0"/>
              <w:spacing w:before="120" w:after="120"/>
              <w:jc w:val="both"/>
              <w:rPr>
                <w:rFonts w:ascii="Times New Roman" w:hAnsi="Times New Roman" w:cs="Times New Roman"/>
                <w:noProof/>
                <w:sz w:val="20"/>
                <w:szCs w:val="20"/>
                <w:highlight w:val="yellow"/>
              </w:rPr>
            </w:pPr>
            <w:r>
              <w:rPr>
                <w:rFonts w:ascii="Times New Roman" w:hAnsi="Times New Roman"/>
                <w:noProof/>
                <w:sz w:val="20"/>
              </w:rPr>
              <w:t xml:space="preserve">На островите все още не са изцяло гарантирани подходящи условия на приемане за непридружени ненавършили </w:t>
            </w:r>
            <w:r>
              <w:rPr>
                <w:rFonts w:ascii="Times New Roman" w:hAnsi="Times New Roman"/>
                <w:noProof/>
                <w:sz w:val="20"/>
              </w:rPr>
              <w:t>пълнолетие лица, включително защитни елементи, по-специално за децата, които са под попечителство.</w:t>
            </w:r>
          </w:p>
        </w:tc>
      </w:tr>
      <w:tr w:rsidR="0048158A">
        <w:trPr>
          <w:cantSplit/>
        </w:trPr>
        <w:tc>
          <w:tcPr>
            <w:tcW w:w="2411" w:type="dxa"/>
          </w:tcPr>
          <w:p w:rsidR="0048158A" w:rsidRDefault="008A45EE">
            <w:pPr>
              <w:spacing w:before="120" w:after="120"/>
              <w:rPr>
                <w:rFonts w:ascii="Times New Roman" w:hAnsi="Times New Roman" w:cs="Times New Roman"/>
                <w:b/>
                <w:noProof/>
                <w:sz w:val="20"/>
                <w:szCs w:val="20"/>
              </w:rPr>
            </w:pPr>
            <w:r>
              <w:rPr>
                <w:rFonts w:ascii="Times New Roman" w:hAnsi="Times New Roman"/>
                <w:b/>
                <w:noProof/>
                <w:sz w:val="20"/>
              </w:rPr>
              <w:t xml:space="preserve">Изграждане на достатъчен капацитет за задържане на островите </w:t>
            </w:r>
          </w:p>
        </w:tc>
        <w:tc>
          <w:tcPr>
            <w:tcW w:w="7654" w:type="dxa"/>
          </w:tcPr>
          <w:p w:rsidR="0048158A" w:rsidRDefault="008A45EE">
            <w:pPr>
              <w:spacing w:before="120" w:after="120"/>
              <w:jc w:val="both"/>
              <w:rPr>
                <w:rFonts w:ascii="Times New Roman" w:hAnsi="Times New Roman" w:cs="Times New Roman"/>
                <w:b/>
                <w:noProof/>
                <w:sz w:val="20"/>
                <w:szCs w:val="20"/>
              </w:rPr>
            </w:pPr>
            <w:r>
              <w:rPr>
                <w:rFonts w:ascii="Times New Roman" w:hAnsi="Times New Roman"/>
                <w:noProof/>
                <w:sz w:val="20"/>
              </w:rPr>
              <w:t xml:space="preserve">Понастоящем </w:t>
            </w:r>
            <w:r>
              <w:rPr>
                <w:rFonts w:ascii="Times New Roman" w:hAnsi="Times New Roman"/>
                <w:b/>
                <w:noProof/>
                <w:sz w:val="20"/>
              </w:rPr>
              <w:t>центровете за задържане преди извеждане</w:t>
            </w:r>
            <w:r>
              <w:rPr>
                <w:rFonts w:ascii="Times New Roman" w:hAnsi="Times New Roman"/>
                <w:noProof/>
                <w:sz w:val="20"/>
              </w:rPr>
              <w:t xml:space="preserve"> на островите разполагат със </w:t>
            </w:r>
            <w:r>
              <w:rPr>
                <w:rFonts w:ascii="Times New Roman" w:hAnsi="Times New Roman"/>
                <w:b/>
                <w:noProof/>
                <w:sz w:val="20"/>
              </w:rPr>
              <w:t>710 места</w:t>
            </w:r>
            <w:r>
              <w:rPr>
                <w:rFonts w:ascii="Times New Roman" w:hAnsi="Times New Roman"/>
                <w:noProof/>
                <w:sz w:val="20"/>
              </w:rPr>
              <w:t xml:space="preserve">, 210 в Лесбос и 500 в Кос. </w:t>
            </w:r>
            <w:r>
              <w:rPr>
                <w:rFonts w:ascii="Times New Roman" w:hAnsi="Times New Roman"/>
                <w:b/>
                <w:noProof/>
                <w:sz w:val="20"/>
              </w:rPr>
              <w:t>На Самос и Хиос</w:t>
            </w:r>
            <w:r>
              <w:rPr>
                <w:rFonts w:ascii="Times New Roman" w:hAnsi="Times New Roman"/>
                <w:noProof/>
                <w:sz w:val="20"/>
              </w:rPr>
              <w:t xml:space="preserve"> все още </w:t>
            </w:r>
            <w:r>
              <w:rPr>
                <w:rFonts w:ascii="Times New Roman" w:hAnsi="Times New Roman"/>
                <w:b/>
                <w:noProof/>
                <w:sz w:val="20"/>
              </w:rPr>
              <w:t>няма центрове за задържане</w:t>
            </w:r>
            <w:r>
              <w:rPr>
                <w:rFonts w:ascii="Times New Roman" w:hAnsi="Times New Roman"/>
                <w:noProof/>
                <w:sz w:val="20"/>
              </w:rPr>
              <w:t>.</w:t>
            </w:r>
            <w:r>
              <w:rPr>
                <w:rFonts w:ascii="Times New Roman" w:hAnsi="Times New Roman"/>
                <w:b/>
                <w:noProof/>
                <w:sz w:val="20"/>
              </w:rPr>
              <w:t xml:space="preserve"> </w:t>
            </w:r>
          </w:p>
          <w:p w:rsidR="0048158A" w:rsidRDefault="008A45EE">
            <w:pPr>
              <w:spacing w:before="120" w:after="120"/>
              <w:jc w:val="both"/>
              <w:rPr>
                <w:rFonts w:ascii="Times New Roman" w:hAnsi="Times New Roman" w:cs="Times New Roman"/>
                <w:noProof/>
                <w:sz w:val="20"/>
                <w:szCs w:val="20"/>
              </w:rPr>
            </w:pPr>
            <w:r>
              <w:rPr>
                <w:rFonts w:ascii="Times New Roman" w:hAnsi="Times New Roman"/>
                <w:b/>
                <w:noProof/>
                <w:sz w:val="20"/>
              </w:rPr>
              <w:t>Спешно е необходимо гръцките органи да увеличат капацитета за задържане с цел увеличаване на темпа на връщането.</w:t>
            </w:r>
          </w:p>
        </w:tc>
      </w:tr>
    </w:tbl>
    <w:p w:rsidR="0048158A" w:rsidRDefault="0048158A">
      <w:pPr>
        <w:rPr>
          <w:rFonts w:ascii="Times New Roman" w:hAnsi="Times New Roman" w:cs="Times New Roman"/>
          <w:noProof/>
          <w:sz w:val="20"/>
          <w:szCs w:val="20"/>
        </w:rPr>
      </w:pPr>
    </w:p>
    <w:p w:rsidR="0048158A" w:rsidRPr="008A45EE" w:rsidRDefault="0048158A">
      <w:pPr>
        <w:rPr>
          <w:noProof/>
        </w:rPr>
      </w:pPr>
    </w:p>
    <w:sectPr w:rsidR="0048158A" w:rsidRPr="008A45E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8A" w:rsidRDefault="008A45EE">
      <w:pPr>
        <w:spacing w:after="0" w:line="240" w:lineRule="auto"/>
      </w:pPr>
      <w:r>
        <w:separator/>
      </w:r>
    </w:p>
  </w:endnote>
  <w:endnote w:type="continuationSeparator" w:id="0">
    <w:p w:rsidR="0048158A" w:rsidRDefault="008A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FooterCoverPage"/>
      <w:rPr>
        <w:rFonts w:ascii="Arial" w:hAnsi="Arial" w:cs="Arial"/>
        <w:b/>
        <w:sz w:val="48"/>
      </w:rPr>
    </w:pPr>
    <w:r w:rsidRPr="008A45EE">
      <w:rPr>
        <w:rFonts w:ascii="Arial" w:hAnsi="Arial" w:cs="Arial"/>
        <w:b/>
        <w:sz w:val="48"/>
      </w:rPr>
      <w:t>BG</w:t>
    </w:r>
    <w:r w:rsidRPr="008A45EE">
      <w:rPr>
        <w:rFonts w:ascii="Arial" w:hAnsi="Arial" w:cs="Arial"/>
        <w:b/>
        <w:sz w:val="48"/>
      </w:rPr>
      <w:tab/>
    </w:r>
    <w:r w:rsidRPr="008A45EE">
      <w:rPr>
        <w:rFonts w:ascii="Arial" w:hAnsi="Arial" w:cs="Arial"/>
        <w:b/>
        <w:sz w:val="48"/>
      </w:rPr>
      <w:tab/>
    </w:r>
    <w:r w:rsidRPr="008A45EE">
      <w:tab/>
    </w:r>
    <w:proofErr w:type="spellStart"/>
    <w:r w:rsidRPr="008A45EE">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8A" w:rsidRDefault="004815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5598"/>
      <w:docPartObj>
        <w:docPartGallery w:val="Page Numbers (Bottom of Page)"/>
        <w:docPartUnique/>
      </w:docPartObj>
    </w:sdtPr>
    <w:sdtEndPr>
      <w:rPr>
        <w:rFonts w:ascii="Times New Roman" w:hAnsi="Times New Roman" w:cs="Times New Roman"/>
        <w:noProof/>
      </w:rPr>
    </w:sdtEndPr>
    <w:sdtContent>
      <w:p w:rsidR="0048158A" w:rsidRDefault="008A45E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sdtContent>
  </w:sdt>
  <w:p w:rsidR="0048158A" w:rsidRDefault="004815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8A" w:rsidRDefault="00481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8A" w:rsidRDefault="008A45EE">
      <w:pPr>
        <w:spacing w:after="0" w:line="240" w:lineRule="auto"/>
      </w:pPr>
      <w:r>
        <w:separator/>
      </w:r>
    </w:p>
  </w:footnote>
  <w:footnote w:type="continuationSeparator" w:id="0">
    <w:p w:rsidR="0048158A" w:rsidRDefault="008A45EE">
      <w:pPr>
        <w:spacing w:after="0" w:line="240" w:lineRule="auto"/>
      </w:pPr>
      <w:r>
        <w:continuationSeparator/>
      </w:r>
    </w:p>
  </w:footnote>
  <w:footnote w:id="1">
    <w:p w:rsidR="0048158A" w:rsidRDefault="008A45EE">
      <w:pPr>
        <w:pStyle w:val="FootnoteText"/>
        <w:ind w:left="284" w:hanging="284"/>
        <w:jc w:val="both"/>
        <w:rPr>
          <w:rFonts w:ascii="Times New Roman" w:hAnsi="Times New Roman" w:cs="Times New Roman"/>
          <w:spacing w:val="-6"/>
        </w:rPr>
      </w:pPr>
      <w:r>
        <w:rPr>
          <w:rStyle w:val="FootnoteReference"/>
          <w:rFonts w:ascii="Times New Roman" w:hAnsi="Times New Roman"/>
          <w:spacing w:val="-6"/>
        </w:rPr>
        <w:footnoteRef/>
      </w:r>
      <w:r>
        <w:rPr>
          <w:rFonts w:ascii="Times New Roman" w:hAnsi="Times New Roman"/>
          <w:spacing w:val="-6"/>
        </w:rPr>
        <w:t xml:space="preserve"> </w:t>
      </w:r>
      <w:r>
        <w:rPr>
          <w:spacing w:val="-6"/>
        </w:rPr>
        <w:tab/>
      </w:r>
      <w:r>
        <w:rPr>
          <w:rFonts w:ascii="Times New Roman" w:hAnsi="Times New Roman"/>
          <w:spacing w:val="-6"/>
        </w:rPr>
        <w:t xml:space="preserve">Настоящото </w:t>
      </w:r>
      <w:r>
        <w:rPr>
          <w:rFonts w:ascii="Times New Roman" w:hAnsi="Times New Roman"/>
          <w:spacing w:val="-6"/>
        </w:rPr>
        <w:t>приложение допълва предходните данни, предоставени в Седмия доклад за напредъка, постигнат в изпълнението на Изявлението на ЕС и Турция (COM(2017) 470), по-специално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EE" w:rsidRPr="008A45EE" w:rsidRDefault="008A45EE" w:rsidP="008A45E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8A" w:rsidRDefault="004815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8A" w:rsidRDefault="004815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8A" w:rsidRDefault="00481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414B5356-C45A-464C-939D-9F82CE7494E3"/>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u1041?\u1088?\u1102?\u1082?\u1089?\u1077?\u1083?,"/>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7?\u1086? \u1077?\u1074?\u1088?\u1086?\u1087?\u1077?\u1081?\u1089?\u1082?\u1072?\u1090?\u1072? \u1087?\u1088?\u1086?\u1075?\u1088?\u1072?\u1084?\u1072? \u1079?\u1072? \u1084?\u1080?\u1075?\u1088?\u1072?\u1094?\u1080?\u1103?\u1090?\u1072?_x000b__x000b_\u1057?\u1098?\u1074?\u1084?\u1077?\u1089?\u1090?\u1077?\u1085? \u1087?\u1083?\u1072?\u1085? \u1079?\u1072? \u1076?\u1077?\u1081?\u1089?\u1090?\u1074?\u1080?\u1077? \u1086?\u1090?\u1085?\u1086?\u1089?\u1085?\u1086? \u1080?\u1079?\u1087?\u1098?\u1083?\u1085?\u1077?\u1085?\u1080?\u1077?\u1090?\u1086? \u1085?\u1072? \u1048?\u1079?\u1103?\u1074?\u1083?\u1077?\u1085?\u1080?\u1077?\u1090?\u1086? \u1085?\u1072? \u1045?\u1057? \u1080? \u1058?\u1091?\u1088?\u1094?\u1080?\u1103?_x000b_"/>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w:rsids>
    <w:rsidRoot w:val="0048158A"/>
    <w:rsid w:val="0048158A"/>
    <w:rsid w:val="008A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45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45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45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8A4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4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45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45E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45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45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45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8A4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4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45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45E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C055-4B7B-487C-9090-03BD177E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9278</Characters>
  <Application>Microsoft Office Word</Application>
  <DocSecurity>0</DocSecurity>
  <Lines>215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2017-11-13T15:45:00Z</dcterms:created>
  <dcterms:modified xsi:type="dcterms:W3CDTF">2017-11-30T12:12:00Z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