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60" w:rsidRDefault="00F36E4C" w:rsidP="00F36E4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FFBBEE0-66DD-4F7F-B5E7-2D651FC05D0B" style="width:450.6pt;height:420.6pt">
            <v:imagedata r:id="rId9" o:title=""/>
          </v:shape>
        </w:pict>
      </w:r>
    </w:p>
    <w:bookmarkEnd w:id="0"/>
    <w:p w:rsidR="003D5960" w:rsidRDefault="003D5960">
      <w:pPr>
        <w:rPr>
          <w:noProof/>
        </w:rPr>
        <w:sectPr w:rsidR="003D5960" w:rsidSect="00F36E4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3D5960" w:rsidRDefault="00CD52BA">
      <w:pPr>
        <w:widowControl w:val="0"/>
        <w:spacing w:after="0" w:line="240" w:lineRule="auto"/>
        <w:jc w:val="both"/>
        <w:rPr>
          <w:rFonts w:ascii="Times New Roman" w:hAnsi="Times New Roman" w:cs="Times New Roman"/>
          <w:i/>
          <w:noProof/>
          <w:sz w:val="24"/>
          <w:szCs w:val="24"/>
        </w:rPr>
      </w:pPr>
      <w:r>
        <w:rPr>
          <w:rFonts w:ascii="Times New Roman" w:hAnsi="Times New Roman"/>
          <w:noProof/>
          <w:sz w:val="24"/>
        </w:rPr>
        <w:lastRenderedPageBreak/>
        <w:t>Du montant de 3 milliards d’EUR de la facilité de l’UE en faveur des réfugiés en Turquie pour 2016-2017, 2,9 milliards d’EUR ont été alloués, et des contrats correspondant à 55 projets</w:t>
      </w:r>
      <w:r>
        <w:rPr>
          <w:rStyle w:val="FootnoteReference"/>
          <w:rFonts w:ascii="Times New Roman" w:hAnsi="Times New Roman"/>
          <w:noProof/>
          <w:sz w:val="24"/>
        </w:rPr>
        <w:footnoteReference w:id="1"/>
      </w:r>
      <w:r>
        <w:rPr>
          <w:rFonts w:ascii="Times New Roman" w:hAnsi="Times New Roman"/>
          <w:noProof/>
          <w:sz w:val="24"/>
        </w:rPr>
        <w:t xml:space="preserve"> ont été signés pour un montant de 1,78 milliard d’EUR. Pour tous ces contrats, la mise en œuvre est en cours. Le montant total décaissé a atteint 908 millions d’EUR</w:t>
      </w:r>
      <w:r>
        <w:rPr>
          <w:rFonts w:ascii="Times New Roman" w:hAnsi="Times New Roman"/>
          <w:noProof/>
          <w:sz w:val="24"/>
          <w:vertAlign w:val="superscript"/>
        </w:rPr>
        <w:footnoteReference w:id="2"/>
      </w:r>
      <w:r>
        <w:rPr>
          <w:rFonts w:ascii="Times New Roman" w:hAnsi="Times New Roman"/>
          <w:noProof/>
          <w:sz w:val="24"/>
        </w:rPr>
        <w:t>.</w:t>
      </w:r>
    </w:p>
    <w:p w:rsidR="003D5960" w:rsidRDefault="003D5960">
      <w:pPr>
        <w:widowControl w:val="0"/>
        <w:spacing w:after="0" w:line="240" w:lineRule="auto"/>
        <w:jc w:val="both"/>
        <w:rPr>
          <w:rFonts w:ascii="Times New Roman" w:eastAsia="Calibri" w:hAnsi="Times New Roman" w:cs="Times New Roman"/>
          <w:noProof/>
          <w:sz w:val="24"/>
          <w:szCs w:val="24"/>
        </w:rPr>
      </w:pPr>
    </w:p>
    <w:p w:rsidR="003D5960" w:rsidRDefault="00CD52BA">
      <w:pPr>
        <w:widowControl w:val="0"/>
        <w:spacing w:after="0" w:line="240" w:lineRule="auto"/>
        <w:jc w:val="both"/>
        <w:rPr>
          <w:rFonts w:ascii="Times New Roman" w:eastAsia="Calibri" w:hAnsi="Times New Roman" w:cs="Times New Roman"/>
          <w:b/>
          <w:i/>
          <w:noProof/>
          <w:sz w:val="24"/>
          <w:szCs w:val="24"/>
        </w:rPr>
      </w:pPr>
      <w:r>
        <w:rPr>
          <w:rFonts w:ascii="Times New Roman" w:hAnsi="Times New Roman"/>
          <w:b/>
          <w:i/>
          <w:noProof/>
          <w:sz w:val="24"/>
        </w:rPr>
        <w:t>Aide humanitaire</w:t>
      </w:r>
      <w:r>
        <w:rPr>
          <w:rFonts w:ascii="Times New Roman" w:hAnsi="Times New Roman"/>
          <w:noProof/>
          <w:sz w:val="24"/>
          <w:vertAlign w:val="superscript"/>
        </w:rPr>
        <w:footnoteReference w:id="3"/>
      </w:r>
    </w:p>
    <w:p w:rsidR="003D5960" w:rsidRDefault="003D5960">
      <w:pPr>
        <w:widowControl w:val="0"/>
        <w:spacing w:after="0" w:line="240" w:lineRule="auto"/>
        <w:jc w:val="both"/>
        <w:rPr>
          <w:rFonts w:ascii="Times New Roman" w:hAnsi="Times New Roman" w:cs="Times New Roman"/>
          <w:noProof/>
          <w:sz w:val="24"/>
          <w:szCs w:val="24"/>
        </w:rPr>
      </w:pPr>
    </w:p>
    <w:p w:rsidR="003D5960" w:rsidRDefault="00CD52BA">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montants contractés ont augmenté pour atteindre 638 millions d’EUR, engagés au bénéfice de 40 projets humanitaires menés avec 19 partenaires et couvrant la satisfaction des besoins fondamentaux, la protection, l’éducation, la santé, la nourriture et le logement. Sur le montant de ces 638 millions d’EUR ayant fait l’objet de contrats, 488  millions d’EUR ont été décaissés à ce jour. Les projets de première importance sont notamment: </w:t>
      </w:r>
    </w:p>
    <w:p w:rsidR="003D5960" w:rsidRDefault="003D5960">
      <w:pPr>
        <w:widowControl w:val="0"/>
        <w:spacing w:after="60" w:line="240" w:lineRule="auto"/>
        <w:jc w:val="both"/>
        <w:rPr>
          <w:rFonts w:ascii="Times New Roman" w:hAnsi="Times New Roman" w:cs="Times New Roman"/>
          <w:noProof/>
          <w:sz w:val="24"/>
          <w:szCs w:val="24"/>
        </w:rPr>
      </w:pPr>
    </w:p>
    <w:p w:rsidR="003D5960" w:rsidRDefault="00CD52BA">
      <w:pPr>
        <w:pStyle w:val="ListParagraph"/>
        <w:widowControl w:val="0"/>
        <w:numPr>
          <w:ilvl w:val="0"/>
          <w:numId w:val="10"/>
        </w:numPr>
        <w:spacing w:after="0" w:line="240" w:lineRule="auto"/>
        <w:ind w:left="426"/>
        <w:jc w:val="both"/>
        <w:rPr>
          <w:rFonts w:ascii="Times New Roman" w:hAnsi="Times New Roman" w:cs="Times New Roman"/>
          <w:noProof/>
          <w:sz w:val="24"/>
          <w:szCs w:val="24"/>
        </w:rPr>
      </w:pPr>
      <w:r>
        <w:rPr>
          <w:rFonts w:ascii="Times New Roman" w:hAnsi="Times New Roman"/>
          <w:noProof/>
          <w:sz w:val="24"/>
        </w:rPr>
        <w:t>le filet de sécurité sociale: en septembre, le cap historique d’un million de bénéficiaires a été atteint. Le projet portant sur les transferts conditionnels en espèces pour les dépenses d’éducation a maintenant aussi des retombées positives pour plus de 136 000 enfants. Ces deux instruments seront prolongés en décembre;</w:t>
      </w:r>
    </w:p>
    <w:p w:rsidR="003D5960" w:rsidRDefault="00CD52BA">
      <w:pPr>
        <w:pStyle w:val="ListParagraph"/>
        <w:widowControl w:val="0"/>
        <w:numPr>
          <w:ilvl w:val="0"/>
          <w:numId w:val="10"/>
        </w:numPr>
        <w:spacing w:after="0" w:line="240" w:lineRule="auto"/>
        <w:ind w:left="426"/>
        <w:jc w:val="both"/>
        <w:rPr>
          <w:rFonts w:ascii="Times New Roman" w:hAnsi="Times New Roman" w:cs="Times New Roman"/>
          <w:noProof/>
          <w:sz w:val="24"/>
          <w:szCs w:val="24"/>
        </w:rPr>
      </w:pPr>
      <w:r>
        <w:rPr>
          <w:rFonts w:ascii="Times New Roman" w:hAnsi="Times New Roman"/>
          <w:noProof/>
          <w:sz w:val="24"/>
        </w:rPr>
        <w:t>d’autres projets qui donnent accès à des services comprenant la protection, les services sociaux, les régimes publics de protection sociale, ainsi que les services de santé sexuelle et génésique et la lutte contre les violences sexuelles et sexistes.</w:t>
      </w:r>
    </w:p>
    <w:p w:rsidR="003D5960" w:rsidRDefault="003D5960">
      <w:pPr>
        <w:pStyle w:val="ListParagraph"/>
        <w:widowControl w:val="0"/>
        <w:spacing w:after="0" w:line="240" w:lineRule="auto"/>
        <w:ind w:left="426"/>
        <w:jc w:val="both"/>
        <w:rPr>
          <w:rFonts w:ascii="Times New Roman" w:hAnsi="Times New Roman" w:cs="Times New Roman"/>
          <w:noProof/>
          <w:sz w:val="24"/>
          <w:szCs w:val="24"/>
        </w:rPr>
      </w:pPr>
    </w:p>
    <w:p w:rsidR="003D5960" w:rsidRDefault="00CD52BA">
      <w:pPr>
        <w:widowControl w:val="0"/>
        <w:spacing w:after="0" w:line="240" w:lineRule="auto"/>
        <w:jc w:val="both"/>
        <w:rPr>
          <w:rFonts w:ascii="Times New Roman" w:eastAsia="Calibri" w:hAnsi="Times New Roman" w:cs="Times New Roman"/>
          <w:b/>
          <w:i/>
          <w:noProof/>
          <w:sz w:val="24"/>
          <w:szCs w:val="24"/>
        </w:rPr>
      </w:pPr>
      <w:r>
        <w:rPr>
          <w:rFonts w:ascii="Times New Roman" w:hAnsi="Times New Roman"/>
          <w:b/>
          <w:i/>
          <w:noProof/>
          <w:sz w:val="24"/>
        </w:rPr>
        <w:t>Aide non humanitaire</w:t>
      </w:r>
    </w:p>
    <w:p w:rsidR="003D5960" w:rsidRDefault="003D5960">
      <w:pPr>
        <w:widowControl w:val="0"/>
        <w:spacing w:after="0" w:line="240" w:lineRule="auto"/>
        <w:jc w:val="both"/>
        <w:rPr>
          <w:rFonts w:ascii="Times New Roman" w:hAnsi="Times New Roman" w:cs="Times New Roman"/>
          <w:noProof/>
          <w:sz w:val="24"/>
          <w:szCs w:val="24"/>
        </w:rPr>
      </w:pPr>
    </w:p>
    <w:p w:rsidR="003D5960" w:rsidRDefault="00CD52BA">
      <w:pPr>
        <w:pStyle w:val="ListParagraph"/>
        <w:widowControl w:val="0"/>
        <w:spacing w:after="0" w:line="240" w:lineRule="auto"/>
        <w:ind w:left="0"/>
        <w:jc w:val="both"/>
        <w:rPr>
          <w:rFonts w:ascii="Times New Roman" w:hAnsi="Times New Roman" w:cs="Times New Roman"/>
          <w:noProof/>
          <w:sz w:val="24"/>
          <w:szCs w:val="24"/>
        </w:rPr>
      </w:pPr>
      <w:r>
        <w:rPr>
          <w:rFonts w:ascii="Times New Roman" w:hAnsi="Times New Roman"/>
          <w:noProof/>
          <w:sz w:val="24"/>
        </w:rPr>
        <w:t xml:space="preserve">Les montants contractés ont augmenté pour atteindre 1,14 milliard d’EUR, tandis que les décaissements ont atteint 420 millions d’EUR. </w:t>
      </w:r>
    </w:p>
    <w:p w:rsidR="003D5960" w:rsidRDefault="003D5960">
      <w:pPr>
        <w:widowControl w:val="0"/>
        <w:spacing w:after="0" w:line="240" w:lineRule="auto"/>
        <w:ind w:left="66"/>
        <w:jc w:val="both"/>
        <w:rPr>
          <w:rFonts w:ascii="Times New Roman" w:hAnsi="Times New Roman" w:cs="Times New Roman"/>
          <w:noProof/>
          <w:sz w:val="24"/>
          <w:szCs w:val="24"/>
        </w:rPr>
      </w:pPr>
    </w:p>
    <w:p w:rsidR="003D5960" w:rsidRDefault="00CD52BA">
      <w:pPr>
        <w:pStyle w:val="ListParagraph"/>
        <w:widowControl w:val="0"/>
        <w:numPr>
          <w:ilvl w:val="0"/>
          <w:numId w:val="9"/>
        </w:numPr>
        <w:spacing w:after="60" w:line="240" w:lineRule="auto"/>
        <w:jc w:val="both"/>
        <w:rPr>
          <w:rFonts w:ascii="Times New Roman" w:hAnsi="Times New Roman" w:cs="Times New Roman"/>
          <w:noProof/>
          <w:sz w:val="24"/>
          <w:szCs w:val="24"/>
        </w:rPr>
      </w:pPr>
      <w:r>
        <w:rPr>
          <w:rFonts w:ascii="Times New Roman" w:hAnsi="Times New Roman"/>
          <w:noProof/>
          <w:sz w:val="24"/>
        </w:rPr>
        <w:t>En novembre, un premier projet a été signé pour accroître l’accès des réfugiés syriens et des adolescents turcs vulnérables à l’enseignement et la formation professionnels, un deuxième projet pour construire six systèmes d’approvisionnement en eau potable, des usines de traitement des déchets et des infrastructures d’assainissement et un troisième projet pour construire un hôpital de 300 lits.</w:t>
      </w:r>
    </w:p>
    <w:p w:rsidR="003D5960" w:rsidRPr="00F36E4C" w:rsidRDefault="00CD52BA">
      <w:pPr>
        <w:pStyle w:val="ListParagraph"/>
        <w:widowControl w:val="0"/>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activités en cours financées par la facilité ont eu un impact important sur le terrain. Plus de 20 000 patients syriens ont été reçus en consultation dans les trois centres de santé ouverts à ce jour par l’UE, 585 membres du personnel médical et non médical ayant été affectés à ces centres de santé pour faire face à la pression qui pèse sur le système local de soins de santé. Dans le domaine de l’éducation, 100 professeurs de langue arabe ont été recrutés, 11 445 enfants syriens ont pu suivre des cours de rattrapage et plus de 25 000 enfants ont reçu du mobilier scolaire neuf. 1 605 personnes ont déjà participé à des cours de formation sur les compétences professionnelles, le développement professionnel ou le développement des entreprises. </w:t>
      </w:r>
    </w:p>
    <w:sectPr w:rsidR="003D5960" w:rsidRPr="00F36E4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60" w:rsidRDefault="00CD52BA">
      <w:pPr>
        <w:spacing w:after="0" w:line="240" w:lineRule="auto"/>
      </w:pPr>
      <w:r>
        <w:separator/>
      </w:r>
    </w:p>
  </w:endnote>
  <w:endnote w:type="continuationSeparator" w:id="0">
    <w:p w:rsidR="003D5960" w:rsidRDefault="00CD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4C" w:rsidRPr="00F36E4C" w:rsidRDefault="00F36E4C" w:rsidP="00F36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4C" w:rsidRPr="00F36E4C" w:rsidRDefault="00F36E4C" w:rsidP="00F36E4C">
    <w:pPr>
      <w:pStyle w:val="FooterCoverPage"/>
      <w:rPr>
        <w:rFonts w:ascii="Arial" w:hAnsi="Arial" w:cs="Arial"/>
        <w:b/>
        <w:sz w:val="48"/>
      </w:rPr>
    </w:pPr>
    <w:r w:rsidRPr="00F36E4C">
      <w:rPr>
        <w:rFonts w:ascii="Arial" w:hAnsi="Arial" w:cs="Arial"/>
        <w:b/>
        <w:sz w:val="48"/>
      </w:rPr>
      <w:t>FR</w:t>
    </w:r>
    <w:r w:rsidRPr="00F36E4C">
      <w:rPr>
        <w:rFonts w:ascii="Arial" w:hAnsi="Arial" w:cs="Arial"/>
        <w:b/>
        <w:sz w:val="48"/>
      </w:rPr>
      <w:tab/>
    </w:r>
    <w:r w:rsidRPr="00F36E4C">
      <w:rPr>
        <w:rFonts w:ascii="Arial" w:hAnsi="Arial" w:cs="Arial"/>
        <w:b/>
        <w:sz w:val="48"/>
      </w:rPr>
      <w:tab/>
    </w:r>
    <w:r w:rsidRPr="00F36E4C">
      <w:tab/>
    </w:r>
    <w:proofErr w:type="spellStart"/>
    <w:r w:rsidRPr="00F36E4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4C" w:rsidRPr="00F36E4C" w:rsidRDefault="00F36E4C" w:rsidP="00F36E4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60" w:rsidRDefault="003D59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52748"/>
      <w:docPartObj>
        <w:docPartGallery w:val="Page Numbers (Bottom of Page)"/>
        <w:docPartUnique/>
      </w:docPartObj>
    </w:sdtPr>
    <w:sdtEndPr>
      <w:rPr>
        <w:rFonts w:ascii="Times New Roman" w:hAnsi="Times New Roman" w:cs="Times New Roman"/>
        <w:noProof/>
      </w:rPr>
    </w:sdtEndPr>
    <w:sdtContent>
      <w:p w:rsidR="003D5960" w:rsidRDefault="00CD52B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36E4C">
          <w:rPr>
            <w:rFonts w:ascii="Times New Roman" w:hAnsi="Times New Roman" w:cs="Times New Roman"/>
            <w:noProof/>
          </w:rPr>
          <w:t>1</w:t>
        </w:r>
        <w:r>
          <w:rPr>
            <w:rFonts w:ascii="Times New Roman" w:hAnsi="Times New Roman" w:cs="Times New Roman"/>
            <w:noProof/>
          </w:rPr>
          <w:fldChar w:fldCharType="end"/>
        </w:r>
      </w:p>
    </w:sdtContent>
  </w:sdt>
  <w:p w:rsidR="003D5960" w:rsidRDefault="003D59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60" w:rsidRDefault="003D5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60" w:rsidRDefault="00CD52BA">
      <w:pPr>
        <w:spacing w:after="0" w:line="240" w:lineRule="auto"/>
      </w:pPr>
      <w:r>
        <w:separator/>
      </w:r>
    </w:p>
  </w:footnote>
  <w:footnote w:type="continuationSeparator" w:id="0">
    <w:p w:rsidR="003D5960" w:rsidRDefault="00CD52BA">
      <w:pPr>
        <w:spacing w:after="0" w:line="240" w:lineRule="auto"/>
      </w:pPr>
      <w:r>
        <w:continuationSeparator/>
      </w:r>
    </w:p>
  </w:footnote>
  <w:footnote w:id="1">
    <w:p w:rsidR="003D5960" w:rsidRDefault="00CD52BA">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liste des projets au titre de la facilité figure à l’adresse suivante</w:t>
      </w:r>
      <w:r>
        <w:t xml:space="preserve">: </w:t>
      </w:r>
      <w:hyperlink r:id="rId1">
        <w:r>
          <w:rPr>
            <w:rStyle w:val="Hyperlink"/>
            <w:rFonts w:ascii="Times New Roman" w:hAnsi="Times New Roman"/>
          </w:rPr>
          <w:t>https://ec.europa.eu/neighbourhood-enlargement/sites/near/files/facility_table.pdf</w:t>
        </w:r>
      </w:hyperlink>
      <w:r>
        <w:t xml:space="preserve">  </w:t>
      </w:r>
    </w:p>
  </w:footnote>
  <w:footnote w:id="2">
    <w:p w:rsidR="003D5960" w:rsidRDefault="00CD52B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Les fonds sont décaissés par tranches, jusqu’à l’achèvement des projets, conformément aux principes de bonne gestion financière. Dans le cadre des activités visant à mieux faire connaître la facilité, une carte interactive permet de visualiser directement la localisation ainsi que les résultats attendus des différents projets: </w:t>
      </w:r>
      <w:hyperlink r:id="rId2">
        <w:r>
          <w:rPr>
            <w:rStyle w:val="Hyperlink"/>
            <w:rFonts w:ascii="Times New Roman" w:hAnsi="Times New Roman"/>
          </w:rPr>
          <w:t>http://ec.europa.eu/enlargement/news_corner/migration/index_en.htm</w:t>
        </w:r>
      </w:hyperlink>
      <w:r>
        <w:rPr>
          <w:rFonts w:ascii="Times New Roman" w:hAnsi="Times New Roman"/>
        </w:rPr>
        <w:t>.</w:t>
      </w:r>
    </w:p>
  </w:footnote>
  <w:footnote w:id="3">
    <w:p w:rsidR="003D5960" w:rsidRDefault="00CD52B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L'aide humanitaire fournie au titre de la facilité continue d'être mise en œuvre conformément à la législation de l'Union applicable en la matière et aux principes énoncés dans le consensus européen sur l'aide humanitaire.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4C" w:rsidRPr="00F36E4C" w:rsidRDefault="00F36E4C" w:rsidP="00F36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4C" w:rsidRPr="00F36E4C" w:rsidRDefault="00F36E4C" w:rsidP="00F36E4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4C" w:rsidRPr="00F36E4C" w:rsidRDefault="00F36E4C" w:rsidP="00F36E4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60" w:rsidRDefault="003D59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60" w:rsidRDefault="003D59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60" w:rsidRDefault="003D5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C4A"/>
    <w:multiLevelType w:val="hybridMultilevel"/>
    <w:tmpl w:val="26D2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62649AC"/>
    <w:multiLevelType w:val="hybridMultilevel"/>
    <w:tmpl w:val="1346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50210"/>
    <w:multiLevelType w:val="hybridMultilevel"/>
    <w:tmpl w:val="887A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E20C82"/>
    <w:multiLevelType w:val="hybridMultilevel"/>
    <w:tmpl w:val="1D2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567180"/>
    <w:multiLevelType w:val="hybridMultilevel"/>
    <w:tmpl w:val="2B2CBD10"/>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6A0C3C"/>
    <w:multiLevelType w:val="hybridMultilevel"/>
    <w:tmpl w:val="055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4"/>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3"/>
    <w:docVar w:name="LW_ANNEX_NBR_LAST" w:val="3"/>
    <w:docVar w:name="LW_ANNEX_UNIQUE" w:val="0"/>
    <w:docVar w:name="LW_CORRIGENDUM" w:val="&lt;UNUSED&gt;"/>
    <w:docVar w:name="LW_COVERPAGE_EXISTS" w:val="True"/>
    <w:docVar w:name="LW_COVERPAGE_GUID" w:val="9FFBBEE0-66DD-4F7F-B5E7-2D651FC05D0B"/>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genda européen en matière de migration_x000b__x000b_Facilité en faveur des réfugiés en Turquie"/>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AU CONSEIL EUROPÉEN ET AU CONSEIL"/>
  </w:docVars>
  <w:rsids>
    <w:rsidRoot w:val="003D5960"/>
    <w:rsid w:val="003D5960"/>
    <w:rsid w:val="00CD52BA"/>
    <w:rsid w:val="00F36E4C"/>
    <w:rsid w:val="00FA6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6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E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6E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sid w:val="00F36E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6E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6E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36E4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6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E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6E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sid w:val="00F36E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6E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6E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36E4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8588">
      <w:bodyDiv w:val="1"/>
      <w:marLeft w:val="0"/>
      <w:marRight w:val="0"/>
      <w:marTop w:val="0"/>
      <w:marBottom w:val="0"/>
      <w:divBdr>
        <w:top w:val="none" w:sz="0" w:space="0" w:color="auto"/>
        <w:left w:val="none" w:sz="0" w:space="0" w:color="auto"/>
        <w:bottom w:val="none" w:sz="0" w:space="0" w:color="auto"/>
        <w:right w:val="none" w:sz="0" w:space="0" w:color="auto"/>
      </w:divBdr>
    </w:div>
    <w:div w:id="581841195">
      <w:bodyDiv w:val="1"/>
      <w:marLeft w:val="0"/>
      <w:marRight w:val="0"/>
      <w:marTop w:val="0"/>
      <w:marBottom w:val="0"/>
      <w:divBdr>
        <w:top w:val="none" w:sz="0" w:space="0" w:color="auto"/>
        <w:left w:val="none" w:sz="0" w:space="0" w:color="auto"/>
        <w:bottom w:val="none" w:sz="0" w:space="0" w:color="auto"/>
        <w:right w:val="none" w:sz="0" w:space="0" w:color="auto"/>
      </w:divBdr>
    </w:div>
    <w:div w:id="1410998000">
      <w:bodyDiv w:val="1"/>
      <w:marLeft w:val="0"/>
      <w:marRight w:val="0"/>
      <w:marTop w:val="0"/>
      <w:marBottom w:val="0"/>
      <w:divBdr>
        <w:top w:val="none" w:sz="0" w:space="0" w:color="auto"/>
        <w:left w:val="none" w:sz="0" w:space="0" w:color="auto"/>
        <w:bottom w:val="none" w:sz="0" w:space="0" w:color="auto"/>
        <w:right w:val="none" w:sz="0" w:space="0" w:color="auto"/>
      </w:divBdr>
    </w:div>
    <w:div w:id="20869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largement/news_corner/migration/index_en.htm"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F0D1-54FF-4F96-9388-B4908B92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2274</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2017-11-10T18:07:00Z</dcterms:created>
  <dcterms:modified xsi:type="dcterms:W3CDTF">2017-12-12T11:33:00Z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3</vt:lpwstr>
  </property>
  <property fmtid="{D5CDD505-2E9C-101B-9397-08002B2CF9AE}" pid="5" name="Last annex">
    <vt:lpwstr>3</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