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2" w:rsidRDefault="00E501DB" w:rsidP="00E501D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C3F46BC-1C67-4C6C-89A6-8DFA715899F5" style="width:450.6pt;height:348pt">
            <v:imagedata r:id="rId9" o:title=""/>
          </v:shape>
        </w:pict>
      </w:r>
    </w:p>
    <w:bookmarkEnd w:id="0"/>
    <w:p w:rsidR="001131A2" w:rsidRDefault="001131A2">
      <w:pPr>
        <w:rPr>
          <w:noProof/>
        </w:rPr>
        <w:sectPr w:rsidR="001131A2" w:rsidSect="00E501D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131A2" w:rsidRDefault="00E501DB">
      <w:pPr>
        <w:spacing w:line="240" w:lineRule="auto"/>
        <w:ind w:left="426" w:hanging="426"/>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w:t>
      </w:r>
      <w:r>
        <w:rPr>
          <w:rFonts w:ascii="Times New Roman" w:hAnsi="Times New Roman" w:cs="Times New Roman"/>
          <w:b/>
          <w:noProof/>
          <w:sz w:val="24"/>
          <w:szCs w:val="24"/>
        </w:rPr>
        <w:tab/>
        <w:t xml:space="preserve">INTRODUCTION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the adoption of the European Agenda on Migration in May 2015,</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EU action to address the many challenges of the refugee and migration crisis has been framed by a comprehensive approach. In September 2017, with a mid-term review of the Agenda, the Commission made an overall assessment of the progress made in responding</w:t>
      </w:r>
      <w:r>
        <w:rPr>
          <w:rFonts w:ascii="Times New Roman" w:hAnsi="Times New Roman" w:cs="Times New Roman"/>
          <w:noProof/>
          <w:sz w:val="24"/>
          <w:szCs w:val="24"/>
        </w:rPr>
        <w:t xml:space="preserve"> to the crisis and in rolling out the actions foreseen by the Agenda.</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The European Council in its meeting of October 2017 noted the results achieved on all fronts</w:t>
      </w:r>
      <w:r>
        <w:rPr>
          <w:rFonts w:ascii="TimesNewRomanPSMT" w:hAnsi="TimesNewRomanPSMT" w:cs="TimesNewRomanPSMT"/>
          <w:noProof/>
          <w:sz w:val="24"/>
          <w:szCs w:val="24"/>
        </w:rPr>
        <w:t>, and called for this work to be consolidated.</w:t>
      </w:r>
      <w:r>
        <w:rPr>
          <w:rStyle w:val="FootnoteReference"/>
          <w:rFonts w:ascii="TimesNewRomanPSMT" w:hAnsi="TimesNewRomanPSMT" w:cs="TimesNewRomanPSMT"/>
          <w:noProof/>
          <w:sz w:val="24"/>
          <w:szCs w:val="24"/>
        </w:rPr>
        <w:footnoteReference w:id="3"/>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Commission has carried forward w</w:t>
      </w:r>
      <w:r>
        <w:rPr>
          <w:rFonts w:ascii="Times New Roman" w:hAnsi="Times New Roman" w:cs="Times New Roman"/>
          <w:noProof/>
          <w:sz w:val="24"/>
          <w:szCs w:val="24"/>
        </w:rPr>
        <w:t>ork on all the different parts of the European Agenda of Migration. To monitor progress and allow for an evidence-based assessment of the delivery on the commitments taken by EU institutions and Member States, including in European Council conclusions, the</w:t>
      </w:r>
      <w:r>
        <w:rPr>
          <w:rFonts w:ascii="Times New Roman" w:hAnsi="Times New Roman" w:cs="Times New Roman"/>
          <w:noProof/>
          <w:sz w:val="24"/>
          <w:szCs w:val="24"/>
        </w:rPr>
        <w:t xml:space="preserve"> Commission has presented regular progress reports on the implementation of the EU-Turkey Statement, on relocation and resettlement, on the operationalisation of the European Border and Coast Guard and on the progress made in the Partnership Framework with</w:t>
      </w:r>
      <w:r>
        <w:rPr>
          <w:rFonts w:ascii="Times New Roman" w:hAnsi="Times New Roman" w:cs="Times New Roman"/>
          <w:noProof/>
          <w:sz w:val="24"/>
          <w:szCs w:val="24"/>
        </w:rPr>
        <w:t xml:space="preserve"> third countries.</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Each and every workstream contributes to the overall effectiveness of the EU response. As announced in the mid-term review, this consolidated report reflects and reinforces the comprehensive approach by bringing together the different s</w:t>
      </w:r>
      <w:r>
        <w:rPr>
          <w:rFonts w:ascii="Times New Roman" w:hAnsi="Times New Roman" w:cs="Times New Roman"/>
          <w:noProof/>
          <w:sz w:val="24"/>
          <w:szCs w:val="24"/>
        </w:rPr>
        <w:t>trands. Together with the information provided in the Annexes, it presents the most important developments since the last reports of 6 September</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and identifies key actions requiring follow-up by the relevant actors, notably in the run-up to the next Europ</w:t>
      </w:r>
      <w:r>
        <w:rPr>
          <w:rFonts w:ascii="Times New Roman" w:hAnsi="Times New Roman" w:cs="Times New Roman"/>
          <w:noProof/>
          <w:sz w:val="24"/>
          <w:szCs w:val="24"/>
        </w:rPr>
        <w:t xml:space="preserve">ean Council in December. </w:t>
      </w:r>
    </w:p>
    <w:p w:rsidR="001131A2" w:rsidRDefault="001131A2">
      <w:pPr>
        <w:spacing w:after="0" w:line="240" w:lineRule="auto"/>
        <w:ind w:left="425" w:hanging="425"/>
        <w:jc w:val="both"/>
        <w:rPr>
          <w:rFonts w:ascii="Times New Roman" w:hAnsi="Times New Roman" w:cs="Times New Roman"/>
          <w:b/>
          <w:noProof/>
          <w:sz w:val="24"/>
          <w:szCs w:val="24"/>
        </w:rPr>
      </w:pPr>
    </w:p>
    <w:p w:rsidR="001131A2" w:rsidRDefault="00E501DB">
      <w:pPr>
        <w:spacing w:line="240" w:lineRule="auto"/>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 xml:space="preserve">2. </w:t>
      </w:r>
      <w:r>
        <w:rPr>
          <w:rFonts w:ascii="Times New Roman" w:hAnsi="Times New Roman" w:cs="Times New Roman"/>
          <w:b/>
          <w:noProof/>
          <w:sz w:val="24"/>
          <w:szCs w:val="24"/>
        </w:rPr>
        <w:tab/>
        <w:t xml:space="preserve">SITUATION ALONG THE MAIN MIGRATORY ROUTES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Eastern Mediterranean route</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the Eastern Mediterranean route, migratory movements remain limited compared to the period before the activation of the EU-Turkey Statement in March 2016. However, there has been an increase in arrivals in the </w:t>
      </w:r>
      <w:r>
        <w:rPr>
          <w:rFonts w:ascii="Times New Roman" w:hAnsi="Times New Roman" w:cs="Times New Roman"/>
          <w:b/>
          <w:i/>
          <w:noProof/>
          <w:sz w:val="24"/>
          <w:szCs w:val="24"/>
        </w:rPr>
        <w:t>Greek islands</w:t>
      </w:r>
      <w:r>
        <w:rPr>
          <w:rFonts w:ascii="Times New Roman" w:hAnsi="Times New Roman" w:cs="Times New Roman"/>
          <w:noProof/>
          <w:sz w:val="24"/>
          <w:szCs w:val="24"/>
        </w:rPr>
        <w:t xml:space="preserve"> since the early summer of 201</w:t>
      </w:r>
      <w:r>
        <w:rPr>
          <w:rFonts w:ascii="Times New Roman" w:hAnsi="Times New Roman" w:cs="Times New Roman"/>
          <w:noProof/>
          <w:sz w:val="24"/>
          <w:szCs w:val="24"/>
        </w:rPr>
        <w:t>7, consistent with seasonal trends. Migratory pressure has increased further from mid-August, with 198 irregular crossings per day on average in September and October, compared to 99 in the same period in 2016.</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The top nationalities of migrants arriving i</w:t>
      </w:r>
      <w:r>
        <w:rPr>
          <w:rFonts w:ascii="Times New Roman" w:hAnsi="Times New Roman" w:cs="Times New Roman"/>
          <w:noProof/>
          <w:sz w:val="24"/>
          <w:szCs w:val="24"/>
        </w:rPr>
        <w:t>n the Greek islands since the start of 2017 are Syrian (39%), Iraqi (17%), Afghani (10%) and Pakistani (6%).</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have also been some signs of migrants seeking to leave Turkey by routes other than the Aegean Sea. While the number of detections of irregu</w:t>
      </w:r>
      <w:r>
        <w:rPr>
          <w:rFonts w:ascii="Times New Roman" w:hAnsi="Times New Roman" w:cs="Times New Roman"/>
          <w:noProof/>
          <w:sz w:val="24"/>
          <w:szCs w:val="24"/>
        </w:rPr>
        <w:t>lar land border crossings from Turkey into Bulgaria remains low, there has been a recent increase in irregular crossings from Turkey into Greece via the land border (29 detections as a daily average between 4 September and 9 November, compared to 20 over t</w:t>
      </w:r>
      <w:r>
        <w:rPr>
          <w:rFonts w:ascii="Times New Roman" w:hAnsi="Times New Roman" w:cs="Times New Roman"/>
          <w:noProof/>
          <w:sz w:val="24"/>
          <w:szCs w:val="24"/>
        </w:rPr>
        <w:t xml:space="preserve">he previous six months). The main nationalities of arrivals in 2017 to the Greek mainland are so far Turkish (37%), Syrian (27%), Pakistani (15%) and </w:t>
      </w:r>
      <w:r>
        <w:rPr>
          <w:rFonts w:ascii="Times New Roman" w:hAnsi="Times New Roman" w:cs="Times New Roman"/>
          <w:noProof/>
          <w:sz w:val="24"/>
          <w:szCs w:val="24"/>
        </w:rPr>
        <w:lastRenderedPageBreak/>
        <w:t>Iraqi (12%). In contrast, arrivals over the summer from Turkey to Romania over the Black Sea currently see</w:t>
      </w:r>
      <w:r>
        <w:rPr>
          <w:rFonts w:ascii="Times New Roman" w:hAnsi="Times New Roman" w:cs="Times New Roman"/>
          <w:noProof/>
          <w:sz w:val="24"/>
          <w:szCs w:val="24"/>
        </w:rPr>
        <w:t>m to have ceased.</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There have also been limited, yet regular, arrivals from Turkey to Italy (3 676 so far in 2017). A number of arrivals to Cyprus from Turkey in 2017 have also been recorded (917 so far in 2017).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lang w:eastAsia="en-GB"/>
        </w:rPr>
        <w:drawing>
          <wp:inline distT="0" distB="0" distL="0" distR="0" wp14:anchorId="43D05B82" wp14:editId="2B535648">
            <wp:extent cx="5760000" cy="401742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4017425"/>
                    </a:xfrm>
                    <a:prstGeom prst="rect">
                      <a:avLst/>
                    </a:prstGeom>
                    <a:noFill/>
                  </pic:spPr>
                </pic:pic>
              </a:graphicData>
            </a:graphic>
          </wp:inline>
        </w:drawing>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Western Balkan route</w:t>
      </w:r>
      <w:r>
        <w:rPr>
          <w:rFonts w:ascii="Times New Roman" w:hAnsi="Times New Roman" w:cs="Times New Roman"/>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Although the numbe</w:t>
      </w:r>
      <w:r>
        <w:rPr>
          <w:rFonts w:ascii="Times New Roman" w:hAnsi="Times New Roman" w:cs="Times New Roman"/>
          <w:noProof/>
          <w:sz w:val="24"/>
          <w:szCs w:val="24"/>
        </w:rPr>
        <w:t>r of detections of irregular migrants at the entry points of the Western Balkan route has stabilised at a low level, some Member States at the end of the route report that a significant number of migrants and asylum seekers continue to reach their territor</w:t>
      </w:r>
      <w:r>
        <w:rPr>
          <w:rFonts w:ascii="Times New Roman" w:hAnsi="Times New Roman" w:cs="Times New Roman"/>
          <w:noProof/>
          <w:sz w:val="24"/>
          <w:szCs w:val="24"/>
        </w:rPr>
        <w:t>y. The fact that a significant proportion of these have no previous Eurodac registration reinforces the conclusion that a number of irregular migrants succeed in progressing undetected. Cooperation between these Member States, Europol and the European Bord</w:t>
      </w:r>
      <w:r>
        <w:rPr>
          <w:rFonts w:ascii="Times New Roman" w:hAnsi="Times New Roman" w:cs="Times New Roman"/>
          <w:noProof/>
          <w:sz w:val="24"/>
          <w:szCs w:val="24"/>
        </w:rPr>
        <w:t xml:space="preserve">er and Coast Guard Agency is essential to tackle this issue. Continued vigilance is necessary, including by making full use of the bi-weekly videoconferences chaired by the Commission.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Central Mediterranean route</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Central Mediterranean route continues </w:t>
      </w:r>
      <w:r>
        <w:rPr>
          <w:rFonts w:ascii="Times New Roman" w:hAnsi="Times New Roman" w:cs="Times New Roman"/>
          <w:noProof/>
          <w:sz w:val="24"/>
          <w:szCs w:val="24"/>
        </w:rPr>
        <w:t xml:space="preserve">to account for the largest number of people crossing by sea. The overall migratory situation has stabilised in the past months, with reduced departures from Libya on the route since mid-July. Whilst the number of arrivals in Italy was noticeably higher in </w:t>
      </w:r>
      <w:r>
        <w:rPr>
          <w:rFonts w:ascii="Times New Roman" w:hAnsi="Times New Roman" w:cs="Times New Roman"/>
          <w:noProof/>
          <w:sz w:val="24"/>
          <w:szCs w:val="24"/>
        </w:rPr>
        <w:t>early summer, overall arrivals continue the decreasing trend reported in September, and have now fallen by 30% compared to 2016 – but remain high at a total of over 114 000 for the year so far. The top three nationalities of all migrants arriving are: Nige</w:t>
      </w:r>
      <w:r>
        <w:rPr>
          <w:rFonts w:ascii="Times New Roman" w:hAnsi="Times New Roman" w:cs="Times New Roman"/>
          <w:noProof/>
          <w:sz w:val="24"/>
          <w:szCs w:val="24"/>
        </w:rPr>
        <w:t>rian (15 %); Guinean (8%); and Ivorian (8%). In addition, a significant increase of departures from Tunisia towards Italy has been registered, with a sevenfold increase in 2017 compared to 2016, albeit with numbers much lower than from Libya.</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Outward flow</w:t>
      </w:r>
      <w:r>
        <w:rPr>
          <w:rFonts w:ascii="Times New Roman" w:hAnsi="Times New Roman" w:cs="Times New Roman"/>
          <w:noProof/>
          <w:sz w:val="24"/>
          <w:szCs w:val="24"/>
        </w:rPr>
        <w:t>s from Niger towards Libya and Europe of migrants from Western African countries of origin continue their decreasing trend, but some rerouting towards Algeria continues.</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3721C9A5" wp14:editId="26418F57">
            <wp:extent cx="5760000" cy="412993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0" cy="4129931"/>
                    </a:xfrm>
                    <a:prstGeom prst="rect">
                      <a:avLst/>
                    </a:prstGeom>
                    <a:noFill/>
                  </pic:spPr>
                </pic:pic>
              </a:graphicData>
            </a:graphic>
          </wp:inline>
        </w:drawing>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At sea, the number of </w:t>
      </w:r>
      <w:r>
        <w:rPr>
          <w:rFonts w:ascii="Times New Roman" w:hAnsi="Times New Roman" w:cs="Times New Roman"/>
          <w:b/>
          <w:i/>
          <w:noProof/>
          <w:sz w:val="24"/>
          <w:szCs w:val="24"/>
        </w:rPr>
        <w:t>lives lost and missing persons</w:t>
      </w:r>
      <w:r>
        <w:rPr>
          <w:rFonts w:ascii="Times New Roman" w:hAnsi="Times New Roman" w:cs="Times New Roman"/>
          <w:noProof/>
          <w:sz w:val="24"/>
          <w:szCs w:val="24"/>
        </w:rPr>
        <w:t xml:space="preserve"> is estimated to be 2 750 so far</w:t>
      </w:r>
      <w:r>
        <w:rPr>
          <w:rFonts w:ascii="Times New Roman" w:hAnsi="Times New Roman" w:cs="Times New Roman"/>
          <w:noProof/>
          <w:sz w:val="24"/>
          <w:szCs w:val="24"/>
        </w:rPr>
        <w:t xml:space="preserve"> in 2017, compared to 4 581 in 2016.</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More than 285 100  migrants had been rescued by EU operations in support to the Italian Coast Guard.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In addition, the Libyan Coast Guard has estimated that it had rescued more than 18 400 persons this year  in Libyan </w:t>
      </w:r>
      <w:r>
        <w:rPr>
          <w:rFonts w:ascii="Times New Roman" w:hAnsi="Times New Roman" w:cs="Times New Roman"/>
          <w:noProof/>
          <w:sz w:val="24"/>
          <w:szCs w:val="24"/>
        </w:rPr>
        <w:t>territorial waters (up to 6 October),</w:t>
      </w:r>
      <w:r>
        <w:rPr>
          <w:noProof/>
        </w:rPr>
        <w:t xml:space="preserve"> </w:t>
      </w:r>
      <w:r>
        <w:rPr>
          <w:rFonts w:ascii="Times New Roman" w:hAnsi="Times New Roman" w:cs="Times New Roman"/>
          <w:noProof/>
          <w:sz w:val="24"/>
          <w:szCs w:val="24"/>
        </w:rPr>
        <w:t>helped by the return of vessels after the training of crew members.</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The EU Trust Fund for Africa</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also supports work by the International Organisation for Migration and the authorities of Niger to carry out search and</w:t>
      </w:r>
      <w:r>
        <w:rPr>
          <w:rFonts w:ascii="Times New Roman" w:hAnsi="Times New Roman" w:cs="Times New Roman"/>
          <w:noProof/>
          <w:sz w:val="24"/>
          <w:szCs w:val="24"/>
        </w:rPr>
        <w:t xml:space="preserve"> rescue missions in the desert: in 2017, over 1 100 migrants have been brought to safety after being abandoned by smugglers.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Western Mediterranean route</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 upward trend in irregular flows was recorded in the course of 2017 on the Western Mediterranean/Atl</w:t>
      </w:r>
      <w:r>
        <w:rPr>
          <w:rFonts w:ascii="Times New Roman" w:hAnsi="Times New Roman" w:cs="Times New Roman"/>
          <w:noProof/>
          <w:sz w:val="24"/>
          <w:szCs w:val="24"/>
        </w:rPr>
        <w:t>antic route, with the total number of arrivals to Spain amounting to 22 031, which is almost 94% higher than that in the same period in 2016. In 2017, until the end of August the three main countries of origin of the migrants were Morocco (21 %), Côte d’Iv</w:t>
      </w:r>
      <w:r>
        <w:rPr>
          <w:rFonts w:ascii="Times New Roman" w:hAnsi="Times New Roman" w:cs="Times New Roman"/>
          <w:noProof/>
          <w:sz w:val="24"/>
          <w:szCs w:val="24"/>
        </w:rPr>
        <w:t xml:space="preserve">oire (18 %), and Guinea (14 %).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Asylum application trends</w:t>
      </w:r>
    </w:p>
    <w:p w:rsidR="001131A2" w:rsidRDefault="00E501DB">
      <w:pPr>
        <w:spacing w:after="120" w:line="240" w:lineRule="auto"/>
        <w:jc w:val="both"/>
        <w:rPr>
          <w:rFonts w:ascii="Times New Roman" w:hAnsi="Times New Roman"/>
          <w:noProof/>
          <w:sz w:val="24"/>
          <w:szCs w:val="24"/>
        </w:rPr>
      </w:pPr>
      <w:r>
        <w:rPr>
          <w:rFonts w:ascii="Times New Roman" w:hAnsi="Times New Roman"/>
          <w:noProof/>
          <w:sz w:val="24"/>
          <w:szCs w:val="24"/>
        </w:rPr>
        <w:t>By the end of September 2017, 535 609 asylum application had been made in the EU and associated states, compared to 1 010 839 in the same period of last year.</w:t>
      </w:r>
      <w:r>
        <w:rPr>
          <w:rStyle w:val="FootnoteReference"/>
          <w:rFonts w:ascii="Times New Roman" w:hAnsi="Times New Roman" w:cs="Times New Roman"/>
          <w:noProof/>
        </w:rPr>
        <w:footnoteReference w:id="14"/>
      </w:r>
      <w:r>
        <w:rPr>
          <w:rFonts w:ascii="Times New Roman" w:hAnsi="Times New Roman"/>
          <w:noProof/>
          <w:sz w:val="24"/>
          <w:szCs w:val="24"/>
        </w:rPr>
        <w:t xml:space="preserve"> In the first half of 2017, 275 710 positive first instance decisions were issued,</w:t>
      </w:r>
      <w:r>
        <w:rPr>
          <w:rStyle w:val="FootnoteReference"/>
          <w:rFonts w:ascii="Times New Roman" w:hAnsi="Times New Roman" w:cs="Times New Roman"/>
          <w:noProof/>
        </w:rPr>
        <w:footnoteReference w:id="15"/>
      </w:r>
      <w:r>
        <w:rPr>
          <w:rFonts w:ascii="Times New Roman" w:hAnsi="Times New Roman"/>
          <w:noProof/>
          <w:sz w:val="24"/>
          <w:szCs w:val="24"/>
          <w:vertAlign w:val="superscript"/>
        </w:rPr>
        <w:t xml:space="preserve"> </w:t>
      </w:r>
      <w:r>
        <w:rPr>
          <w:rFonts w:ascii="Times New Roman" w:hAnsi="Times New Roman"/>
          <w:noProof/>
          <w:sz w:val="24"/>
          <w:szCs w:val="24"/>
        </w:rPr>
        <w:t xml:space="preserve">compared to 293 315 decision made in the same period of last year. </w:t>
      </w:r>
    </w:p>
    <w:p w:rsidR="001131A2" w:rsidRDefault="001131A2">
      <w:pPr>
        <w:spacing w:line="240" w:lineRule="auto"/>
        <w:jc w:val="both"/>
        <w:rPr>
          <w:rFonts w:ascii="Times New Roman" w:hAnsi="Times New Roman" w:cs="Times New Roman"/>
          <w:noProof/>
          <w:sz w:val="24"/>
          <w:szCs w:val="24"/>
        </w:rPr>
      </w:pPr>
    </w:p>
    <w:p w:rsidR="001131A2" w:rsidRDefault="00E501DB">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w:t>
      </w:r>
      <w:r>
        <w:rPr>
          <w:rFonts w:ascii="Times New Roman" w:hAnsi="Times New Roman" w:cs="Times New Roman"/>
          <w:b/>
          <w:noProof/>
          <w:sz w:val="24"/>
          <w:szCs w:val="24"/>
        </w:rPr>
        <w:tab/>
        <w:t>EU OPERATIONAL SUPPORT ALONG THE ROUTES</w:t>
      </w:r>
    </w:p>
    <w:p w:rsidR="001131A2" w:rsidRDefault="00E501DB">
      <w:pPr>
        <w:spacing w:after="120" w:line="240" w:lineRule="auto"/>
        <w:jc w:val="both"/>
        <w:rPr>
          <w:rFonts w:ascii="Times New Roman" w:hAnsi="Times New Roman"/>
          <w:noProof/>
          <w:sz w:val="24"/>
          <w:szCs w:val="24"/>
        </w:rPr>
      </w:pPr>
      <w:r>
        <w:rPr>
          <w:rFonts w:ascii="Times New Roman" w:hAnsi="Times New Roman"/>
          <w:noProof/>
          <w:sz w:val="24"/>
          <w:szCs w:val="24"/>
        </w:rPr>
        <w:t>The cornerstone of the EU's support remains the</w:t>
      </w:r>
      <w:r>
        <w:rPr>
          <w:rFonts w:ascii="Times New Roman" w:hAnsi="Times New Roman"/>
          <w:b/>
          <w:noProof/>
          <w:sz w:val="24"/>
          <w:szCs w:val="24"/>
        </w:rPr>
        <w:t xml:space="preserve"> </w:t>
      </w:r>
      <w:r>
        <w:rPr>
          <w:rFonts w:ascii="Times New Roman" w:hAnsi="Times New Roman"/>
          <w:b/>
          <w:i/>
          <w:noProof/>
          <w:sz w:val="24"/>
          <w:szCs w:val="24"/>
        </w:rPr>
        <w:t>hotspot appr</w:t>
      </w:r>
      <w:r>
        <w:rPr>
          <w:rFonts w:ascii="Times New Roman" w:hAnsi="Times New Roman"/>
          <w:b/>
          <w:i/>
          <w:noProof/>
          <w:sz w:val="24"/>
          <w:szCs w:val="24"/>
        </w:rPr>
        <w:t>oach</w:t>
      </w:r>
      <w:r>
        <w:rPr>
          <w:rFonts w:ascii="Times New Roman" w:hAnsi="Times New Roman"/>
          <w:noProof/>
          <w:sz w:val="24"/>
          <w:szCs w:val="24"/>
        </w:rPr>
        <w:t>, in place since 2015. The Commission has assessed the operation of the hotspots in Greece and Italy so far and in close cooperation with the Agencies, it has brought together best practices on the implementation of the hotspot approach.</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w:t>
      </w:r>
    </w:p>
    <w:p w:rsidR="001131A2" w:rsidRDefault="00E501DB">
      <w:pPr>
        <w:spacing w:after="120" w:line="240" w:lineRule="auto"/>
        <w:jc w:val="both"/>
        <w:rPr>
          <w:rFonts w:ascii="Times New Roman" w:hAnsi="Times New Roman"/>
          <w:noProof/>
          <w:sz w:val="24"/>
          <w:szCs w:val="24"/>
        </w:rPr>
      </w:pPr>
      <w:r>
        <w:rPr>
          <w:rFonts w:ascii="Times New Roman" w:hAnsi="Times New Roman"/>
          <w:noProof/>
          <w:sz w:val="24"/>
          <w:szCs w:val="24"/>
        </w:rPr>
        <w:t>The deployme</w:t>
      </w:r>
      <w:r>
        <w:rPr>
          <w:rFonts w:ascii="Times New Roman" w:hAnsi="Times New Roman"/>
          <w:noProof/>
          <w:sz w:val="24"/>
          <w:szCs w:val="24"/>
        </w:rPr>
        <w:t xml:space="preserve">nt of Europol guest officers has been instrumental in identifying risk profiles and fighting smugglers' networks and they will continue to perform second-line security checks in Greek and Italian hotspots.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Another important priority of the EU's work is to</w:t>
      </w:r>
      <w:r>
        <w:rPr>
          <w:rFonts w:ascii="Times New Roman" w:hAnsi="Times New Roman" w:cs="Times New Roman"/>
          <w:noProof/>
          <w:sz w:val="24"/>
          <w:szCs w:val="24"/>
        </w:rPr>
        <w:t xml:space="preserve"> focus on the needs of </w:t>
      </w:r>
      <w:r>
        <w:rPr>
          <w:rFonts w:ascii="Times New Roman" w:hAnsi="Times New Roman" w:cs="Times New Roman"/>
          <w:b/>
          <w:i/>
          <w:noProof/>
          <w:sz w:val="24"/>
          <w:szCs w:val="24"/>
        </w:rPr>
        <w:t>children</w:t>
      </w:r>
      <w:r>
        <w:rPr>
          <w:rFonts w:ascii="Times New Roman" w:hAnsi="Times New Roman" w:cs="Times New Roman"/>
          <w:noProof/>
          <w:sz w:val="24"/>
          <w:szCs w:val="24"/>
        </w:rPr>
        <w:t xml:space="preserve"> in the migration process.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The best practices on the implementation of the hotspots approach identify specific measures to be taken to help children and other vulnerable groups. The 11th European Forum on the rights of the child on 7-8 November provided an opportunity to explore th</w:t>
      </w:r>
      <w:r>
        <w:rPr>
          <w:rFonts w:ascii="Times New Roman" w:hAnsi="Times New Roman" w:cs="Times New Roman"/>
          <w:noProof/>
          <w:sz w:val="24"/>
          <w:szCs w:val="24"/>
        </w:rPr>
        <w:t>e need to find alternatives to detention for children in the context of migration.</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Eastern Mediterranean route</w:t>
      </w:r>
    </w:p>
    <w:p w:rsidR="001131A2" w:rsidRDefault="00E501DB">
      <w:pPr>
        <w:spacing w:line="240" w:lineRule="auto"/>
        <w:jc w:val="both"/>
        <w:rPr>
          <w:rFonts w:ascii="Times New Roman" w:hAnsi="Times New Roman"/>
          <w:noProof/>
          <w:sz w:val="24"/>
          <w:szCs w:val="24"/>
        </w:rPr>
      </w:pPr>
      <w:r>
        <w:rPr>
          <w:rFonts w:ascii="Times New Roman" w:hAnsi="Times New Roman"/>
          <w:noProof/>
          <w:sz w:val="24"/>
          <w:szCs w:val="24"/>
        </w:rPr>
        <w:t>Support from the European Border and Coast Guard Agency, the European Asylum Support Office and Europol has been critical in operationalising the</w:t>
      </w:r>
      <w:r>
        <w:rPr>
          <w:rFonts w:ascii="Times New Roman" w:hAnsi="Times New Roman"/>
          <w:noProof/>
          <w:sz w:val="24"/>
          <w:szCs w:val="24"/>
        </w:rPr>
        <w:t xml:space="preserve"> hotspots in Greece, as well as the deployment of twelve vessels in naval operations. Work to have a more precise picture of the number and needs of migrants, including in the hotspots, is under way. The Greek government is expected to complete a first sum</w:t>
      </w:r>
      <w:r>
        <w:rPr>
          <w:rFonts w:ascii="Times New Roman" w:hAnsi="Times New Roman"/>
          <w:noProof/>
          <w:sz w:val="24"/>
          <w:szCs w:val="24"/>
        </w:rPr>
        <w:t xml:space="preserve">mary of this work by the end of November. </w:t>
      </w:r>
    </w:p>
    <w:p w:rsidR="001131A2" w:rsidRDefault="00E501DB">
      <w:pPr>
        <w:spacing w:after="120" w:line="240" w:lineRule="auto"/>
        <w:jc w:val="both"/>
        <w:rPr>
          <w:rFonts w:ascii="Times New Roman" w:hAnsi="Times New Roman"/>
          <w:noProof/>
          <w:sz w:val="24"/>
          <w:szCs w:val="24"/>
        </w:rPr>
      </w:pPr>
      <w:r>
        <w:rPr>
          <w:rFonts w:ascii="Times New Roman" w:hAnsi="Times New Roman"/>
          <w:b/>
          <w:i/>
          <w:noProof/>
          <w:sz w:val="24"/>
          <w:szCs w:val="24"/>
        </w:rPr>
        <w:t xml:space="preserve">Reception places </w:t>
      </w:r>
      <w:r>
        <w:rPr>
          <w:rFonts w:ascii="Times New Roman" w:hAnsi="Times New Roman"/>
          <w:noProof/>
          <w:sz w:val="24"/>
          <w:szCs w:val="24"/>
        </w:rPr>
        <w:t>available in hotspots, however,</w:t>
      </w:r>
      <w:r>
        <w:rPr>
          <w:rFonts w:ascii="Times New Roman" w:hAnsi="Times New Roman"/>
          <w:b/>
          <w:i/>
          <w:noProof/>
          <w:sz w:val="24"/>
          <w:szCs w:val="24"/>
        </w:rPr>
        <w:t xml:space="preserve"> </w:t>
      </w:r>
      <w:r>
        <w:rPr>
          <w:rFonts w:ascii="Times New Roman" w:hAnsi="Times New Roman"/>
          <w:noProof/>
          <w:sz w:val="24"/>
          <w:szCs w:val="24"/>
        </w:rPr>
        <w:t>are still insufficient, despite the arrangements foreseen under the National Programme of the Asylum, Migration and Integration Fund. The increasing pressure caused</w:t>
      </w:r>
      <w:r>
        <w:rPr>
          <w:rFonts w:ascii="Times New Roman" w:hAnsi="Times New Roman"/>
          <w:noProof/>
          <w:sz w:val="24"/>
          <w:szCs w:val="24"/>
        </w:rPr>
        <w:t xml:space="preserve"> by recent high numbers of arrivals may add further pressure. Improving the availability</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and quality of reception places, including by better addressing the specific needs of vulnerable groups, remains an urgent priority. Immediate action by the Greek aut</w:t>
      </w:r>
      <w:r>
        <w:rPr>
          <w:rFonts w:ascii="Times New Roman" w:hAnsi="Times New Roman"/>
          <w:noProof/>
          <w:sz w:val="24"/>
          <w:szCs w:val="24"/>
        </w:rPr>
        <w:t xml:space="preserve">horities is needed to further address the shortcomings of reception facilities on the islands and prepare for winter conditions. The Commission stands ready to provide the appropriate support. </w:t>
      </w:r>
    </w:p>
    <w:p w:rsidR="001131A2" w:rsidRDefault="00E501DB">
      <w:pPr>
        <w:spacing w:line="240" w:lineRule="auto"/>
        <w:jc w:val="both"/>
        <w:rPr>
          <w:rFonts w:ascii="Times New Roman" w:hAnsi="Times New Roman"/>
          <w:noProof/>
          <w:sz w:val="24"/>
          <w:szCs w:val="24"/>
        </w:rPr>
      </w:pPr>
      <w:r>
        <w:rPr>
          <w:rFonts w:ascii="Times New Roman" w:hAnsi="Times New Roman"/>
          <w:noProof/>
          <w:sz w:val="24"/>
          <w:szCs w:val="24"/>
        </w:rPr>
        <w:t>T</w:t>
      </w:r>
      <w:r>
        <w:rPr>
          <w:rFonts w:ascii="Times New Roman" w:hAnsi="Times New Roman" w:cs="Times New Roman"/>
          <w:noProof/>
          <w:sz w:val="24"/>
          <w:szCs w:val="24"/>
        </w:rPr>
        <w:t>he EU also continues to provide substantial</w:t>
      </w:r>
      <w:r>
        <w:rPr>
          <w:rFonts w:ascii="Times New Roman" w:hAnsi="Times New Roman" w:cs="Times New Roman"/>
          <w:b/>
          <w:i/>
          <w:noProof/>
          <w:sz w:val="24"/>
          <w:szCs w:val="24"/>
        </w:rPr>
        <w:t xml:space="preserve"> financial support</w:t>
      </w:r>
      <w:r>
        <w:rPr>
          <w:rFonts w:ascii="Times New Roman" w:hAnsi="Times New Roman" w:cs="Times New Roman"/>
          <w:noProof/>
          <w:sz w:val="24"/>
          <w:szCs w:val="24"/>
        </w:rPr>
        <w:t xml:space="preserve"> to Greece in the face of the challenges of the crisis. Over EUR 440 million has now been provided from the Emergency Support Instrument within the EU to support the work of 15 humanitarian partners. This instrument has been able to ensure that sufficient </w:t>
      </w:r>
      <w:r>
        <w:rPr>
          <w:rFonts w:ascii="Times New Roman" w:hAnsi="Times New Roman" w:cs="Times New Roman"/>
          <w:noProof/>
          <w:sz w:val="24"/>
          <w:szCs w:val="24"/>
        </w:rPr>
        <w:t xml:space="preserve">reception places are available on the mainland, modulating availability according to need up to a total of 40 000, as well as to contribute to the creation of capacity on the islands. The current priority of this work is for the Greek authorities to shift </w:t>
      </w:r>
      <w:r>
        <w:rPr>
          <w:rFonts w:ascii="Times New Roman" w:hAnsi="Times New Roman" w:cs="Times New Roman"/>
          <w:noProof/>
          <w:sz w:val="24"/>
          <w:szCs w:val="24"/>
        </w:rPr>
        <w:t>as many refugees as possible from camps to rented accommodation. A multi-purpose cash programme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has also been put in place. The main objective of the rental accommodation and cash programme is to provide dignified conditions for those in need. </w:t>
      </w:r>
      <w:r>
        <w:rPr>
          <w:rFonts w:ascii="Times New Roman" w:hAnsi="Times New Roman"/>
          <w:noProof/>
          <w:sz w:val="24"/>
          <w:szCs w:val="24"/>
        </w:rPr>
        <w:t>As of 7 Nov</w:t>
      </w:r>
      <w:r>
        <w:rPr>
          <w:rFonts w:ascii="Times New Roman" w:hAnsi="Times New Roman"/>
          <w:noProof/>
          <w:sz w:val="24"/>
          <w:szCs w:val="24"/>
        </w:rPr>
        <w:t xml:space="preserve">ember, 19 447 accommodation places have been created – though the number of refugees hosted in the urban rental accommodation scheme fluctuates, the current figure is 15 458 refugees. On a monthly basis, an average of 32 500 refugees receive cash support.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Discussions are under way with the Greek authorities on the adoption of a financial plan for 2018, where essential needs, activities and respective sources of funding will be identified. F</w:t>
      </w:r>
      <w:r>
        <w:rPr>
          <w:rFonts w:ascii="Times New Roman" w:hAnsi="Times New Roman"/>
          <w:noProof/>
          <w:sz w:val="24"/>
          <w:szCs w:val="24"/>
        </w:rPr>
        <w:t xml:space="preserve">urther steps have been taken to ensure more sustainable support by </w:t>
      </w:r>
      <w:r>
        <w:rPr>
          <w:rFonts w:ascii="Times New Roman" w:hAnsi="Times New Roman"/>
          <w:noProof/>
          <w:sz w:val="24"/>
          <w:szCs w:val="24"/>
        </w:rPr>
        <w:t>shifting from emergency funding to using money allocated under the national programmes for Greece. For example, funding under these programmes is being used to support the provision of services such as catering, accommodation, and cleaning in the hotspots,</w:t>
      </w:r>
      <w:r>
        <w:rPr>
          <w:rFonts w:ascii="Times New Roman" w:hAnsi="Times New Roman"/>
          <w:noProof/>
          <w:sz w:val="24"/>
          <w:szCs w:val="24"/>
        </w:rPr>
        <w:t xml:space="preserve"> as well as services in shelters for unaccompanied minors. These programmes already fund agreed priorities, including reception services on the islands and shelters for unaccompanied minors.</w:t>
      </w:r>
      <w:r>
        <w:rPr>
          <w:rFonts w:ascii="Times New Roman" w:hAnsi="Times New Roman" w:cs="Times New Roman"/>
          <w:noProof/>
          <w:sz w:val="24"/>
          <w:szCs w:val="24"/>
        </w:rPr>
        <w:t xml:space="preserve"> EU support (approximately EUR 27 million so far) for the Assisted</w:t>
      </w:r>
      <w:r>
        <w:rPr>
          <w:rFonts w:ascii="Times New Roman" w:hAnsi="Times New Roman" w:cs="Times New Roman"/>
          <w:noProof/>
          <w:sz w:val="24"/>
          <w:szCs w:val="24"/>
        </w:rPr>
        <w:t xml:space="preserve"> Voluntary Returns and Reintegration Programme implemented by the International Organisation for Migration has also been crucial to alleviate some of the pressure: more than 4 800 people have returned to their country of origin through this scheme in 2017.</w:t>
      </w:r>
      <w:r>
        <w:rPr>
          <w:rFonts w:ascii="Times New Roman" w:hAnsi="Times New Roman" w:cs="Times New Roman"/>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Greece, European Asylum Support Office teams provide support to Greek authorities with the identification and registration of potential applicants for international protection, and inform migrants about the international protection system in Greece a</w:t>
      </w:r>
      <w:r>
        <w:rPr>
          <w:rFonts w:ascii="Times New Roman" w:hAnsi="Times New Roman" w:cs="Times New Roman"/>
          <w:noProof/>
          <w:sz w:val="24"/>
          <w:szCs w:val="24"/>
        </w:rPr>
        <w:t xml:space="preserve">s well as the relocation procedure. In addition, </w:t>
      </w:r>
      <w:r>
        <w:rPr>
          <w:rFonts w:ascii="Times New Roman" w:hAnsi="Times New Roman" w:cs="Times New Roman"/>
          <w:b/>
          <w:i/>
          <w:noProof/>
          <w:sz w:val="24"/>
          <w:szCs w:val="24"/>
        </w:rPr>
        <w:t>experts</w:t>
      </w:r>
      <w:r>
        <w:rPr>
          <w:rFonts w:ascii="Times New Roman" w:hAnsi="Times New Roman" w:cs="Times New Roman"/>
          <w:noProof/>
          <w:sz w:val="24"/>
          <w:szCs w:val="24"/>
        </w:rPr>
        <w:t xml:space="preserve"> provide advice on nationality assessment and possible exclusion issues, and contribute to the detection of possible document fraud. As of 9 November, through the European Asylum Support Office, 18 ex</w:t>
      </w:r>
      <w:r>
        <w:rPr>
          <w:rFonts w:ascii="Times New Roman" w:hAnsi="Times New Roman" w:cs="Times New Roman"/>
          <w:noProof/>
          <w:sz w:val="24"/>
          <w:szCs w:val="24"/>
        </w:rPr>
        <w:t>perts from Member States are deployed to support the relocation process, and one expert in support of the Greek Reception and Identification Service. The European Border and Coast Guard Agency as of 8 November deploys 21 experts at the border between Greec</w:t>
      </w:r>
      <w:r>
        <w:rPr>
          <w:rFonts w:ascii="Times New Roman" w:hAnsi="Times New Roman" w:cs="Times New Roman"/>
          <w:noProof/>
          <w:sz w:val="24"/>
          <w:szCs w:val="24"/>
        </w:rPr>
        <w:t xml:space="preserve">e and the former Yugoslav Republic of Macedonia. </w:t>
      </w:r>
    </w:p>
    <w:p w:rsidR="001131A2" w:rsidRDefault="00E501DB">
      <w:pPr>
        <w:spacing w:line="240" w:lineRule="auto"/>
        <w:jc w:val="both"/>
        <w:rPr>
          <w:rFonts w:ascii="Times New Roman" w:hAnsi="Times New Roman"/>
          <w:noProof/>
          <w:sz w:val="24"/>
          <w:szCs w:val="24"/>
        </w:rPr>
      </w:pPr>
      <w:r>
        <w:rPr>
          <w:rFonts w:ascii="Times New Roman" w:hAnsi="Times New Roman"/>
          <w:noProof/>
          <w:sz w:val="24"/>
          <w:szCs w:val="24"/>
        </w:rPr>
        <w:t xml:space="preserve">Significant financial support has also been provided to </w:t>
      </w:r>
      <w:r>
        <w:rPr>
          <w:rFonts w:ascii="Times New Roman" w:hAnsi="Times New Roman"/>
          <w:b/>
          <w:i/>
          <w:noProof/>
          <w:sz w:val="24"/>
          <w:szCs w:val="24"/>
        </w:rPr>
        <w:t>Bulgaria</w:t>
      </w:r>
      <w:r>
        <w:rPr>
          <w:rFonts w:ascii="Times New Roman" w:hAnsi="Times New Roman"/>
          <w:noProof/>
          <w:sz w:val="24"/>
          <w:szCs w:val="24"/>
        </w:rPr>
        <w:t xml:space="preserve"> to address migration challenges. The emergency assistance grants awarded to Bulgaria</w:t>
      </w:r>
      <w:r>
        <w:rPr>
          <w:rFonts w:ascii="Times New Roman" w:hAnsi="Times New Roman"/>
          <w:b/>
          <w:i/>
          <w:noProof/>
          <w:sz w:val="24"/>
          <w:szCs w:val="24"/>
        </w:rPr>
        <w:t xml:space="preserve"> </w:t>
      </w:r>
      <w:r>
        <w:rPr>
          <w:rFonts w:ascii="Times New Roman" w:hAnsi="Times New Roman"/>
          <w:noProof/>
          <w:sz w:val="24"/>
          <w:szCs w:val="24"/>
        </w:rPr>
        <w:t>in autumn 2016 have recently been extended by a year, to</w:t>
      </w:r>
      <w:r>
        <w:rPr>
          <w:rFonts w:ascii="Times New Roman" w:hAnsi="Times New Roman"/>
          <w:noProof/>
          <w:sz w:val="24"/>
          <w:szCs w:val="24"/>
        </w:rPr>
        <w:t xml:space="preserve"> allow for full implementation. The European Border and Coast Guard Agency continues to assist Bulgaria in controlling its land borders, also in view of preventing secondary movements. The current deployment includes 143 officers, as well as a wide range o</w:t>
      </w:r>
      <w:r>
        <w:rPr>
          <w:rFonts w:ascii="Times New Roman" w:hAnsi="Times New Roman"/>
          <w:noProof/>
          <w:sz w:val="24"/>
          <w:szCs w:val="24"/>
        </w:rPr>
        <w:t>f equipment. Under the national programme of the Asylum, Migration and Integration Fund (2014-2020), Bulgaria has EUR 4.5 million allocated to cover return measures including Assisted Voluntary Return, and emergency support has also helped the assisted vol</w:t>
      </w:r>
      <w:r>
        <w:rPr>
          <w:rFonts w:ascii="Times New Roman" w:hAnsi="Times New Roman"/>
          <w:noProof/>
          <w:sz w:val="24"/>
          <w:szCs w:val="24"/>
        </w:rPr>
        <w:t>untary return of 800 people (until 10 November 2017).</w:t>
      </w:r>
    </w:p>
    <w:p w:rsidR="001131A2" w:rsidRDefault="00E501DB">
      <w:pPr>
        <w:rPr>
          <w:rFonts w:ascii="Times New Roman" w:hAnsi="Times New Roman"/>
          <w:b/>
          <w:i/>
          <w:noProof/>
          <w:sz w:val="24"/>
          <w:szCs w:val="24"/>
        </w:rPr>
      </w:pPr>
      <w:r>
        <w:rPr>
          <w:rFonts w:ascii="Times New Roman" w:hAnsi="Times New Roman"/>
          <w:b/>
          <w:i/>
          <w:noProof/>
          <w:sz w:val="24"/>
          <w:szCs w:val="24"/>
        </w:rPr>
        <w:br w:type="page"/>
      </w:r>
    </w:p>
    <w:p w:rsidR="001131A2" w:rsidRDefault="00E501DB">
      <w:pPr>
        <w:spacing w:line="240" w:lineRule="auto"/>
        <w:jc w:val="both"/>
        <w:rPr>
          <w:rFonts w:ascii="Times New Roman" w:hAnsi="Times New Roman" w:cs="Times New Roman"/>
          <w:noProof/>
          <w:sz w:val="24"/>
          <w:szCs w:val="24"/>
        </w:rPr>
      </w:pPr>
      <w:r>
        <w:rPr>
          <w:rFonts w:ascii="Times New Roman" w:hAnsi="Times New Roman"/>
          <w:b/>
          <w:i/>
          <w:noProof/>
          <w:sz w:val="24"/>
          <w:szCs w:val="24"/>
        </w:rPr>
        <w:t>The</w:t>
      </w:r>
      <w:r>
        <w:rPr>
          <w:rFonts w:ascii="Times New Roman" w:hAnsi="Times New Roman"/>
          <w:noProof/>
          <w:sz w:val="24"/>
          <w:szCs w:val="24"/>
        </w:rPr>
        <w:t xml:space="preserve"> </w:t>
      </w:r>
      <w:r>
        <w:rPr>
          <w:rFonts w:ascii="Times New Roman" w:hAnsi="Times New Roman" w:cs="Times New Roman"/>
          <w:b/>
          <w:i/>
          <w:noProof/>
          <w:sz w:val="24"/>
          <w:szCs w:val="24"/>
        </w:rPr>
        <w:t>EU-Turkey Statement</w:t>
      </w:r>
    </w:p>
    <w:p w:rsidR="001131A2" w:rsidRDefault="00E501DB">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The implementation of the EU-Turkey Statement has continued to play a key role in ensuring that the migration challenge in the Eastern Mediterranean is addressed effectively </w:t>
      </w:r>
      <w:r>
        <w:rPr>
          <w:rFonts w:ascii="Times New Roman" w:hAnsi="Times New Roman" w:cs="Times New Roman"/>
          <w:noProof/>
          <w:sz w:val="24"/>
          <w:szCs w:val="24"/>
        </w:rPr>
        <w:t>and jointly by the EU and Turkey. It continues to deliver concrete results in reducing irregular and dangerous crossings and in saving lives in the Aegean Sea. In addition, through the Facility for Refugees in Turkey, the Statement delivers practical suppo</w:t>
      </w:r>
      <w:r>
        <w:rPr>
          <w:rFonts w:ascii="Times New Roman" w:hAnsi="Times New Roman" w:cs="Times New Roman"/>
          <w:noProof/>
          <w:sz w:val="24"/>
          <w:szCs w:val="24"/>
        </w:rPr>
        <w:t>rt to Syrian refugees and host communities in Turkey, as well as ensuring resettlement of Syrians from Turkey to Europe. The full and sustained implementation of the Statement requires continuous efforts and political determination from all sides.</w:t>
      </w:r>
    </w:p>
    <w:p w:rsidR="001131A2" w:rsidRDefault="00E501DB">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1131A2" w:rsidRDefault="00E501DB">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The Co</w:t>
      </w:r>
      <w:r>
        <w:rPr>
          <w:rFonts w:ascii="Times New Roman" w:hAnsi="Times New Roman" w:cs="Times New Roman"/>
          <w:noProof/>
          <w:sz w:val="24"/>
          <w:szCs w:val="24"/>
        </w:rPr>
        <w:t>mmission and EU agencies continue their targeted work to implement the Statement (see Annex 2), including through significant support to the Greek Asylum Service.</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However, the shortcomings identified in the previous reports persist.</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In particular, the pa</w:t>
      </w:r>
      <w:r>
        <w:rPr>
          <w:rFonts w:ascii="Times New Roman" w:hAnsi="Times New Roman" w:cs="Times New Roman"/>
          <w:noProof/>
          <w:sz w:val="24"/>
          <w:szCs w:val="24"/>
        </w:rPr>
        <w:t>ce of</w:t>
      </w:r>
      <w:r>
        <w:rPr>
          <w:rFonts w:ascii="Times New Roman" w:hAnsi="Times New Roman" w:cs="Times New Roman"/>
          <w:i/>
          <w:noProof/>
          <w:sz w:val="24"/>
          <w:szCs w:val="24"/>
        </w:rPr>
        <w:t xml:space="preserve"> returns</w:t>
      </w:r>
      <w:r>
        <w:rPr>
          <w:rFonts w:ascii="Times New Roman" w:hAnsi="Times New Roman" w:cs="Times New Roman"/>
          <w:noProof/>
          <w:sz w:val="24"/>
          <w:szCs w:val="24"/>
        </w:rPr>
        <w:t xml:space="preserve"> to Turkey under the Statement remains very slow, with only 1 969 returns since March 2016.</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Of these, only 439 were the result of a second instance negative judicial decision on an asylum application. Ensuring effective returns once legal pro</w:t>
      </w:r>
      <w:r>
        <w:rPr>
          <w:rFonts w:ascii="Times New Roman" w:hAnsi="Times New Roman" w:cs="Times New Roman"/>
          <w:noProof/>
          <w:sz w:val="24"/>
          <w:szCs w:val="24"/>
        </w:rPr>
        <w:t xml:space="preserve">ceedings are complete is a core part of the Statement so this depends heavily on the resources provided for all relevant stages of the Greek asylum system. In spite of the ruling of the Greek Council of State published on 22 September 2017, which rejected </w:t>
      </w:r>
      <w:r>
        <w:rPr>
          <w:rFonts w:ascii="Times New Roman" w:hAnsi="Times New Roman" w:cs="Times New Roman"/>
          <w:noProof/>
          <w:sz w:val="24"/>
          <w:szCs w:val="24"/>
        </w:rPr>
        <w:t>the appeals of two Syrians and thereby concluded that Turkey is a safe country for the return of migrants under the Statement, subject to individual assessment, the number of decisions by the Appeal Committees has not increased substantially, and consequen</w:t>
      </w:r>
      <w:r>
        <w:rPr>
          <w:rFonts w:ascii="Times New Roman" w:hAnsi="Times New Roman" w:cs="Times New Roman"/>
          <w:noProof/>
          <w:sz w:val="24"/>
          <w:szCs w:val="24"/>
        </w:rPr>
        <w:t>tly returns remain low, also due to the number of subsequent administrative appeals. The result is that pressure on facilities and operations in the Greek islands remains high and continues to increase: as of 9 November, an estimated 15 169 migrants are pr</w:t>
      </w:r>
      <w:r>
        <w:rPr>
          <w:rFonts w:ascii="Times New Roman" w:hAnsi="Times New Roman" w:cs="Times New Roman"/>
          <w:noProof/>
          <w:sz w:val="24"/>
          <w:szCs w:val="24"/>
        </w:rPr>
        <w:t xml:space="preserve">esent on the islands.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i/>
          <w:noProof/>
          <w:sz w:val="24"/>
          <w:szCs w:val="24"/>
        </w:rPr>
        <w:t>Resettlement</w:t>
      </w:r>
      <w:r>
        <w:rPr>
          <w:rFonts w:ascii="Times New Roman" w:hAnsi="Times New Roman" w:cs="Times New Roman"/>
          <w:noProof/>
          <w:sz w:val="24"/>
          <w:szCs w:val="24"/>
        </w:rPr>
        <w:t xml:space="preserve"> from Turkey under the Statement continues, and it is essential that a high pace is maintained. Since 4 April 2016, 11 354 people have been resettled from Turkey.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As for the </w:t>
      </w:r>
      <w:r>
        <w:rPr>
          <w:rFonts w:ascii="Times New Roman" w:hAnsi="Times New Roman" w:cs="Times New Roman"/>
          <w:i/>
          <w:noProof/>
          <w:sz w:val="24"/>
          <w:szCs w:val="24"/>
        </w:rPr>
        <w:t>Voluntary Humanitarian Admissions Scheme</w:t>
      </w:r>
      <w:r>
        <w:rPr>
          <w:rFonts w:ascii="Times New Roman" w:hAnsi="Times New Roman" w:cs="Times New Roman"/>
          <w:noProof/>
          <w:sz w:val="24"/>
          <w:szCs w:val="24"/>
        </w:rPr>
        <w:t xml:space="preserve">, the </w:t>
      </w:r>
      <w:r>
        <w:rPr>
          <w:rFonts w:ascii="Times New Roman" w:hAnsi="Times New Roman" w:cs="Times New Roman"/>
          <w:noProof/>
          <w:sz w:val="24"/>
          <w:szCs w:val="24"/>
        </w:rPr>
        <w:t>Commission and Turkey finalised the Standard Operating Procedures, which now need to be endorsed by the Member States. A swift decision on its activation would boost the implementation of the Statement, providing Syrians with a safe and legal alternative t</w:t>
      </w:r>
      <w:r>
        <w:rPr>
          <w:rFonts w:ascii="Times New Roman" w:hAnsi="Times New Roman" w:cs="Times New Roman"/>
          <w:noProof/>
          <w:sz w:val="24"/>
          <w:szCs w:val="24"/>
        </w:rPr>
        <w:t>o irregular migration to the EU.</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Operational dialogue on migration with the Turkish authorities continues, specifically on returns and information-sharing, as well as on resettlement. As regards the implementation of the </w:t>
      </w:r>
      <w:r>
        <w:rPr>
          <w:rFonts w:ascii="Times New Roman" w:hAnsi="Times New Roman" w:cs="Times New Roman"/>
          <w:i/>
          <w:noProof/>
          <w:sz w:val="24"/>
          <w:szCs w:val="24"/>
        </w:rPr>
        <w:t>Visa Liberalisation Roadmap</w:t>
      </w:r>
      <w:r>
        <w:rPr>
          <w:rFonts w:ascii="Times New Roman" w:hAnsi="Times New Roman" w:cs="Times New Roman"/>
          <w:noProof/>
          <w:sz w:val="24"/>
          <w:szCs w:val="24"/>
        </w:rPr>
        <w:t>, the Co</w:t>
      </w:r>
      <w:r>
        <w:rPr>
          <w:rFonts w:ascii="Times New Roman" w:hAnsi="Times New Roman" w:cs="Times New Roman"/>
          <w:noProof/>
          <w:sz w:val="24"/>
          <w:szCs w:val="24"/>
        </w:rPr>
        <w:t xml:space="preserve">mmission continues to encourage Turkey's efforts to complete the delivery of all the outstanding benchmarks of the Roadmap as soon as possible. </w:t>
      </w:r>
    </w:p>
    <w:p w:rsidR="001131A2" w:rsidRDefault="00E501D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Another key element of the Statement is support through the </w:t>
      </w:r>
      <w:r>
        <w:rPr>
          <w:rFonts w:ascii="Times New Roman" w:hAnsi="Times New Roman" w:cs="Times New Roman"/>
          <w:i/>
          <w:noProof/>
          <w:sz w:val="24"/>
          <w:szCs w:val="24"/>
        </w:rPr>
        <w:t>Facility for Refugees in Turkey</w:t>
      </w:r>
      <w:r>
        <w:rPr>
          <w:rFonts w:ascii="Times New Roman" w:hAnsi="Times New Roman" w:cs="Times New Roman"/>
          <w:noProof/>
          <w:sz w:val="24"/>
          <w:szCs w:val="24"/>
        </w:rPr>
        <w:t>, focussed on delive</w:t>
      </w:r>
      <w:r>
        <w:rPr>
          <w:rFonts w:ascii="Times New Roman" w:hAnsi="Times New Roman" w:cs="Times New Roman"/>
          <w:noProof/>
          <w:sz w:val="24"/>
          <w:szCs w:val="24"/>
        </w:rPr>
        <w:t>ring direct impact on the ground (see Annex 3). The EU is on track to contract the full amount of EUR 3 billion by the end of 2017. Contracts have already been signed for 55 projects for an amount of EUR 1.78 billion.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For all these contracts, effective im</w:t>
      </w:r>
      <w:r>
        <w:rPr>
          <w:rFonts w:ascii="Times New Roman" w:hAnsi="Times New Roman" w:cs="Times New Roman"/>
          <w:noProof/>
          <w:sz w:val="24"/>
          <w:szCs w:val="24"/>
        </w:rPr>
        <w:t>plementation is underway. The total amount disbursed has reached EUR 908 million.  Projects bringing education to almost half a million Syrian children and healthcare to some two million persons are now under way. A significant landmark was reached in Sept</w:t>
      </w:r>
      <w:r>
        <w:rPr>
          <w:rFonts w:ascii="Times New Roman" w:hAnsi="Times New Roman" w:cs="Times New Roman"/>
          <w:noProof/>
          <w:sz w:val="24"/>
          <w:szCs w:val="24"/>
        </w:rPr>
        <w:t xml:space="preserve">ember 2017, with one million of the most vulnerable refugees now receiving monthly electronic cash transfers to cover their everyday needs. </w:t>
      </w:r>
    </w:p>
    <w:p w:rsidR="001131A2" w:rsidRDefault="001131A2">
      <w:pPr>
        <w:widowControl w:val="0"/>
        <w:spacing w:after="0" w:line="240" w:lineRule="auto"/>
        <w:jc w:val="both"/>
        <w:rPr>
          <w:rFonts w:ascii="Times New Roman" w:hAnsi="Times New Roman" w:cs="Times New Roman"/>
          <w:b/>
          <w:i/>
          <w:noProof/>
          <w:sz w:val="24"/>
          <w:szCs w:val="24"/>
        </w:rPr>
      </w:pPr>
    </w:p>
    <w:p w:rsidR="001131A2" w:rsidRDefault="00E501DB">
      <w:pPr>
        <w:widowControl w:val="0"/>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Jordan and Lebanon</w:t>
      </w:r>
    </w:p>
    <w:p w:rsidR="001131A2" w:rsidRDefault="00E501DB">
      <w:pPr>
        <w:widowControl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is also providing support to other countries facing pressures following the Syrian crisi</w:t>
      </w:r>
      <w:r>
        <w:rPr>
          <w:rFonts w:ascii="Times New Roman" w:hAnsi="Times New Roman" w:cs="Times New Roman"/>
          <w:noProof/>
          <w:sz w:val="24"/>
          <w:szCs w:val="24"/>
        </w:rPr>
        <w:t>s and to help manage the huge challenge of the continued refugee crisis. Jordan and Lebanon continue to support livelihoods of refugees alongside their host communities. Both Jordan and Lebanon have recently taken important steps to open up education to al</w:t>
      </w:r>
      <w:r>
        <w:rPr>
          <w:rFonts w:ascii="Times New Roman" w:hAnsi="Times New Roman" w:cs="Times New Roman"/>
          <w:noProof/>
          <w:sz w:val="24"/>
          <w:szCs w:val="24"/>
        </w:rPr>
        <w:t xml:space="preserve">l refugee children. The EU Regional Trust Fund in Response to the Syrian Crisis has so far allocated EUR 290 million to projects in Lebanon (EUR 152.3 million contracted) and EUR 141 million to projects in Jordan (EUR 96.5 million contracted). The EU will </w:t>
      </w:r>
      <w:r>
        <w:rPr>
          <w:rFonts w:ascii="Times New Roman" w:hAnsi="Times New Roman" w:cs="Times New Roman"/>
          <w:noProof/>
          <w:sz w:val="24"/>
          <w:szCs w:val="24"/>
        </w:rPr>
        <w:t xml:space="preserve">continue to prioritise actions to provide protection and assistance to the most vulnerable. The need for substantial international financial support will continue.  </w:t>
      </w:r>
    </w:p>
    <w:p w:rsidR="001131A2" w:rsidRDefault="001131A2">
      <w:pPr>
        <w:widowControl w:val="0"/>
        <w:spacing w:after="0" w:line="240" w:lineRule="auto"/>
        <w:jc w:val="both"/>
        <w:rPr>
          <w:rFonts w:ascii="Times New Roman" w:hAnsi="Times New Roman" w:cs="Times New Roman"/>
          <w:noProof/>
          <w:sz w:val="24"/>
          <w:szCs w:val="24"/>
        </w:rPr>
      </w:pPr>
    </w:p>
    <w:p w:rsidR="001131A2" w:rsidRDefault="001131A2">
      <w:pPr>
        <w:widowControl w:val="0"/>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1131A2">
        <w:tc>
          <w:tcPr>
            <w:tcW w:w="9288" w:type="dxa"/>
          </w:tcPr>
          <w:p w:rsidR="001131A2" w:rsidRDefault="00E501DB">
            <w:pPr>
              <w:jc w:val="both"/>
              <w:rPr>
                <w:rFonts w:ascii="Times New Roman" w:hAnsi="Times New Roman" w:cs="Times New Roman"/>
                <w:b/>
                <w:i/>
                <w:noProof/>
                <w:sz w:val="24"/>
                <w:szCs w:val="24"/>
              </w:rPr>
            </w:pPr>
            <w:r>
              <w:rPr>
                <w:rFonts w:ascii="Times New Roman" w:hAnsi="Times New Roman" w:cs="Times New Roman"/>
                <w:b/>
                <w:i/>
                <w:noProof/>
                <w:sz w:val="24"/>
                <w:szCs w:val="24"/>
              </w:rPr>
              <w:t>Key future actions</w:t>
            </w:r>
          </w:p>
          <w:p w:rsidR="001131A2" w:rsidRDefault="001131A2">
            <w:pPr>
              <w:pStyle w:val="ListParagraph"/>
              <w:jc w:val="both"/>
              <w:rPr>
                <w:rFonts w:ascii="Times New Roman" w:hAnsi="Times New Roman" w:cs="Times New Roman"/>
                <w:noProof/>
                <w:sz w:val="24"/>
                <w:szCs w:val="24"/>
              </w:rPr>
            </w:pPr>
          </w:p>
          <w:p w:rsidR="001131A2" w:rsidRDefault="00E501DB">
            <w:pPr>
              <w:pStyle w:val="ListParagraph"/>
              <w:numPr>
                <w:ilvl w:val="0"/>
                <w:numId w:val="29"/>
              </w:numPr>
              <w:ind w:left="426"/>
              <w:jc w:val="both"/>
              <w:rPr>
                <w:rFonts w:ascii="Times New Roman" w:hAnsi="Times New Roman" w:cs="Times New Roman"/>
                <w:noProof/>
                <w:sz w:val="24"/>
                <w:szCs w:val="24"/>
              </w:rPr>
            </w:pPr>
            <w:r>
              <w:rPr>
                <w:rFonts w:ascii="Times New Roman" w:hAnsi="Times New Roman" w:cs="Times New Roman"/>
                <w:noProof/>
                <w:sz w:val="24"/>
                <w:szCs w:val="24"/>
              </w:rPr>
              <w:t>To improve the situation on the Greek islands, the Greek authorities</w:t>
            </w:r>
            <w:r>
              <w:rPr>
                <w:rFonts w:ascii="Times New Roman" w:hAnsi="Times New Roman" w:cs="Times New Roman"/>
                <w:noProof/>
                <w:sz w:val="24"/>
                <w:szCs w:val="24"/>
              </w:rPr>
              <w:t xml:space="preserve"> should urgently increase the rate of return to Turkey of those persons who are not entitled to remain in Greece, in full compliance with EU and international rules. This applies also to returns of Syrians further to the recent ruling of the Council of Sta</w:t>
            </w:r>
            <w:r>
              <w:rPr>
                <w:rFonts w:ascii="Times New Roman" w:hAnsi="Times New Roman" w:cs="Times New Roman"/>
                <w:noProof/>
                <w:sz w:val="24"/>
                <w:szCs w:val="24"/>
              </w:rPr>
              <w:t xml:space="preserve">te; </w:t>
            </w:r>
          </w:p>
          <w:p w:rsidR="001131A2" w:rsidRDefault="00E501DB">
            <w:pPr>
              <w:pStyle w:val="ListParagraph"/>
              <w:numPr>
                <w:ilvl w:val="0"/>
                <w:numId w:val="29"/>
              </w:numPr>
              <w:ind w:left="426"/>
              <w:jc w:val="both"/>
              <w:rPr>
                <w:rFonts w:ascii="Times New Roman" w:hAnsi="Times New Roman" w:cs="Times New Roman"/>
                <w:noProof/>
                <w:sz w:val="24"/>
                <w:szCs w:val="24"/>
              </w:rPr>
            </w:pPr>
            <w:r>
              <w:rPr>
                <w:rFonts w:ascii="Times New Roman" w:hAnsi="Times New Roman" w:cs="Times New Roman"/>
                <w:noProof/>
                <w:sz w:val="24"/>
                <w:szCs w:val="24"/>
              </w:rPr>
              <w:t>Improve reception conditions and capacity on the islands;</w:t>
            </w:r>
          </w:p>
          <w:p w:rsidR="001131A2" w:rsidRDefault="00E501DB">
            <w:pPr>
              <w:pStyle w:val="ListParagraph"/>
              <w:numPr>
                <w:ilvl w:val="0"/>
                <w:numId w:val="29"/>
              </w:numPr>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Agree quickly on the Voluntary Humanitarian Admission Scheme and its activation, in line with the conditions set out by the EU-Turkey Statement; </w:t>
            </w:r>
          </w:p>
          <w:p w:rsidR="001131A2" w:rsidRDefault="00E501DB">
            <w:pPr>
              <w:pStyle w:val="ListParagraph"/>
              <w:numPr>
                <w:ilvl w:val="0"/>
                <w:numId w:val="29"/>
              </w:numPr>
              <w:ind w:left="426"/>
              <w:jc w:val="both"/>
              <w:rPr>
                <w:rFonts w:ascii="Times New Roman" w:hAnsi="Times New Roman" w:cs="Times New Roman"/>
                <w:noProof/>
                <w:sz w:val="24"/>
                <w:szCs w:val="24"/>
              </w:rPr>
            </w:pPr>
            <w:r>
              <w:rPr>
                <w:rFonts w:ascii="Times New Roman" w:hAnsi="Times New Roman" w:cs="Times New Roman"/>
                <w:noProof/>
                <w:sz w:val="24"/>
                <w:szCs w:val="24"/>
              </w:rPr>
              <w:t>Complete contracting of the remaining humanitar</w:t>
            </w:r>
            <w:r>
              <w:rPr>
                <w:rFonts w:ascii="Times New Roman" w:hAnsi="Times New Roman" w:cs="Times New Roman"/>
                <w:noProof/>
                <w:sz w:val="24"/>
                <w:szCs w:val="24"/>
              </w:rPr>
              <w:t>ian programmes under the Facility for Refugees in Turkey by the end of the year;</w:t>
            </w:r>
          </w:p>
          <w:p w:rsidR="001131A2" w:rsidRDefault="00E501DB">
            <w:pPr>
              <w:pStyle w:val="ListParagraph"/>
              <w:numPr>
                <w:ilvl w:val="0"/>
                <w:numId w:val="29"/>
              </w:numPr>
              <w:ind w:left="426"/>
              <w:jc w:val="both"/>
              <w:rPr>
                <w:rFonts w:ascii="Times New Roman" w:hAnsi="Times New Roman" w:cs="Times New Roman"/>
                <w:noProof/>
                <w:sz w:val="24"/>
                <w:szCs w:val="24"/>
              </w:rPr>
            </w:pPr>
            <w:r>
              <w:rPr>
                <w:rFonts w:ascii="Times New Roman" w:hAnsi="Times New Roman" w:cs="Times New Roman"/>
                <w:noProof/>
                <w:sz w:val="24"/>
                <w:szCs w:val="24"/>
              </w:rPr>
              <w:t>Continue monitoring trends and fight against smuggling on the Western Balkan route, including through cooperation between Member States and relevant agencies;</w:t>
            </w:r>
          </w:p>
          <w:p w:rsidR="001131A2" w:rsidRDefault="00E501DB">
            <w:pPr>
              <w:pStyle w:val="ListParagraph"/>
              <w:numPr>
                <w:ilvl w:val="0"/>
                <w:numId w:val="29"/>
              </w:numPr>
              <w:ind w:left="426"/>
              <w:rPr>
                <w:rFonts w:ascii="Times New Roman" w:hAnsi="Times New Roman" w:cs="Times New Roman"/>
                <w:noProof/>
                <w:sz w:val="24"/>
                <w:szCs w:val="24"/>
              </w:rPr>
            </w:pPr>
            <w:r>
              <w:rPr>
                <w:rFonts w:ascii="Times New Roman" w:hAnsi="Times New Roman" w:cs="Times New Roman"/>
                <w:noProof/>
                <w:sz w:val="24"/>
                <w:szCs w:val="24"/>
              </w:rPr>
              <w:t xml:space="preserve">Member States to continue support to the relevant EU Agencies, and Agencies to ensure sustainability of ongoing operations;  </w:t>
            </w:r>
          </w:p>
          <w:p w:rsidR="001131A2" w:rsidRDefault="00E501DB">
            <w:pPr>
              <w:pStyle w:val="ListParagraph"/>
              <w:numPr>
                <w:ilvl w:val="0"/>
                <w:numId w:val="29"/>
              </w:numPr>
              <w:ind w:left="426"/>
              <w:jc w:val="both"/>
              <w:rPr>
                <w:rFonts w:ascii="Times New Roman" w:hAnsi="Times New Roman" w:cs="Times New Roman"/>
                <w:noProof/>
                <w:sz w:val="24"/>
                <w:szCs w:val="24"/>
              </w:rPr>
            </w:pPr>
            <w:r>
              <w:rPr>
                <w:rFonts w:ascii="Times New Roman" w:hAnsi="Times New Roman" w:cs="Times New Roman"/>
                <w:noProof/>
                <w:sz w:val="24"/>
                <w:szCs w:val="24"/>
              </w:rPr>
              <w:t>Ensure sufficient financing to support Jordan and Lebanon in hosting substantial numbers of refugees, also with a view to the Brus</w:t>
            </w:r>
            <w:r>
              <w:rPr>
                <w:rFonts w:ascii="Times New Roman" w:hAnsi="Times New Roman" w:cs="Times New Roman"/>
                <w:noProof/>
                <w:sz w:val="24"/>
                <w:szCs w:val="24"/>
              </w:rPr>
              <w:t xml:space="preserve">sels Conference on the Syria Crisis and the Region, to be held in the Spring of 2018.    </w:t>
            </w:r>
          </w:p>
          <w:p w:rsidR="001131A2" w:rsidRDefault="001131A2">
            <w:pPr>
              <w:pStyle w:val="ListParagraph"/>
              <w:ind w:left="426"/>
              <w:rPr>
                <w:rFonts w:ascii="Times New Roman" w:hAnsi="Times New Roman" w:cs="Times New Roman"/>
                <w:noProof/>
                <w:sz w:val="24"/>
                <w:szCs w:val="24"/>
              </w:rPr>
            </w:pPr>
          </w:p>
        </w:tc>
      </w:tr>
    </w:tbl>
    <w:p w:rsidR="001131A2" w:rsidRDefault="001131A2">
      <w:pPr>
        <w:spacing w:after="120" w:line="240" w:lineRule="auto"/>
        <w:jc w:val="both"/>
        <w:rPr>
          <w:rFonts w:ascii="Times New Roman" w:hAnsi="Times New Roman"/>
          <w:noProof/>
          <w:sz w:val="24"/>
          <w:szCs w:val="24"/>
        </w:rPr>
      </w:pPr>
    </w:p>
    <w:p w:rsidR="001131A2" w:rsidRDefault="00E501DB">
      <w:pPr>
        <w:rPr>
          <w:rFonts w:ascii="Times New Roman" w:hAnsi="Times New Roman" w:cs="Times New Roman"/>
          <w:b/>
          <w:i/>
          <w:noProof/>
          <w:sz w:val="24"/>
          <w:szCs w:val="24"/>
        </w:rPr>
      </w:pPr>
      <w:r>
        <w:rPr>
          <w:rFonts w:ascii="Times New Roman" w:hAnsi="Times New Roman" w:cs="Times New Roman"/>
          <w:b/>
          <w:i/>
          <w:noProof/>
          <w:sz w:val="24"/>
          <w:szCs w:val="24"/>
        </w:rPr>
        <w:t>Central Mediterranean route</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October European Council conclusions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underlined the common interest in addressing the Central Mediterranean route and highlighted </w:t>
      </w:r>
      <w:r>
        <w:rPr>
          <w:rFonts w:ascii="Times New Roman" w:hAnsi="Times New Roman" w:cs="Times New Roman"/>
          <w:noProof/>
          <w:sz w:val="24"/>
          <w:szCs w:val="24"/>
        </w:rPr>
        <w:t>a number of priority actions. This included effective action on returns, resettlement and humane conditions for migrants. The EU's operational response in the Central Mediterranean to save lives, fight smuggling and support protection, community stabilisat</w:t>
      </w:r>
      <w:r>
        <w:rPr>
          <w:rFonts w:ascii="Times New Roman" w:hAnsi="Times New Roman" w:cs="Times New Roman"/>
          <w:noProof/>
          <w:sz w:val="24"/>
          <w:szCs w:val="24"/>
        </w:rPr>
        <w:t>ion and capacity building have further expanded, in close cooperation with the Italian authorities.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Under the North of Africa Window of the EU Trust Fund for Africa, the entire amount available of EUR 264.58 million has been committed, of which EUR 131.1 </w:t>
      </w:r>
      <w:r>
        <w:rPr>
          <w:rFonts w:ascii="Times New Roman" w:hAnsi="Times New Roman" w:cs="Times New Roman"/>
          <w:noProof/>
          <w:sz w:val="24"/>
          <w:szCs w:val="24"/>
        </w:rPr>
        <w:t>million is contracted and EUR 57 million has been disbursed (for 11 programmes).</w:t>
      </w:r>
    </w:p>
    <w:p w:rsidR="001131A2" w:rsidRDefault="00E501DB">
      <w:pPr>
        <w:spacing w:after="120" w:line="240" w:lineRule="auto"/>
        <w:jc w:val="both"/>
        <w:rPr>
          <w:rFonts w:ascii="Times New Roman" w:hAnsi="Times New Roman"/>
          <w:noProof/>
          <w:sz w:val="24"/>
          <w:szCs w:val="24"/>
        </w:rPr>
      </w:pPr>
      <w:r>
        <w:rPr>
          <w:rFonts w:ascii="Times New Roman" w:hAnsi="Times New Roman"/>
          <w:noProof/>
          <w:sz w:val="24"/>
          <w:szCs w:val="24"/>
        </w:rPr>
        <w:t xml:space="preserve">In </w:t>
      </w:r>
      <w:r>
        <w:rPr>
          <w:rFonts w:ascii="Times New Roman" w:hAnsi="Times New Roman"/>
          <w:b/>
          <w:i/>
          <w:noProof/>
          <w:sz w:val="24"/>
          <w:szCs w:val="24"/>
        </w:rPr>
        <w:t>Italy</w:t>
      </w:r>
      <w:r>
        <w:rPr>
          <w:rFonts w:ascii="Times New Roman" w:hAnsi="Times New Roman"/>
          <w:noProof/>
          <w:sz w:val="24"/>
          <w:szCs w:val="24"/>
        </w:rPr>
        <w:t>, the Commission has worked on new ways to bring support in line with the Action Plan of 4 July</w:t>
      </w:r>
      <w:r>
        <w:rPr>
          <w:rStyle w:val="FootnoteReference"/>
          <w:rFonts w:ascii="Times New Roman" w:hAnsi="Times New Roman"/>
          <w:noProof/>
          <w:sz w:val="24"/>
          <w:szCs w:val="24"/>
        </w:rPr>
        <w:footnoteReference w:id="27"/>
      </w:r>
      <w:r>
        <w:rPr>
          <w:rFonts w:ascii="Times New Roman" w:hAnsi="Times New Roman"/>
          <w:noProof/>
          <w:sz w:val="24"/>
          <w:szCs w:val="24"/>
        </w:rPr>
        <w:t xml:space="preserve"> and of the exchange of letters between President Juncker and the Prime</w:t>
      </w:r>
      <w:r>
        <w:rPr>
          <w:rFonts w:ascii="Times New Roman" w:hAnsi="Times New Roman"/>
          <w:noProof/>
          <w:sz w:val="24"/>
          <w:szCs w:val="24"/>
        </w:rPr>
        <w:t xml:space="preserve"> Minister Gentiloni of August 2017. As a short term action, the Commission immediately expressed its readiness to mobilise up to EUR 35 million funding of emergency assistance under the Internal Security Fund (Borders) to support the Italian a number of pr</w:t>
      </w:r>
      <w:r>
        <w:rPr>
          <w:rFonts w:ascii="Times New Roman" w:hAnsi="Times New Roman"/>
          <w:noProof/>
          <w:sz w:val="24"/>
          <w:szCs w:val="24"/>
        </w:rPr>
        <w:t>iority actions identified by the Italian Ministry of Interior, centred on the hotspots, to improve the efficiency of procedures and cater for the needs of those arriving in the country.</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If necessary, as a next step, the Commission stands ready to mobilise</w:t>
      </w:r>
      <w:r>
        <w:rPr>
          <w:rFonts w:ascii="Times New Roman" w:hAnsi="Times New Roman"/>
          <w:noProof/>
          <w:sz w:val="24"/>
          <w:szCs w:val="24"/>
        </w:rPr>
        <w:t xml:space="preserve"> up to a further EUR 100 million in emergency funding under the Asylum, Migration and Integration Fund. This should help Italy make further progress on the internal aspects of the Action Plan, including the acceleration of asylum and return procedures and </w:t>
      </w:r>
      <w:r>
        <w:rPr>
          <w:rFonts w:ascii="Times New Roman" w:hAnsi="Times New Roman"/>
          <w:noProof/>
          <w:sz w:val="24"/>
          <w:szCs w:val="24"/>
        </w:rPr>
        <w:t xml:space="preserve">substantially increased detention capacities. </w:t>
      </w:r>
    </w:p>
    <w:p w:rsidR="001131A2" w:rsidRDefault="00E501DB">
      <w:pPr>
        <w:spacing w:line="240" w:lineRule="auto"/>
        <w:jc w:val="both"/>
        <w:rPr>
          <w:rFonts w:ascii="Times New Roman" w:hAnsi="Times New Roman"/>
          <w:noProof/>
          <w:sz w:val="24"/>
          <w:szCs w:val="24"/>
        </w:rPr>
      </w:pPr>
      <w:r>
        <w:rPr>
          <w:rFonts w:ascii="Times New Roman" w:hAnsi="Times New Roman"/>
          <w:noProof/>
          <w:sz w:val="24"/>
          <w:szCs w:val="24"/>
        </w:rPr>
        <w:t>A fifth hotspot (the "Centre for first Aid, Assistance and Identification") opened on 30 September 2017 in Messina, with a capacity of 250 places, but overall reception capacity in the hotspots remains too lim</w:t>
      </w:r>
      <w:r>
        <w:rPr>
          <w:rFonts w:ascii="Times New Roman" w:hAnsi="Times New Roman"/>
          <w:noProof/>
          <w:sz w:val="24"/>
          <w:szCs w:val="24"/>
        </w:rPr>
        <w:t>ited.</w:t>
      </w:r>
      <w:r>
        <w:rPr>
          <w:rStyle w:val="FootnoteReference"/>
          <w:rFonts w:ascii="Times New Roman" w:hAnsi="Times New Roman"/>
          <w:noProof/>
          <w:sz w:val="24"/>
          <w:szCs w:val="24"/>
        </w:rPr>
        <w:footnoteReference w:id="29"/>
      </w:r>
      <w:r>
        <w:rPr>
          <w:rFonts w:ascii="Times New Roman" w:hAnsi="Times New Roman"/>
          <w:noProof/>
          <w:sz w:val="24"/>
          <w:szCs w:val="24"/>
        </w:rPr>
        <w:t xml:space="preserve"> </w:t>
      </w:r>
      <w:r>
        <w:rPr>
          <w:rFonts w:ascii="Times New Roman" w:hAnsi="Times New Roman" w:cs="Times New Roman"/>
          <w:noProof/>
          <w:sz w:val="24"/>
          <w:szCs w:val="24"/>
        </w:rPr>
        <w:t>In Italy, the European Asylum Support Office is present in more than 45 locations inside and outside hotspot areas. Experts carry out information provision, and provide support with regard to the registration of applicants for international protecti</w:t>
      </w:r>
      <w:r>
        <w:rPr>
          <w:rFonts w:ascii="Times New Roman" w:hAnsi="Times New Roman" w:cs="Times New Roman"/>
          <w:noProof/>
          <w:sz w:val="24"/>
          <w:szCs w:val="24"/>
        </w:rPr>
        <w:t>on in view of the relocation procedure. On 9 November</w:t>
      </w:r>
      <w:r>
        <w:rPr>
          <w:rFonts w:ascii="Times New Roman" w:hAnsi="Times New Roman"/>
          <w:noProof/>
          <w:sz w:val="24"/>
          <w:szCs w:val="24"/>
        </w:rPr>
        <w:t>, 53 Member State experts, 55 cultural mediators, and 18 agency staff were deployed in Italy by the European Asylum Support Office.</w:t>
      </w:r>
    </w:p>
    <w:p w:rsidR="001131A2" w:rsidRDefault="00E501DB">
      <w:pPr>
        <w:tabs>
          <w:tab w:val="left" w:pos="36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Maritime surveillance operations have continued. There are currently ei</w:t>
      </w:r>
      <w:r>
        <w:rPr>
          <w:rFonts w:ascii="Times New Roman" w:hAnsi="Times New Roman" w:cs="Times New Roman"/>
          <w:noProof/>
          <w:sz w:val="24"/>
          <w:szCs w:val="24"/>
        </w:rPr>
        <w:t xml:space="preserve">ght assets deployed for Joint Operation Triton and five naval units for Operation Sophia. As a result of these actions, 119 suspected smugglers and traffickers have been apprehended and more than 497 assets neutralised. </w:t>
      </w:r>
    </w:p>
    <w:p w:rsidR="001131A2" w:rsidRDefault="00E501DB">
      <w:pPr>
        <w:tabs>
          <w:tab w:val="left" w:pos="360"/>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EU's dedicated efforts to suppo</w:t>
      </w:r>
      <w:r>
        <w:rPr>
          <w:rFonts w:ascii="Times New Roman" w:hAnsi="Times New Roman" w:cs="Times New Roman"/>
          <w:noProof/>
          <w:sz w:val="24"/>
          <w:szCs w:val="24"/>
        </w:rPr>
        <w:t xml:space="preserve">rt the </w:t>
      </w:r>
      <w:r>
        <w:rPr>
          <w:rFonts w:ascii="Times New Roman" w:hAnsi="Times New Roman" w:cs="Times New Roman"/>
          <w:b/>
          <w:i/>
          <w:noProof/>
          <w:sz w:val="24"/>
          <w:szCs w:val="24"/>
        </w:rPr>
        <w:t>Libyan Coast Guard</w:t>
      </w:r>
      <w:r>
        <w:rPr>
          <w:rFonts w:ascii="Times New Roman" w:hAnsi="Times New Roman" w:cs="Times New Roman"/>
          <w:noProof/>
          <w:sz w:val="24"/>
          <w:szCs w:val="24"/>
        </w:rPr>
        <w:t xml:space="preserve"> have continued. At sea and in Member States' facilities, Operation Sophia has now completed an initial training package for a total of 142 personnel including 39 personnel for patrol boat crews and has also provided trainers' trai</w:t>
      </w:r>
      <w:r>
        <w:rPr>
          <w:rFonts w:ascii="Times New Roman" w:hAnsi="Times New Roman" w:cs="Times New Roman"/>
          <w:noProof/>
          <w:sz w:val="24"/>
          <w:szCs w:val="24"/>
        </w:rPr>
        <w:t>ning.</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Following a thorough vetting process, 66 Libyan personnel recently started training in Taranto. Further modules are anticipated to take place in the coming weeks in Spain, Greece and Italy. Key recent developments have been the recent return of Coas</w:t>
      </w:r>
      <w:r>
        <w:rPr>
          <w:rFonts w:ascii="Times New Roman" w:hAnsi="Times New Roman" w:cs="Times New Roman"/>
          <w:noProof/>
          <w:sz w:val="24"/>
          <w:szCs w:val="24"/>
        </w:rPr>
        <w:t>t Guard vessels and the setting up of a monitoring system. The aim of the monitoring system is to assess the capacity building and adjust the training requirements, support Libyans to take ownership of securing their territorial waters, and to enhance prot</w:t>
      </w:r>
      <w:r>
        <w:rPr>
          <w:rFonts w:ascii="Times New Roman" w:hAnsi="Times New Roman" w:cs="Times New Roman"/>
          <w:noProof/>
          <w:sz w:val="24"/>
          <w:szCs w:val="24"/>
        </w:rPr>
        <w:t>ection of and respect for human rights. An initial report on monitoring activities is scheduled at the beginning of 2018. The Seahorse Programme has also recently completed its latest training, focused on increasing the capabilities of the Libyan Coast Gua</w:t>
      </w:r>
      <w:r>
        <w:rPr>
          <w:rFonts w:ascii="Times New Roman" w:hAnsi="Times New Roman" w:cs="Times New Roman"/>
          <w:noProof/>
          <w:sz w:val="24"/>
          <w:szCs w:val="24"/>
        </w:rPr>
        <w:t>rd with a view to longer-term work to establish the Seahorse Mediterranean Network.</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initiatives at sea continue delivering important results, an enhanced focus has been put on the actions on land in order to improve the often appalling </w:t>
      </w:r>
      <w:r>
        <w:rPr>
          <w:rFonts w:ascii="Times New Roman" w:hAnsi="Times New Roman" w:cs="Times New Roman"/>
          <w:b/>
          <w:i/>
          <w:noProof/>
          <w:sz w:val="24"/>
          <w:szCs w:val="24"/>
        </w:rPr>
        <w:t>conditions</w:t>
      </w:r>
      <w:r>
        <w:rPr>
          <w:rFonts w:ascii="Times New Roman" w:hAnsi="Times New Roman" w:cs="Times New Roman"/>
          <w:b/>
          <w:i/>
          <w:noProof/>
          <w:sz w:val="24"/>
          <w:szCs w:val="24"/>
        </w:rPr>
        <w:t xml:space="preserve"> faced by migrants</w:t>
      </w:r>
      <w:r>
        <w:rPr>
          <w:rFonts w:ascii="Times New Roman" w:hAnsi="Times New Roman" w:cs="Times New Roman"/>
          <w:noProof/>
          <w:sz w:val="24"/>
          <w:szCs w:val="24"/>
        </w:rPr>
        <w:t xml:space="preserve"> in Libya and provide alternatives for stranded migrants and victims of trafficking in human beings. Under the EUR 90 million programme adopted in April under the Trust Fund, specific action on the protection of migrants in Libya has star</w:t>
      </w:r>
      <w:r>
        <w:rPr>
          <w:rFonts w:ascii="Times New Roman" w:hAnsi="Times New Roman" w:cs="Times New Roman"/>
          <w:noProof/>
          <w:sz w:val="24"/>
          <w:szCs w:val="24"/>
        </w:rPr>
        <w:t>ted. The United Nations High Commissioner for Refugees and the International Organisation for Migration have worked to enhance support to migrants in detention centres and at disembarkation points. Almost 4 000 migrants are provided with medical assistance</w:t>
      </w:r>
      <w:r>
        <w:rPr>
          <w:rFonts w:ascii="Times New Roman" w:hAnsi="Times New Roman" w:cs="Times New Roman"/>
          <w:noProof/>
          <w:sz w:val="24"/>
          <w:szCs w:val="24"/>
        </w:rPr>
        <w:t xml:space="preserve"> and basic support, and monitoring of protection status in detention centres is being improved. The United Nations High Commissioner for Refugees and the International Organisation for Migration have also provided support to more than 2 000 Libyan displace</w:t>
      </w:r>
      <w:r>
        <w:rPr>
          <w:rFonts w:ascii="Times New Roman" w:hAnsi="Times New Roman" w:cs="Times New Roman"/>
          <w:noProof/>
          <w:sz w:val="24"/>
          <w:szCs w:val="24"/>
        </w:rPr>
        <w:t>d families. Medical help and assistance is being delivered to more than 14 000 migrants in detention centres, in the aftermath of the clashes between militias in Sabratha. In this way, the Trust Fund is directly contributing to the immediate needs of migra</w:t>
      </w:r>
      <w:r>
        <w:rPr>
          <w:rFonts w:ascii="Times New Roman" w:hAnsi="Times New Roman" w:cs="Times New Roman"/>
          <w:noProof/>
          <w:sz w:val="24"/>
          <w:szCs w:val="24"/>
        </w:rPr>
        <w:t>nts.</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Infrastructure works are being planned to help create employment for Libyans and migrants, and support is provided to develop small businesses and promote community security and stability. Special attention is being given also to children, with work o</w:t>
      </w:r>
      <w:r>
        <w:rPr>
          <w:rFonts w:ascii="Times New Roman" w:hAnsi="Times New Roman" w:cs="Times New Roman"/>
          <w:noProof/>
          <w:sz w:val="24"/>
          <w:szCs w:val="24"/>
        </w:rPr>
        <w:t>n school rehabilitation, non-formal education for Libyans and migrants, training teachers and providing support to transitional care institutions for unaccompanied and separated children. Child-friendly spaces will be supported or established, including in</w:t>
      </w:r>
      <w:r>
        <w:rPr>
          <w:rFonts w:ascii="Times New Roman" w:hAnsi="Times New Roman" w:cs="Times New Roman"/>
          <w:noProof/>
          <w:sz w:val="24"/>
          <w:szCs w:val="24"/>
        </w:rPr>
        <w:t xml:space="preserve"> existing structures and community centres. The programme also works on the wider economic sectors, starting with small infrastructure works, and capacity-building on local governance. The challenging environment in Libya remains an obstacle to faster deli</w:t>
      </w:r>
      <w:r>
        <w:rPr>
          <w:rFonts w:ascii="Times New Roman" w:hAnsi="Times New Roman" w:cs="Times New Roman"/>
          <w:noProof/>
          <w:sz w:val="24"/>
          <w:szCs w:val="24"/>
        </w:rPr>
        <w:t>very of EU support but the Commission is actively working with its partners on the ground to minimise delays.</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i/>
          <w:noProof/>
          <w:sz w:val="24"/>
          <w:szCs w:val="24"/>
        </w:rPr>
        <w:t>EU Border Assistance Mission</w:t>
      </w:r>
      <w:r>
        <w:rPr>
          <w:rFonts w:ascii="Times New Roman" w:hAnsi="Times New Roman" w:cs="Times New Roman"/>
          <w:noProof/>
          <w:sz w:val="24"/>
          <w:szCs w:val="24"/>
        </w:rPr>
        <w:t xml:space="preserve"> in Libya will establish a light presence in Tripoli before the end of November. This will be followed by a gradual and phased build-up of staff by spring 2018, allowing greater routine engagement with the Libyan authorities responsible for border manageme</w:t>
      </w:r>
      <w:r>
        <w:rPr>
          <w:rFonts w:ascii="Times New Roman" w:hAnsi="Times New Roman" w:cs="Times New Roman"/>
          <w:noProof/>
          <w:sz w:val="24"/>
          <w:szCs w:val="24"/>
        </w:rPr>
        <w:t>nt, law enforcement and criminal justice, including the civilian and coastal police. It is also participating in the planning for an Italian-led fact-finding mission to the South of Libya this autumn, which fully involves Libyan border guard authorities an</w:t>
      </w:r>
      <w:r>
        <w:rPr>
          <w:rFonts w:ascii="Times New Roman" w:hAnsi="Times New Roman" w:cs="Times New Roman"/>
          <w:noProof/>
          <w:sz w:val="24"/>
          <w:szCs w:val="24"/>
        </w:rPr>
        <w:t>d focuses on border management and migration issues.</w:t>
      </w:r>
    </w:p>
    <w:p w:rsidR="001131A2" w:rsidRDefault="00E501DB">
      <w:pPr>
        <w:spacing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A new effort is under way at the </w:t>
      </w:r>
      <w:r>
        <w:rPr>
          <w:rFonts w:ascii="Times New Roman" w:hAnsi="Times New Roman" w:cs="Times New Roman"/>
          <w:b/>
          <w:i/>
          <w:noProof/>
          <w:sz w:val="24"/>
          <w:szCs w:val="24"/>
        </w:rPr>
        <w:t>southern land border</w:t>
      </w:r>
      <w:r>
        <w:rPr>
          <w:rFonts w:ascii="Times New Roman" w:hAnsi="Times New Roman" w:cs="Times New Roman"/>
          <w:noProof/>
          <w:sz w:val="24"/>
          <w:szCs w:val="24"/>
        </w:rPr>
        <w:t>. A EUR 46.3 million programme adopted in July will be contracted in November. Anti-smuggling activity is flanked by the provision of economic alterna</w:t>
      </w:r>
      <w:r>
        <w:rPr>
          <w:rFonts w:ascii="Times New Roman" w:hAnsi="Times New Roman" w:cs="Times New Roman"/>
          <w:noProof/>
          <w:sz w:val="24"/>
          <w:szCs w:val="24"/>
        </w:rPr>
        <w:t>tives to smuggling – this is a key objective of the community stabilisation component under the EUR 90 million programme adopted in April.</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p>
    <w:p w:rsidR="001131A2" w:rsidRDefault="00E501DB">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The EU continues to work actively with </w:t>
      </w:r>
      <w:r>
        <w:rPr>
          <w:rFonts w:ascii="Times New Roman" w:hAnsi="Times New Roman"/>
          <w:noProof/>
          <w:sz w:val="24"/>
          <w:szCs w:val="24"/>
        </w:rPr>
        <w:t xml:space="preserve">the International Organisation for Migration through the joint initiative on Migrant Protection and Reintegration. These programmes include support for </w:t>
      </w:r>
      <w:r>
        <w:rPr>
          <w:rFonts w:ascii="Times New Roman" w:hAnsi="Times New Roman"/>
          <w:b/>
          <w:i/>
          <w:noProof/>
          <w:sz w:val="24"/>
          <w:szCs w:val="24"/>
        </w:rPr>
        <w:t>assisted voluntary return</w:t>
      </w:r>
      <w:r>
        <w:rPr>
          <w:rFonts w:ascii="Times New Roman" w:hAnsi="Times New Roman"/>
          <w:noProof/>
          <w:sz w:val="24"/>
          <w:szCs w:val="24"/>
        </w:rPr>
        <w:t xml:space="preserve"> and reintegration assistance along the Central Mediterranean route</w:t>
      </w:r>
      <w:r>
        <w:rPr>
          <w:rFonts w:ascii="Times New Roman" w:hAnsi="Times New Roman" w:cs="Times New Roman"/>
          <w:noProof/>
          <w:sz w:val="24"/>
          <w:szCs w:val="24"/>
        </w:rPr>
        <w:t>. In 2017, o</w:t>
      </w:r>
      <w:r>
        <w:rPr>
          <w:rFonts w:ascii="Times New Roman" w:hAnsi="Times New Roman" w:cs="Times New Roman"/>
          <w:noProof/>
          <w:sz w:val="24"/>
          <w:szCs w:val="24"/>
        </w:rPr>
        <w:t>ver 10 000 migrants stranded in Libya have so far been helped to return to their countries of origin, notably Nigeria, Senegal, Guinea, Mali, and The Gambia, When migrants stranded in Niger, Mali and Mauretania are included, the total is over 15 000. In ad</w:t>
      </w:r>
      <w:r>
        <w:rPr>
          <w:rFonts w:ascii="Times New Roman" w:hAnsi="Times New Roman" w:cs="Times New Roman"/>
          <w:noProof/>
          <w:sz w:val="24"/>
          <w:szCs w:val="24"/>
        </w:rPr>
        <w:t>dition, work is being stepped up with Libya's neighbours to help more migrants return home from Libya or refugees to be resettled by the international community, with assistance of the United Nations High Commissioner for Refugees. The EU delegations in th</w:t>
      </w:r>
      <w:r>
        <w:rPr>
          <w:rFonts w:ascii="Times New Roman" w:hAnsi="Times New Roman" w:cs="Times New Roman"/>
          <w:noProof/>
          <w:sz w:val="24"/>
          <w:szCs w:val="24"/>
        </w:rPr>
        <w:t>e respective countries of origin and transit have enabled contacts to step up consular support, thus facilitating more returns.</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remains committed to an inclusive </w:t>
      </w:r>
      <w:r>
        <w:rPr>
          <w:rFonts w:ascii="Times New Roman" w:hAnsi="Times New Roman" w:cs="Times New Roman"/>
          <w:b/>
          <w:i/>
          <w:noProof/>
          <w:sz w:val="24"/>
          <w:szCs w:val="24"/>
        </w:rPr>
        <w:t>political transition</w:t>
      </w:r>
      <w:r>
        <w:rPr>
          <w:rFonts w:ascii="Times New Roman" w:hAnsi="Times New Roman" w:cs="Times New Roman"/>
          <w:noProof/>
          <w:sz w:val="24"/>
          <w:szCs w:val="24"/>
        </w:rPr>
        <w:t xml:space="preserve"> in line with the July 2017 Council conclusions,</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as a prerequisite</w:t>
      </w:r>
      <w:r>
        <w:rPr>
          <w:rFonts w:ascii="Times New Roman" w:hAnsi="Times New Roman" w:cs="Times New Roman"/>
          <w:noProof/>
          <w:sz w:val="24"/>
          <w:szCs w:val="24"/>
        </w:rPr>
        <w:t xml:space="preserve"> for solid and sustainable results on the management of migratory movements in and through Libya. This will support the steps being taken to put in place a permanent EU presence, as called for by the European Council, which is essential for an effective re</w:t>
      </w:r>
      <w:r>
        <w:rPr>
          <w:rFonts w:ascii="Times New Roman" w:hAnsi="Times New Roman" w:cs="Times New Roman"/>
          <w:noProof/>
          <w:sz w:val="24"/>
          <w:szCs w:val="24"/>
        </w:rPr>
        <w:t xml:space="preserve">sponse. </w:t>
      </w:r>
    </w:p>
    <w:p w:rsidR="001131A2" w:rsidRDefault="00E501DB">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Departures of migrants from </w:t>
      </w:r>
      <w:r>
        <w:rPr>
          <w:rFonts w:ascii="Times New Roman" w:hAnsi="Times New Roman" w:cs="Times New Roman"/>
          <w:b/>
          <w:i/>
          <w:noProof/>
          <w:sz w:val="24"/>
          <w:szCs w:val="24"/>
        </w:rPr>
        <w:t>Egypt</w:t>
      </w:r>
      <w:r>
        <w:rPr>
          <w:rFonts w:ascii="Times New Roman" w:hAnsi="Times New Roman" w:cs="Times New Roman"/>
          <w:noProof/>
          <w:sz w:val="24"/>
          <w:szCs w:val="24"/>
        </w:rPr>
        <w:t xml:space="preserve"> continue to be very few. An agreement on the financing of the EUR 60 million programme to address economic drivers of irregular migration, improve employability and increase resilience of migration-affected commun</w:t>
      </w:r>
      <w:r>
        <w:rPr>
          <w:rFonts w:ascii="Times New Roman" w:hAnsi="Times New Roman" w:cs="Times New Roman"/>
          <w:noProof/>
          <w:sz w:val="24"/>
          <w:szCs w:val="24"/>
        </w:rPr>
        <w:t>ities has recently been signed. It is expected that the migration dialogue with Egypt will be launched in December.</w:t>
      </w:r>
    </w:p>
    <w:p w:rsidR="001131A2" w:rsidRDefault="00E501DB">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noProof/>
          <w:sz w:val="24"/>
          <w:szCs w:val="24"/>
        </w:rPr>
        <w:t xml:space="preserve">Action is being developed in cooperation with the Italian authorities to respond to the increase in arrivals from </w:t>
      </w:r>
      <w:r>
        <w:rPr>
          <w:rFonts w:ascii="Times New Roman" w:hAnsi="Times New Roman" w:cs="Times New Roman"/>
          <w:b/>
          <w:i/>
          <w:noProof/>
          <w:sz w:val="24"/>
          <w:szCs w:val="24"/>
        </w:rPr>
        <w:t>Tunisia</w:t>
      </w:r>
      <w:r>
        <w:rPr>
          <w:rFonts w:ascii="Times New Roman" w:hAnsi="Times New Roman" w:cs="Times New Roman"/>
          <w:noProof/>
          <w:sz w:val="24"/>
          <w:szCs w:val="24"/>
        </w:rPr>
        <w:t xml:space="preserve"> – both in terms </w:t>
      </w:r>
      <w:r>
        <w:rPr>
          <w:rFonts w:ascii="Times New Roman" w:hAnsi="Times New Roman" w:cs="Times New Roman"/>
          <w:noProof/>
          <w:sz w:val="24"/>
          <w:szCs w:val="24"/>
        </w:rPr>
        <w:t xml:space="preserve">of limiting arrivals and increasing returns. Contacts with </w:t>
      </w:r>
      <w:r>
        <w:rPr>
          <w:rFonts w:ascii="Times New Roman" w:hAnsi="Times New Roman" w:cs="Times New Roman"/>
          <w:b/>
          <w:i/>
          <w:noProof/>
          <w:sz w:val="24"/>
          <w:szCs w:val="24"/>
        </w:rPr>
        <w:t>Algeria</w:t>
      </w:r>
      <w:r>
        <w:rPr>
          <w:rFonts w:ascii="Times New Roman" w:hAnsi="Times New Roman" w:cs="Times New Roman"/>
          <w:noProof/>
          <w:sz w:val="24"/>
          <w:szCs w:val="24"/>
        </w:rPr>
        <w:t xml:space="preserve"> have continued, with the EU offering to step up dialogue and cooperation both in bilateral and regional formats.</w:t>
      </w:r>
      <w:r>
        <w:rPr>
          <w:rFonts w:ascii="Times New Roman" w:hAnsi="Times New Roman" w:cs="Times New Roman"/>
          <w:b/>
          <w:i/>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Council put particular emphasis on a commitment to ensure suff</w:t>
      </w:r>
      <w:r>
        <w:rPr>
          <w:rFonts w:ascii="Times New Roman" w:hAnsi="Times New Roman" w:cs="Times New Roman"/>
          <w:noProof/>
          <w:sz w:val="24"/>
          <w:szCs w:val="24"/>
        </w:rPr>
        <w:t xml:space="preserve">icient and targeted funding to the </w:t>
      </w:r>
      <w:r>
        <w:rPr>
          <w:rFonts w:ascii="Times New Roman" w:hAnsi="Times New Roman" w:cs="Times New Roman"/>
          <w:b/>
          <w:i/>
          <w:noProof/>
          <w:sz w:val="24"/>
          <w:szCs w:val="24"/>
        </w:rPr>
        <w:t>North Africa window</w:t>
      </w:r>
      <w:r>
        <w:rPr>
          <w:rFonts w:ascii="Times New Roman" w:hAnsi="Times New Roman" w:cs="Times New Roman"/>
          <w:noProof/>
          <w:sz w:val="24"/>
          <w:szCs w:val="24"/>
        </w:rPr>
        <w:t xml:space="preserve"> </w:t>
      </w:r>
      <w:r>
        <w:rPr>
          <w:rFonts w:ascii="Times New Roman" w:hAnsi="Times New Roman" w:cs="Times New Roman"/>
          <w:b/>
          <w:i/>
          <w:noProof/>
          <w:sz w:val="24"/>
          <w:szCs w:val="24"/>
        </w:rPr>
        <w:t>of the EU Trust Fund for Africa</w:t>
      </w:r>
      <w:r>
        <w:rPr>
          <w:rFonts w:ascii="Times New Roman" w:hAnsi="Times New Roman" w:cs="Times New Roman"/>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An immediate funding gap of EUR 110 million has been identified specifically for the continuation of the "Mixed Migration programme" now under way. The extended progra</w:t>
      </w:r>
      <w:r>
        <w:rPr>
          <w:rFonts w:ascii="Times New Roman" w:hAnsi="Times New Roman" w:cs="Times New Roman"/>
          <w:noProof/>
          <w:sz w:val="24"/>
          <w:szCs w:val="24"/>
        </w:rPr>
        <w:t>mme will work with the United Nations High Commissioner for Refugees and the International Organisation for Migration to undertake critical work on assisted voluntary return and reintegration; on improved conditions for migrants in detention centres; and o</w:t>
      </w:r>
      <w:r>
        <w:rPr>
          <w:rFonts w:ascii="Times New Roman" w:hAnsi="Times New Roman" w:cs="Times New Roman"/>
          <w:noProof/>
          <w:sz w:val="24"/>
          <w:szCs w:val="24"/>
        </w:rPr>
        <w:t xml:space="preserve">n </w:t>
      </w:r>
      <w:r>
        <w:rPr>
          <w:rFonts w:ascii="Times New Roman" w:hAnsi="Times New Roman"/>
          <w:noProof/>
          <w:sz w:val="24"/>
          <w:szCs w:val="24"/>
          <w:lang w:eastAsia="en-GB"/>
        </w:rPr>
        <w:t>community stabilisation and support to municipalities in areas such as new employment opportunities and support to key services</w:t>
      </w:r>
      <w:r>
        <w:rPr>
          <w:rFonts w:ascii="Times New Roman" w:hAnsi="Times New Roman" w:cs="Times New Roman"/>
          <w:noProof/>
          <w:sz w:val="24"/>
          <w:szCs w:val="24"/>
        </w:rPr>
        <w:t>.. Given the critical importance of the work in North Africa to the EU's overall policy, further programmes both in Libya and in other North African countries will need to follow in the course of 2018. These needs will not be able to be met without additio</w:t>
      </w:r>
      <w:r>
        <w:rPr>
          <w:rFonts w:ascii="Times New Roman" w:hAnsi="Times New Roman" w:cs="Times New Roman"/>
          <w:noProof/>
          <w:sz w:val="24"/>
          <w:szCs w:val="24"/>
        </w:rPr>
        <w:t xml:space="preserve">nal contributions from Member States to the Trust Fund. The European Council will evaluate progress on this commitment in December 2017. </w:t>
      </w: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Western Mediterranean route</w:t>
      </w:r>
      <w:r>
        <w:rPr>
          <w:rStyle w:val="FootnoteReference"/>
          <w:rFonts w:ascii="Times New Roman" w:hAnsi="Times New Roman" w:cs="Times New Roman"/>
          <w:b/>
          <w:i/>
          <w:noProof/>
          <w:sz w:val="24"/>
          <w:szCs w:val="24"/>
        </w:rPr>
        <w:footnoteReference w:id="33"/>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a result of the increased arrivals observed on this route, there has been an intensifi</w:t>
      </w:r>
      <w:r>
        <w:rPr>
          <w:rFonts w:ascii="Times New Roman" w:hAnsi="Times New Roman" w:cs="Times New Roman"/>
          <w:noProof/>
          <w:sz w:val="24"/>
          <w:szCs w:val="24"/>
        </w:rPr>
        <w:t>cation of contacts with Morocco. At a dedicated meeting of G6 Interior Ministers in October</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xml:space="preserve">, the Commission expressed its readiness to provide further assistance on migration management. </w:t>
      </w:r>
    </w:p>
    <w:tbl>
      <w:tblPr>
        <w:tblStyle w:val="TableGrid"/>
        <w:tblW w:w="0" w:type="auto"/>
        <w:tblLook w:val="04A0" w:firstRow="1" w:lastRow="0" w:firstColumn="1" w:lastColumn="0" w:noHBand="0" w:noVBand="1"/>
      </w:tblPr>
      <w:tblGrid>
        <w:gridCol w:w="9288"/>
      </w:tblGrid>
      <w:tr w:rsidR="001131A2">
        <w:tc>
          <w:tcPr>
            <w:tcW w:w="9288" w:type="dxa"/>
          </w:tcPr>
          <w:p w:rsidR="001131A2" w:rsidRDefault="00E501DB">
            <w:pPr>
              <w:jc w:val="both"/>
              <w:rPr>
                <w:rFonts w:ascii="Times New Roman" w:hAnsi="Times New Roman" w:cs="Times New Roman"/>
                <w:b/>
                <w:i/>
                <w:noProof/>
                <w:sz w:val="24"/>
                <w:szCs w:val="24"/>
              </w:rPr>
            </w:pPr>
            <w:r>
              <w:rPr>
                <w:rFonts w:ascii="Times New Roman" w:hAnsi="Times New Roman" w:cs="Times New Roman"/>
                <w:b/>
                <w:i/>
                <w:noProof/>
                <w:sz w:val="24"/>
                <w:szCs w:val="24"/>
              </w:rPr>
              <w:t>Key future actions</w:t>
            </w:r>
          </w:p>
          <w:p w:rsidR="001131A2" w:rsidRDefault="001131A2">
            <w:pPr>
              <w:pStyle w:val="ListParagraph"/>
              <w:jc w:val="both"/>
              <w:rPr>
                <w:rFonts w:ascii="Times New Roman" w:hAnsi="Times New Roman" w:cs="Times New Roman"/>
                <w:noProof/>
                <w:sz w:val="24"/>
                <w:szCs w:val="24"/>
              </w:rPr>
            </w:pPr>
          </w:p>
          <w:p w:rsidR="001131A2" w:rsidRDefault="00E501DB">
            <w:pPr>
              <w:pStyle w:val="ListParagraph"/>
              <w:numPr>
                <w:ilvl w:val="0"/>
                <w:numId w:val="27"/>
              </w:numPr>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to increase contributions to the </w:t>
            </w:r>
            <w:r>
              <w:rPr>
                <w:rFonts w:ascii="Times New Roman" w:hAnsi="Times New Roman" w:cs="Times New Roman"/>
                <w:noProof/>
                <w:sz w:val="24"/>
                <w:szCs w:val="24"/>
              </w:rPr>
              <w:t>North of Africa window of the Trust Fund to meet the immediate needs of a further EUR 110 million for Libya. Further key programmes to be developed for 2018;</w:t>
            </w:r>
          </w:p>
          <w:p w:rsidR="001131A2" w:rsidRDefault="00E501DB">
            <w:pPr>
              <w:pStyle w:val="ListParagraph"/>
              <w:numPr>
                <w:ilvl w:val="0"/>
                <w:numId w:val="27"/>
              </w:numPr>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Establish permanent EU presence in Libya as soon as security conditions allow; </w:t>
            </w:r>
          </w:p>
          <w:p w:rsidR="001131A2" w:rsidRDefault="00E501DB">
            <w:pPr>
              <w:pStyle w:val="ListParagraph"/>
              <w:numPr>
                <w:ilvl w:val="0"/>
                <w:numId w:val="27"/>
              </w:numPr>
              <w:ind w:left="426"/>
              <w:jc w:val="both"/>
              <w:rPr>
                <w:rFonts w:ascii="Times New Roman" w:hAnsi="Times New Roman" w:cs="Times New Roman"/>
                <w:noProof/>
                <w:sz w:val="24"/>
                <w:szCs w:val="24"/>
              </w:rPr>
            </w:pPr>
            <w:r>
              <w:rPr>
                <w:rFonts w:ascii="Times New Roman" w:hAnsi="Times New Roman" w:cs="Times New Roman"/>
                <w:noProof/>
                <w:sz w:val="24"/>
                <w:szCs w:val="24"/>
              </w:rPr>
              <w:t>Continue engagemen</w:t>
            </w:r>
            <w:r>
              <w:rPr>
                <w:rFonts w:ascii="Times New Roman" w:hAnsi="Times New Roman" w:cs="Times New Roman"/>
                <w:noProof/>
                <w:sz w:val="24"/>
                <w:szCs w:val="24"/>
              </w:rPr>
              <w:t>t with African countries of origin and transit under the Partnership Framework, including on the southern Libyan border, stepping up work with Libya's neighbours to increase returns and resettlements;</w:t>
            </w:r>
          </w:p>
          <w:p w:rsidR="001131A2" w:rsidRDefault="00E501DB">
            <w:pPr>
              <w:pStyle w:val="ListParagraph"/>
              <w:numPr>
                <w:ilvl w:val="0"/>
                <w:numId w:val="27"/>
              </w:numPr>
              <w:ind w:left="426"/>
              <w:jc w:val="both"/>
              <w:rPr>
                <w:rFonts w:ascii="Times New Roman" w:hAnsi="Times New Roman" w:cs="Times New Roman"/>
                <w:noProof/>
                <w:sz w:val="24"/>
                <w:szCs w:val="24"/>
              </w:rPr>
            </w:pPr>
            <w:r>
              <w:rPr>
                <w:rFonts w:ascii="Times New Roman" w:hAnsi="Times New Roman" w:cs="Times New Roman"/>
                <w:noProof/>
                <w:sz w:val="24"/>
                <w:szCs w:val="24"/>
              </w:rPr>
              <w:t>Monitor migration flows from Tunisia and assess the nec</w:t>
            </w:r>
            <w:r>
              <w:rPr>
                <w:rFonts w:ascii="Times New Roman" w:hAnsi="Times New Roman" w:cs="Times New Roman"/>
                <w:noProof/>
                <w:sz w:val="24"/>
                <w:szCs w:val="24"/>
              </w:rPr>
              <w:t>essity of possible actions and support;</w:t>
            </w:r>
          </w:p>
          <w:p w:rsidR="001131A2" w:rsidRDefault="00E501DB">
            <w:pPr>
              <w:pStyle w:val="ListParagraph"/>
              <w:numPr>
                <w:ilvl w:val="0"/>
                <w:numId w:val="27"/>
              </w:numPr>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Monitor developments on the Western Mediterranean route, and prepare possible support. </w:t>
            </w:r>
          </w:p>
          <w:p w:rsidR="001131A2" w:rsidRDefault="001131A2">
            <w:pPr>
              <w:ind w:left="360"/>
              <w:rPr>
                <w:noProof/>
              </w:rPr>
            </w:pPr>
          </w:p>
        </w:tc>
      </w:tr>
    </w:tbl>
    <w:p w:rsidR="001131A2" w:rsidRDefault="001131A2">
      <w:pPr>
        <w:spacing w:line="240" w:lineRule="auto"/>
        <w:jc w:val="both"/>
        <w:rPr>
          <w:rFonts w:ascii="Times New Roman" w:hAnsi="Times New Roman" w:cs="Times New Roman"/>
          <w:noProof/>
          <w:sz w:val="24"/>
          <w:szCs w:val="24"/>
        </w:rPr>
      </w:pPr>
    </w:p>
    <w:p w:rsidR="001131A2" w:rsidRDefault="00E501DB">
      <w:pPr>
        <w:spacing w:line="240" w:lineRule="auto"/>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 xml:space="preserve">4. </w:t>
      </w:r>
      <w:r>
        <w:rPr>
          <w:rFonts w:ascii="Times New Roman" w:hAnsi="Times New Roman" w:cs="Times New Roman"/>
          <w:b/>
          <w:noProof/>
          <w:sz w:val="24"/>
          <w:szCs w:val="24"/>
        </w:rPr>
        <w:tab/>
        <w:t>ACTION AGAINST MIGRANT SMUGGLING</w:t>
      </w:r>
    </w:p>
    <w:p w:rsidR="001131A2" w:rsidRDefault="00E501DB">
      <w:pPr>
        <w:spacing w:line="240" w:lineRule="auto"/>
        <w:jc w:val="both"/>
        <w:rPr>
          <w:rFonts w:ascii="Times New Roman" w:hAnsi="Times New Roman" w:cs="Times New Roman"/>
          <w:noProof/>
          <w:sz w:val="24"/>
          <w:szCs w:val="24"/>
          <w:highlight w:val="yellow"/>
        </w:rPr>
      </w:pPr>
      <w:r>
        <w:rPr>
          <w:rFonts w:ascii="Times New Roman" w:hAnsi="Times New Roman" w:cs="Times New Roman"/>
          <w:noProof/>
          <w:sz w:val="24"/>
          <w:szCs w:val="24"/>
        </w:rPr>
        <w:t xml:space="preserve">Significant efforts have been made in order to break the business model of smugglers on </w:t>
      </w:r>
      <w:r>
        <w:rPr>
          <w:rFonts w:ascii="Times New Roman" w:hAnsi="Times New Roman" w:cs="Times New Roman"/>
          <w:noProof/>
          <w:sz w:val="24"/>
          <w:szCs w:val="24"/>
        </w:rPr>
        <w:t xml:space="preserve">all major migration routes to Europe. In the Western Balkans, the Europol-supported Joint Operations Office in Vienna has enabled Member States to conduct a number of actions, leading to 185 arrests since its work started. In October, the Europol European </w:t>
      </w:r>
      <w:r>
        <w:rPr>
          <w:rFonts w:ascii="Times New Roman" w:hAnsi="Times New Roman" w:cs="Times New Roman"/>
          <w:noProof/>
          <w:sz w:val="24"/>
          <w:szCs w:val="24"/>
        </w:rPr>
        <w:t>Migrant Smuggling Centre coordinated a Joint Action Day with Member States and neighbouring countries in the Western Balkans: this resulted in the detection of more than 760 irregular migrants and the arrest of 24 suspected smugglers.</w:t>
      </w:r>
    </w:p>
    <w:p w:rsidR="001131A2" w:rsidRDefault="00E501DB">
      <w:pPr>
        <w:tabs>
          <w:tab w:val="left" w:pos="36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Tackling smuggling is</w:t>
      </w:r>
      <w:r>
        <w:rPr>
          <w:rFonts w:ascii="Times New Roman" w:hAnsi="Times New Roman" w:cs="Times New Roman"/>
          <w:noProof/>
          <w:sz w:val="24"/>
          <w:szCs w:val="24"/>
        </w:rPr>
        <w:t xml:space="preserve"> a core part of the Partnership Framework approach. EU support to the strong commitment of the Nigerien government has resulted in a decrease of the number of irregular migrants transiting through Agadez from 340 per day on average in 2016 to 40 to 50 per </w:t>
      </w:r>
      <w:r>
        <w:rPr>
          <w:rFonts w:ascii="Times New Roman" w:hAnsi="Times New Roman" w:cs="Times New Roman"/>
          <w:noProof/>
          <w:sz w:val="24"/>
          <w:szCs w:val="24"/>
        </w:rPr>
        <w:t>day in 2017. An EU Trust Fund for Africa pilot project is now under way to strengthen the operational and judicial capabilities of the Nigerien police (Joint Investigation Team). In the first half of 2017, 101 persons were arrested and brought to court; 66</w:t>
      </w:r>
      <w:r>
        <w:rPr>
          <w:rFonts w:ascii="Times New Roman" w:hAnsi="Times New Roman" w:cs="Times New Roman"/>
          <w:noProof/>
          <w:sz w:val="24"/>
          <w:szCs w:val="24"/>
        </w:rPr>
        <w:t xml:space="preserve"> vehicles and 8 motorcycles were seized and placed under seal (in addition, 79 persons were arrested for crimes related to human trafficking).. The model will be expanded to other countries, as called for by the European Council in October 2017. In paralle</w:t>
      </w:r>
      <w:r>
        <w:rPr>
          <w:rFonts w:ascii="Times New Roman" w:hAnsi="Times New Roman" w:cs="Times New Roman"/>
          <w:noProof/>
          <w:sz w:val="24"/>
          <w:szCs w:val="24"/>
        </w:rPr>
        <w:t>l, to provide alternative income sources to smuggling, the EU is providing income support to local communities in northern Niger.</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xml:space="preserve"> </w:t>
      </w:r>
    </w:p>
    <w:p w:rsidR="001131A2" w:rsidRDefault="00E501DB">
      <w:pPr>
        <w:tabs>
          <w:tab w:val="left" w:pos="36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will host a high-level International Conference on security and development in the Sahel in Brussels. The purpose of </w:t>
      </w:r>
      <w:r>
        <w:rPr>
          <w:rFonts w:ascii="Times New Roman" w:hAnsi="Times New Roman" w:cs="Times New Roman"/>
          <w:noProof/>
          <w:sz w:val="24"/>
          <w:szCs w:val="24"/>
        </w:rPr>
        <w:t>the conference is to focus on the stability and stabilisation of the peripheral, cross-border and fragile zones of the Sahel. Following the EU's support to the G5 Sahel Joint Force (EUR 50 million through the African Peace Facility)</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xml:space="preserve"> the EU will help to mo</w:t>
      </w:r>
      <w:r>
        <w:rPr>
          <w:rFonts w:ascii="Times New Roman" w:hAnsi="Times New Roman" w:cs="Times New Roman"/>
          <w:noProof/>
          <w:sz w:val="24"/>
          <w:szCs w:val="24"/>
        </w:rPr>
        <w:t xml:space="preserve">bilise international support to the Joint Force, in support of the fight against terrorism, drug, migrant smuggling and trafficking in human beings. In addition, the EU is expanding its training and advice activities </w:t>
      </w:r>
      <w:r>
        <w:rPr>
          <w:rFonts w:ascii="Times New Roman" w:hAnsi="Times New Roman" w:cs="Times New Roman"/>
          <w:noProof/>
          <w:sz w:val="24"/>
          <w:szCs w:val="24"/>
          <w:lang w:val="en-US"/>
        </w:rPr>
        <w:t xml:space="preserve">to enhance the capacities of the local </w:t>
      </w:r>
      <w:r>
        <w:rPr>
          <w:rFonts w:ascii="Times New Roman" w:hAnsi="Times New Roman" w:cs="Times New Roman"/>
          <w:noProof/>
          <w:sz w:val="24"/>
          <w:szCs w:val="24"/>
          <w:lang w:val="en-US"/>
        </w:rPr>
        <w:t>security forces</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The civilian Common Security and Defence Policy Mission "EUCAP Sahel Niger" continues to increase its field visits in the different regions to implement projects, deliver training, identify further needs of the law enforcement authorities</w:t>
      </w:r>
      <w:r>
        <w:rPr>
          <w:rFonts w:ascii="Times New Roman" w:hAnsi="Times New Roman" w:cs="Times New Roman"/>
          <w:noProof/>
          <w:sz w:val="24"/>
          <w:szCs w:val="24"/>
        </w:rPr>
        <w:t xml:space="preserve">, and contribute to the mapping of irregular migration flows. </w:t>
      </w:r>
      <w:r>
        <w:rPr>
          <w:rFonts w:ascii="Times New Roman" w:hAnsi="Times New Roman" w:cs="Times New Roman"/>
          <w:noProof/>
          <w:sz w:val="24"/>
          <w:szCs w:val="24"/>
          <w:lang w:val="en-US"/>
        </w:rPr>
        <w:t xml:space="preserve">It conducted a second visit to Madama, an </w:t>
      </w:r>
      <w:r>
        <w:rPr>
          <w:rFonts w:ascii="Times New Roman" w:hAnsi="Times New Roman" w:cs="Times New Roman"/>
          <w:noProof/>
          <w:sz w:val="24"/>
          <w:szCs w:val="24"/>
        </w:rPr>
        <w:t>important hub for trafficking in human beings, in September 2017</w:t>
      </w:r>
      <w:r>
        <w:rPr>
          <w:rFonts w:ascii="Times New Roman" w:hAnsi="Times New Roman" w:cs="Times New Roman"/>
          <w:noProof/>
          <w:sz w:val="24"/>
          <w:szCs w:val="24"/>
          <w:lang w:val="en-US"/>
        </w:rPr>
        <w:t>. The mission</w:t>
      </w:r>
      <w:r>
        <w:rPr>
          <w:rFonts w:ascii="Times New Roman" w:hAnsi="Times New Roman" w:cs="Times New Roman"/>
          <w:noProof/>
          <w:sz w:val="24"/>
          <w:szCs w:val="24"/>
        </w:rPr>
        <w:t xml:space="preserve"> will be further strengthened, with an increased focus on the support to th</w:t>
      </w:r>
      <w:r>
        <w:rPr>
          <w:rFonts w:ascii="Times New Roman" w:hAnsi="Times New Roman" w:cs="Times New Roman"/>
          <w:noProof/>
          <w:sz w:val="24"/>
          <w:szCs w:val="24"/>
        </w:rPr>
        <w:t>e fight against migrants smuggling and trafficking in human beings, of drugs and weapons, as well as further support to the Nigerien Security and Defence Forces and a further development of decentralised activities countrywide.</w:t>
      </w:r>
    </w:p>
    <w:p w:rsidR="001131A2" w:rsidRDefault="00E501DB">
      <w:pPr>
        <w:tabs>
          <w:tab w:val="left" w:pos="360"/>
        </w:tabs>
        <w:spacing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Cooperation is essential to </w:t>
      </w:r>
      <w:r>
        <w:rPr>
          <w:rFonts w:ascii="Times New Roman" w:hAnsi="Times New Roman" w:cs="Times New Roman"/>
          <w:noProof/>
          <w:sz w:val="24"/>
          <w:szCs w:val="24"/>
          <w:lang w:val="en-US"/>
        </w:rPr>
        <w:t>tackling smuggling and address trafficking in human beings. The migrant smuggling Information Clearing House at Europol was set up in September. It already involves Operation Sophia and five Member States (</w:t>
      </w:r>
      <w:r>
        <w:rPr>
          <w:rFonts w:ascii="Times New Roman" w:hAnsi="Times New Roman"/>
          <w:noProof/>
          <w:sz w:val="24"/>
          <w:szCs w:val="24"/>
          <w:lang w:val="en-US"/>
        </w:rPr>
        <w:t>seconded national experts from Germany, Greece, It</w:t>
      </w:r>
      <w:r>
        <w:rPr>
          <w:rFonts w:ascii="Times New Roman" w:hAnsi="Times New Roman"/>
          <w:noProof/>
          <w:sz w:val="24"/>
          <w:szCs w:val="24"/>
          <w:lang w:val="en-US"/>
        </w:rPr>
        <w:t>aly, Spain, and the United Kingdom</w:t>
      </w:r>
      <w:r>
        <w:rPr>
          <w:rFonts w:ascii="Times New Roman" w:hAnsi="Times New Roman" w:cs="Times New Roman"/>
          <w:noProof/>
          <w:sz w:val="24"/>
          <w:szCs w:val="24"/>
          <w:lang w:val="en-US"/>
        </w:rPr>
        <w:t>), and is set to receive support by others.</w:t>
      </w:r>
      <w:r>
        <w:rPr>
          <w:rStyle w:val="FootnoteReference"/>
          <w:rFonts w:ascii="Times New Roman" w:hAnsi="Times New Roman" w:cs="Times New Roman"/>
          <w:noProof/>
          <w:sz w:val="24"/>
          <w:szCs w:val="24"/>
          <w:lang w:val="en-US"/>
        </w:rPr>
        <w:footnoteReference w:id="38"/>
      </w:r>
      <w:r>
        <w:rPr>
          <w:rFonts w:ascii="Times New Roman" w:hAnsi="Times New Roman" w:cs="Times New Roman"/>
          <w:noProof/>
          <w:sz w:val="24"/>
          <w:szCs w:val="24"/>
          <w:lang w:val="en-US"/>
        </w:rPr>
        <w:t xml:space="preserve"> The European Border and Coast Guard Agency and Interpol are aiming to link up through liaison officers by the end of November. Specific efforts are under way to help EU Consular</w:t>
      </w:r>
      <w:r>
        <w:rPr>
          <w:rFonts w:ascii="Times New Roman" w:hAnsi="Times New Roman" w:cs="Times New Roman"/>
          <w:noProof/>
          <w:sz w:val="24"/>
          <w:szCs w:val="24"/>
          <w:lang w:val="en-US"/>
        </w:rPr>
        <w:t xml:space="preserve"> Officers to address smuggling through visa fraud.</w:t>
      </w:r>
      <w:r>
        <w:rPr>
          <w:rStyle w:val="FootnoteReference"/>
          <w:rFonts w:ascii="Times New Roman" w:hAnsi="Times New Roman" w:cs="Times New Roman"/>
          <w:noProof/>
          <w:sz w:val="24"/>
          <w:szCs w:val="24"/>
          <w:lang w:val="en-US"/>
        </w:rPr>
        <w:footnoteReference w:id="39"/>
      </w:r>
      <w:r>
        <w:rPr>
          <w:rFonts w:ascii="Times New Roman" w:hAnsi="Times New Roman" w:cs="Times New Roman"/>
          <w:noProof/>
          <w:sz w:val="24"/>
          <w:szCs w:val="24"/>
          <w:lang w:val="en-US"/>
        </w:rPr>
        <w:t xml:space="preserve"> The use of EU Cooperation platforms on migrant smuggling to more effectively target interventions in high priority locations have already been launched in Nigeria and Pakistan.</w:t>
      </w:r>
      <w:r>
        <w:rPr>
          <w:rStyle w:val="FootnoteReference"/>
          <w:rFonts w:ascii="Times New Roman" w:hAnsi="Times New Roman" w:cs="Times New Roman"/>
          <w:noProof/>
          <w:sz w:val="24"/>
          <w:szCs w:val="24"/>
          <w:lang w:val="en-US"/>
        </w:rPr>
        <w:footnoteReference w:id="40"/>
      </w:r>
      <w:r>
        <w:rPr>
          <w:rFonts w:ascii="Times New Roman" w:hAnsi="Times New Roman" w:cs="Times New Roman"/>
          <w:noProof/>
          <w:sz w:val="24"/>
          <w:szCs w:val="24"/>
          <w:lang w:val="en-US"/>
        </w:rPr>
        <w:t xml:space="preserve"> Widening this approach to </w:t>
      </w:r>
      <w:r>
        <w:rPr>
          <w:rFonts w:ascii="Times New Roman" w:hAnsi="Times New Roman" w:cs="Times New Roman"/>
          <w:noProof/>
          <w:sz w:val="24"/>
          <w:szCs w:val="24"/>
          <w:lang w:val="en-US"/>
        </w:rPr>
        <w:t>include other locations will be framed by an Operational Action Plan on Facilitation of Illegal Immigration to be adopted by Member States under the policy cycle on organised crime by the end of November.</w:t>
      </w:r>
    </w:p>
    <w:tbl>
      <w:tblPr>
        <w:tblStyle w:val="TableGrid"/>
        <w:tblW w:w="0" w:type="auto"/>
        <w:tblLook w:val="04A0" w:firstRow="1" w:lastRow="0" w:firstColumn="1" w:lastColumn="0" w:noHBand="0" w:noVBand="1"/>
      </w:tblPr>
      <w:tblGrid>
        <w:gridCol w:w="9288"/>
      </w:tblGrid>
      <w:tr w:rsidR="001131A2">
        <w:tc>
          <w:tcPr>
            <w:tcW w:w="9288" w:type="dxa"/>
          </w:tcPr>
          <w:p w:rsidR="001131A2" w:rsidRDefault="00E501DB">
            <w:pPr>
              <w:jc w:val="both"/>
              <w:rPr>
                <w:rFonts w:ascii="Times New Roman" w:hAnsi="Times New Roman" w:cs="Times New Roman"/>
                <w:b/>
                <w:i/>
                <w:noProof/>
                <w:sz w:val="24"/>
                <w:szCs w:val="24"/>
              </w:rPr>
            </w:pPr>
            <w:r>
              <w:rPr>
                <w:rFonts w:ascii="Times New Roman" w:hAnsi="Times New Roman" w:cs="Times New Roman"/>
                <w:b/>
                <w:i/>
                <w:noProof/>
                <w:sz w:val="24"/>
                <w:szCs w:val="24"/>
              </w:rPr>
              <w:t>Key future actions</w:t>
            </w:r>
          </w:p>
          <w:p w:rsidR="001131A2" w:rsidRDefault="001131A2">
            <w:pPr>
              <w:jc w:val="both"/>
              <w:rPr>
                <w:rFonts w:ascii="Times New Roman" w:hAnsi="Times New Roman" w:cs="Times New Roman"/>
                <w:noProof/>
                <w:sz w:val="24"/>
                <w:szCs w:val="24"/>
              </w:rPr>
            </w:pPr>
          </w:p>
          <w:p w:rsidR="001131A2" w:rsidRDefault="00E501DB">
            <w:pPr>
              <w:pStyle w:val="ListParagraph"/>
              <w:numPr>
                <w:ilvl w:val="0"/>
                <w:numId w:val="20"/>
              </w:numPr>
              <w:ind w:left="426"/>
              <w:jc w:val="both"/>
              <w:rPr>
                <w:rFonts w:ascii="Times New Roman" w:hAnsi="Times New Roman" w:cs="Times New Roman"/>
                <w:noProof/>
                <w:sz w:val="24"/>
                <w:szCs w:val="24"/>
              </w:rPr>
            </w:pPr>
            <w:r>
              <w:rPr>
                <w:rFonts w:ascii="Times New Roman" w:hAnsi="Times New Roman" w:cs="Times New Roman"/>
                <w:noProof/>
                <w:sz w:val="24"/>
                <w:szCs w:val="24"/>
              </w:rPr>
              <w:t>Enhance information sharing wit</w:t>
            </w:r>
            <w:r>
              <w:rPr>
                <w:rFonts w:ascii="Times New Roman" w:hAnsi="Times New Roman" w:cs="Times New Roman"/>
                <w:noProof/>
                <w:sz w:val="24"/>
                <w:szCs w:val="24"/>
              </w:rPr>
              <w:t>hin the EU, between Member States, EU Agencies, CSDP missions and operations and extend operational joint investigation teams, with key West African partners;</w:t>
            </w:r>
          </w:p>
          <w:p w:rsidR="001131A2" w:rsidRDefault="00E501DB">
            <w:pPr>
              <w:pStyle w:val="ListParagraph"/>
              <w:numPr>
                <w:ilvl w:val="0"/>
                <w:numId w:val="20"/>
              </w:numPr>
              <w:ind w:left="426"/>
              <w:jc w:val="both"/>
              <w:rPr>
                <w:rFonts w:ascii="Times New Roman" w:hAnsi="Times New Roman" w:cs="Times New Roman"/>
                <w:noProof/>
                <w:sz w:val="24"/>
                <w:szCs w:val="24"/>
              </w:rPr>
            </w:pPr>
            <w:r>
              <w:rPr>
                <w:rFonts w:ascii="Times New Roman" w:hAnsi="Times New Roman" w:cs="Times New Roman"/>
                <w:noProof/>
                <w:sz w:val="24"/>
                <w:szCs w:val="24"/>
              </w:rPr>
              <w:t>Support the rollout of the G5 Sahel Joint Force.</w:t>
            </w:r>
          </w:p>
          <w:p w:rsidR="001131A2" w:rsidRDefault="001131A2">
            <w:pPr>
              <w:jc w:val="both"/>
              <w:rPr>
                <w:rFonts w:ascii="Times New Roman" w:hAnsi="Times New Roman" w:cs="Times New Roman"/>
                <w:noProof/>
                <w:sz w:val="24"/>
                <w:szCs w:val="24"/>
              </w:rPr>
            </w:pPr>
          </w:p>
        </w:tc>
      </w:tr>
    </w:tbl>
    <w:p w:rsidR="001131A2" w:rsidRDefault="001131A2">
      <w:pPr>
        <w:spacing w:line="240" w:lineRule="auto"/>
        <w:jc w:val="both"/>
        <w:rPr>
          <w:rFonts w:ascii="Times New Roman" w:hAnsi="Times New Roman" w:cs="Times New Roman"/>
          <w:noProof/>
          <w:sz w:val="24"/>
          <w:szCs w:val="24"/>
        </w:rPr>
      </w:pPr>
    </w:p>
    <w:p w:rsidR="001131A2" w:rsidRDefault="00E501DB">
      <w:pPr>
        <w:spacing w:line="240" w:lineRule="auto"/>
        <w:ind w:left="426" w:hanging="426"/>
        <w:jc w:val="both"/>
        <w:rPr>
          <w:rFonts w:ascii="Times New Roman" w:hAnsi="Times New Roman" w:cs="Times New Roman"/>
          <w:b/>
          <w:noProof/>
          <w:sz w:val="24"/>
          <w:szCs w:val="24"/>
        </w:rPr>
      </w:pPr>
      <w:r>
        <w:rPr>
          <w:rFonts w:ascii="Times New Roman" w:hAnsi="Times New Roman" w:cs="Times New Roman"/>
          <w:b/>
          <w:noProof/>
          <w:sz w:val="24"/>
          <w:szCs w:val="24"/>
        </w:rPr>
        <w:t>5.</w:t>
      </w:r>
      <w:r>
        <w:rPr>
          <w:rFonts w:ascii="Times New Roman" w:hAnsi="Times New Roman" w:cs="Times New Roman"/>
          <w:b/>
          <w:noProof/>
          <w:sz w:val="24"/>
          <w:szCs w:val="24"/>
        </w:rPr>
        <w:tab/>
        <w:t xml:space="preserve">ADDRESSING THE ROOT CAUSES OF IRREGULAR </w:t>
      </w:r>
      <w:r>
        <w:rPr>
          <w:rFonts w:ascii="Times New Roman" w:hAnsi="Times New Roman" w:cs="Times New Roman"/>
          <w:b/>
          <w:noProof/>
          <w:sz w:val="24"/>
          <w:szCs w:val="24"/>
        </w:rPr>
        <w:t>MIGRATION</w:t>
      </w:r>
    </w:p>
    <w:p w:rsidR="001131A2" w:rsidRDefault="00E501D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its three windows for the Sahel and Lake Chad, the Horn of Africa and North Africa, the </w:t>
      </w:r>
      <w:r>
        <w:rPr>
          <w:rFonts w:ascii="Times New Roman" w:hAnsi="Times New Roman" w:cs="Times New Roman"/>
          <w:b/>
          <w:i/>
          <w:noProof/>
          <w:sz w:val="24"/>
          <w:szCs w:val="24"/>
        </w:rPr>
        <w:t>EU Trust Fund for Africa</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has brought a new focus on migration. 117 programmes have been approved for a total of almost EUR 2 billion, with contracts sig</w:t>
      </w:r>
      <w:r>
        <w:rPr>
          <w:rFonts w:ascii="Times New Roman" w:hAnsi="Times New Roman" w:cs="Times New Roman"/>
          <w:noProof/>
          <w:sz w:val="24"/>
          <w:szCs w:val="24"/>
        </w:rPr>
        <w:t>ned for just over EUR 1.3 billion.</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xml:space="preserve"> Though European Council identified the North Africa window as the most urgent priority, pushing forward work on the other windows of the Trust Fund is also of critical importance. </w:t>
      </w:r>
    </w:p>
    <w:p w:rsidR="001131A2" w:rsidRDefault="001131A2">
      <w:pPr>
        <w:spacing w:after="0" w:line="240" w:lineRule="auto"/>
        <w:jc w:val="both"/>
        <w:rPr>
          <w:rFonts w:ascii="Times New Roman" w:hAnsi="Times New Roman" w:cs="Times New Roman"/>
          <w:noProof/>
          <w:sz w:val="24"/>
          <w:szCs w:val="24"/>
        </w:rPr>
      </w:pPr>
    </w:p>
    <w:p w:rsidR="001131A2" w:rsidRDefault="00E501D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Horn of Africa, Trust Fund projects now under way will create over 44 000 jobs across Ethiopia, Kenya and Somalia, and directly finance a further 30 000 jobs in South Sudan. Projects are supporting the delivery of basic social services to over 1.6 m</w:t>
      </w:r>
      <w:r>
        <w:rPr>
          <w:rFonts w:ascii="Times New Roman" w:hAnsi="Times New Roman" w:cs="Times New Roman"/>
          <w:noProof/>
          <w:sz w:val="24"/>
          <w:szCs w:val="24"/>
        </w:rPr>
        <w:t>illion beneficiaries. In West Africa and the Sahel, work under way targets the creation of 114 000 jobs, and supporting almost 10 000 micro, small and medium enterprises. Most of these actions include support to returning migrants, to provide them with rei</w:t>
      </w:r>
      <w:r>
        <w:rPr>
          <w:rFonts w:ascii="Times New Roman" w:hAnsi="Times New Roman" w:cs="Times New Roman"/>
          <w:noProof/>
          <w:sz w:val="24"/>
          <w:szCs w:val="24"/>
        </w:rPr>
        <w:t xml:space="preserve">ntegration opportunities. </w:t>
      </w:r>
    </w:p>
    <w:p w:rsidR="001131A2" w:rsidRDefault="001131A2">
      <w:pPr>
        <w:spacing w:after="0" w:line="240" w:lineRule="auto"/>
        <w:jc w:val="both"/>
        <w:rPr>
          <w:rFonts w:ascii="Times New Roman" w:hAnsi="Times New Roman" w:cs="Times New Roman"/>
          <w:noProof/>
          <w:sz w:val="24"/>
          <w:szCs w:val="24"/>
        </w:rPr>
      </w:pPr>
    </w:p>
    <w:p w:rsidR="001131A2" w:rsidRDefault="00E501D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For </w:t>
      </w:r>
      <w:r>
        <w:rPr>
          <w:rFonts w:ascii="Times New Roman" w:hAnsi="Times New Roman" w:cs="Times New Roman"/>
          <w:b/>
          <w:i/>
          <w:noProof/>
          <w:sz w:val="24"/>
          <w:szCs w:val="24"/>
        </w:rPr>
        <w:t>Asia</w:t>
      </w:r>
      <w:r>
        <w:rPr>
          <w:rFonts w:ascii="Times New Roman" w:hAnsi="Times New Roman" w:cs="Times New Roman"/>
          <w:noProof/>
          <w:sz w:val="24"/>
          <w:szCs w:val="24"/>
        </w:rPr>
        <w:t>, a special measure of EUR 196 million was adopted by the Commission in September to address challenges posed by protracted forced displacement and migration in Asia and the Middle East. Benefitting Afghanistan, Pakistan</w:t>
      </w:r>
      <w:r>
        <w:rPr>
          <w:rFonts w:ascii="Times New Roman" w:hAnsi="Times New Roman" w:cs="Times New Roman"/>
          <w:noProof/>
          <w:sz w:val="24"/>
          <w:szCs w:val="24"/>
        </w:rPr>
        <w:t>, Iran, Iraq and Bangladesh,</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the measure will complement the EU migration dialogues with all five target countries. Key objectives are to strengthen resilience and self-reliance, including for local and host communities, to support sustainable livelihoods</w:t>
      </w:r>
      <w:r>
        <w:rPr>
          <w:rFonts w:ascii="Times New Roman" w:hAnsi="Times New Roman" w:cs="Times New Roman"/>
          <w:noProof/>
          <w:sz w:val="24"/>
          <w:szCs w:val="24"/>
        </w:rPr>
        <w:t xml:space="preserve">, enhance protection of their rights and ensure sustainable reintegration. </w:t>
      </w:r>
    </w:p>
    <w:p w:rsidR="001131A2" w:rsidRDefault="001131A2">
      <w:pPr>
        <w:spacing w:after="0" w:line="240" w:lineRule="auto"/>
        <w:jc w:val="both"/>
        <w:rPr>
          <w:rFonts w:ascii="Times New Roman" w:hAnsi="Times New Roman" w:cs="Times New Roman"/>
          <w:noProof/>
          <w:sz w:val="24"/>
          <w:szCs w:val="24"/>
        </w:rPr>
      </w:pPr>
    </w:p>
    <w:p w:rsidR="001131A2" w:rsidRDefault="00E501DB">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Furthermore, long-term investment projects contributing to addressing the root causes will also soon be able to benefit from the </w:t>
      </w:r>
      <w:r>
        <w:rPr>
          <w:rFonts w:ascii="Times New Roman" w:hAnsi="Times New Roman" w:cs="Times New Roman"/>
          <w:b/>
          <w:i/>
          <w:noProof/>
          <w:sz w:val="24"/>
          <w:szCs w:val="24"/>
        </w:rPr>
        <w:t>External Investment</w:t>
      </w:r>
      <w:r>
        <w:rPr>
          <w:rFonts w:ascii="Times New Roman" w:hAnsi="Times New Roman" w:cs="Times New Roman"/>
          <w:i/>
          <w:noProof/>
          <w:sz w:val="24"/>
          <w:szCs w:val="24"/>
        </w:rPr>
        <w:t xml:space="preserve"> </w:t>
      </w:r>
      <w:r>
        <w:rPr>
          <w:rFonts w:ascii="Times New Roman" w:hAnsi="Times New Roman" w:cs="Times New Roman"/>
          <w:b/>
          <w:i/>
          <w:noProof/>
          <w:sz w:val="24"/>
          <w:szCs w:val="24"/>
        </w:rPr>
        <w:t>Plan,</w:t>
      </w:r>
      <w:r>
        <w:rPr>
          <w:rFonts w:ascii="Times New Roman" w:hAnsi="Times New Roman" w:cs="Times New Roman"/>
          <w:noProof/>
          <w:sz w:val="24"/>
          <w:szCs w:val="24"/>
        </w:rPr>
        <w:t xml:space="preserve"> including its European F</w:t>
      </w:r>
      <w:r>
        <w:rPr>
          <w:rFonts w:ascii="Times New Roman" w:hAnsi="Times New Roman" w:cs="Times New Roman"/>
          <w:noProof/>
          <w:sz w:val="24"/>
          <w:szCs w:val="24"/>
        </w:rPr>
        <w:t>und for Sustainable Development, which entered into force on 28 September 2017. The Plan aims at fostering innovative financial partnerships in Africa and the Neighbourhood to promote inclusive growth, job creation and sustainable development. Work to oper</w:t>
      </w:r>
      <w:r>
        <w:rPr>
          <w:rFonts w:ascii="Times New Roman" w:hAnsi="Times New Roman" w:cs="Times New Roman"/>
          <w:noProof/>
          <w:sz w:val="24"/>
          <w:szCs w:val="24"/>
        </w:rPr>
        <w:t>ationalise the Fund swiftly is ongoing , and a decision defining five dedicated investment windows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will be taken by the Commission ahead of the Eastern Partnership and African Union-EU Summits, paving the way for the first call for expressions of interest</w:t>
      </w:r>
      <w:r>
        <w:rPr>
          <w:rFonts w:ascii="Times New Roman" w:hAnsi="Times New Roman" w:cs="Times New Roman"/>
          <w:noProof/>
          <w:sz w:val="24"/>
          <w:szCs w:val="24"/>
        </w:rPr>
        <w:t xml:space="preserve"> before the end of the year.</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p>
    <w:p w:rsidR="001131A2" w:rsidRDefault="001131A2">
      <w:pPr>
        <w:spacing w:after="0" w:line="240" w:lineRule="auto"/>
        <w:jc w:val="both"/>
        <w:rPr>
          <w:rFonts w:ascii="Times New Roman" w:hAnsi="Times New Roman" w:cs="Times New Roman"/>
          <w:noProof/>
          <w:sz w:val="24"/>
          <w:szCs w:val="24"/>
        </w:rPr>
      </w:pP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Addressing the long-term challenge of migration needs a truly global approach. The </w:t>
      </w:r>
      <w:r>
        <w:rPr>
          <w:rFonts w:ascii="Times New Roman" w:hAnsi="Times New Roman" w:cs="Times New Roman"/>
          <w:b/>
          <w:i/>
          <w:noProof/>
          <w:sz w:val="24"/>
          <w:szCs w:val="24"/>
        </w:rPr>
        <w:t>Global Compact on Migration</w:t>
      </w:r>
      <w:r>
        <w:rPr>
          <w:rFonts w:ascii="Times New Roman" w:hAnsi="Times New Roman" w:cs="Times New Roman"/>
          <w:noProof/>
          <w:sz w:val="24"/>
          <w:szCs w:val="24"/>
        </w:rPr>
        <w:t xml:space="preserve"> is currently mid-way in the two-year process. The consultative phase concluding in December 2017 will be a first </w:t>
      </w:r>
      <w:r>
        <w:rPr>
          <w:rFonts w:ascii="Times New Roman" w:hAnsi="Times New Roman" w:cs="Times New Roman"/>
          <w:noProof/>
          <w:sz w:val="24"/>
          <w:szCs w:val="24"/>
        </w:rPr>
        <w:t xml:space="preserve">step towards endorsement of the Compact at an intergovernmental conference in 2018. The informal thematic discussion phase for the </w:t>
      </w:r>
      <w:r>
        <w:rPr>
          <w:rFonts w:ascii="Times New Roman" w:hAnsi="Times New Roman" w:cs="Times New Roman"/>
          <w:b/>
          <w:i/>
          <w:noProof/>
          <w:sz w:val="24"/>
          <w:szCs w:val="24"/>
        </w:rPr>
        <w:t>Global Compact on Refugees</w:t>
      </w:r>
      <w:r>
        <w:rPr>
          <w:rFonts w:ascii="Times New Roman" w:hAnsi="Times New Roman" w:cs="Times New Roman"/>
          <w:noProof/>
          <w:sz w:val="24"/>
          <w:szCs w:val="24"/>
        </w:rPr>
        <w:t xml:space="preserve"> is due to be completed in November 2017. The UNHCR High Commissioner's Dialogue on protection Chal</w:t>
      </w:r>
      <w:r>
        <w:rPr>
          <w:rFonts w:ascii="Times New Roman" w:hAnsi="Times New Roman" w:cs="Times New Roman"/>
          <w:noProof/>
          <w:sz w:val="24"/>
          <w:szCs w:val="24"/>
        </w:rPr>
        <w:t xml:space="preserve">lenges, taking place in Geneva on 12 December, will be dedicated to assessing progress made and identifying lessons learned during the preparatory work and to laying the groundwork for the Global Compact on Refugees.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work will underpin the importance</w:t>
      </w:r>
      <w:r>
        <w:rPr>
          <w:rFonts w:ascii="Times New Roman" w:hAnsi="Times New Roman" w:cs="Times New Roman"/>
          <w:noProof/>
          <w:sz w:val="24"/>
          <w:szCs w:val="24"/>
        </w:rPr>
        <w:t xml:space="preserve"> of migration in the context of the </w:t>
      </w:r>
      <w:r>
        <w:rPr>
          <w:rFonts w:ascii="Times New Roman" w:hAnsi="Times New Roman" w:cs="Times New Roman"/>
          <w:b/>
          <w:i/>
          <w:noProof/>
          <w:sz w:val="24"/>
          <w:szCs w:val="24"/>
        </w:rPr>
        <w:t xml:space="preserve">EU-African Union summit </w:t>
      </w:r>
      <w:r>
        <w:rPr>
          <w:rFonts w:ascii="Times New Roman" w:hAnsi="Times New Roman" w:cs="Times New Roman"/>
          <w:noProof/>
          <w:sz w:val="24"/>
          <w:szCs w:val="24"/>
        </w:rPr>
        <w:t>at the end of November. This summit will build on the Valletta follow-up, with a balanced relationship essential to addressing root causes, providing development assistance, fighting smuggling and</w:t>
      </w:r>
      <w:r>
        <w:rPr>
          <w:rFonts w:ascii="Times New Roman" w:hAnsi="Times New Roman" w:cs="Times New Roman"/>
          <w:noProof/>
          <w:sz w:val="24"/>
          <w:szCs w:val="24"/>
        </w:rPr>
        <w:t xml:space="preserve"> trafficking and promoting legal migration and effective readmission and reintegration. </w:t>
      </w:r>
    </w:p>
    <w:p w:rsidR="001131A2" w:rsidRDefault="001131A2">
      <w:pPr>
        <w:spacing w:after="0" w:line="240" w:lineRule="auto"/>
        <w:jc w:val="both"/>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9288"/>
      </w:tblGrid>
      <w:tr w:rsidR="001131A2">
        <w:tc>
          <w:tcPr>
            <w:tcW w:w="9288" w:type="dxa"/>
          </w:tcPr>
          <w:p w:rsidR="001131A2" w:rsidRDefault="00E501DB">
            <w:pPr>
              <w:jc w:val="both"/>
              <w:rPr>
                <w:rFonts w:ascii="Times New Roman" w:hAnsi="Times New Roman" w:cs="Times New Roman"/>
                <w:b/>
                <w:i/>
                <w:noProof/>
                <w:sz w:val="24"/>
                <w:szCs w:val="24"/>
              </w:rPr>
            </w:pPr>
            <w:r>
              <w:rPr>
                <w:rFonts w:ascii="Times New Roman" w:hAnsi="Times New Roman" w:cs="Times New Roman"/>
                <w:b/>
                <w:i/>
                <w:noProof/>
                <w:sz w:val="24"/>
                <w:szCs w:val="24"/>
              </w:rPr>
              <w:t>Key future actions</w:t>
            </w:r>
          </w:p>
          <w:p w:rsidR="001131A2" w:rsidRDefault="001131A2">
            <w:pPr>
              <w:jc w:val="both"/>
              <w:rPr>
                <w:rFonts w:ascii="Times New Roman" w:hAnsi="Times New Roman" w:cs="Times New Roman"/>
                <w:noProof/>
                <w:sz w:val="24"/>
                <w:szCs w:val="24"/>
              </w:rPr>
            </w:pPr>
          </w:p>
          <w:p w:rsidR="001131A2" w:rsidRDefault="00E501DB">
            <w:pPr>
              <w:pStyle w:val="ListParagraph"/>
              <w:numPr>
                <w:ilvl w:val="0"/>
                <w:numId w:val="20"/>
              </w:numPr>
              <w:ind w:left="426"/>
              <w:jc w:val="both"/>
              <w:rPr>
                <w:rFonts w:ascii="Times New Roman" w:hAnsi="Times New Roman" w:cs="Times New Roman"/>
                <w:noProof/>
                <w:sz w:val="24"/>
                <w:szCs w:val="24"/>
              </w:rPr>
            </w:pPr>
            <w:r>
              <w:rPr>
                <w:rFonts w:ascii="Times New Roman" w:hAnsi="Times New Roman" w:cs="Times New Roman"/>
                <w:noProof/>
                <w:sz w:val="24"/>
                <w:szCs w:val="24"/>
              </w:rPr>
              <w:t>Agreement in December on new round of projects under the Sahel and Lake Chad and Horn of Africa windows of the EU Trust Fund for Africa;</w:t>
            </w:r>
          </w:p>
          <w:p w:rsidR="001131A2" w:rsidRDefault="00E501DB">
            <w:pPr>
              <w:pStyle w:val="ListParagraph"/>
              <w:numPr>
                <w:ilvl w:val="0"/>
                <w:numId w:val="20"/>
              </w:numPr>
              <w:ind w:left="426"/>
              <w:rPr>
                <w:rFonts w:ascii="Times New Roman" w:hAnsi="Times New Roman" w:cs="Times New Roman"/>
                <w:noProof/>
                <w:sz w:val="24"/>
                <w:szCs w:val="24"/>
              </w:rPr>
            </w:pPr>
            <w:r>
              <w:rPr>
                <w:rFonts w:ascii="Times New Roman" w:hAnsi="Times New Roman" w:cs="Times New Roman"/>
                <w:noProof/>
                <w:sz w:val="24"/>
                <w:szCs w:val="24"/>
              </w:rPr>
              <w:t xml:space="preserve">EU-African Union Summit to foster the partnership approach towards a joint management of migration with African countries; </w:t>
            </w:r>
          </w:p>
          <w:p w:rsidR="001131A2" w:rsidRDefault="00E501DB">
            <w:pPr>
              <w:pStyle w:val="ListParagraph"/>
              <w:numPr>
                <w:ilvl w:val="0"/>
                <w:numId w:val="20"/>
              </w:numPr>
              <w:ind w:left="426"/>
              <w:jc w:val="both"/>
              <w:rPr>
                <w:rFonts w:ascii="Times New Roman" w:hAnsi="Times New Roman" w:cs="Times New Roman"/>
                <w:noProof/>
                <w:sz w:val="24"/>
                <w:szCs w:val="24"/>
              </w:rPr>
            </w:pPr>
            <w:r>
              <w:rPr>
                <w:rFonts w:ascii="Times New Roman" w:hAnsi="Times New Roman" w:cs="Times New Roman"/>
                <w:noProof/>
                <w:sz w:val="24"/>
                <w:szCs w:val="24"/>
              </w:rPr>
              <w:t>First call of proposals under the External Investment Plan by the end of 2017.</w:t>
            </w:r>
          </w:p>
          <w:p w:rsidR="001131A2" w:rsidRDefault="001131A2">
            <w:pPr>
              <w:ind w:left="360"/>
              <w:jc w:val="both"/>
              <w:rPr>
                <w:rFonts w:ascii="Times New Roman" w:hAnsi="Times New Roman" w:cs="Times New Roman"/>
                <w:noProof/>
                <w:sz w:val="24"/>
                <w:szCs w:val="24"/>
              </w:rPr>
            </w:pPr>
          </w:p>
        </w:tc>
      </w:tr>
    </w:tbl>
    <w:p w:rsidR="001131A2" w:rsidRDefault="001131A2">
      <w:pPr>
        <w:spacing w:line="240" w:lineRule="auto"/>
        <w:jc w:val="both"/>
        <w:rPr>
          <w:rFonts w:ascii="Times New Roman" w:hAnsi="Times New Roman" w:cs="Times New Roman"/>
          <w:noProof/>
          <w:sz w:val="24"/>
          <w:szCs w:val="24"/>
        </w:rPr>
      </w:pPr>
    </w:p>
    <w:p w:rsidR="001131A2" w:rsidRDefault="00E501DB">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6.</w:t>
      </w:r>
      <w:r>
        <w:rPr>
          <w:rFonts w:ascii="Times New Roman" w:hAnsi="Times New Roman" w:cs="Times New Roman"/>
          <w:b/>
          <w:noProof/>
          <w:sz w:val="24"/>
          <w:szCs w:val="24"/>
        </w:rPr>
        <w:tab/>
        <w:t>RETURN AND READMISSION</w:t>
      </w:r>
    </w:p>
    <w:p w:rsidR="001131A2" w:rsidRDefault="00E501DB">
      <w:pPr>
        <w:spacing w:line="240" w:lineRule="auto"/>
        <w:jc w:val="both"/>
        <w:rPr>
          <w:rFonts w:ascii="Times New Roman" w:hAnsi="Times New Roman" w:cs="Times New Roman"/>
          <w:b/>
          <w:noProof/>
          <w:sz w:val="24"/>
          <w:szCs w:val="24"/>
        </w:rPr>
      </w:pPr>
      <w:r>
        <w:rPr>
          <w:rFonts w:ascii="Times New Roman" w:hAnsi="Times New Roman" w:cs="Times New Roman"/>
          <w:noProof/>
          <w:sz w:val="24"/>
          <w:szCs w:val="24"/>
        </w:rPr>
        <w:t xml:space="preserve">As reflected in last month's European Council conclusions, improving the rate of return of those who have no right to stay is part of the European Agenda on Migration. It is a challenge which needs the commitment of all: the </w:t>
      </w:r>
      <w:r>
        <w:rPr>
          <w:rFonts w:ascii="Times New Roman" w:hAnsi="Times New Roman" w:cs="Times New Roman"/>
          <w:b/>
          <w:i/>
          <w:noProof/>
          <w:sz w:val="24"/>
          <w:szCs w:val="24"/>
        </w:rPr>
        <w:t>Member States</w:t>
      </w:r>
      <w:r>
        <w:rPr>
          <w:rFonts w:ascii="Times New Roman" w:hAnsi="Times New Roman" w:cs="Times New Roman"/>
          <w:noProof/>
          <w:sz w:val="24"/>
          <w:szCs w:val="24"/>
        </w:rPr>
        <w:t>, who are responsi</w:t>
      </w:r>
      <w:r>
        <w:rPr>
          <w:rFonts w:ascii="Times New Roman" w:hAnsi="Times New Roman" w:cs="Times New Roman"/>
          <w:noProof/>
          <w:sz w:val="24"/>
          <w:szCs w:val="24"/>
        </w:rPr>
        <w:t>ble for taking individual return decisions and whose work to implement the Recommendation and the Renewed Action Plan</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on Returns is essential to ensure that those who receive return decisions are effectively returned; the European Border and Coast Guard A</w:t>
      </w:r>
      <w:r>
        <w:rPr>
          <w:rFonts w:ascii="Times New Roman" w:hAnsi="Times New Roman" w:cs="Times New Roman"/>
          <w:noProof/>
          <w:sz w:val="24"/>
          <w:szCs w:val="24"/>
        </w:rPr>
        <w:t>gency which now has a specific mandate to support this work; and the third countries which need to fulfil their obligations on readmission.</w:t>
      </w:r>
      <w:r>
        <w:rPr>
          <w:rFonts w:ascii="Times New Roman" w:hAnsi="Times New Roman" w:cs="Times New Roman"/>
          <w:b/>
          <w:i/>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announced in September's mid-term review of the delivery of the European Agenda on Migration, the Commission wil</w:t>
      </w:r>
      <w:r>
        <w:rPr>
          <w:rFonts w:ascii="Times New Roman" w:hAnsi="Times New Roman" w:cs="Times New Roman"/>
          <w:noProof/>
          <w:sz w:val="24"/>
          <w:szCs w:val="24"/>
        </w:rPr>
        <w:t xml:space="preserve">l be reporting regularly on the progress being made. This report provides the first opportunity to do so, and the Commission intends to develop further its monitoring and feedback in this field. </w:t>
      </w:r>
    </w:p>
    <w:p w:rsidR="001131A2" w:rsidRDefault="00E501DB">
      <w:pPr>
        <w:tabs>
          <w:tab w:val="left" w:pos="36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important aspect of this is the need for timely and good</w:t>
      </w:r>
      <w:r>
        <w:rPr>
          <w:rFonts w:ascii="Times New Roman" w:hAnsi="Times New Roman" w:cs="Times New Roman"/>
          <w:noProof/>
          <w:sz w:val="24"/>
          <w:szCs w:val="24"/>
        </w:rPr>
        <w:t xml:space="preserve"> quality data. To this end, the full support of Member States for the Irregular Migration Management Application (IRMA) is essential if it is to meet its potential to give a reliable and regular overview of the state of play on return. In addition, Eurosta</w:t>
      </w:r>
      <w:r>
        <w:rPr>
          <w:rFonts w:ascii="Times New Roman" w:hAnsi="Times New Roman" w:cs="Times New Roman"/>
          <w:noProof/>
          <w:sz w:val="24"/>
          <w:szCs w:val="24"/>
        </w:rPr>
        <w:t xml:space="preserve">t will start to increase the frequency of data collection on returns, from annually to quarterly, to allow more timely monitoring.  </w:t>
      </w:r>
    </w:p>
    <w:p w:rsidR="001131A2" w:rsidRDefault="001131A2">
      <w:pPr>
        <w:spacing w:after="0" w:line="240" w:lineRule="auto"/>
        <w:jc w:val="both"/>
        <w:rPr>
          <w:rFonts w:ascii="Times New Roman" w:hAnsi="Times New Roman" w:cs="Times New Roman"/>
          <w:noProof/>
          <w:sz w:val="24"/>
          <w:szCs w:val="24"/>
        </w:rPr>
      </w:pPr>
    </w:p>
    <w:p w:rsidR="001131A2" w:rsidRDefault="00E501DB">
      <w:pPr>
        <w:tabs>
          <w:tab w:val="left" w:pos="360"/>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Council in its conclusions of October 2017 put particular emphasis on the work of the </w:t>
      </w:r>
      <w:r>
        <w:rPr>
          <w:rFonts w:ascii="Times New Roman" w:hAnsi="Times New Roman" w:cs="Times New Roman"/>
          <w:b/>
          <w:i/>
          <w:noProof/>
          <w:sz w:val="24"/>
          <w:szCs w:val="24"/>
        </w:rPr>
        <w:t>European Border and Coa</w:t>
      </w:r>
      <w:r>
        <w:rPr>
          <w:rFonts w:ascii="Times New Roman" w:hAnsi="Times New Roman" w:cs="Times New Roman"/>
          <w:b/>
          <w:i/>
          <w:noProof/>
          <w:sz w:val="24"/>
          <w:szCs w:val="24"/>
        </w:rPr>
        <w:t>st Guard Agency</w:t>
      </w:r>
      <w:r>
        <w:rPr>
          <w:rFonts w:ascii="Times New Roman" w:hAnsi="Times New Roman" w:cs="Times New Roman"/>
          <w:noProof/>
          <w:sz w:val="24"/>
          <w:szCs w:val="24"/>
        </w:rPr>
        <w:t>. The Agency will decide at the end of November on the next operational steps to build up its support to Member States in the field of return. As well as providing training and spreading best practice,</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the Agency will conduct more pro-activ</w:t>
      </w:r>
      <w:r>
        <w:rPr>
          <w:rFonts w:ascii="Times New Roman" w:hAnsi="Times New Roman" w:cs="Times New Roman"/>
          <w:noProof/>
          <w:sz w:val="24"/>
          <w:szCs w:val="24"/>
        </w:rPr>
        <w:t xml:space="preserve">e work on returns from Member States to enable it to serve as the focal point for operational efforts on return. </w:t>
      </w:r>
      <w:r>
        <w:rPr>
          <w:rFonts w:ascii="Times New Roman" w:hAnsi="Times New Roman"/>
          <w:noProof/>
          <w:sz w:val="24"/>
          <w:szCs w:val="24"/>
        </w:rPr>
        <w:t>Member States' full support and commitment to the Agency's Return Implementation Framework is crucial to its success. On this basis, operationa</w:t>
      </w:r>
      <w:r>
        <w:rPr>
          <w:rFonts w:ascii="Times New Roman" w:hAnsi="Times New Roman"/>
          <w:noProof/>
          <w:sz w:val="24"/>
          <w:szCs w:val="24"/>
        </w:rPr>
        <w:t xml:space="preserve">l plans should be developed </w:t>
      </w:r>
      <w:r>
        <w:rPr>
          <w:rFonts w:ascii="Times New Roman" w:hAnsi="Times New Roman" w:cs="Times New Roman"/>
          <w:noProof/>
          <w:sz w:val="24"/>
          <w:szCs w:val="24"/>
        </w:rPr>
        <w:t xml:space="preserve">by the end of the first quarter of 2018.  </w:t>
      </w:r>
    </w:p>
    <w:p w:rsidR="001131A2" w:rsidRDefault="00E501DB">
      <w:pPr>
        <w:rPr>
          <w:rFonts w:ascii="Times New Roman" w:hAnsi="Times New Roman"/>
          <w:b/>
          <w:i/>
          <w:noProof/>
          <w:color w:val="000000"/>
          <w:sz w:val="20"/>
          <w:szCs w:val="20"/>
        </w:rPr>
      </w:pPr>
      <w:r>
        <w:rPr>
          <w:rFonts w:ascii="Times New Roman" w:hAnsi="Times New Roman"/>
          <w:b/>
          <w:i/>
          <w:noProof/>
          <w:color w:val="000000"/>
          <w:sz w:val="20"/>
          <w:szCs w:val="20"/>
        </w:rPr>
        <w:t>Support by the Agency to return operations</w:t>
      </w:r>
      <w:r>
        <w:rPr>
          <w:rStyle w:val="FootnoteReference"/>
          <w:rFonts w:ascii="Times New Roman" w:hAnsi="Times New Roman"/>
          <w:b/>
          <w:i/>
          <w:noProof/>
          <w:color w:val="000000"/>
          <w:sz w:val="20"/>
          <w:szCs w:val="20"/>
        </w:rPr>
        <w:footnoteReference w:id="48"/>
      </w:r>
    </w:p>
    <w:tbl>
      <w:tblPr>
        <w:tblStyle w:val="TableGrid"/>
        <w:tblW w:w="0" w:type="auto"/>
        <w:tblLook w:val="04A0" w:firstRow="1" w:lastRow="0" w:firstColumn="1" w:lastColumn="0" w:noHBand="0" w:noVBand="1"/>
      </w:tblPr>
      <w:tblGrid>
        <w:gridCol w:w="3510"/>
        <w:gridCol w:w="5778"/>
      </w:tblGrid>
      <w:tr w:rsidR="001131A2">
        <w:tc>
          <w:tcPr>
            <w:tcW w:w="3510" w:type="dxa"/>
          </w:tcPr>
          <w:p w:rsidR="001131A2" w:rsidRDefault="00E501DB">
            <w:pPr>
              <w:jc w:val="both"/>
              <w:rPr>
                <w:rFonts w:ascii="Times New Roman" w:hAnsi="Times New Roman" w:cs="Times New Roman"/>
                <w:noProof/>
                <w:sz w:val="20"/>
                <w:szCs w:val="24"/>
              </w:rPr>
            </w:pPr>
            <w:r>
              <w:rPr>
                <w:rFonts w:ascii="Times New Roman" w:hAnsi="Times New Roman" w:cs="Times New Roman"/>
                <w:noProof/>
                <w:sz w:val="20"/>
                <w:szCs w:val="24"/>
              </w:rPr>
              <w:t>Total number of return operations coordinated</w:t>
            </w:r>
            <w:r>
              <w:rPr>
                <w:rFonts w:ascii="Times New Roman" w:hAnsi="Times New Roman" w:cs="Times New Roman"/>
                <w:noProof/>
                <w:sz w:val="20"/>
              </w:rPr>
              <w:t xml:space="preserve"> </w:t>
            </w:r>
          </w:p>
          <w:p w:rsidR="001131A2" w:rsidRDefault="001131A2">
            <w:pPr>
              <w:rPr>
                <w:noProof/>
                <w:sz w:val="20"/>
              </w:rPr>
            </w:pPr>
          </w:p>
        </w:tc>
        <w:tc>
          <w:tcPr>
            <w:tcW w:w="5778" w:type="dxa"/>
          </w:tcPr>
          <w:p w:rsidR="001131A2" w:rsidRDefault="00E501DB">
            <w:pPr>
              <w:rPr>
                <w:noProof/>
                <w:sz w:val="20"/>
              </w:rPr>
            </w:pPr>
            <w:r>
              <w:rPr>
                <w:rFonts w:ascii="Times New Roman" w:hAnsi="Times New Roman" w:cs="Times New Roman"/>
                <w:noProof/>
                <w:sz w:val="20"/>
              </w:rPr>
              <w:t>279</w:t>
            </w:r>
            <w:r>
              <w:rPr>
                <w:rStyle w:val="FootnoteReference"/>
                <w:rFonts w:ascii="Times New Roman" w:hAnsi="Times New Roman" w:cs="Times New Roman"/>
                <w:noProof/>
                <w:sz w:val="20"/>
              </w:rPr>
              <w:footnoteReference w:id="49"/>
            </w:r>
            <w:r>
              <w:rPr>
                <w:rFonts w:ascii="Times New Roman" w:hAnsi="Times New Roman" w:cs="Times New Roman"/>
                <w:noProof/>
                <w:sz w:val="20"/>
              </w:rPr>
              <w:t xml:space="preserve">: </w:t>
            </w:r>
            <w:r>
              <w:rPr>
                <w:rFonts w:ascii="Times New Roman" w:hAnsi="Times New Roman" w:cs="Times New Roman"/>
                <w:noProof/>
                <w:sz w:val="20"/>
                <w:szCs w:val="24"/>
              </w:rPr>
              <w:t xml:space="preserve">Of these, 54% were monitored with the physical presence of a monitor (compared to 41% in the same period in 2016). Within </w:t>
            </w:r>
            <w:r>
              <w:rPr>
                <w:rFonts w:ascii="Times New Roman" w:hAnsi="Times New Roman" w:cs="Times New Roman"/>
                <w:noProof/>
                <w:sz w:val="20"/>
                <w:szCs w:val="24"/>
                <w:lang w:val="en-US"/>
              </w:rPr>
              <w:t>the reporting period the Agency deployed 70 monitors from the pool of forced-return monitors for 70 operations.</w:t>
            </w:r>
          </w:p>
        </w:tc>
      </w:tr>
      <w:tr w:rsidR="001131A2">
        <w:tc>
          <w:tcPr>
            <w:tcW w:w="3510" w:type="dxa"/>
          </w:tcPr>
          <w:p w:rsidR="001131A2" w:rsidRDefault="00E501DB">
            <w:pPr>
              <w:rPr>
                <w:noProof/>
                <w:sz w:val="20"/>
              </w:rPr>
            </w:pPr>
            <w:r>
              <w:rPr>
                <w:rFonts w:ascii="Times New Roman" w:hAnsi="Times New Roman" w:cs="Times New Roman"/>
                <w:noProof/>
                <w:sz w:val="20"/>
                <w:szCs w:val="24"/>
              </w:rPr>
              <w:t xml:space="preserve">Total number of </w:t>
            </w:r>
            <w:r>
              <w:rPr>
                <w:rFonts w:ascii="Times New Roman" w:hAnsi="Times New Roman" w:cs="Times New Roman"/>
                <w:noProof/>
                <w:sz w:val="20"/>
                <w:szCs w:val="24"/>
              </w:rPr>
              <w:t>persons returned with support of the Agency</w:t>
            </w:r>
          </w:p>
        </w:tc>
        <w:tc>
          <w:tcPr>
            <w:tcW w:w="5778" w:type="dxa"/>
          </w:tcPr>
          <w:p w:rsidR="001131A2" w:rsidRDefault="00E501DB">
            <w:pPr>
              <w:jc w:val="both"/>
              <w:rPr>
                <w:rFonts w:ascii="Times New Roman" w:hAnsi="Times New Roman" w:cs="Times New Roman"/>
                <w:noProof/>
                <w:sz w:val="20"/>
              </w:rPr>
            </w:pPr>
            <w:r>
              <w:rPr>
                <w:rFonts w:ascii="Times New Roman" w:hAnsi="Times New Roman" w:cs="Times New Roman"/>
                <w:noProof/>
                <w:sz w:val="20"/>
              </w:rPr>
              <w:t>11 698</w:t>
            </w:r>
          </w:p>
          <w:p w:rsidR="001131A2" w:rsidRDefault="001131A2">
            <w:pPr>
              <w:rPr>
                <w:noProof/>
                <w:sz w:val="20"/>
              </w:rPr>
            </w:pPr>
          </w:p>
        </w:tc>
      </w:tr>
      <w:tr w:rsidR="001131A2">
        <w:tc>
          <w:tcPr>
            <w:tcW w:w="3510" w:type="dxa"/>
          </w:tcPr>
          <w:p w:rsidR="001131A2" w:rsidRDefault="00E501DB">
            <w:pPr>
              <w:rPr>
                <w:noProof/>
                <w:sz w:val="20"/>
              </w:rPr>
            </w:pPr>
            <w:r>
              <w:rPr>
                <w:rFonts w:ascii="Times New Roman" w:hAnsi="Times New Roman" w:cs="Times New Roman"/>
                <w:noProof/>
                <w:sz w:val="20"/>
                <w:szCs w:val="24"/>
              </w:rPr>
              <w:t>Top five third-countries of return</w:t>
            </w:r>
          </w:p>
        </w:tc>
        <w:tc>
          <w:tcPr>
            <w:tcW w:w="5778" w:type="dxa"/>
          </w:tcPr>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1.     Albania: 87 operations, 3416 returnees</w:t>
            </w:r>
          </w:p>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 xml:space="preserve">2.     Tunisia: 47 operations, 1187 returnees </w:t>
            </w:r>
          </w:p>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3.     Kosovo</w:t>
            </w:r>
            <w:r>
              <w:rPr>
                <w:rFonts w:ascii="Times New Roman" w:hAnsi="Times New Roman" w:cs="Times New Roman"/>
                <w:noProof/>
                <w:sz w:val="20"/>
                <w:szCs w:val="24"/>
                <w:vertAlign w:val="superscript"/>
              </w:rPr>
              <w:footnoteReference w:id="50"/>
            </w:r>
            <w:r>
              <w:rPr>
                <w:rFonts w:ascii="Times New Roman" w:hAnsi="Times New Roman" w:cs="Times New Roman"/>
                <w:noProof/>
                <w:sz w:val="20"/>
                <w:szCs w:val="24"/>
              </w:rPr>
              <w:t>: 46 operations, 1597 returnees</w:t>
            </w:r>
          </w:p>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4.     Serbia:  36 operations</w:t>
            </w:r>
            <w:r>
              <w:rPr>
                <w:rFonts w:ascii="Times New Roman" w:hAnsi="Times New Roman" w:cs="Times New Roman"/>
                <w:noProof/>
                <w:sz w:val="20"/>
                <w:szCs w:val="24"/>
              </w:rPr>
              <w:t>, 1508 returnees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5.     former Yugoslav Republic of Macedonia: 26 operations,  962 returnees</w:t>
            </w:r>
          </w:p>
          <w:p w:rsidR="001131A2" w:rsidRDefault="001131A2">
            <w:pPr>
              <w:rPr>
                <w:noProof/>
                <w:sz w:val="20"/>
              </w:rPr>
            </w:pPr>
          </w:p>
        </w:tc>
      </w:tr>
      <w:tr w:rsidR="001131A2">
        <w:trPr>
          <w:trHeight w:val="613"/>
        </w:trPr>
        <w:tc>
          <w:tcPr>
            <w:tcW w:w="3510" w:type="dxa"/>
          </w:tcPr>
          <w:p w:rsidR="001131A2" w:rsidRDefault="00E501DB">
            <w:pPr>
              <w:rPr>
                <w:noProof/>
                <w:sz w:val="20"/>
              </w:rPr>
            </w:pPr>
            <w:r>
              <w:rPr>
                <w:rFonts w:ascii="Times New Roman" w:hAnsi="Times New Roman" w:cs="Times New Roman"/>
                <w:noProof/>
                <w:sz w:val="20"/>
                <w:szCs w:val="24"/>
              </w:rPr>
              <w:t>Top five destinations for return operations, excluding Western Balkan Countries</w:t>
            </w:r>
          </w:p>
        </w:tc>
        <w:tc>
          <w:tcPr>
            <w:tcW w:w="5778" w:type="dxa"/>
          </w:tcPr>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1.     Tunisia: 47 operations, 1187 returnees</w:t>
            </w:r>
          </w:p>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 xml:space="preserve">2.     Georgia: 16 operations, 502 </w:t>
            </w:r>
            <w:r>
              <w:rPr>
                <w:rFonts w:ascii="Times New Roman" w:hAnsi="Times New Roman" w:cs="Times New Roman"/>
                <w:noProof/>
                <w:sz w:val="20"/>
                <w:szCs w:val="24"/>
              </w:rPr>
              <w:t>returnees</w:t>
            </w:r>
          </w:p>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3.     Afghanistan: 16 operations, 237 returnees</w:t>
            </w:r>
          </w:p>
          <w:p w:rsidR="001131A2" w:rsidRDefault="00E501DB">
            <w:pPr>
              <w:spacing w:after="200" w:line="276" w:lineRule="auto"/>
              <w:rPr>
                <w:rFonts w:ascii="Times New Roman" w:hAnsi="Times New Roman" w:cs="Times New Roman"/>
                <w:noProof/>
                <w:sz w:val="20"/>
                <w:szCs w:val="24"/>
              </w:rPr>
            </w:pPr>
            <w:r>
              <w:rPr>
                <w:rFonts w:ascii="Times New Roman" w:hAnsi="Times New Roman" w:cs="Times New Roman"/>
                <w:noProof/>
                <w:sz w:val="20"/>
                <w:szCs w:val="24"/>
              </w:rPr>
              <w:t>4.     Nigeria: 14 operations, 522 returnees</w:t>
            </w:r>
          </w:p>
          <w:p w:rsidR="001131A2" w:rsidRDefault="00E501DB">
            <w:pPr>
              <w:rPr>
                <w:noProof/>
                <w:sz w:val="20"/>
                <w:lang w:val="fi-FI"/>
              </w:rPr>
            </w:pPr>
            <w:r>
              <w:rPr>
                <w:rFonts w:ascii="Times New Roman" w:hAnsi="Times New Roman" w:cs="Times New Roman"/>
                <w:noProof/>
                <w:sz w:val="20"/>
                <w:szCs w:val="24"/>
                <w:lang w:val="fi-FI"/>
              </w:rPr>
              <w:t xml:space="preserve">5.     Armenia: 9 operations, 168 returnees      </w:t>
            </w:r>
          </w:p>
        </w:tc>
      </w:tr>
      <w:tr w:rsidR="001131A2">
        <w:tc>
          <w:tcPr>
            <w:tcW w:w="3510" w:type="dxa"/>
          </w:tcPr>
          <w:p w:rsidR="001131A2" w:rsidRDefault="00E501DB">
            <w:pPr>
              <w:rPr>
                <w:noProof/>
                <w:sz w:val="20"/>
                <w:lang w:val="en-US"/>
              </w:rPr>
            </w:pPr>
            <w:r>
              <w:rPr>
                <w:rFonts w:ascii="Times New Roman" w:hAnsi="Times New Roman" w:cs="Times New Roman"/>
                <w:noProof/>
                <w:sz w:val="20"/>
                <w:szCs w:val="24"/>
              </w:rPr>
              <w:t xml:space="preserve">Top 10 </w:t>
            </w:r>
            <w:r>
              <w:rPr>
                <w:rFonts w:ascii="Times New Roman" w:hAnsi="Times New Roman" w:cs="Times New Roman"/>
                <w:noProof/>
                <w:sz w:val="20"/>
              </w:rPr>
              <w:t xml:space="preserve">Member States </w:t>
            </w:r>
            <w:r>
              <w:rPr>
                <w:rFonts w:ascii="Times New Roman" w:hAnsi="Times New Roman" w:cs="Times New Roman"/>
                <w:noProof/>
                <w:sz w:val="20"/>
                <w:szCs w:val="24"/>
              </w:rPr>
              <w:t xml:space="preserve">based on participation in return operations (regardless of the number of </w:t>
            </w:r>
            <w:r>
              <w:rPr>
                <w:rFonts w:ascii="Times New Roman" w:hAnsi="Times New Roman" w:cs="Times New Roman"/>
                <w:noProof/>
                <w:sz w:val="20"/>
                <w:szCs w:val="24"/>
              </w:rPr>
              <w:t>returnees)</w:t>
            </w:r>
            <w:r>
              <w:rPr>
                <w:rStyle w:val="FootnoteReference"/>
                <w:rFonts w:ascii="Times New Roman" w:hAnsi="Times New Roman" w:cs="Times New Roman"/>
                <w:noProof/>
                <w:sz w:val="20"/>
                <w:szCs w:val="24"/>
              </w:rPr>
              <w:footnoteReference w:id="51"/>
            </w:r>
            <w:r>
              <w:rPr>
                <w:rFonts w:ascii="Times New Roman" w:hAnsi="Times New Roman" w:cs="Times New Roman"/>
                <w:noProof/>
                <w:sz w:val="20"/>
                <w:szCs w:val="24"/>
              </w:rPr>
              <w:t xml:space="preserve"> </w:t>
            </w:r>
          </w:p>
        </w:tc>
        <w:tc>
          <w:tcPr>
            <w:tcW w:w="5778" w:type="dxa"/>
          </w:tcPr>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1.     Germany: 103 operations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2.     Italy: 51 operations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3.     France: 39 operations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4.     Austria: 29 operations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 xml:space="preserve">5.     Sweden: 10 operations </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6.     Spain: 8 operations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7.     Belgium: 8 operations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8.     Greece: 7 operations</w:t>
            </w:r>
          </w:p>
          <w:p w:rsidR="001131A2" w:rsidRDefault="00E501DB">
            <w:pPr>
              <w:rPr>
                <w:rFonts w:ascii="Times New Roman" w:hAnsi="Times New Roman" w:cs="Times New Roman"/>
                <w:noProof/>
                <w:sz w:val="20"/>
                <w:szCs w:val="24"/>
              </w:rPr>
            </w:pPr>
            <w:r>
              <w:rPr>
                <w:rFonts w:ascii="Times New Roman" w:hAnsi="Times New Roman" w:cs="Times New Roman"/>
                <w:noProof/>
                <w:sz w:val="20"/>
                <w:szCs w:val="24"/>
              </w:rPr>
              <w:t>9.     Icel</w:t>
            </w:r>
            <w:r>
              <w:rPr>
                <w:rFonts w:ascii="Times New Roman" w:hAnsi="Times New Roman" w:cs="Times New Roman"/>
                <w:noProof/>
                <w:sz w:val="20"/>
                <w:szCs w:val="24"/>
              </w:rPr>
              <w:t>and: 6 operations</w:t>
            </w:r>
          </w:p>
          <w:p w:rsidR="001131A2" w:rsidRDefault="00E501DB">
            <w:pPr>
              <w:rPr>
                <w:noProof/>
                <w:sz w:val="20"/>
              </w:rPr>
            </w:pPr>
            <w:r>
              <w:rPr>
                <w:rFonts w:ascii="Times New Roman" w:hAnsi="Times New Roman" w:cs="Times New Roman"/>
                <w:noProof/>
                <w:sz w:val="20"/>
                <w:szCs w:val="24"/>
              </w:rPr>
              <w:t>10.    Finland: 6 operations</w:t>
            </w:r>
          </w:p>
        </w:tc>
      </w:tr>
    </w:tbl>
    <w:p w:rsidR="001131A2" w:rsidRDefault="001131A2">
      <w:pPr>
        <w:tabs>
          <w:tab w:val="left" w:pos="360"/>
        </w:tabs>
        <w:spacing w:after="120" w:line="240" w:lineRule="auto"/>
        <w:jc w:val="both"/>
        <w:rPr>
          <w:rFonts w:ascii="Times New Roman" w:hAnsi="Times New Roman" w:cs="Times New Roman"/>
          <w:noProof/>
          <w:sz w:val="24"/>
          <w:szCs w:val="24"/>
        </w:rPr>
      </w:pP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Further progress has been made since the summer on establishing a more structured practical cooperation on return with a number of </w:t>
      </w:r>
      <w:r>
        <w:rPr>
          <w:rFonts w:ascii="Times New Roman" w:hAnsi="Times New Roman" w:cs="Times New Roman"/>
          <w:b/>
          <w:i/>
          <w:noProof/>
          <w:sz w:val="24"/>
          <w:szCs w:val="24"/>
        </w:rPr>
        <w:t>third countries</w:t>
      </w:r>
      <w:r>
        <w:rPr>
          <w:rFonts w:ascii="Times New Roman" w:hAnsi="Times New Roman" w:cs="Times New Roman"/>
          <w:noProof/>
          <w:sz w:val="24"/>
          <w:szCs w:val="24"/>
        </w:rPr>
        <w:t>. The Standard Operating Procedures agreed with Bangladesh in</w:t>
      </w:r>
      <w:r>
        <w:rPr>
          <w:rFonts w:ascii="Times New Roman" w:hAnsi="Times New Roman" w:cs="Times New Roman"/>
          <w:noProof/>
          <w:sz w:val="24"/>
          <w:szCs w:val="24"/>
        </w:rPr>
        <w:t xml:space="preserve"> September were endorsed by the Council on 25 September 2017 and Member States now have a clear frame to work consistently with a country which is the fifth largest source of migrants so far this year. The Commission is in the process of taking forward sim</w:t>
      </w:r>
      <w:r>
        <w:rPr>
          <w:rFonts w:ascii="Times New Roman" w:hAnsi="Times New Roman" w:cs="Times New Roman"/>
          <w:noProof/>
          <w:sz w:val="24"/>
          <w:szCs w:val="24"/>
        </w:rPr>
        <w:t>ilar arrangements with a number of key African partners. For these arrangements to have a practical effect, Member States need to make full use of the good practices and operational agreements agreed. A new round of negotiations on the readmission agreemen</w:t>
      </w:r>
      <w:r>
        <w:rPr>
          <w:rFonts w:ascii="Times New Roman" w:hAnsi="Times New Roman" w:cs="Times New Roman"/>
          <w:noProof/>
          <w:sz w:val="24"/>
          <w:szCs w:val="24"/>
        </w:rPr>
        <w:t>t with Tunisia, in parallel with the negotiation of the visa facilitation agreement, will be held on 28 November.</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with some key countries progress has been recorded, others continue to present difficulties. Enhanced engagement with Nigeria, Côte d'Iv</w:t>
      </w:r>
      <w:r>
        <w:rPr>
          <w:rFonts w:ascii="Times New Roman" w:hAnsi="Times New Roman" w:cs="Times New Roman"/>
          <w:noProof/>
          <w:sz w:val="24"/>
          <w:szCs w:val="24"/>
        </w:rPr>
        <w:t>oire, Senegal and Mali, where no progress has been made on migration management and readmission, will be further pursued, In all cases, the mobilisation of incentives and leverages at the EU and national levels will continue to be actively explored and app</w:t>
      </w:r>
      <w:r>
        <w:rPr>
          <w:rFonts w:ascii="Times New Roman" w:hAnsi="Times New Roman" w:cs="Times New Roman"/>
          <w:noProof/>
          <w:sz w:val="24"/>
          <w:szCs w:val="24"/>
        </w:rPr>
        <w:t xml:space="preserve">lied as needed. </w:t>
      </w:r>
    </w:p>
    <w:tbl>
      <w:tblPr>
        <w:tblStyle w:val="TableGrid"/>
        <w:tblW w:w="0" w:type="auto"/>
        <w:tblLook w:val="04A0" w:firstRow="1" w:lastRow="0" w:firstColumn="1" w:lastColumn="0" w:noHBand="0" w:noVBand="1"/>
      </w:tblPr>
      <w:tblGrid>
        <w:gridCol w:w="9288"/>
      </w:tblGrid>
      <w:tr w:rsidR="001131A2">
        <w:tc>
          <w:tcPr>
            <w:tcW w:w="9288" w:type="dxa"/>
          </w:tcPr>
          <w:p w:rsidR="001131A2" w:rsidRDefault="00E501DB">
            <w:pPr>
              <w:jc w:val="both"/>
              <w:rPr>
                <w:rFonts w:ascii="Times New Roman" w:hAnsi="Times New Roman" w:cs="Times New Roman"/>
                <w:b/>
                <w:i/>
                <w:noProof/>
                <w:sz w:val="24"/>
                <w:szCs w:val="24"/>
              </w:rPr>
            </w:pPr>
            <w:r>
              <w:rPr>
                <w:rFonts w:ascii="Times New Roman" w:hAnsi="Times New Roman" w:cs="Times New Roman"/>
                <w:b/>
                <w:i/>
                <w:noProof/>
                <w:sz w:val="24"/>
                <w:szCs w:val="24"/>
              </w:rPr>
              <w:t>Key future actions</w:t>
            </w:r>
          </w:p>
          <w:p w:rsidR="001131A2" w:rsidRDefault="001131A2">
            <w:pPr>
              <w:jc w:val="both"/>
              <w:rPr>
                <w:rFonts w:ascii="Times New Roman" w:hAnsi="Times New Roman" w:cs="Times New Roman"/>
                <w:b/>
                <w:i/>
                <w:noProof/>
                <w:sz w:val="24"/>
                <w:szCs w:val="24"/>
              </w:rPr>
            </w:pPr>
          </w:p>
          <w:p w:rsidR="001131A2" w:rsidRDefault="00E501DB">
            <w:pPr>
              <w:pStyle w:val="ListParagraph"/>
              <w:numPr>
                <w:ilvl w:val="0"/>
                <w:numId w:val="30"/>
              </w:numPr>
              <w:ind w:left="426"/>
              <w:jc w:val="both"/>
              <w:rPr>
                <w:rFonts w:ascii="Times New Roman" w:hAnsi="Times New Roman" w:cs="Times New Roman"/>
                <w:noProof/>
                <w:sz w:val="24"/>
                <w:szCs w:val="24"/>
              </w:rPr>
            </w:pPr>
            <w:r>
              <w:rPr>
                <w:rFonts w:ascii="Times New Roman" w:hAnsi="Times New Roman" w:cs="Times New Roman"/>
                <w:noProof/>
                <w:sz w:val="24"/>
                <w:szCs w:val="24"/>
              </w:rPr>
              <w:t>European Border and Coast Guard Agency will present at the next Management Board the next steps towards an Integrated Return Management System;</w:t>
            </w:r>
          </w:p>
          <w:p w:rsidR="001131A2" w:rsidRDefault="00E501DB">
            <w:pPr>
              <w:pStyle w:val="ListParagraph"/>
              <w:numPr>
                <w:ilvl w:val="0"/>
                <w:numId w:val="30"/>
              </w:numPr>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to collect and provide data on returns to enable a better </w:t>
            </w:r>
            <w:r>
              <w:rPr>
                <w:rFonts w:ascii="Times New Roman" w:hAnsi="Times New Roman" w:cs="Times New Roman"/>
                <w:noProof/>
                <w:sz w:val="24"/>
                <w:szCs w:val="24"/>
              </w:rPr>
              <w:t>assessment of the effectiveness of returns at EU level;</w:t>
            </w:r>
          </w:p>
          <w:p w:rsidR="001131A2" w:rsidRDefault="00E501DB">
            <w:pPr>
              <w:pStyle w:val="ListParagraph"/>
              <w:numPr>
                <w:ilvl w:val="0"/>
                <w:numId w:val="30"/>
              </w:numPr>
              <w:ind w:left="426"/>
              <w:jc w:val="both"/>
              <w:rPr>
                <w:rFonts w:ascii="Times New Roman" w:hAnsi="Times New Roman" w:cs="Times New Roman"/>
                <w:noProof/>
                <w:sz w:val="24"/>
                <w:szCs w:val="24"/>
              </w:rPr>
            </w:pPr>
            <w:r>
              <w:rPr>
                <w:rFonts w:ascii="Times New Roman" w:hAnsi="Times New Roman" w:cs="Times New Roman"/>
                <w:noProof/>
                <w:sz w:val="24"/>
                <w:szCs w:val="24"/>
              </w:rPr>
              <w:t>Eurostat to issue data on returns on a quarterly instead of an annual basis;</w:t>
            </w:r>
          </w:p>
          <w:p w:rsidR="001131A2" w:rsidRDefault="00E501DB">
            <w:pPr>
              <w:pStyle w:val="ListParagraph"/>
              <w:numPr>
                <w:ilvl w:val="0"/>
                <w:numId w:val="30"/>
              </w:numPr>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to apply in practice the arrangements established with third countries to facilitate returns; the Commission </w:t>
            </w:r>
            <w:r>
              <w:rPr>
                <w:rFonts w:ascii="Times New Roman" w:hAnsi="Times New Roman" w:cs="Times New Roman"/>
                <w:noProof/>
                <w:sz w:val="24"/>
                <w:szCs w:val="24"/>
              </w:rPr>
              <w:t>to monitor application of these arrangements;</w:t>
            </w:r>
          </w:p>
          <w:p w:rsidR="001131A2" w:rsidRDefault="00E501DB">
            <w:pPr>
              <w:pStyle w:val="ListParagraph"/>
              <w:numPr>
                <w:ilvl w:val="0"/>
                <w:numId w:val="30"/>
              </w:numPr>
              <w:ind w:left="426"/>
              <w:jc w:val="both"/>
              <w:rPr>
                <w:rFonts w:ascii="Times New Roman" w:hAnsi="Times New Roman" w:cs="Times New Roman"/>
                <w:noProof/>
                <w:sz w:val="24"/>
                <w:szCs w:val="24"/>
              </w:rPr>
            </w:pPr>
            <w:r>
              <w:rPr>
                <w:rFonts w:ascii="Times New Roman" w:hAnsi="Times New Roman" w:cs="Times New Roman"/>
                <w:noProof/>
                <w:sz w:val="24"/>
                <w:szCs w:val="24"/>
              </w:rPr>
              <w:t>Finalise as soon as possible operational agreements with key countries of origin, including the negotiations on the readmission agreement with Nigeria and Tunisia.</w:t>
            </w:r>
          </w:p>
          <w:p w:rsidR="001131A2" w:rsidRDefault="001131A2">
            <w:pPr>
              <w:pStyle w:val="ListParagraph"/>
              <w:ind w:left="426"/>
              <w:jc w:val="both"/>
              <w:rPr>
                <w:rFonts w:ascii="Times New Roman" w:hAnsi="Times New Roman" w:cs="Times New Roman"/>
                <w:noProof/>
                <w:sz w:val="24"/>
                <w:szCs w:val="24"/>
              </w:rPr>
            </w:pPr>
          </w:p>
        </w:tc>
      </w:tr>
    </w:tbl>
    <w:p w:rsidR="001131A2" w:rsidRDefault="001131A2">
      <w:pPr>
        <w:tabs>
          <w:tab w:val="left" w:pos="360"/>
        </w:tabs>
        <w:spacing w:after="120" w:line="240" w:lineRule="auto"/>
        <w:jc w:val="both"/>
        <w:rPr>
          <w:rFonts w:ascii="Times New Roman" w:hAnsi="Times New Roman" w:cs="Times New Roman"/>
          <w:noProof/>
          <w:sz w:val="24"/>
          <w:szCs w:val="24"/>
        </w:rPr>
      </w:pPr>
    </w:p>
    <w:p w:rsidR="001131A2" w:rsidRDefault="00E501DB">
      <w:pPr>
        <w:spacing w:line="240" w:lineRule="auto"/>
        <w:jc w:val="both"/>
        <w:rPr>
          <w:rFonts w:ascii="Times New Roman" w:hAnsi="Times New Roman" w:cs="Times New Roman"/>
          <w:b/>
          <w:i/>
          <w:noProof/>
          <w:sz w:val="24"/>
          <w:szCs w:val="24"/>
        </w:rPr>
      </w:pPr>
      <w:r>
        <w:rPr>
          <w:rFonts w:ascii="Times New Roman" w:hAnsi="Times New Roman" w:cs="Times New Roman"/>
          <w:b/>
          <w:noProof/>
          <w:sz w:val="24"/>
          <w:szCs w:val="24"/>
        </w:rPr>
        <w:t>7.</w:t>
      </w:r>
      <w:r>
        <w:rPr>
          <w:rFonts w:ascii="Times New Roman" w:hAnsi="Times New Roman" w:cs="Times New Roman"/>
          <w:b/>
          <w:i/>
          <w:noProof/>
          <w:sz w:val="24"/>
          <w:szCs w:val="24"/>
        </w:rPr>
        <w:t xml:space="preserve"> </w:t>
      </w:r>
      <w:r>
        <w:rPr>
          <w:rFonts w:ascii="Times New Roman" w:hAnsi="Times New Roman" w:cs="Times New Roman"/>
          <w:b/>
          <w:i/>
          <w:noProof/>
          <w:sz w:val="24"/>
          <w:szCs w:val="24"/>
        </w:rPr>
        <w:tab/>
      </w:r>
      <w:r>
        <w:rPr>
          <w:rFonts w:ascii="Times New Roman" w:hAnsi="Times New Roman" w:cs="Times New Roman"/>
          <w:b/>
          <w:noProof/>
          <w:sz w:val="24"/>
          <w:szCs w:val="24"/>
        </w:rPr>
        <w:t xml:space="preserve"> RELOCATION, RESETTLEMENT AND OTHER LEG</w:t>
      </w:r>
      <w:r>
        <w:rPr>
          <w:rFonts w:ascii="Times New Roman" w:hAnsi="Times New Roman" w:cs="Times New Roman"/>
          <w:b/>
          <w:noProof/>
          <w:sz w:val="24"/>
          <w:szCs w:val="24"/>
        </w:rPr>
        <w:t>AL PATHWAYS</w:t>
      </w:r>
      <w:r>
        <w:rPr>
          <w:rFonts w:ascii="Times New Roman" w:hAnsi="Times New Roman" w:cs="Times New Roman"/>
          <w:b/>
          <w:i/>
          <w:noProof/>
          <w:sz w:val="24"/>
          <w:szCs w:val="24"/>
        </w:rPr>
        <w:t xml:space="preserv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t>
      </w:r>
      <w:r>
        <w:rPr>
          <w:rFonts w:ascii="Times New Roman" w:hAnsi="Times New Roman" w:cs="Times New Roman"/>
          <w:b/>
          <w:i/>
          <w:noProof/>
          <w:sz w:val="24"/>
          <w:szCs w:val="24"/>
        </w:rPr>
        <w:t>relocation</w:t>
      </w:r>
      <w:r>
        <w:rPr>
          <w:rFonts w:ascii="Times New Roman" w:hAnsi="Times New Roman" w:cs="Times New Roman"/>
          <w:noProof/>
          <w:sz w:val="24"/>
          <w:szCs w:val="24"/>
        </w:rPr>
        <w:t> of eligible applicants by Member States has continued to be a valuable way to help those in clear need of international protection and to alleviate pressure on the asylum systems of Italy and Greece. As of 9 November, 31 503 peo</w:t>
      </w:r>
      <w:r>
        <w:rPr>
          <w:rFonts w:ascii="Times New Roman" w:hAnsi="Times New Roman" w:cs="Times New Roman"/>
          <w:noProof/>
          <w:sz w:val="24"/>
          <w:szCs w:val="24"/>
        </w:rPr>
        <w:t>ple have been relocated (10 265 from Italy and 21 238 from Greece), of which 3 807 since the last Relocation and Resettlement Report</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Cyprus, Estonia, Croatia and Lithuania have continued showing support for relocation by pledging after 26 September. Memb</w:t>
      </w:r>
      <w:r>
        <w:rPr>
          <w:rFonts w:ascii="Times New Roman" w:hAnsi="Times New Roman" w:cs="Times New Roman"/>
          <w:noProof/>
          <w:sz w:val="24"/>
          <w:szCs w:val="24"/>
        </w:rPr>
        <w:t>er States should finalise the relocation of remaining eligible applicants as a matter of urgency.</w:t>
      </w:r>
    </w:p>
    <w:p w:rsidR="001131A2" w:rsidRDefault="001131A2">
      <w:pPr>
        <w:spacing w:line="240" w:lineRule="auto"/>
        <w:jc w:val="both"/>
        <w:rPr>
          <w:rFonts w:ascii="Times New Roman" w:hAnsi="Times New Roman" w:cs="Times New Roman"/>
          <w:noProof/>
          <w:sz w:val="24"/>
          <w:szCs w:val="24"/>
        </w:rPr>
      </w:pP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lang w:eastAsia="en-GB"/>
        </w:rPr>
        <w:drawing>
          <wp:inline distT="0" distB="0" distL="0" distR="0" wp14:anchorId="3C24D2A0" wp14:editId="6BB10BAE">
            <wp:extent cx="5257408" cy="2172156"/>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5526" cy="2171379"/>
                    </a:xfrm>
                    <a:prstGeom prst="rect">
                      <a:avLst/>
                    </a:prstGeom>
                    <a:noFill/>
                  </pic:spPr>
                </pic:pic>
              </a:graphicData>
            </a:graphic>
          </wp:inline>
        </w:drawing>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total 758 applicants remain to be relocated from Greece (of which 369 to Ireland). Whereas for Greece current pledges are sufficient, Member States shou</w:t>
      </w:r>
      <w:r>
        <w:rPr>
          <w:rFonts w:ascii="Times New Roman" w:hAnsi="Times New Roman" w:cs="Times New Roman"/>
          <w:noProof/>
          <w:sz w:val="24"/>
          <w:szCs w:val="24"/>
        </w:rPr>
        <w:t>ld finalise the relocation of remaining eligible applicants as a matter of urgency. In particular, Ireland should find accommodation and transfer already notified cases from Greece while Germany and Switzerland should reply to relocation requests sent by G</w:t>
      </w:r>
      <w:r>
        <w:rPr>
          <w:rFonts w:ascii="Times New Roman" w:hAnsi="Times New Roman" w:cs="Times New Roman"/>
          <w:noProof/>
          <w:sz w:val="24"/>
          <w:szCs w:val="24"/>
        </w:rPr>
        <w:t>reece. All other Member States with cases already matched and notified should accelerate the transfers from Greece.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3 110 applicants remain to be relocated from Italy. However, Italy has continued registering remaining eligible candidates and should final</w:t>
      </w:r>
      <w:r>
        <w:rPr>
          <w:rFonts w:ascii="Times New Roman" w:hAnsi="Times New Roman" w:cs="Times New Roman"/>
          <w:noProof/>
          <w:sz w:val="24"/>
          <w:szCs w:val="24"/>
        </w:rPr>
        <w:t>ise this exercise as soon as possible to stabilise this number. Germany, Switzerland, France and Austria should accelerate replies to relocation requests from Italy and all Member States should accelerate transfers from Italy of cases already matched and n</w:t>
      </w:r>
      <w:r>
        <w:rPr>
          <w:rFonts w:ascii="Times New Roman" w:hAnsi="Times New Roman" w:cs="Times New Roman"/>
          <w:noProof/>
          <w:sz w:val="24"/>
          <w:szCs w:val="24"/>
        </w:rPr>
        <w:t>otified. Member States should also urgently reply to the 190 pending requests for  unaccompanied minors submitted by Italy and provide at least 200 additional places for the relocation of eligible unaccompanied minors in the pipeline but who cannot be assi</w:t>
      </w:r>
      <w:r>
        <w:rPr>
          <w:rFonts w:ascii="Times New Roman" w:hAnsi="Times New Roman" w:cs="Times New Roman"/>
          <w:noProof/>
          <w:sz w:val="24"/>
          <w:szCs w:val="24"/>
        </w:rPr>
        <w:t xml:space="preserve">gned yet to any Member State due to the unavailability of pledges.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its regular Relocation and Resettlement Reports, the Commission repeatedly reminded all Member States of their </w:t>
      </w:r>
      <w:r>
        <w:rPr>
          <w:rFonts w:ascii="Times New Roman" w:hAnsi="Times New Roman" w:cs="Times New Roman"/>
          <w:b/>
          <w:i/>
          <w:noProof/>
          <w:sz w:val="24"/>
          <w:szCs w:val="24"/>
        </w:rPr>
        <w:t>legal obligations</w:t>
      </w:r>
      <w:r>
        <w:rPr>
          <w:rFonts w:ascii="Times New Roman" w:hAnsi="Times New Roman" w:cs="Times New Roman"/>
          <w:noProof/>
          <w:sz w:val="24"/>
          <w:szCs w:val="24"/>
        </w:rPr>
        <w:t xml:space="preserve"> under the Council Decisions and called on those Member S</w:t>
      </w:r>
      <w:r>
        <w:rPr>
          <w:rFonts w:ascii="Times New Roman" w:hAnsi="Times New Roman" w:cs="Times New Roman"/>
          <w:noProof/>
          <w:sz w:val="24"/>
          <w:szCs w:val="24"/>
        </w:rPr>
        <w:t>tates that have yet to pledge and relocate from Greece and Italy, to do so immediately. Regrettably, despite repeated calls, Hungary and Poland have still not relocated a single person and the Czech Republic has relocated only a few and has not pledged for</w:t>
      </w:r>
      <w:r>
        <w:rPr>
          <w:rFonts w:ascii="Times New Roman" w:hAnsi="Times New Roman" w:cs="Times New Roman"/>
          <w:noProof/>
          <w:sz w:val="24"/>
          <w:szCs w:val="24"/>
        </w:rPr>
        <w:t xml:space="preserve"> over a year. The Commission therefore decided on 14 June 2017 to initiate infringement procedures against these three Member States. Following their replies to the letters of formal notice, the Commission decided on 26 July 2017 to adopt, as the next step</w:t>
      </w:r>
      <w:r>
        <w:rPr>
          <w:rFonts w:ascii="Times New Roman" w:hAnsi="Times New Roman" w:cs="Times New Roman"/>
          <w:noProof/>
          <w:sz w:val="24"/>
          <w:szCs w:val="24"/>
        </w:rPr>
        <w:t>, reasoned opinions. The ruling of the Court of Justice of the EU of 6 September 2017 confirmed the validity of the second Council Decision of relocation and the Commission expected the three Member States to take action. Unfortunately, the Czech Republic,</w:t>
      </w:r>
      <w:r>
        <w:rPr>
          <w:rFonts w:ascii="Times New Roman" w:hAnsi="Times New Roman" w:cs="Times New Roman"/>
          <w:noProof/>
          <w:sz w:val="24"/>
          <w:szCs w:val="24"/>
        </w:rPr>
        <w:t xml:space="preserve"> Hungary and Poland did not so far take any measure to address the grievances included in the reasoned opinion; those infringement procedures therefore remain ongoing.</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current schemes are coming to an end, the EU should continue to show </w:t>
      </w:r>
      <w:r>
        <w:rPr>
          <w:rFonts w:ascii="Times New Roman" w:hAnsi="Times New Roman" w:cs="Times New Roman"/>
          <w:noProof/>
          <w:sz w:val="24"/>
          <w:szCs w:val="24"/>
        </w:rPr>
        <w:t>solidarity with Italy and Greece. Member States are therefore encouraged to continue to relocate from Italy and Greece beyond the current schemes. The Commission stands ready to provide financial support to those Member States sustaining their relocation e</w:t>
      </w:r>
      <w:r>
        <w:rPr>
          <w:rFonts w:ascii="Times New Roman" w:hAnsi="Times New Roman" w:cs="Times New Roman"/>
          <w:noProof/>
          <w:sz w:val="24"/>
          <w:szCs w:val="24"/>
        </w:rPr>
        <w:t>fforts. The assistance provided by EU agencies to Italy and Greece will also continue and, when needed, be further enhanced.</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Asylum Support Office has played a crucial role in the implementation of the relocation scheme since its start in Sept</w:t>
      </w:r>
      <w:r>
        <w:rPr>
          <w:rFonts w:ascii="Times New Roman" w:hAnsi="Times New Roman" w:cs="Times New Roman"/>
          <w:noProof/>
          <w:sz w:val="24"/>
          <w:szCs w:val="24"/>
        </w:rPr>
        <w:t>ember 2015, including by deploying Member State experts, developing tools in support of specific steps in the relocation procedure, as well as by implementing a relocation communication package, and continued support by Member States to the European Asylum</w:t>
      </w:r>
      <w:r>
        <w:rPr>
          <w:rFonts w:ascii="Times New Roman" w:hAnsi="Times New Roman" w:cs="Times New Roman"/>
          <w:noProof/>
          <w:sz w:val="24"/>
          <w:szCs w:val="24"/>
        </w:rPr>
        <w:t xml:space="preserve"> Support Office is key</w:t>
      </w:r>
      <w:r>
        <w:rPr>
          <w:rFonts w:ascii="Times New Roman" w:hAnsi="Times New Roman"/>
          <w:noProof/>
          <w:sz w:val="24"/>
          <w:szCs w:val="24"/>
        </w:rPr>
        <w:t>.</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b/>
          <w:i/>
          <w:noProof/>
          <w:sz w:val="24"/>
          <w:szCs w:val="24"/>
        </w:rPr>
        <w:t xml:space="preserve">Resettlement </w:t>
      </w:r>
      <w:r>
        <w:rPr>
          <w:rFonts w:ascii="Times New Roman" w:hAnsi="Times New Roman" w:cs="Times New Roman"/>
          <w:noProof/>
          <w:sz w:val="24"/>
          <w:szCs w:val="24"/>
        </w:rPr>
        <w:t>allows the EU and it Member States to both fulfil the imperative to help those in need of international protection, and to reduce the incentives for irregular migration. Of the 22 504 resettlements agreed in 2015</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over</w:t>
      </w:r>
      <w:r>
        <w:rPr>
          <w:rFonts w:ascii="Times New Roman" w:hAnsi="Times New Roman" w:cs="Times New Roman"/>
          <w:noProof/>
          <w:sz w:val="24"/>
          <w:szCs w:val="24"/>
        </w:rPr>
        <w:t xml:space="preserve"> 81% have been completed. As of 10 November 2017, 18 366 people have been resettled to </w:t>
      </w:r>
      <w:r>
        <w:rPr>
          <w:rFonts w:ascii="Times New Roman" w:hAnsi="Times New Roman"/>
          <w:noProof/>
          <w:sz w:val="24"/>
        </w:rPr>
        <w:t>20</w:t>
      </w:r>
      <w:r>
        <w:rPr>
          <w:rFonts w:ascii="Times New Roman" w:hAnsi="Times New Roman" w:cs="Times New Roman"/>
          <w:noProof/>
          <w:sz w:val="24"/>
          <w:szCs w:val="24"/>
        </w:rPr>
        <w:t xml:space="preserve"> Member States and four Associated States,</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mostly from Turkey, Jordan and Lebanon. Since a number of countries with large quota have already fulfilled their resettlem</w:t>
      </w:r>
      <w:r>
        <w:rPr>
          <w:rFonts w:ascii="Times New Roman" w:hAnsi="Times New Roman" w:cs="Times New Roman"/>
          <w:noProof/>
          <w:sz w:val="24"/>
          <w:szCs w:val="24"/>
        </w:rPr>
        <w:t>ent commitment or are very close to fulfilling them, efforts continue to be mainly directed at resettlements under the EU-Turkey Statement. The total number of people resettled under both EU resettlement schemes since their launch is 25 739.</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Following the </w:t>
      </w:r>
      <w:r>
        <w:rPr>
          <w:rFonts w:ascii="Times New Roman" w:hAnsi="Times New Roman" w:cs="Times New Roman"/>
          <w:noProof/>
          <w:sz w:val="24"/>
          <w:szCs w:val="24"/>
        </w:rPr>
        <w:t>Commission's Recommendation which calls on Member States to offer at least 50 000 resettlement places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 xml:space="preserve"> b</w:t>
      </w:r>
      <w:r>
        <w:rPr>
          <w:rFonts w:ascii="Times New Roman" w:hAnsi="Times New Roman"/>
          <w:noProof/>
          <w:sz w:val="24"/>
          <w:szCs w:val="24"/>
        </w:rPr>
        <w:t xml:space="preserve">y 31 October 2017, 16 Member States have pledged for a total of more than 34 400 resettlement places. The Commission welcomes the pledges received from </w:t>
      </w:r>
      <w:r>
        <w:rPr>
          <w:rFonts w:ascii="Times New Roman" w:hAnsi="Times New Roman"/>
          <w:noProof/>
          <w:sz w:val="24"/>
          <w:szCs w:val="24"/>
        </w:rPr>
        <w:t>Belgium, Bulgaria, Croatia, Cyprus, Finland, France, Ireland, Italy, Lithuania, Luxembourg, Portugal, Romania, Slovenia, Spain, Sweden and the United Kingdom. Several other Member States announced their pledges to be made shortly and some others who had pl</w:t>
      </w:r>
      <w:r>
        <w:rPr>
          <w:rFonts w:ascii="Times New Roman" w:hAnsi="Times New Roman"/>
          <w:noProof/>
          <w:sz w:val="24"/>
          <w:szCs w:val="24"/>
        </w:rPr>
        <w:t xml:space="preserve">edged already may increase their pledges. </w:t>
      </w:r>
      <w:r>
        <w:rPr>
          <w:rFonts w:ascii="Times New Roman" w:hAnsi="Times New Roman" w:cs="Times New Roman"/>
          <w:noProof/>
          <w:sz w:val="24"/>
          <w:szCs w:val="24"/>
        </w:rPr>
        <w:t>The Commission encourages Member States to submit further pledges as soon as possible, in particular those that have not done so, in order to reach at least the 50 000 target and enable the EU to start planning con</w:t>
      </w:r>
      <w:r>
        <w:rPr>
          <w:rFonts w:ascii="Times New Roman" w:hAnsi="Times New Roman" w:cs="Times New Roman"/>
          <w:noProof/>
          <w:sz w:val="24"/>
          <w:szCs w:val="24"/>
        </w:rPr>
        <w:t xml:space="preserve">crete resettlement processes, including the evacuation from Libya in cooperation with the United Nations High Commission for Refugees.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Announced in the mid-term review of September, progress has already been made on the </w:t>
      </w:r>
      <w:r>
        <w:rPr>
          <w:rFonts w:ascii="Times New Roman" w:hAnsi="Times New Roman" w:cs="Times New Roman"/>
          <w:b/>
          <w:i/>
          <w:noProof/>
          <w:sz w:val="24"/>
          <w:szCs w:val="24"/>
        </w:rPr>
        <w:t xml:space="preserve">legal migration </w:t>
      </w:r>
      <w:r>
        <w:rPr>
          <w:rFonts w:ascii="Times New Roman" w:hAnsi="Times New Roman" w:cs="Times New Roman"/>
          <w:noProof/>
          <w:sz w:val="24"/>
          <w:szCs w:val="24"/>
        </w:rPr>
        <w:t>pilot projects with</w:t>
      </w:r>
      <w:r>
        <w:rPr>
          <w:rFonts w:ascii="Times New Roman" w:hAnsi="Times New Roman" w:cs="Times New Roman"/>
          <w:noProof/>
          <w:sz w:val="24"/>
          <w:szCs w:val="24"/>
        </w:rPr>
        <w:t xml:space="preserve"> third countries. Most Member States have welcomed the concept, and several are ready to take this forward.</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9288"/>
      </w:tblGrid>
      <w:tr w:rsidR="001131A2">
        <w:tc>
          <w:tcPr>
            <w:tcW w:w="9288" w:type="dxa"/>
          </w:tcPr>
          <w:p w:rsidR="001131A2" w:rsidRDefault="00E501DB">
            <w:pPr>
              <w:jc w:val="both"/>
              <w:rPr>
                <w:rFonts w:ascii="Times New Roman" w:hAnsi="Times New Roman" w:cs="Times New Roman"/>
                <w:b/>
                <w:i/>
                <w:noProof/>
                <w:sz w:val="24"/>
                <w:szCs w:val="24"/>
              </w:rPr>
            </w:pPr>
            <w:r>
              <w:rPr>
                <w:rFonts w:ascii="Times New Roman" w:hAnsi="Times New Roman" w:cs="Times New Roman"/>
                <w:b/>
                <w:i/>
                <w:noProof/>
                <w:sz w:val="24"/>
                <w:szCs w:val="24"/>
              </w:rPr>
              <w:t>Key future actions</w:t>
            </w:r>
          </w:p>
          <w:p w:rsidR="001131A2" w:rsidRDefault="001131A2">
            <w:pPr>
              <w:jc w:val="both"/>
              <w:rPr>
                <w:rFonts w:ascii="Times New Roman" w:hAnsi="Times New Roman" w:cs="Times New Roman"/>
                <w:noProof/>
                <w:sz w:val="24"/>
                <w:szCs w:val="24"/>
              </w:rPr>
            </w:pPr>
          </w:p>
          <w:p w:rsidR="001131A2" w:rsidRDefault="00E501DB">
            <w:pPr>
              <w:pStyle w:val="ListParagraph"/>
              <w:numPr>
                <w:ilvl w:val="0"/>
                <w:numId w:val="22"/>
              </w:numPr>
              <w:ind w:left="426"/>
              <w:jc w:val="both"/>
              <w:rPr>
                <w:rFonts w:ascii="Times New Roman" w:hAnsi="Times New Roman" w:cs="Times New Roman"/>
                <w:noProof/>
                <w:sz w:val="24"/>
                <w:szCs w:val="24"/>
              </w:rPr>
            </w:pPr>
            <w:r>
              <w:rPr>
                <w:rFonts w:ascii="Times New Roman" w:hAnsi="Times New Roman" w:cs="Times New Roman"/>
                <w:noProof/>
                <w:sz w:val="24"/>
                <w:szCs w:val="24"/>
              </w:rPr>
              <w:t>Italy to finalise the registration of eligible applicants for relocation;</w:t>
            </w:r>
          </w:p>
          <w:p w:rsidR="001131A2" w:rsidRDefault="00E501DB">
            <w:pPr>
              <w:pStyle w:val="ListParagraph"/>
              <w:numPr>
                <w:ilvl w:val="0"/>
                <w:numId w:val="22"/>
              </w:numPr>
              <w:ind w:left="426"/>
              <w:jc w:val="both"/>
              <w:rPr>
                <w:rFonts w:ascii="Times New Roman" w:hAnsi="Times New Roman" w:cs="Times New Roman"/>
                <w:noProof/>
                <w:sz w:val="24"/>
                <w:szCs w:val="24"/>
              </w:rPr>
            </w:pPr>
            <w:r>
              <w:rPr>
                <w:rFonts w:ascii="Times New Roman" w:hAnsi="Times New Roman" w:cs="Times New Roman"/>
                <w:noProof/>
                <w:sz w:val="24"/>
                <w:szCs w:val="24"/>
              </w:rPr>
              <w:t>Member States to finalise the relocation of remainin</w:t>
            </w:r>
            <w:r>
              <w:rPr>
                <w:rFonts w:ascii="Times New Roman" w:hAnsi="Times New Roman" w:cs="Times New Roman"/>
                <w:noProof/>
                <w:sz w:val="24"/>
                <w:szCs w:val="24"/>
              </w:rPr>
              <w:t>g eligible applicants from Italy and Greece as a matter of urgency, with a special focus on additional places to relocate eligible unaccompanied minors in Italy; the Commission stands ready to continue its support to those Member States who continue to rel</w:t>
            </w:r>
            <w:r>
              <w:rPr>
                <w:rFonts w:ascii="Times New Roman" w:hAnsi="Times New Roman" w:cs="Times New Roman"/>
                <w:noProof/>
                <w:sz w:val="24"/>
                <w:szCs w:val="24"/>
              </w:rPr>
              <w:t>ocate from Italy and Greece beyond the current schemes;</w:t>
            </w:r>
          </w:p>
          <w:p w:rsidR="001131A2" w:rsidRDefault="00E501DB">
            <w:pPr>
              <w:pStyle w:val="ListParagraph"/>
              <w:numPr>
                <w:ilvl w:val="0"/>
                <w:numId w:val="22"/>
              </w:numPr>
              <w:ind w:left="426"/>
              <w:jc w:val="both"/>
              <w:rPr>
                <w:rFonts w:ascii="Times New Roman" w:hAnsi="Times New Roman" w:cs="Times New Roman"/>
                <w:noProof/>
                <w:sz w:val="24"/>
                <w:szCs w:val="24"/>
              </w:rPr>
            </w:pPr>
            <w:r>
              <w:rPr>
                <w:rFonts w:ascii="Times New Roman" w:hAnsi="Times New Roman" w:cs="Times New Roman"/>
                <w:noProof/>
                <w:sz w:val="24"/>
                <w:szCs w:val="24"/>
              </w:rPr>
              <w:t>Member States to submit pledges to reach the target of at least 50 000 places for resettlement;</w:t>
            </w:r>
          </w:p>
          <w:p w:rsidR="001131A2" w:rsidRDefault="00E501DB">
            <w:pPr>
              <w:pStyle w:val="ListParagraph"/>
              <w:numPr>
                <w:ilvl w:val="0"/>
                <w:numId w:val="22"/>
              </w:numPr>
              <w:ind w:left="426"/>
              <w:jc w:val="both"/>
              <w:rPr>
                <w:rFonts w:ascii="Times New Roman" w:hAnsi="Times New Roman" w:cs="Times New Roman"/>
                <w:noProof/>
                <w:sz w:val="24"/>
                <w:szCs w:val="24"/>
              </w:rPr>
            </w:pPr>
            <w:r>
              <w:rPr>
                <w:rFonts w:ascii="Times New Roman" w:hAnsi="Times New Roman" w:cs="Times New Roman"/>
                <w:noProof/>
                <w:sz w:val="24"/>
                <w:szCs w:val="24"/>
              </w:rPr>
              <w:t>Commission and United Nations High Commission for Refugees to finalise project to evacuate refugees from</w:t>
            </w:r>
            <w:r>
              <w:rPr>
                <w:rFonts w:ascii="Times New Roman" w:hAnsi="Times New Roman" w:cs="Times New Roman"/>
                <w:noProof/>
                <w:sz w:val="24"/>
                <w:szCs w:val="24"/>
              </w:rPr>
              <w:t xml:space="preserve"> Libya with a view to resettlement;</w:t>
            </w:r>
          </w:p>
          <w:p w:rsidR="001131A2" w:rsidRDefault="00E501DB">
            <w:pPr>
              <w:pStyle w:val="ListParagraph"/>
              <w:numPr>
                <w:ilvl w:val="0"/>
                <w:numId w:val="22"/>
              </w:numPr>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Together with interested Member States, define the scope of the pilot projects on legal migration, and identify third countries that could participate. </w:t>
            </w:r>
          </w:p>
          <w:p w:rsidR="001131A2" w:rsidRDefault="001131A2">
            <w:pPr>
              <w:jc w:val="both"/>
              <w:rPr>
                <w:rFonts w:ascii="Times New Roman" w:hAnsi="Times New Roman" w:cs="Times New Roman"/>
                <w:noProof/>
                <w:sz w:val="24"/>
                <w:szCs w:val="24"/>
              </w:rPr>
            </w:pPr>
          </w:p>
        </w:tc>
      </w:tr>
    </w:tbl>
    <w:p w:rsidR="001131A2" w:rsidRDefault="001131A2">
      <w:pPr>
        <w:spacing w:line="240" w:lineRule="auto"/>
        <w:jc w:val="both"/>
        <w:rPr>
          <w:rFonts w:ascii="Times New Roman" w:hAnsi="Times New Roman" w:cs="Times New Roman"/>
          <w:b/>
          <w:noProof/>
          <w:sz w:val="24"/>
          <w:szCs w:val="24"/>
        </w:rPr>
      </w:pPr>
    </w:p>
    <w:p w:rsidR="001131A2" w:rsidRDefault="00E501DB">
      <w:pPr>
        <w:spacing w:line="240" w:lineRule="auto"/>
        <w:ind w:left="567" w:hanging="567"/>
        <w:jc w:val="both"/>
        <w:rPr>
          <w:rFonts w:ascii="Times New Roman" w:hAnsi="Times New Roman" w:cs="Times New Roman"/>
          <w:b/>
          <w:noProof/>
          <w:sz w:val="24"/>
          <w:szCs w:val="24"/>
        </w:rPr>
      </w:pPr>
      <w:r>
        <w:rPr>
          <w:rFonts w:ascii="Times New Roman" w:hAnsi="Times New Roman" w:cs="Times New Roman"/>
          <w:b/>
          <w:noProof/>
          <w:sz w:val="24"/>
          <w:szCs w:val="24"/>
        </w:rPr>
        <w:t xml:space="preserve">8. </w:t>
      </w:r>
      <w:r>
        <w:rPr>
          <w:rFonts w:ascii="Times New Roman" w:hAnsi="Times New Roman" w:cs="Times New Roman"/>
          <w:b/>
          <w:noProof/>
          <w:sz w:val="24"/>
          <w:szCs w:val="24"/>
        </w:rPr>
        <w:tab/>
        <w:t xml:space="preserve">CONTINUED REINFORCEMENT OF EXTERNAL BORDER MANAGEMENT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One y</w:t>
      </w:r>
      <w:r>
        <w:rPr>
          <w:rFonts w:ascii="Times New Roman" w:hAnsi="Times New Roman" w:cs="Times New Roman"/>
          <w:noProof/>
          <w:sz w:val="24"/>
          <w:szCs w:val="24"/>
        </w:rPr>
        <w:t xml:space="preserve">ear after its launch, the </w:t>
      </w:r>
      <w:r>
        <w:rPr>
          <w:rFonts w:ascii="Times New Roman" w:hAnsi="Times New Roman" w:cs="Times New Roman"/>
          <w:b/>
          <w:i/>
          <w:noProof/>
          <w:sz w:val="24"/>
          <w:szCs w:val="24"/>
        </w:rPr>
        <w:t>European Border and Coast Guard Agency</w:t>
      </w:r>
      <w:r>
        <w:rPr>
          <w:rFonts w:ascii="Times New Roman" w:hAnsi="Times New Roman" w:cs="Times New Roman"/>
          <w:noProof/>
          <w:sz w:val="24"/>
          <w:szCs w:val="24"/>
        </w:rPr>
        <w:t xml:space="preserve"> is currently supporting Member States through joint operations across the main migratory routes in the Eastern, Central and Western Mediterranean and the Western Balkans, with the deployment </w:t>
      </w:r>
      <w:r>
        <w:rPr>
          <w:rFonts w:ascii="Times New Roman" w:hAnsi="Times New Roman" w:cs="Times New Roman"/>
          <w:noProof/>
          <w:sz w:val="24"/>
          <w:szCs w:val="24"/>
        </w:rPr>
        <w:t>of more than 1 500 border guard officers and other staff. Due to the increase of arrivals to Spain, Operation Indalo, which normally runs during the summer peaks only, was extended until the end of 2017. Another area of support is the preparation of vulner</w:t>
      </w:r>
      <w:r>
        <w:rPr>
          <w:rFonts w:ascii="Times New Roman" w:hAnsi="Times New Roman" w:cs="Times New Roman"/>
          <w:noProof/>
          <w:sz w:val="24"/>
          <w:szCs w:val="24"/>
        </w:rPr>
        <w:t>ability assessments and related recommendations for Member States.</w:t>
      </w:r>
    </w:p>
    <w:p w:rsidR="001131A2" w:rsidRDefault="00E501DB">
      <w:pPr>
        <w:spacing w:line="240" w:lineRule="auto"/>
        <w:jc w:val="both"/>
        <w:rPr>
          <w:rFonts w:ascii="Times New Roman" w:hAnsi="Times New Roman" w:cs="Times New Roman"/>
          <w:noProof/>
          <w:sz w:val="24"/>
          <w:szCs w:val="24"/>
        </w:rPr>
      </w:pPr>
      <w:r>
        <w:rPr>
          <w:rFonts w:ascii="Times New Roman" w:hAnsi="Times New Roman"/>
          <w:noProof/>
          <w:sz w:val="24"/>
          <w:szCs w:val="24"/>
        </w:rPr>
        <w:t>However, the gaps for the ongoing Joint Operations in support of the Member States under pressure persist. Pledges continue to be too short in length and insufficiently matched to specifica</w:t>
      </w:r>
      <w:r>
        <w:rPr>
          <w:rFonts w:ascii="Times New Roman" w:hAnsi="Times New Roman"/>
          <w:noProof/>
          <w:sz w:val="24"/>
          <w:szCs w:val="24"/>
        </w:rPr>
        <w:t xml:space="preserve">tions, as well as falling short in scale. The only area where no gaps are expected until mid-November is the Joint Operation Poseidon.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further progress has been achieved on putting in place the permanent capacity for rapid reaction, by 9 November 20</w:t>
      </w:r>
      <w:r>
        <w:rPr>
          <w:rFonts w:ascii="Times New Roman" w:hAnsi="Times New Roman" w:cs="Times New Roman"/>
          <w:noProof/>
          <w:sz w:val="24"/>
          <w:szCs w:val="24"/>
        </w:rPr>
        <w:t>17, 26 Member States had nominated their border guards, amounting to 74% of the required pool composition (1 110 out of 1 500 officers). No further progress has been made on the Rapid Reaction Equipment Pool since September</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 xml:space="preserve"> and considerable gaps remain fo</w:t>
      </w:r>
      <w:r>
        <w:rPr>
          <w:rFonts w:ascii="Times New Roman" w:hAnsi="Times New Roman" w:cs="Times New Roman"/>
          <w:noProof/>
          <w:sz w:val="24"/>
          <w:szCs w:val="24"/>
        </w:rPr>
        <w:t>r most types of equipment - only 14 Member States are contributing and no new pledges have been received since April. In order to support the equipment made at the disposal of the Agency, in August 2017 the Commission allocated a further EUR 76 million und</w:t>
      </w:r>
      <w:r>
        <w:rPr>
          <w:rFonts w:ascii="Times New Roman" w:hAnsi="Times New Roman" w:cs="Times New Roman"/>
          <w:noProof/>
          <w:sz w:val="24"/>
          <w:szCs w:val="24"/>
        </w:rPr>
        <w:t>er the Specific Actions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of the Internal Security Fund for the purchase of maritime assets by Member States. This complements EUR 132 million allocated for this purpose in 2015. Member States should now step up their efforts to implement these projects so </w:t>
      </w:r>
      <w:r>
        <w:rPr>
          <w:rFonts w:ascii="Times New Roman" w:hAnsi="Times New Roman" w:cs="Times New Roman"/>
          <w:noProof/>
          <w:sz w:val="24"/>
          <w:szCs w:val="24"/>
        </w:rPr>
        <w:t>as to make these assets available to the Agency.  . In addition, the Agency adopted a strategy for the acquisition of its own assets in the period 2017-2020 and is now developing a long term strategy for the period until 2027.</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key area of the Agency's work is the development of vulnerability assessments to identify possible shortcomings in Member States' border controls. The next step must be for </w:t>
      </w:r>
      <w:r>
        <w:rPr>
          <w:rFonts w:ascii="Times New Roman" w:hAnsi="Times New Roman"/>
          <w:noProof/>
          <w:sz w:val="24"/>
          <w:szCs w:val="24"/>
        </w:rPr>
        <w:t>Member States to implement the recommendations addressed in July 2017, and that t</w:t>
      </w:r>
      <w:r>
        <w:rPr>
          <w:rFonts w:ascii="Times New Roman" w:hAnsi="Times New Roman"/>
          <w:noProof/>
          <w:sz w:val="24"/>
          <w:szCs w:val="24"/>
        </w:rPr>
        <w:t>he Agency puts in place an effective monitoring mechanism to ensure implementation of the action plans submitted by the Member States in September 2017. The Agency is about to complete the assessments following simulation exercises.</w:t>
      </w:r>
      <w:r>
        <w:rPr>
          <w:rStyle w:val="FootnoteReference"/>
          <w:rFonts w:ascii="Times New Roman" w:hAnsi="Times New Roman"/>
          <w:noProof/>
          <w:sz w:val="24"/>
          <w:szCs w:val="24"/>
        </w:rPr>
        <w:footnoteReference w:id="59"/>
      </w:r>
      <w:r>
        <w:rPr>
          <w:rFonts w:ascii="Times New Roman" w:hAnsi="Times New Roman"/>
          <w:noProof/>
          <w:sz w:val="24"/>
          <w:szCs w:val="24"/>
        </w:rPr>
        <w:t xml:space="preserve"> This process can also lead to additional recommendations. The common methodology for vulnerability assessments is expected to be revised at the next meeting of the Management Board on 22-23 November 2017. In addition, steps are under way to start the roll</w:t>
      </w:r>
      <w:r>
        <w:rPr>
          <w:rFonts w:ascii="Times New Roman" w:hAnsi="Times New Roman"/>
          <w:noProof/>
          <w:sz w:val="24"/>
          <w:szCs w:val="24"/>
        </w:rPr>
        <w:t>-out of liaison officers</w:t>
      </w:r>
      <w:r>
        <w:rPr>
          <w:rStyle w:val="FootnoteReference"/>
          <w:rFonts w:ascii="Times New Roman" w:hAnsi="Times New Roman"/>
          <w:noProof/>
          <w:sz w:val="24"/>
          <w:szCs w:val="24"/>
        </w:rPr>
        <w:footnoteReference w:id="60"/>
      </w:r>
      <w:r>
        <w:rPr>
          <w:rFonts w:ascii="Times New Roman" w:hAnsi="Times New Roman"/>
          <w:noProof/>
          <w:sz w:val="24"/>
          <w:szCs w:val="24"/>
        </w:rPr>
        <w:t xml:space="preserve"> to Member States and this process should be completed by the Agency by February 2018.</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with third countries is essential to the Agency’s work. Negotiations with Serbia and the former Yugoslav Republic of Macedonia towar</w:t>
      </w:r>
      <w:r>
        <w:rPr>
          <w:rFonts w:ascii="Times New Roman" w:hAnsi="Times New Roman" w:cs="Times New Roman"/>
          <w:noProof/>
          <w:sz w:val="24"/>
          <w:szCs w:val="24"/>
        </w:rPr>
        <w:t>ds the completion of the status agreements are ongoing. On 16 October 2017, the Council gave the green light to negotiate similar agreements with Albania, Montenegro and Bosnia and Herzegovina.</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development of the </w:t>
      </w:r>
      <w:r>
        <w:rPr>
          <w:rFonts w:ascii="Times New Roman" w:hAnsi="Times New Roman" w:cs="Times New Roman"/>
          <w:b/>
          <w:i/>
          <w:noProof/>
          <w:sz w:val="24"/>
          <w:szCs w:val="24"/>
        </w:rPr>
        <w:t>European Integrated Border Management s</w:t>
      </w:r>
      <w:r>
        <w:rPr>
          <w:rFonts w:ascii="Times New Roman" w:hAnsi="Times New Roman" w:cs="Times New Roman"/>
          <w:b/>
          <w:i/>
          <w:noProof/>
          <w:sz w:val="24"/>
          <w:szCs w:val="24"/>
        </w:rPr>
        <w:t>trategy</w:t>
      </w:r>
      <w:r>
        <w:rPr>
          <w:rFonts w:ascii="Times New Roman" w:hAnsi="Times New Roman" w:cs="Times New Roman"/>
          <w:noProof/>
          <w:sz w:val="24"/>
          <w:szCs w:val="24"/>
        </w:rPr>
        <w:t xml:space="preserve"> to draw together the work at national and EU level was the subject of a dedicated meeting with European Parliament and the Member States on 17 October 2017. This will feed into further work on setting the key elements of the common Integrated Borde</w:t>
      </w:r>
      <w:r>
        <w:rPr>
          <w:rFonts w:ascii="Times New Roman" w:hAnsi="Times New Roman" w:cs="Times New Roman"/>
          <w:noProof/>
          <w:sz w:val="24"/>
          <w:szCs w:val="24"/>
        </w:rPr>
        <w:t>r Management Strategy for the EU as a whole.</w:t>
      </w:r>
      <w:r>
        <w:rPr>
          <w:rStyle w:val="FootnoteReference"/>
          <w:rFonts w:ascii="Times New Roman" w:hAnsi="Times New Roman" w:cs="Times New Roman"/>
          <w:noProof/>
          <w:sz w:val="24"/>
          <w:szCs w:val="24"/>
        </w:rPr>
        <w:footnoteReference w:id="61"/>
      </w:r>
    </w:p>
    <w:tbl>
      <w:tblPr>
        <w:tblStyle w:val="TableGrid"/>
        <w:tblW w:w="0" w:type="auto"/>
        <w:tblLook w:val="04A0" w:firstRow="1" w:lastRow="0" w:firstColumn="1" w:lastColumn="0" w:noHBand="0" w:noVBand="1"/>
      </w:tblPr>
      <w:tblGrid>
        <w:gridCol w:w="9288"/>
      </w:tblGrid>
      <w:tr w:rsidR="001131A2">
        <w:tc>
          <w:tcPr>
            <w:tcW w:w="9288" w:type="dxa"/>
          </w:tcPr>
          <w:p w:rsidR="001131A2" w:rsidRDefault="00E501DB">
            <w:pPr>
              <w:jc w:val="both"/>
              <w:rPr>
                <w:rFonts w:ascii="Times New Roman" w:hAnsi="Times New Roman" w:cs="Times New Roman"/>
                <w:b/>
                <w:i/>
                <w:noProof/>
                <w:sz w:val="24"/>
                <w:szCs w:val="24"/>
              </w:rPr>
            </w:pPr>
            <w:r>
              <w:rPr>
                <w:rFonts w:ascii="Times New Roman" w:hAnsi="Times New Roman" w:cs="Times New Roman"/>
                <w:b/>
                <w:i/>
                <w:noProof/>
                <w:sz w:val="24"/>
                <w:szCs w:val="24"/>
              </w:rPr>
              <w:t>Key future actions</w:t>
            </w:r>
          </w:p>
          <w:p w:rsidR="001131A2" w:rsidRDefault="001131A2">
            <w:pPr>
              <w:jc w:val="both"/>
              <w:rPr>
                <w:rFonts w:ascii="Times New Roman" w:hAnsi="Times New Roman" w:cs="Times New Roman"/>
                <w:noProof/>
                <w:sz w:val="24"/>
                <w:szCs w:val="24"/>
              </w:rPr>
            </w:pPr>
          </w:p>
          <w:p w:rsidR="001131A2" w:rsidRDefault="00E501DB">
            <w:pPr>
              <w:pStyle w:val="ListParagraph"/>
              <w:numPr>
                <w:ilvl w:val="0"/>
                <w:numId w:val="21"/>
              </w:numPr>
              <w:ind w:left="426"/>
              <w:jc w:val="both"/>
              <w:rPr>
                <w:rFonts w:ascii="Times New Roman" w:hAnsi="Times New Roman" w:cs="Times New Roman"/>
                <w:noProof/>
                <w:sz w:val="24"/>
                <w:szCs w:val="24"/>
              </w:rPr>
            </w:pPr>
            <w:r>
              <w:rPr>
                <w:rFonts w:ascii="Times New Roman" w:hAnsi="Times New Roman" w:cs="Times New Roman"/>
                <w:noProof/>
                <w:sz w:val="24"/>
                <w:szCs w:val="24"/>
              </w:rPr>
              <w:t>Completion by Member States of obligations to contribute to the rapid reaction pools set up by the European Border and Coast Guard Agency;</w:t>
            </w:r>
          </w:p>
          <w:p w:rsidR="001131A2" w:rsidRDefault="00E501DB">
            <w:pPr>
              <w:pStyle w:val="ListParagraph"/>
              <w:numPr>
                <w:ilvl w:val="0"/>
                <w:numId w:val="21"/>
              </w:numPr>
              <w:ind w:left="426"/>
              <w:jc w:val="both"/>
              <w:rPr>
                <w:rFonts w:ascii="Times New Roman" w:hAnsi="Times New Roman" w:cs="Times New Roman"/>
                <w:noProof/>
                <w:sz w:val="24"/>
                <w:szCs w:val="24"/>
              </w:rPr>
            </w:pPr>
            <w:r>
              <w:rPr>
                <w:rFonts w:ascii="Times New Roman" w:hAnsi="Times New Roman" w:cs="Times New Roman"/>
                <w:noProof/>
                <w:sz w:val="24"/>
                <w:szCs w:val="24"/>
              </w:rPr>
              <w:t>Timely implementation by Member States of the recom</w:t>
            </w:r>
            <w:r>
              <w:rPr>
                <w:rFonts w:ascii="Times New Roman" w:hAnsi="Times New Roman" w:cs="Times New Roman"/>
                <w:noProof/>
                <w:sz w:val="24"/>
                <w:szCs w:val="24"/>
              </w:rPr>
              <w:t>mendations made on the basis of vulnerability assessment and their effective monitoring by the European Border and Coast Guard Agency;</w:t>
            </w:r>
          </w:p>
          <w:p w:rsidR="001131A2" w:rsidRDefault="00E501DB">
            <w:pPr>
              <w:pStyle w:val="ListParagraph"/>
              <w:numPr>
                <w:ilvl w:val="0"/>
                <w:numId w:val="21"/>
              </w:numPr>
              <w:ind w:left="426"/>
              <w:jc w:val="both"/>
              <w:rPr>
                <w:rFonts w:ascii="Times New Roman" w:hAnsi="Times New Roman" w:cs="Times New Roman"/>
                <w:noProof/>
                <w:sz w:val="24"/>
                <w:szCs w:val="24"/>
              </w:rPr>
            </w:pPr>
            <w:r>
              <w:rPr>
                <w:rFonts w:ascii="Times New Roman" w:hAnsi="Times New Roman" w:cs="Times New Roman"/>
                <w:noProof/>
                <w:sz w:val="24"/>
                <w:szCs w:val="24"/>
              </w:rPr>
              <w:t>Member States to take full advantage of all possible support provided by the Agency.</w:t>
            </w:r>
          </w:p>
          <w:p w:rsidR="001131A2" w:rsidRDefault="001131A2">
            <w:pPr>
              <w:pStyle w:val="ListParagraph"/>
              <w:jc w:val="both"/>
              <w:rPr>
                <w:rFonts w:ascii="Times New Roman" w:hAnsi="Times New Roman" w:cs="Times New Roman"/>
                <w:noProof/>
                <w:sz w:val="24"/>
                <w:szCs w:val="24"/>
              </w:rPr>
            </w:pPr>
          </w:p>
        </w:tc>
      </w:tr>
    </w:tbl>
    <w:p w:rsidR="001131A2" w:rsidRDefault="001131A2">
      <w:pPr>
        <w:spacing w:line="240" w:lineRule="auto"/>
        <w:jc w:val="both"/>
        <w:rPr>
          <w:rFonts w:ascii="Times New Roman" w:hAnsi="Times New Roman" w:cs="Times New Roman"/>
          <w:b/>
          <w:noProof/>
          <w:sz w:val="24"/>
          <w:szCs w:val="24"/>
        </w:rPr>
      </w:pPr>
    </w:p>
    <w:p w:rsidR="001131A2" w:rsidRDefault="00E501DB">
      <w:pPr>
        <w:spacing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9. </w:t>
      </w:r>
      <w:r>
        <w:rPr>
          <w:rFonts w:ascii="Times New Roman" w:hAnsi="Times New Roman" w:cs="Times New Roman"/>
          <w:b/>
          <w:noProof/>
          <w:sz w:val="24"/>
          <w:szCs w:val="24"/>
        </w:rPr>
        <w:tab/>
        <w:t xml:space="preserve">CONCLUSION AND NEXT STEPS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w:t>
      </w:r>
      <w:r>
        <w:rPr>
          <w:rFonts w:ascii="Times New Roman" w:hAnsi="Times New Roman" w:cs="Times New Roman"/>
          <w:noProof/>
          <w:sz w:val="24"/>
          <w:szCs w:val="24"/>
        </w:rPr>
        <w:t>is report brings together the different workstreams being driven forward under the European Agenda of Migration. It illustrates the comprehensive nature of the work and the imperative to maintain the intensity of the EU's efforts across the board. The Comm</w:t>
      </w:r>
      <w:r>
        <w:rPr>
          <w:rFonts w:ascii="Times New Roman" w:hAnsi="Times New Roman" w:cs="Times New Roman"/>
          <w:noProof/>
          <w:sz w:val="24"/>
          <w:szCs w:val="24"/>
        </w:rPr>
        <w:t xml:space="preserve">ission will maintain the approach of a single wide-ranging report in the future, highlighting the issues requiring particular focus. </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report identifies key operational actions which are necessary to ensure the effectiveness of the EU response to the c</w:t>
      </w:r>
      <w:r>
        <w:rPr>
          <w:rFonts w:ascii="Times New Roman" w:hAnsi="Times New Roman" w:cs="Times New Roman"/>
          <w:noProof/>
          <w:sz w:val="24"/>
          <w:szCs w:val="24"/>
        </w:rPr>
        <w:t xml:space="preserve">urrent migration challenge. They require the immediate attention and sustained commitment of the Member States, the EU institutions and EU agencies. They also contribute to preparing the ground for the convergence towards an agreement on the reform of the </w:t>
      </w:r>
      <w:r>
        <w:rPr>
          <w:rFonts w:ascii="Times New Roman" w:hAnsi="Times New Roman" w:cs="Times New Roman"/>
          <w:noProof/>
          <w:sz w:val="24"/>
          <w:szCs w:val="24"/>
        </w:rPr>
        <w:t>Common European Asylum System. In this regard, the December European Council will be an opportunity to take stock of progress made and to identify a way forward in line with the Leaders' Agenda endorsed by the October European Council.</w:t>
      </w:r>
    </w:p>
    <w:p w:rsidR="001131A2" w:rsidRDefault="00E501DB">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br/>
      </w:r>
      <w:r>
        <w:rPr>
          <w:rFonts w:ascii="Times New Roman" w:hAnsi="Times New Roman" w:cs="Times New Roman"/>
          <w:noProof/>
          <w:sz w:val="24"/>
          <w:szCs w:val="24"/>
        </w:rPr>
        <w:br/>
      </w:r>
    </w:p>
    <w:p w:rsidR="001131A2" w:rsidRDefault="001131A2">
      <w:pPr>
        <w:spacing w:after="0"/>
        <w:rPr>
          <w:i/>
          <w:noProof/>
        </w:rPr>
      </w:pPr>
    </w:p>
    <w:sectPr w:rsidR="001131A2">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A2" w:rsidRDefault="00E501DB">
      <w:pPr>
        <w:spacing w:after="0" w:line="240" w:lineRule="auto"/>
      </w:pPr>
      <w:r>
        <w:separator/>
      </w:r>
    </w:p>
  </w:endnote>
  <w:endnote w:type="continuationSeparator" w:id="0">
    <w:p w:rsidR="001131A2" w:rsidRDefault="00E5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B" w:rsidRPr="00E501DB" w:rsidRDefault="00E501DB" w:rsidP="00E50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B" w:rsidRPr="00E501DB" w:rsidRDefault="00E501DB" w:rsidP="00E501DB">
    <w:pPr>
      <w:pStyle w:val="FooterCoverPage"/>
      <w:rPr>
        <w:rFonts w:ascii="Arial" w:hAnsi="Arial" w:cs="Arial"/>
        <w:b/>
        <w:sz w:val="48"/>
      </w:rPr>
    </w:pPr>
    <w:r w:rsidRPr="00E501DB">
      <w:rPr>
        <w:rFonts w:ascii="Arial" w:hAnsi="Arial" w:cs="Arial"/>
        <w:b/>
        <w:sz w:val="48"/>
      </w:rPr>
      <w:t>EN</w:t>
    </w:r>
    <w:r w:rsidRPr="00E501DB">
      <w:rPr>
        <w:rFonts w:ascii="Arial" w:hAnsi="Arial" w:cs="Arial"/>
        <w:b/>
        <w:sz w:val="48"/>
      </w:rPr>
      <w:tab/>
    </w:r>
    <w:r w:rsidRPr="00E501DB">
      <w:rPr>
        <w:rFonts w:ascii="Arial" w:hAnsi="Arial" w:cs="Arial"/>
        <w:b/>
        <w:sz w:val="48"/>
      </w:rPr>
      <w:tab/>
    </w:r>
    <w:r w:rsidRPr="00E501DB">
      <w:tab/>
    </w:r>
    <w:proofErr w:type="spellStart"/>
    <w:r w:rsidRPr="00E501DB">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B" w:rsidRPr="00E501DB" w:rsidRDefault="00E501DB" w:rsidP="00E501D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A2" w:rsidRDefault="001131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47959"/>
      <w:docPartObj>
        <w:docPartGallery w:val="Page Numbers (Bottom of Page)"/>
        <w:docPartUnique/>
      </w:docPartObj>
    </w:sdtPr>
    <w:sdtEndPr>
      <w:rPr>
        <w:rFonts w:ascii="Times New Roman" w:hAnsi="Times New Roman" w:cs="Times New Roman"/>
        <w:noProof/>
        <w:sz w:val="24"/>
        <w:szCs w:val="24"/>
      </w:rPr>
    </w:sdtEndPr>
    <w:sdtContent>
      <w:p w:rsidR="001131A2" w:rsidRDefault="00E501DB">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20</w:t>
        </w:r>
        <w:r>
          <w:rPr>
            <w:rFonts w:ascii="Times New Roman" w:hAnsi="Times New Roman" w:cs="Times New Roman"/>
            <w:noProof/>
            <w:sz w:val="24"/>
            <w:szCs w:val="24"/>
          </w:rPr>
          <w:fldChar w:fldCharType="end"/>
        </w:r>
      </w:p>
    </w:sdtContent>
  </w:sdt>
  <w:p w:rsidR="001131A2" w:rsidRDefault="001131A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A2" w:rsidRDefault="00113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A2" w:rsidRDefault="00E501DB">
      <w:pPr>
        <w:spacing w:after="0" w:line="240" w:lineRule="auto"/>
      </w:pPr>
      <w:r>
        <w:separator/>
      </w:r>
    </w:p>
  </w:footnote>
  <w:footnote w:type="continuationSeparator" w:id="0">
    <w:p w:rsidR="001131A2" w:rsidRDefault="00E501DB">
      <w:pPr>
        <w:spacing w:after="0" w:line="240" w:lineRule="auto"/>
      </w:pPr>
      <w:r>
        <w:continuationSeparator/>
      </w:r>
    </w:p>
  </w:footnote>
  <w:footnote w:id="1">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w:t>
      </w:r>
      <w:proofErr w:type="gramEnd"/>
      <w:r>
        <w:rPr>
          <w:rFonts w:ascii="Times New Roman" w:hAnsi="Times New Roman" w:cs="Times New Roman"/>
        </w:rPr>
        <w:t>2015) 240 final of 13.5.2015.</w:t>
      </w:r>
    </w:p>
  </w:footnote>
  <w:footnote w:id="2">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w:t>
      </w:r>
      <w:proofErr w:type="gramEnd"/>
      <w:r>
        <w:rPr>
          <w:rFonts w:ascii="Times New Roman" w:hAnsi="Times New Roman" w:cs="Times New Roman"/>
        </w:rPr>
        <w:t>2017) 558 final of 27.9.2017.</w:t>
      </w:r>
    </w:p>
  </w:footnote>
  <w:footnote w:id="3">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Council conclusions of 19.10.2017, EUCO 14/17 document CO EUR 17, CONCL 5.</w:t>
      </w:r>
    </w:p>
  </w:footnote>
  <w:footnote w:id="4">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Seven reports were produced on the implementation of </w:t>
      </w:r>
      <w:r>
        <w:rPr>
          <w:rFonts w:ascii="Times New Roman" w:hAnsi="Times New Roman" w:cs="Times New Roman"/>
        </w:rPr>
        <w:t>the EU-Turkey Statement, fifteen on relocation and resettlement, five on the operationalisation of the European Border and Coast Guard and five on the progress made under the Partnership Framework.</w:t>
      </w:r>
    </w:p>
  </w:footnote>
  <w:footnote w:id="5">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Longer term trends and comparisons are also provided.</w:t>
      </w:r>
    </w:p>
  </w:footnote>
  <w:footnote w:id="6">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compares to an average of 1 700 arrivals per day during the months preceding the EU-Turkey Statement.</w:t>
      </w:r>
    </w:p>
  </w:footnote>
  <w:footnote w:id="7">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Top nationalities for the period since 1 August: Syrian (40%) Iraqi (22%) Afghani (12%) </w:t>
      </w:r>
      <w:proofErr w:type="gramStart"/>
      <w:r>
        <w:rPr>
          <w:rFonts w:ascii="Times New Roman" w:hAnsi="Times New Roman" w:cs="Times New Roman"/>
        </w:rPr>
        <w:t>Turkish (8%).</w:t>
      </w:r>
      <w:proofErr w:type="gramEnd"/>
    </w:p>
  </w:footnote>
  <w:footnote w:id="8">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number of apprehensions by Turkish </w:t>
      </w:r>
      <w:r>
        <w:rPr>
          <w:rFonts w:ascii="Times New Roman" w:hAnsi="Times New Roman" w:cs="Times New Roman"/>
        </w:rPr>
        <w:t xml:space="preserve">Coast Guard suggests that the </w:t>
      </w:r>
      <w:r>
        <w:rPr>
          <w:rFonts w:ascii="Times New Roman" w:hAnsi="Times New Roman" w:cs="Times New Roman"/>
          <w:lang w:val="en-US"/>
        </w:rPr>
        <w:t>deployment of extra surveillance assets in the Black Sea in the second half of August, combined with the worsening weather conditions, may have contributed to this.</w:t>
      </w:r>
    </w:p>
  </w:footnote>
  <w:footnote w:id="9">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Around 98% of the migrants departing from Tunisia are Tuni</w:t>
      </w:r>
      <w:r>
        <w:rPr>
          <w:rFonts w:ascii="Times New Roman" w:hAnsi="Times New Roman" w:cs="Times New Roman"/>
        </w:rPr>
        <w:t>sians, a total of 5 749 in 2017 so far.</w:t>
      </w:r>
    </w:p>
  </w:footnote>
  <w:footnote w:id="10">
    <w:p w:rsidR="001131A2" w:rsidRDefault="00E501DB">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Source: IOM's </w:t>
      </w:r>
      <w:proofErr w:type="gramStart"/>
      <w:r>
        <w:rPr>
          <w:rFonts w:ascii="Times New Roman" w:hAnsi="Times New Roman" w:cs="Times New Roman"/>
          <w:lang w:val="en-US"/>
        </w:rPr>
        <w:t>Missing</w:t>
      </w:r>
      <w:proofErr w:type="gramEnd"/>
      <w:r>
        <w:rPr>
          <w:rFonts w:ascii="Times New Roman" w:hAnsi="Times New Roman" w:cs="Times New Roman"/>
          <w:lang w:val="en-US"/>
        </w:rPr>
        <w:t xml:space="preserve"> migrants project (https://missingmigrants.iom.int/region/mediterranean).</w:t>
      </w:r>
    </w:p>
  </w:footnote>
  <w:footnote w:id="11">
    <w:p w:rsidR="001131A2" w:rsidRDefault="00E501DB">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Year to 5 November.</w:t>
      </w:r>
    </w:p>
  </w:footnote>
  <w:footnote w:id="12">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These vessels had previously been detained by Italy.</w:t>
      </w:r>
    </w:p>
  </w:footnote>
  <w:footnote w:id="13">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The EU emergency Trust Fund for stability and addressing root causes of irregular migration and displaced persons in Africa (the "EU Trust Fund for Africa"); Commission Decision C(2015)7293 final. </w:t>
      </w:r>
    </w:p>
  </w:footnote>
  <w:footnote w:id="14">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 xml:space="preserve">Latest available data from the European Asylum Support </w:t>
      </w:r>
      <w:r>
        <w:rPr>
          <w:rFonts w:ascii="Times New Roman" w:hAnsi="Times New Roman" w:cs="Times New Roman"/>
        </w:rPr>
        <w:t>Office.</w:t>
      </w:r>
      <w:proofErr w:type="gramEnd"/>
    </w:p>
  </w:footnote>
  <w:footnote w:id="15">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Source: Eurostat. Last update: 26 October 2017.</w:t>
      </w:r>
    </w:p>
  </w:footnote>
  <w:footnote w:id="16">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SWD(</w:t>
      </w:r>
      <w:proofErr w:type="gramEnd"/>
      <w:r>
        <w:rPr>
          <w:rFonts w:ascii="Times New Roman" w:hAnsi="Times New Roman" w:cs="Times New Roman"/>
        </w:rPr>
        <w:t>2017) 372 of 14.11.2017.</w:t>
      </w:r>
    </w:p>
  </w:footnote>
  <w:footnote w:id="17">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on the Protection of Children in Migration, </w:t>
      </w:r>
      <w:proofErr w:type="gramStart"/>
      <w:r>
        <w:rPr>
          <w:rFonts w:ascii="Times New Roman" w:hAnsi="Times New Roman" w:cs="Times New Roman"/>
        </w:rPr>
        <w:t>COM(</w:t>
      </w:r>
      <w:proofErr w:type="gramEnd"/>
      <w:r>
        <w:rPr>
          <w:rFonts w:ascii="Times New Roman" w:hAnsi="Times New Roman" w:cs="Times New Roman"/>
        </w:rPr>
        <w:t>2017) 211 final of 12.4.2017.</w:t>
      </w:r>
    </w:p>
  </w:footnote>
  <w:footnote w:id="18">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total number of migrants currently hosted in the Greek islands </w:t>
      </w:r>
      <w:r>
        <w:rPr>
          <w:rFonts w:ascii="Times New Roman" w:hAnsi="Times New Roman" w:cs="Times New Roman"/>
        </w:rPr>
        <w:t>is close to 15 000, more than double the reception capacity of 7 000.</w:t>
      </w:r>
    </w:p>
  </w:footnote>
  <w:footnote w:id="19">
    <w:p w:rsidR="001131A2" w:rsidRDefault="00E501DB">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The cash programme in Greece provides refugees and migrants with humanitarian needs with a fixed monthly amount to cover food and non-food needs.</w:t>
      </w:r>
    </w:p>
  </w:footnote>
  <w:footnote w:id="20">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107 national experts from Member </w:t>
      </w:r>
      <w:r>
        <w:rPr>
          <w:rFonts w:ascii="Times New Roman" w:hAnsi="Times New Roman" w:cs="Times New Roman"/>
        </w:rPr>
        <w:t>States are deployed to EASO to support the implementation of the EU-TR Statement in Greece.</w:t>
      </w:r>
    </w:p>
  </w:footnote>
  <w:footnote w:id="21">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w:t>
      </w:r>
      <w:proofErr w:type="gramStart"/>
      <w:r>
        <w:rPr>
          <w:rFonts w:ascii="Times New Roman" w:hAnsi="Times New Roman" w:cs="Times New Roman"/>
        </w:rPr>
        <w:t>COM(</w:t>
      </w:r>
      <w:proofErr w:type="gramEnd"/>
      <w:r>
        <w:rPr>
          <w:rFonts w:ascii="Times New Roman" w:hAnsi="Times New Roman" w:cs="Times New Roman"/>
        </w:rPr>
        <w:t>2017) 470 final of 6.9.2017.</w:t>
      </w:r>
    </w:p>
  </w:footnote>
  <w:footnote w:id="22">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Since 20 March 2016, there have been 1 380 returns to Turkey under the EU-Turkey Statement and 589 returns under the Gree</w:t>
      </w:r>
      <w:r>
        <w:rPr>
          <w:rFonts w:ascii="Times New Roman" w:hAnsi="Times New Roman" w:cs="Times New Roman"/>
        </w:rPr>
        <w:t>ce-Turkey bilateral protocol.</w:t>
      </w:r>
    </w:p>
  </w:footnote>
  <w:footnote w:id="23">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So far, 15 EU Member States resettled Syrian refugees from Turkey, namely Austria, Belgium, Estonia, Finland, France, Germany, Italy, Latvia, Lithuania, Luxembourg, Malta – with its first resettlement operation under the EU</w:t>
      </w:r>
      <w:r>
        <w:rPr>
          <w:rFonts w:ascii="Times New Roman" w:hAnsi="Times New Roman" w:cs="Times New Roman"/>
        </w:rPr>
        <w:t>-Turkey Statement – the Netherlands, Portugal, Spain, and Sweden. Additionally, Norway has so far resettled 814 Syrians from Turkey since 4 April 2016. In October, Croatia has conducted its first verification mission in Turkey and is expected to resettle i</w:t>
      </w:r>
      <w:r>
        <w:rPr>
          <w:rFonts w:ascii="Times New Roman" w:hAnsi="Times New Roman" w:cs="Times New Roman"/>
        </w:rPr>
        <w:t>n the coming weeks.</w:t>
      </w:r>
    </w:p>
  </w:footnote>
  <w:footnote w:id="24">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Two major contracts to extend the Emergency Social Safety Net as well as the Conditional Cash Transfer for Education project will be signed in December 2017.</w:t>
      </w:r>
    </w:p>
  </w:footnote>
  <w:footnote w:id="25">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European Council conclusions of 19.10.2017, EUCO 14/17 document CO EUR 1</w:t>
      </w:r>
      <w:r>
        <w:rPr>
          <w:rFonts w:ascii="Times New Roman" w:hAnsi="Times New Roman" w:cs="Times New Roman"/>
        </w:rPr>
        <w:t>7, CONCL 5.</w:t>
      </w:r>
    </w:p>
  </w:footnote>
  <w:footnote w:id="26">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Most recently through an operational workshop in November to improve the effectiveness of return.</w:t>
      </w:r>
      <w:proofErr w:type="gramEnd"/>
    </w:p>
  </w:footnote>
  <w:footnote w:id="27">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SEC(</w:t>
      </w:r>
      <w:proofErr w:type="gramEnd"/>
      <w:r>
        <w:rPr>
          <w:rFonts w:ascii="Times New Roman" w:hAnsi="Times New Roman" w:cs="Times New Roman"/>
        </w:rPr>
        <w:t>2017) 339 of 4.7.2017.</w:t>
      </w:r>
    </w:p>
  </w:footnote>
  <w:footnote w:id="28">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Under Italy's National Programmes under the Asylum, Migration and Integration Fund and Internal Security Fund </w:t>
      </w:r>
      <w:r>
        <w:rPr>
          <w:rFonts w:ascii="Times New Roman" w:hAnsi="Times New Roman" w:cs="Times New Roman"/>
        </w:rPr>
        <w:t>for 2014-2020, Italy received a total of EUR 634 million. Since 2014, the European Commission has awarded emergency assistance amounting to a total of EUR 149.1 million to Italy.</w:t>
      </w:r>
    </w:p>
  </w:footnote>
  <w:footnote w:id="29">
    <w:p w:rsidR="001131A2" w:rsidRDefault="00E501DB">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On best practices for hotspots, see page 4.</w:t>
      </w:r>
    </w:p>
  </w:footnote>
  <w:footnote w:id="30">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Operation Sophia initiated </w:t>
      </w:r>
      <w:r>
        <w:rPr>
          <w:rFonts w:ascii="Times New Roman" w:hAnsi="Times New Roman" w:cs="Times New Roman"/>
        </w:rPr>
        <w:t xml:space="preserve">a second package of shore-based training as of late January 2017 in Greece and Malta resulting in the training of an additional 40 personnel. </w:t>
      </w:r>
    </w:p>
  </w:footnote>
  <w:footnote w:id="31">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At the same time, Common Security and Defence Policy operations have continued capacity building in partner co</w:t>
      </w:r>
      <w:r>
        <w:rPr>
          <w:rFonts w:ascii="Times New Roman" w:hAnsi="Times New Roman" w:cs="Times New Roman"/>
        </w:rPr>
        <w:t>untries: the EU Border Assistance Mission in Libya is supporting the development of a new integrated border management strategy.</w:t>
      </w:r>
    </w:p>
  </w:footnote>
  <w:footnote w:id="32">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Council conclusions on Libya of 17.7.2017 (doc. 11155/17).</w:t>
      </w:r>
      <w:proofErr w:type="gramEnd"/>
    </w:p>
  </w:footnote>
  <w:footnote w:id="33">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Three assets are currently deployed in the Joint Operation in </w:t>
      </w:r>
      <w:r>
        <w:rPr>
          <w:rFonts w:ascii="Times New Roman" w:hAnsi="Times New Roman" w:cs="Times New Roman"/>
        </w:rPr>
        <w:t>the Western Mediterranean.</w:t>
      </w:r>
    </w:p>
  </w:footnote>
  <w:footnote w:id="34">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Sevilla</w:t>
      </w:r>
      <w:proofErr w:type="spellEnd"/>
      <w:r>
        <w:rPr>
          <w:rFonts w:ascii="Times New Roman" w:hAnsi="Times New Roman" w:cs="Times New Roman"/>
        </w:rPr>
        <w:t xml:space="preserve"> (Spain), 16 October 2017.</w:t>
      </w:r>
    </w:p>
  </w:footnote>
  <w:footnote w:id="35">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Similarly, in Sudan, a Better Migration Management Programme is under way to link national and regional policies: this has led to the setting up of specialised human trafficking Prosecution</w:t>
      </w:r>
      <w:r>
        <w:rPr>
          <w:rFonts w:ascii="Times New Roman" w:hAnsi="Times New Roman" w:cs="Times New Roman"/>
        </w:rPr>
        <w:t xml:space="preserve"> Offices.</w:t>
      </w:r>
    </w:p>
  </w:footnote>
  <w:footnote w:id="36">
    <w:p w:rsidR="001131A2" w:rsidRDefault="00E501DB">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t xml:space="preserve">Announcement made by the HR/VP at the EU-G5 Sahel Ministerial Meeting in Bamako, 5 June 2017. </w:t>
      </w:r>
    </w:p>
  </w:footnote>
  <w:footnote w:id="37">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mission also participates, together with the European Migration Liaison Officer, the European Border and Coast Guard Agency Liaison Officer </w:t>
      </w:r>
      <w:r>
        <w:rPr>
          <w:rFonts w:ascii="Times New Roman" w:hAnsi="Times New Roman" w:cs="Times New Roman"/>
        </w:rPr>
        <w:t>and the International Organisation for Migration in a platform of exchange of information on irregular migration.</w:t>
      </w:r>
    </w:p>
  </w:footnote>
  <w:footnote w:id="38">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Under the EMPACT (European multidisciplinary platform against criminal threats) Operational Action Plan 2018 against facilitation of irregu</w:t>
      </w:r>
      <w:r>
        <w:rPr>
          <w:rFonts w:ascii="Times New Roman" w:hAnsi="Times New Roman" w:cs="Times New Roman"/>
        </w:rPr>
        <w:t>lar immigration.</w:t>
      </w:r>
      <w:proofErr w:type="gramEnd"/>
    </w:p>
  </w:footnote>
  <w:footnote w:id="39">
    <w:p w:rsidR="001131A2" w:rsidRDefault="00E501DB">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The first EU/Schengen Consular Anti visa-fraud Workshop is scheduled to take place on 30 November-1 December in Moscow.</w:t>
      </w:r>
    </w:p>
  </w:footnote>
  <w:footnote w:id="40">
    <w:p w:rsidR="001131A2" w:rsidRDefault="00E501DB">
      <w:pPr>
        <w:pStyle w:val="FootnoteText"/>
        <w:ind w:left="284" w:hanging="284"/>
        <w:jc w:val="both"/>
        <w:rPr>
          <w:rFonts w:ascii="Times New Roman" w:hAnsi="Times New Roman" w:cs="Times New Roman"/>
        </w:rPr>
      </w:pPr>
      <w:r>
        <w:rPr>
          <w:rFonts w:ascii="Times New Roman" w:hAnsi="Times New Roman" w:cs="Times New Roman"/>
          <w:vertAlign w:val="superscript"/>
          <w:lang w:val="en-US"/>
        </w:rPr>
        <w:footnoteRef/>
      </w:r>
      <w:r>
        <w:rPr>
          <w:rFonts w:ascii="Times New Roman" w:hAnsi="Times New Roman" w:cs="Times New Roman"/>
          <w:lang w:val="en-US"/>
        </w:rPr>
        <w:t xml:space="preserve"> </w:t>
      </w:r>
      <w:r>
        <w:rPr>
          <w:rFonts w:ascii="Times New Roman" w:hAnsi="Times New Roman" w:cs="Times New Roman"/>
          <w:lang w:val="en-US"/>
        </w:rPr>
        <w:tab/>
        <w:t xml:space="preserve">The second formal meeting of the Pakistan EU Cooperation platform on migrant smuggling is scheduled in Islamabad </w:t>
      </w:r>
      <w:r>
        <w:rPr>
          <w:rFonts w:ascii="Times New Roman" w:hAnsi="Times New Roman" w:cs="Times New Roman"/>
          <w:lang w:val="en-US"/>
        </w:rPr>
        <w:t>on 23 November.</w:t>
      </w:r>
    </w:p>
  </w:footnote>
  <w:footnote w:id="41">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Decision C(2015) 7293 final; The EU emergency Trust Fund for stability and addressing root causes of irregular migration and displaced persons in Africa (the EU Trust Fund for Africa).</w:t>
      </w:r>
    </w:p>
  </w:footnote>
  <w:footnote w:id="42">
    <w:p w:rsidR="001131A2" w:rsidRDefault="00E501DB">
      <w:pPr>
        <w:spacing w:after="0" w:line="240" w:lineRule="auto"/>
        <w:ind w:left="284" w:hanging="284"/>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Recent Member State contributions incl</w:t>
      </w:r>
      <w:r>
        <w:rPr>
          <w:rFonts w:ascii="Times New Roman" w:hAnsi="Times New Roman" w:cs="Times New Roman"/>
          <w:sz w:val="20"/>
          <w:szCs w:val="20"/>
        </w:rPr>
        <w:t>ude: Estonia, Austria, the Czech Republic and Italy have paid additional contributions; Croatia, Latvia and Italy have sent contribution certificates, and Bulgaria and other donors are working on formalising their pledge.</w:t>
      </w:r>
    </w:p>
  </w:footnote>
  <w:footnote w:id="43">
    <w:p w:rsidR="001131A2" w:rsidRDefault="00E501DB">
      <w:pPr>
        <w:pStyle w:val="FootnoteText"/>
        <w:ind w:left="284" w:hanging="284"/>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 parallel, the EU is actively </w:t>
      </w:r>
      <w:r>
        <w:rPr>
          <w:rFonts w:ascii="Times New Roman" w:hAnsi="Times New Roman" w:cs="Times New Roman"/>
        </w:rPr>
        <w:t xml:space="preserve">engaged in addressing the humanitarian needs of </w:t>
      </w:r>
      <w:proofErr w:type="spellStart"/>
      <w:r>
        <w:rPr>
          <w:rFonts w:ascii="Times New Roman" w:hAnsi="Times New Roman" w:cs="Times New Roman"/>
        </w:rPr>
        <w:t>Rohingya</w:t>
      </w:r>
      <w:proofErr w:type="spellEnd"/>
      <w:r>
        <w:rPr>
          <w:rFonts w:ascii="Times New Roman" w:hAnsi="Times New Roman" w:cs="Times New Roman"/>
        </w:rPr>
        <w:t xml:space="preserve"> and their host communities in both Bangladesh and Myanmar. At the international Pledging Conference in Geneva on 23 October 2017, the EU committed an additional EUR 30 million, bringing its total sup</w:t>
      </w:r>
      <w:r>
        <w:rPr>
          <w:rFonts w:ascii="Times New Roman" w:hAnsi="Times New Roman" w:cs="Times New Roman"/>
        </w:rPr>
        <w:t>port for this crisis to EUR 51 million for 2017. Humanitarian assistance is focusing on nutrition, fighting the outbreak of disease, and sexual and gender based violence, as well as emergency education.</w:t>
      </w:r>
    </w:p>
  </w:footnote>
  <w:footnote w:id="44">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Sustainable energy and sustainable connectivity; M</w:t>
      </w:r>
      <w:r>
        <w:rPr>
          <w:rFonts w:ascii="Times New Roman" w:hAnsi="Times New Roman" w:cs="Times New Roman"/>
        </w:rPr>
        <w:t>icro, Small and Medium Enterprises financing; Sustainable agriculture, rural entrepreneurs and agroindustry; Sustainable cities; Digitalisation for sustainable development.</w:t>
      </w:r>
      <w:proofErr w:type="gramEnd"/>
    </w:p>
  </w:footnote>
  <w:footnote w:id="45">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first meeting of the EFSD Strategic Board took place also on 28 September, </w:t>
      </w:r>
      <w:r>
        <w:rPr>
          <w:rFonts w:ascii="Times New Roman" w:hAnsi="Times New Roman" w:cs="Times New Roman"/>
        </w:rPr>
        <w:t>the joint meeting of the operational boards for the two geographical platforms, Neighbourhood and Africa, took place on 7 November to discuss in detail the five sectoral windows of intervention.</w:t>
      </w:r>
    </w:p>
  </w:footnote>
  <w:footnote w:id="46">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Communication on a more effective return policy in the EU </w:t>
      </w:r>
      <w:r>
        <w:rPr>
          <w:rFonts w:ascii="Times New Roman" w:hAnsi="Times New Roman" w:cs="Times New Roman"/>
        </w:rPr>
        <w:t xml:space="preserve">– A renewed Action Plan, </w:t>
      </w:r>
      <w:proofErr w:type="gramStart"/>
      <w:r>
        <w:rPr>
          <w:rFonts w:ascii="Times New Roman" w:hAnsi="Times New Roman" w:cs="Times New Roman"/>
        </w:rPr>
        <w:t>COM(</w:t>
      </w:r>
      <w:proofErr w:type="gramEnd"/>
      <w:r>
        <w:rPr>
          <w:rFonts w:ascii="Times New Roman" w:hAnsi="Times New Roman" w:cs="Times New Roman"/>
        </w:rPr>
        <w:t>2017) 200 final of 2.3.2017.</w:t>
      </w:r>
      <w:r>
        <w:rPr>
          <w:rFonts w:ascii="Times New Roman" w:hAnsi="Times New Roman" w:cs="Times New Roman"/>
        </w:rPr>
        <w:tab/>
      </w:r>
    </w:p>
  </w:footnote>
  <w:footnote w:id="47">
    <w:p w:rsidR="001131A2" w:rsidRDefault="00E501DB">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Most recently, through support to a workshop organised in Italy on increasing the effectiveness of return policy (6 November).</w:t>
      </w:r>
    </w:p>
  </w:footnote>
  <w:footnote w:id="48">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Reporting period 01/01/2017-15/10/2017.</w:t>
      </w:r>
      <w:proofErr w:type="gramEnd"/>
    </w:p>
  </w:footnote>
  <w:footnote w:id="49">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Of which 153 to count</w:t>
      </w:r>
      <w:r>
        <w:rPr>
          <w:rFonts w:ascii="Times New Roman" w:hAnsi="Times New Roman" w:cs="Times New Roman"/>
        </w:rPr>
        <w:t>ries other than Western Balkans.</w:t>
      </w:r>
      <w:proofErr w:type="gramEnd"/>
    </w:p>
  </w:footnote>
  <w:footnote w:id="50">
    <w:p w:rsidR="001131A2" w:rsidRDefault="00E501DB">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This designation is without prejudice to positions on status, and is in line with UNSCR 1244/1999 and the ICJ Opinion on the Kosovo declaration of independence.</w:t>
      </w:r>
    </w:p>
  </w:footnote>
  <w:footnote w:id="51">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Figures </w:t>
      </w:r>
      <w:proofErr w:type="spellStart"/>
      <w:r>
        <w:rPr>
          <w:rFonts w:ascii="Times New Roman" w:hAnsi="Times New Roman" w:cs="Times New Roman"/>
        </w:rPr>
        <w:t>i</w:t>
      </w:r>
      <w:r>
        <w:rPr>
          <w:rFonts w:ascii="Times New Roman" w:hAnsi="Times New Roman" w:cs="Times New Roman"/>
          <w:lang w:val="en-US"/>
        </w:rPr>
        <w:t>nclude</w:t>
      </w:r>
      <w:proofErr w:type="spellEnd"/>
      <w:r>
        <w:rPr>
          <w:rFonts w:ascii="Times New Roman" w:hAnsi="Times New Roman" w:cs="Times New Roman"/>
          <w:lang w:val="en-US"/>
        </w:rPr>
        <w:t xml:space="preserve"> joint return operations, national return</w:t>
      </w:r>
      <w:r>
        <w:rPr>
          <w:rFonts w:ascii="Times New Roman" w:hAnsi="Times New Roman" w:cs="Times New Roman"/>
          <w:lang w:val="en-US"/>
        </w:rPr>
        <w:t xml:space="preserve"> operations, and collecting return operations.</w:t>
      </w:r>
    </w:p>
  </w:footnote>
  <w:footnote w:id="52">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w:t>
      </w:r>
      <w:proofErr w:type="gramEnd"/>
      <w:r>
        <w:rPr>
          <w:rFonts w:ascii="Times New Roman" w:hAnsi="Times New Roman" w:cs="Times New Roman"/>
        </w:rPr>
        <w:t>2017) 465 final of 6.9.2017.</w:t>
      </w:r>
    </w:p>
  </w:footnote>
  <w:footnote w:id="53">
    <w:p w:rsidR="001131A2" w:rsidRDefault="00E501DB">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Council conclusions ("on resettling through multilateral and national schemes 20 000 persons in clear need of international protection") of 20.7.2015, document 11130/15.</w:t>
      </w:r>
    </w:p>
  </w:footnote>
  <w:footnote w:id="54">
    <w:p w:rsidR="001131A2" w:rsidRDefault="00E501DB">
      <w:pPr>
        <w:pStyle w:val="FootnoteText"/>
        <w:ind w:left="284" w:hanging="284"/>
        <w:jc w:val="both"/>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Belgium, the Czech Republic, Denmark, Germany, Estonia, France, Iceland, Ireland, Italy, Latvia, Liechtenstein, Lithuania, Luxembourg, Malta, the Netherlands, Norway, Austria, Portugal, Romania, Spain, Finland, Sweden, Switzerland and the United Kingdom</w:t>
      </w:r>
      <w:r>
        <w:rPr>
          <w:rFonts w:ascii="Times New Roman" w:hAnsi="Times New Roman" w:cs="Times New Roman"/>
        </w:rPr>
        <w:t>.</w:t>
      </w:r>
    </w:p>
  </w:footnote>
  <w:footnote w:id="55">
    <w:p w:rsidR="001131A2" w:rsidRDefault="00E501DB">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 xml:space="preserve">Commission Recommendation of 27.9.2017 on enhancing legal pathways for persons in need of international protection; </w:t>
      </w:r>
      <w:proofErr w:type="gramStart"/>
      <w:r>
        <w:rPr>
          <w:rFonts w:ascii="Times New Roman" w:hAnsi="Times New Roman" w:cs="Times New Roman"/>
          <w:lang w:val="en-US"/>
        </w:rPr>
        <w:t>C(</w:t>
      </w:r>
      <w:proofErr w:type="gramEnd"/>
      <w:r>
        <w:rPr>
          <w:rFonts w:ascii="Times New Roman" w:hAnsi="Times New Roman" w:cs="Times New Roman"/>
          <w:lang w:val="en-US"/>
        </w:rPr>
        <w:t>2017) 6504.</w:t>
      </w:r>
    </w:p>
  </w:footnote>
  <w:footnote w:id="56">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 meeting between interested Member States and the Commission has been scheduled for 29 November 2017.</w:t>
      </w:r>
    </w:p>
  </w:footnote>
  <w:footnote w:id="57">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COM(</w:t>
      </w:r>
      <w:proofErr w:type="gramEnd"/>
      <w:r>
        <w:rPr>
          <w:rFonts w:ascii="Times New Roman" w:hAnsi="Times New Roman" w:cs="Times New Roman"/>
        </w:rPr>
        <w:t>2017) 46</w:t>
      </w:r>
      <w:r>
        <w:rPr>
          <w:rFonts w:ascii="Times New Roman" w:hAnsi="Times New Roman" w:cs="Times New Roman"/>
        </w:rPr>
        <w:t xml:space="preserve">7 final of 6.9.2017. </w:t>
      </w:r>
    </w:p>
  </w:footnote>
  <w:footnote w:id="58">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The Specific Actions are a dedicated top-up funding scheme under the Internal Security Fund to co-finance Member States' equipment which, once purchased, must be registered in the Agency's technical equipment pool and made availabl</w:t>
      </w:r>
      <w:r>
        <w:rPr>
          <w:rFonts w:ascii="Times New Roman" w:hAnsi="Times New Roman" w:cs="Times New Roman"/>
          <w:lang w:val="en-US"/>
        </w:rPr>
        <w:t>e at the request of the Agency for deployments at any section of external borders, especially in case of rapid border interventions.</w:t>
      </w:r>
    </w:p>
  </w:footnote>
  <w:footnote w:id="59">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lang w:val="en-US"/>
        </w:rPr>
        <w:t>For Bulgaria, Greece, Italy and Croatia, this process will be completed by end November, with France and Spain to follow</w:t>
      </w:r>
      <w:r>
        <w:rPr>
          <w:rFonts w:ascii="Times New Roman" w:hAnsi="Times New Roman" w:cs="Times New Roman"/>
          <w:lang w:val="en-US"/>
        </w:rPr>
        <w:t xml:space="preserve"> in December</w:t>
      </w:r>
    </w:p>
  </w:footnote>
  <w:footnote w:id="60">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Article 12 of the Regulation on the European Border and Coast Guard (Regulation (EU) 2016/1624 of 14 September 2016 (OJ L 251/1 of 16.9.2016).</w:t>
      </w:r>
      <w:proofErr w:type="gramEnd"/>
      <w:r>
        <w:rPr>
          <w:rFonts w:ascii="Times New Roman" w:hAnsi="Times New Roman" w:cs="Times New Roman"/>
        </w:rPr>
        <w:t xml:space="preserve"> Liaison officers will be deployed largely to clusters of Member States.</w:t>
      </w:r>
    </w:p>
  </w:footnote>
  <w:footnote w:id="61">
    <w:p w:rsidR="001131A2" w:rsidRDefault="00E501DB">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Article 4 of the Regul</w:t>
      </w:r>
      <w:r>
        <w:rPr>
          <w:rFonts w:ascii="Times New Roman" w:hAnsi="Times New Roman" w:cs="Times New Roman"/>
        </w:rPr>
        <w:t>ation on the European Border and Coast Guard.</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B" w:rsidRPr="00E501DB" w:rsidRDefault="00E501DB" w:rsidP="00E50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B" w:rsidRPr="00E501DB" w:rsidRDefault="00E501DB" w:rsidP="00E501D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1DB" w:rsidRPr="00E501DB" w:rsidRDefault="00E501DB" w:rsidP="00E501D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A2" w:rsidRDefault="001131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A2" w:rsidRDefault="001131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A2" w:rsidRDefault="00113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848"/>
    <w:multiLevelType w:val="hybridMultilevel"/>
    <w:tmpl w:val="8D206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2FC9"/>
    <w:multiLevelType w:val="hybridMultilevel"/>
    <w:tmpl w:val="BAF24AC6"/>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1E6FC0"/>
    <w:multiLevelType w:val="hybridMultilevel"/>
    <w:tmpl w:val="E9F85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C8691E"/>
    <w:multiLevelType w:val="hybridMultilevel"/>
    <w:tmpl w:val="02E0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A05320"/>
    <w:multiLevelType w:val="hybridMultilevel"/>
    <w:tmpl w:val="6226CFD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FE45CBA"/>
    <w:multiLevelType w:val="hybridMultilevel"/>
    <w:tmpl w:val="0B9CA9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0F71928"/>
    <w:multiLevelType w:val="hybridMultilevel"/>
    <w:tmpl w:val="9B465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BC16F92"/>
    <w:multiLevelType w:val="hybridMultilevel"/>
    <w:tmpl w:val="89D4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41095"/>
    <w:multiLevelType w:val="hybridMultilevel"/>
    <w:tmpl w:val="D390EE7E"/>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E01182"/>
    <w:multiLevelType w:val="hybridMultilevel"/>
    <w:tmpl w:val="D5328A6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237C75"/>
    <w:multiLevelType w:val="hybridMultilevel"/>
    <w:tmpl w:val="D4F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9F295D"/>
    <w:multiLevelType w:val="hybridMultilevel"/>
    <w:tmpl w:val="057E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25674D"/>
    <w:multiLevelType w:val="hybridMultilevel"/>
    <w:tmpl w:val="9588187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8CB0669"/>
    <w:multiLevelType w:val="hybridMultilevel"/>
    <w:tmpl w:val="290E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C024CD"/>
    <w:multiLevelType w:val="hybridMultilevel"/>
    <w:tmpl w:val="2532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355323"/>
    <w:multiLevelType w:val="hybridMultilevel"/>
    <w:tmpl w:val="3A2E6934"/>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1BA415B"/>
    <w:multiLevelType w:val="hybridMultilevel"/>
    <w:tmpl w:val="DE66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E0207"/>
    <w:multiLevelType w:val="hybridMultilevel"/>
    <w:tmpl w:val="F6E09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D76796A"/>
    <w:multiLevelType w:val="hybridMultilevel"/>
    <w:tmpl w:val="68F61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083C9C"/>
    <w:multiLevelType w:val="hybridMultilevel"/>
    <w:tmpl w:val="FFD4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6472F69"/>
    <w:multiLevelType w:val="hybridMultilevel"/>
    <w:tmpl w:val="2B525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DC0B72"/>
    <w:multiLevelType w:val="hybridMultilevel"/>
    <w:tmpl w:val="B5CA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C345E7"/>
    <w:multiLevelType w:val="hybridMultilevel"/>
    <w:tmpl w:val="CB5C1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C5130F"/>
    <w:multiLevelType w:val="hybridMultilevel"/>
    <w:tmpl w:val="8EA60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D2C764D"/>
    <w:multiLevelType w:val="hybridMultilevel"/>
    <w:tmpl w:val="75FCCD2A"/>
    <w:lvl w:ilvl="0" w:tplc="A5AEA53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2B31F66"/>
    <w:multiLevelType w:val="hybridMultilevel"/>
    <w:tmpl w:val="94D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6A0C3C"/>
    <w:multiLevelType w:val="hybridMultilevel"/>
    <w:tmpl w:val="055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544F7E"/>
    <w:multiLevelType w:val="hybridMultilevel"/>
    <w:tmpl w:val="32E8353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8"/>
  </w:num>
  <w:num w:numId="4">
    <w:abstractNumId w:val="5"/>
  </w:num>
  <w:num w:numId="5">
    <w:abstractNumId w:val="14"/>
  </w:num>
  <w:num w:numId="6">
    <w:abstractNumId w:val="6"/>
  </w:num>
  <w:num w:numId="7">
    <w:abstractNumId w:val="0"/>
  </w:num>
  <w:num w:numId="8">
    <w:abstractNumId w:val="23"/>
  </w:num>
  <w:num w:numId="9">
    <w:abstractNumId w:val="20"/>
  </w:num>
  <w:num w:numId="10">
    <w:abstractNumId w:val="17"/>
  </w:num>
  <w:num w:numId="11">
    <w:abstractNumId w:val="25"/>
  </w:num>
  <w:num w:numId="12">
    <w:abstractNumId w:val="9"/>
  </w:num>
  <w:num w:numId="13">
    <w:abstractNumId w:val="15"/>
  </w:num>
  <w:num w:numId="14">
    <w:abstractNumId w:val="12"/>
  </w:num>
  <w:num w:numId="15">
    <w:abstractNumId w:val="24"/>
  </w:num>
  <w:num w:numId="16">
    <w:abstractNumId w:val="4"/>
  </w:num>
  <w:num w:numId="17">
    <w:abstractNumId w:val="3"/>
  </w:num>
  <w:num w:numId="18">
    <w:abstractNumId w:val="27"/>
  </w:num>
  <w:num w:numId="19">
    <w:abstractNumId w:val="1"/>
  </w:num>
  <w:num w:numId="20">
    <w:abstractNumId w:val="16"/>
  </w:num>
  <w:num w:numId="21">
    <w:abstractNumId w:val="10"/>
  </w:num>
  <w:num w:numId="22">
    <w:abstractNumId w:val="7"/>
  </w:num>
  <w:num w:numId="23">
    <w:abstractNumId w:val="21"/>
  </w:num>
  <w:num w:numId="24">
    <w:abstractNumId w:val="26"/>
  </w:num>
  <w:num w:numId="25">
    <w:abstractNumId w:val="27"/>
  </w:num>
  <w:num w:numId="26">
    <w:abstractNumId w:val="16"/>
  </w:num>
  <w:num w:numId="27">
    <w:abstractNumId w:val="19"/>
  </w:num>
  <w:num w:numId="28">
    <w:abstractNumId w:val="8"/>
  </w:num>
  <w:num w:numId="29">
    <w:abstractNumId w:val="1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C3F46BC-1C67-4C6C-89A6-8DFA715899F5"/>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ssels,"/>
    <w:docVar w:name="LW_EMISSION_SUFFIX" w:val="&lt;EMPTY&gt;"/>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TO THE EUROPEAN PARLIAMENT, THE EUROPEAN COUNCIL AND THE COUNCIL_x000b__x000b_Progress report on the European Agenda on Migration"/>
    <w:docVar w:name="LW_TYPE.DOC.CP" w:val="REPORT FROM THE COMMISSION"/>
  </w:docVars>
  <w:rsids>
    <w:rsidRoot w:val="001131A2"/>
    <w:rsid w:val="001131A2"/>
    <w:rsid w:val="00E501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style>
  <w:style w:type="table" w:customStyle="1" w:styleId="LightList-Accent111">
    <w:name w:val="Light List - Accent 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paragraph" w:styleId="Revision">
    <w:name w:val="Revision"/>
    <w:hidden/>
    <w:uiPriority w:val="99"/>
    <w:semiHidden/>
    <w:pPr>
      <w:spacing w:after="0" w:line="240" w:lineRule="auto"/>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table" w:styleId="TableGrid">
    <w:name w:val="Table Grid"/>
    <w:basedOn w:val="TableNormal"/>
    <w:uiPriority w:val="59"/>
    <w:unhideWhenUs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style>
  <w:style w:type="table" w:customStyle="1" w:styleId="LightList-Accent111">
    <w:name w:val="Light List - Accent 1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3968">
      <w:bodyDiv w:val="1"/>
      <w:marLeft w:val="0"/>
      <w:marRight w:val="0"/>
      <w:marTop w:val="0"/>
      <w:marBottom w:val="0"/>
      <w:divBdr>
        <w:top w:val="none" w:sz="0" w:space="0" w:color="auto"/>
        <w:left w:val="none" w:sz="0" w:space="0" w:color="auto"/>
        <w:bottom w:val="none" w:sz="0" w:space="0" w:color="auto"/>
        <w:right w:val="none" w:sz="0" w:space="0" w:color="auto"/>
      </w:divBdr>
    </w:div>
    <w:div w:id="130681630">
      <w:bodyDiv w:val="1"/>
      <w:marLeft w:val="0"/>
      <w:marRight w:val="0"/>
      <w:marTop w:val="0"/>
      <w:marBottom w:val="0"/>
      <w:divBdr>
        <w:top w:val="none" w:sz="0" w:space="0" w:color="auto"/>
        <w:left w:val="none" w:sz="0" w:space="0" w:color="auto"/>
        <w:bottom w:val="none" w:sz="0" w:space="0" w:color="auto"/>
        <w:right w:val="none" w:sz="0" w:space="0" w:color="auto"/>
      </w:divBdr>
    </w:div>
    <w:div w:id="149104175">
      <w:bodyDiv w:val="1"/>
      <w:marLeft w:val="0"/>
      <w:marRight w:val="0"/>
      <w:marTop w:val="0"/>
      <w:marBottom w:val="0"/>
      <w:divBdr>
        <w:top w:val="none" w:sz="0" w:space="0" w:color="auto"/>
        <w:left w:val="none" w:sz="0" w:space="0" w:color="auto"/>
        <w:bottom w:val="none" w:sz="0" w:space="0" w:color="auto"/>
        <w:right w:val="none" w:sz="0" w:space="0" w:color="auto"/>
      </w:divBdr>
    </w:div>
    <w:div w:id="155848748">
      <w:bodyDiv w:val="1"/>
      <w:marLeft w:val="0"/>
      <w:marRight w:val="0"/>
      <w:marTop w:val="0"/>
      <w:marBottom w:val="0"/>
      <w:divBdr>
        <w:top w:val="none" w:sz="0" w:space="0" w:color="auto"/>
        <w:left w:val="none" w:sz="0" w:space="0" w:color="auto"/>
        <w:bottom w:val="none" w:sz="0" w:space="0" w:color="auto"/>
        <w:right w:val="none" w:sz="0" w:space="0" w:color="auto"/>
      </w:divBdr>
    </w:div>
    <w:div w:id="168645129">
      <w:bodyDiv w:val="1"/>
      <w:marLeft w:val="0"/>
      <w:marRight w:val="0"/>
      <w:marTop w:val="0"/>
      <w:marBottom w:val="0"/>
      <w:divBdr>
        <w:top w:val="none" w:sz="0" w:space="0" w:color="auto"/>
        <w:left w:val="none" w:sz="0" w:space="0" w:color="auto"/>
        <w:bottom w:val="none" w:sz="0" w:space="0" w:color="auto"/>
        <w:right w:val="none" w:sz="0" w:space="0" w:color="auto"/>
      </w:divBdr>
    </w:div>
    <w:div w:id="436799879">
      <w:bodyDiv w:val="1"/>
      <w:marLeft w:val="0"/>
      <w:marRight w:val="0"/>
      <w:marTop w:val="0"/>
      <w:marBottom w:val="0"/>
      <w:divBdr>
        <w:top w:val="none" w:sz="0" w:space="0" w:color="auto"/>
        <w:left w:val="none" w:sz="0" w:space="0" w:color="auto"/>
        <w:bottom w:val="none" w:sz="0" w:space="0" w:color="auto"/>
        <w:right w:val="none" w:sz="0" w:space="0" w:color="auto"/>
      </w:divBdr>
    </w:div>
    <w:div w:id="475687990">
      <w:bodyDiv w:val="1"/>
      <w:marLeft w:val="0"/>
      <w:marRight w:val="0"/>
      <w:marTop w:val="0"/>
      <w:marBottom w:val="0"/>
      <w:divBdr>
        <w:top w:val="none" w:sz="0" w:space="0" w:color="auto"/>
        <w:left w:val="none" w:sz="0" w:space="0" w:color="auto"/>
        <w:bottom w:val="none" w:sz="0" w:space="0" w:color="auto"/>
        <w:right w:val="none" w:sz="0" w:space="0" w:color="auto"/>
      </w:divBdr>
    </w:div>
    <w:div w:id="494222120">
      <w:bodyDiv w:val="1"/>
      <w:marLeft w:val="0"/>
      <w:marRight w:val="0"/>
      <w:marTop w:val="0"/>
      <w:marBottom w:val="0"/>
      <w:divBdr>
        <w:top w:val="none" w:sz="0" w:space="0" w:color="auto"/>
        <w:left w:val="none" w:sz="0" w:space="0" w:color="auto"/>
        <w:bottom w:val="none" w:sz="0" w:space="0" w:color="auto"/>
        <w:right w:val="none" w:sz="0" w:space="0" w:color="auto"/>
      </w:divBdr>
    </w:div>
    <w:div w:id="508717227">
      <w:bodyDiv w:val="1"/>
      <w:marLeft w:val="0"/>
      <w:marRight w:val="0"/>
      <w:marTop w:val="0"/>
      <w:marBottom w:val="0"/>
      <w:divBdr>
        <w:top w:val="none" w:sz="0" w:space="0" w:color="auto"/>
        <w:left w:val="none" w:sz="0" w:space="0" w:color="auto"/>
        <w:bottom w:val="none" w:sz="0" w:space="0" w:color="auto"/>
        <w:right w:val="none" w:sz="0" w:space="0" w:color="auto"/>
      </w:divBdr>
    </w:div>
    <w:div w:id="552887523">
      <w:bodyDiv w:val="1"/>
      <w:marLeft w:val="0"/>
      <w:marRight w:val="0"/>
      <w:marTop w:val="0"/>
      <w:marBottom w:val="0"/>
      <w:divBdr>
        <w:top w:val="none" w:sz="0" w:space="0" w:color="auto"/>
        <w:left w:val="none" w:sz="0" w:space="0" w:color="auto"/>
        <w:bottom w:val="none" w:sz="0" w:space="0" w:color="auto"/>
        <w:right w:val="none" w:sz="0" w:space="0" w:color="auto"/>
      </w:divBdr>
    </w:div>
    <w:div w:id="805775456">
      <w:bodyDiv w:val="1"/>
      <w:marLeft w:val="0"/>
      <w:marRight w:val="0"/>
      <w:marTop w:val="0"/>
      <w:marBottom w:val="0"/>
      <w:divBdr>
        <w:top w:val="none" w:sz="0" w:space="0" w:color="auto"/>
        <w:left w:val="none" w:sz="0" w:space="0" w:color="auto"/>
        <w:bottom w:val="none" w:sz="0" w:space="0" w:color="auto"/>
        <w:right w:val="none" w:sz="0" w:space="0" w:color="auto"/>
      </w:divBdr>
    </w:div>
    <w:div w:id="1001545351">
      <w:bodyDiv w:val="1"/>
      <w:marLeft w:val="0"/>
      <w:marRight w:val="0"/>
      <w:marTop w:val="0"/>
      <w:marBottom w:val="0"/>
      <w:divBdr>
        <w:top w:val="none" w:sz="0" w:space="0" w:color="auto"/>
        <w:left w:val="none" w:sz="0" w:space="0" w:color="auto"/>
        <w:bottom w:val="none" w:sz="0" w:space="0" w:color="auto"/>
        <w:right w:val="none" w:sz="0" w:space="0" w:color="auto"/>
      </w:divBdr>
    </w:div>
    <w:div w:id="1053117818">
      <w:bodyDiv w:val="1"/>
      <w:marLeft w:val="0"/>
      <w:marRight w:val="0"/>
      <w:marTop w:val="0"/>
      <w:marBottom w:val="0"/>
      <w:divBdr>
        <w:top w:val="none" w:sz="0" w:space="0" w:color="auto"/>
        <w:left w:val="none" w:sz="0" w:space="0" w:color="auto"/>
        <w:bottom w:val="none" w:sz="0" w:space="0" w:color="auto"/>
        <w:right w:val="none" w:sz="0" w:space="0" w:color="auto"/>
      </w:divBdr>
    </w:div>
    <w:div w:id="1162043888">
      <w:bodyDiv w:val="1"/>
      <w:marLeft w:val="0"/>
      <w:marRight w:val="0"/>
      <w:marTop w:val="0"/>
      <w:marBottom w:val="0"/>
      <w:divBdr>
        <w:top w:val="none" w:sz="0" w:space="0" w:color="auto"/>
        <w:left w:val="none" w:sz="0" w:space="0" w:color="auto"/>
        <w:bottom w:val="none" w:sz="0" w:space="0" w:color="auto"/>
        <w:right w:val="none" w:sz="0" w:space="0" w:color="auto"/>
      </w:divBdr>
    </w:div>
    <w:div w:id="1216891417">
      <w:bodyDiv w:val="1"/>
      <w:marLeft w:val="0"/>
      <w:marRight w:val="0"/>
      <w:marTop w:val="0"/>
      <w:marBottom w:val="0"/>
      <w:divBdr>
        <w:top w:val="none" w:sz="0" w:space="0" w:color="auto"/>
        <w:left w:val="none" w:sz="0" w:space="0" w:color="auto"/>
        <w:bottom w:val="none" w:sz="0" w:space="0" w:color="auto"/>
        <w:right w:val="none" w:sz="0" w:space="0" w:color="auto"/>
      </w:divBdr>
    </w:div>
    <w:div w:id="1224367895">
      <w:bodyDiv w:val="1"/>
      <w:marLeft w:val="0"/>
      <w:marRight w:val="0"/>
      <w:marTop w:val="0"/>
      <w:marBottom w:val="0"/>
      <w:divBdr>
        <w:top w:val="none" w:sz="0" w:space="0" w:color="auto"/>
        <w:left w:val="none" w:sz="0" w:space="0" w:color="auto"/>
        <w:bottom w:val="none" w:sz="0" w:space="0" w:color="auto"/>
        <w:right w:val="none" w:sz="0" w:space="0" w:color="auto"/>
      </w:divBdr>
    </w:div>
    <w:div w:id="1356417073">
      <w:bodyDiv w:val="1"/>
      <w:marLeft w:val="0"/>
      <w:marRight w:val="0"/>
      <w:marTop w:val="0"/>
      <w:marBottom w:val="0"/>
      <w:divBdr>
        <w:top w:val="none" w:sz="0" w:space="0" w:color="auto"/>
        <w:left w:val="none" w:sz="0" w:space="0" w:color="auto"/>
        <w:bottom w:val="none" w:sz="0" w:space="0" w:color="auto"/>
        <w:right w:val="none" w:sz="0" w:space="0" w:color="auto"/>
      </w:divBdr>
    </w:div>
    <w:div w:id="1358385938">
      <w:bodyDiv w:val="1"/>
      <w:marLeft w:val="0"/>
      <w:marRight w:val="0"/>
      <w:marTop w:val="0"/>
      <w:marBottom w:val="0"/>
      <w:divBdr>
        <w:top w:val="none" w:sz="0" w:space="0" w:color="auto"/>
        <w:left w:val="none" w:sz="0" w:space="0" w:color="auto"/>
        <w:bottom w:val="none" w:sz="0" w:space="0" w:color="auto"/>
        <w:right w:val="none" w:sz="0" w:space="0" w:color="auto"/>
      </w:divBdr>
    </w:div>
    <w:div w:id="1360398575">
      <w:bodyDiv w:val="1"/>
      <w:marLeft w:val="0"/>
      <w:marRight w:val="0"/>
      <w:marTop w:val="0"/>
      <w:marBottom w:val="0"/>
      <w:divBdr>
        <w:top w:val="none" w:sz="0" w:space="0" w:color="auto"/>
        <w:left w:val="none" w:sz="0" w:space="0" w:color="auto"/>
        <w:bottom w:val="none" w:sz="0" w:space="0" w:color="auto"/>
        <w:right w:val="none" w:sz="0" w:space="0" w:color="auto"/>
      </w:divBdr>
    </w:div>
    <w:div w:id="1438216180">
      <w:bodyDiv w:val="1"/>
      <w:marLeft w:val="0"/>
      <w:marRight w:val="0"/>
      <w:marTop w:val="0"/>
      <w:marBottom w:val="0"/>
      <w:divBdr>
        <w:top w:val="none" w:sz="0" w:space="0" w:color="auto"/>
        <w:left w:val="none" w:sz="0" w:space="0" w:color="auto"/>
        <w:bottom w:val="none" w:sz="0" w:space="0" w:color="auto"/>
        <w:right w:val="none" w:sz="0" w:space="0" w:color="auto"/>
      </w:divBdr>
    </w:div>
    <w:div w:id="1482113440">
      <w:bodyDiv w:val="1"/>
      <w:marLeft w:val="0"/>
      <w:marRight w:val="0"/>
      <w:marTop w:val="0"/>
      <w:marBottom w:val="0"/>
      <w:divBdr>
        <w:top w:val="none" w:sz="0" w:space="0" w:color="auto"/>
        <w:left w:val="none" w:sz="0" w:space="0" w:color="auto"/>
        <w:bottom w:val="none" w:sz="0" w:space="0" w:color="auto"/>
        <w:right w:val="none" w:sz="0" w:space="0" w:color="auto"/>
      </w:divBdr>
    </w:div>
    <w:div w:id="1551380702">
      <w:bodyDiv w:val="1"/>
      <w:marLeft w:val="0"/>
      <w:marRight w:val="0"/>
      <w:marTop w:val="0"/>
      <w:marBottom w:val="0"/>
      <w:divBdr>
        <w:top w:val="none" w:sz="0" w:space="0" w:color="auto"/>
        <w:left w:val="none" w:sz="0" w:space="0" w:color="auto"/>
        <w:bottom w:val="none" w:sz="0" w:space="0" w:color="auto"/>
        <w:right w:val="none" w:sz="0" w:space="0" w:color="auto"/>
      </w:divBdr>
    </w:div>
    <w:div w:id="1552307241">
      <w:bodyDiv w:val="1"/>
      <w:marLeft w:val="0"/>
      <w:marRight w:val="0"/>
      <w:marTop w:val="0"/>
      <w:marBottom w:val="0"/>
      <w:divBdr>
        <w:top w:val="none" w:sz="0" w:space="0" w:color="auto"/>
        <w:left w:val="none" w:sz="0" w:space="0" w:color="auto"/>
        <w:bottom w:val="none" w:sz="0" w:space="0" w:color="auto"/>
        <w:right w:val="none" w:sz="0" w:space="0" w:color="auto"/>
      </w:divBdr>
    </w:div>
    <w:div w:id="1619331947">
      <w:bodyDiv w:val="1"/>
      <w:marLeft w:val="0"/>
      <w:marRight w:val="0"/>
      <w:marTop w:val="0"/>
      <w:marBottom w:val="0"/>
      <w:divBdr>
        <w:top w:val="none" w:sz="0" w:space="0" w:color="auto"/>
        <w:left w:val="none" w:sz="0" w:space="0" w:color="auto"/>
        <w:bottom w:val="none" w:sz="0" w:space="0" w:color="auto"/>
        <w:right w:val="none" w:sz="0" w:space="0" w:color="auto"/>
      </w:divBdr>
    </w:div>
    <w:div w:id="1669598972">
      <w:bodyDiv w:val="1"/>
      <w:marLeft w:val="0"/>
      <w:marRight w:val="0"/>
      <w:marTop w:val="0"/>
      <w:marBottom w:val="0"/>
      <w:divBdr>
        <w:top w:val="none" w:sz="0" w:space="0" w:color="auto"/>
        <w:left w:val="none" w:sz="0" w:space="0" w:color="auto"/>
        <w:bottom w:val="none" w:sz="0" w:space="0" w:color="auto"/>
        <w:right w:val="none" w:sz="0" w:space="0" w:color="auto"/>
      </w:divBdr>
    </w:div>
    <w:div w:id="1747607654">
      <w:bodyDiv w:val="1"/>
      <w:marLeft w:val="0"/>
      <w:marRight w:val="0"/>
      <w:marTop w:val="0"/>
      <w:marBottom w:val="0"/>
      <w:divBdr>
        <w:top w:val="none" w:sz="0" w:space="0" w:color="auto"/>
        <w:left w:val="none" w:sz="0" w:space="0" w:color="auto"/>
        <w:bottom w:val="none" w:sz="0" w:space="0" w:color="auto"/>
        <w:right w:val="none" w:sz="0" w:space="0" w:color="auto"/>
      </w:divBdr>
    </w:div>
    <w:div w:id="1760445948">
      <w:bodyDiv w:val="1"/>
      <w:marLeft w:val="0"/>
      <w:marRight w:val="0"/>
      <w:marTop w:val="0"/>
      <w:marBottom w:val="0"/>
      <w:divBdr>
        <w:top w:val="none" w:sz="0" w:space="0" w:color="auto"/>
        <w:left w:val="none" w:sz="0" w:space="0" w:color="auto"/>
        <w:bottom w:val="none" w:sz="0" w:space="0" w:color="auto"/>
        <w:right w:val="none" w:sz="0" w:space="0" w:color="auto"/>
      </w:divBdr>
    </w:div>
    <w:div w:id="1789548811">
      <w:bodyDiv w:val="1"/>
      <w:marLeft w:val="0"/>
      <w:marRight w:val="0"/>
      <w:marTop w:val="0"/>
      <w:marBottom w:val="0"/>
      <w:divBdr>
        <w:top w:val="none" w:sz="0" w:space="0" w:color="auto"/>
        <w:left w:val="none" w:sz="0" w:space="0" w:color="auto"/>
        <w:bottom w:val="none" w:sz="0" w:space="0" w:color="auto"/>
        <w:right w:val="none" w:sz="0" w:space="0" w:color="auto"/>
      </w:divBdr>
    </w:div>
    <w:div w:id="1965891650">
      <w:bodyDiv w:val="1"/>
      <w:marLeft w:val="0"/>
      <w:marRight w:val="0"/>
      <w:marTop w:val="0"/>
      <w:marBottom w:val="0"/>
      <w:divBdr>
        <w:top w:val="none" w:sz="0" w:space="0" w:color="auto"/>
        <w:left w:val="none" w:sz="0" w:space="0" w:color="auto"/>
        <w:bottom w:val="none" w:sz="0" w:space="0" w:color="auto"/>
        <w:right w:val="none" w:sz="0" w:space="0" w:color="auto"/>
      </w:divBdr>
    </w:div>
    <w:div w:id="21253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D936-399C-4178-A60F-E96B8939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8452</Words>
  <Characters>45493</Characters>
  <Application>Microsoft Office Word</Application>
  <DocSecurity>0</DocSecurity>
  <Lines>734</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2017-11-14T07:56:00Z</dcterms:created>
  <dcterms:modified xsi:type="dcterms:W3CDTF">2017-11-14T12:51:00Z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