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C12808F-5CE2-4C08-B0CF-13B6CAA3C531"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На 9 октомври 2013 г. Европейският съюз (ЕС) прие Митническия кодекс на Съюза („МКС“): Регламент (ЕС) № 952/2013 на Европейския парламент и на Съвета за създаване на Митнически кодекс на Съюза</w:t>
      </w:r>
      <w:r>
        <w:rPr>
          <w:rStyle w:val="FootnoteReference"/>
          <w:rFonts w:ascii="Times New Roman" w:hAnsi="Times New Roman"/>
          <w:noProof/>
          <w:sz w:val="24"/>
        </w:rPr>
        <w:footnoteReference w:id="1"/>
      </w:r>
      <w:r>
        <w:rPr>
          <w:rFonts w:ascii="Times New Roman" w:hAnsi="Times New Roman"/>
          <w:noProof/>
          <w:sz w:val="24"/>
        </w:rPr>
        <w:t xml:space="preserve"> влезе в сила на 30 октомври 2013 г., въпреки че повечето от неговите материалноправни разпоредби започнаха да се прилагат от 1 май 2016 г.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С МКС се установява правна рамка за митническите правила и процедури на митническата територия на ЕС, която е адаптирана спрямо съвременните условия в търговията, като например глобалната интеграция на производството и системите за доставка, електронната търговия и съвременните комуникационни средства. Целта му е да се улесни потокът на стоки, които преминават транзитно или се движат в рамките на и извън територия на Съюза, така че да се стимулира конкурентоспособността на европейските предприятия, като същевременно се защитават по-добре финансовите и икономическите интереси на Съюза и на държавите членки, както и безопасността и сигурността на потребителите в ЕС. За да се постигнат тези цели, стремежът е чрез МКС по-специално да се завърши преминаването на митниците към интегрирана и изцяло електронна среда без документи на хартиен носител. С МКС се установяват общи правила и изисквания за данните по отношение на митническите декларации преди пристигане и преди заминаване, уведомленията, заявленията и решенията. Това е свързано с подобряването или създаването на седемнадесет електронни системи.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законодателните разпоредби на МКС вече са в сила, седемнадесетте електронни системи са въвеждат постепенно, поради което в МКС се предвижда и преходен период до края на 2020 г., през който съществуващите системи на хартиен носител или електронни системи могат да продължат да се използват в митническите области, за които новите електронни системи все още не са налични. Преходен период се прилага и по отношение на разрешенията (например за третиране като одобрени икономически оператори или за използване на митнически „специални режими“), издадени съгласно предходното рамково законодателство в областта на митниците — Митническия кодекс на Общността, което може да продължи да се прилага най-късно до април 2019 г.</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Независимо от факта, че МКС е все още в този преходен етап, Европейската комисия изготви настоящия доклад, за да извърши преглед на състоянието на прилагането на законодателните разпоредби и функционирането на електронните системи. С доклада се отговаря на искане на Европейския парламент в резолюция от 19 януари 2017 г.</w:t>
      </w:r>
      <w:r>
        <w:rPr>
          <w:rStyle w:val="FootnoteReference"/>
          <w:rFonts w:ascii="Times New Roman" w:hAnsi="Times New Roman"/>
          <w:noProof/>
          <w:sz w:val="24"/>
        </w:rPr>
        <w:footnoteReference w:id="2"/>
      </w:r>
      <w:r>
        <w:rPr>
          <w:rFonts w:ascii="Times New Roman" w:hAnsi="Times New Roman"/>
          <w:noProof/>
          <w:sz w:val="24"/>
        </w:rPr>
        <w:t xml:space="preserve"> и на призива, отправен от Съвета в неговите Заключения относно последващите действия във връзка с Митническия кодекс на Съюза от 29 септември 2016 г</w:t>
      </w:r>
      <w:r>
        <w:rPr>
          <w:rStyle w:val="FootnoteReference"/>
          <w:rFonts w:ascii="Times New Roman" w:hAnsi="Times New Roman"/>
          <w:noProof/>
          <w:sz w:val="24"/>
        </w:rPr>
        <w:footnoteReference w:id="3"/>
      </w:r>
      <w:r>
        <w:rPr>
          <w:noProof/>
        </w:rPr>
        <w:t>.</w:t>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Освен това изготвянето на настоящия документ е в изпълнение на изискването Комисията да докладва пред Европейския парламент и Съвета относно упражняването от нейна страна на правомощието да приема делегирани актове, предоставено ѝ с член 284 от МКС.</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Комисията изготви настоящия доклад въз основа на обсъждания с държавите — членки на ЕС, и с предприятия по въпроси, свързани с прилагането на МКС, както и въз основа на собствен анализ.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КОНТЕКСТ</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 xml:space="preserve">Правна структура </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МКС замени Митническия кодекс на Общността (МКО) от 1992 г., който представляваше първият опит за консолидиране на митническите разпоредби на ЕС. Въпреки че по това време процедурите и практиките съгласно МКО представляваха сериозно постижение и осигуряваха улеснения за предприятията, те се основаваха на използването на документация на хартиен носител, което не беше пригодено към една по-съвременна електронна бизнес среда. Освен това във връзка с увеличаващите се отговорности на митниците в области, надхвърлящи рамките на събирането на мита (като например решаването на предизвикателствата във връзка със сигурността и безопасността, незаконното движение на парични средства и фалшифицираните стоки), възникна необходимост от законодателни разпоредби за по-ефективна организация на митническия контрол.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Това принуди Комисията да извърши всеобхватна оценка на въздействието, за да определи правилния подход за справяне с очакваните предизвикателства пред митниците</w:t>
      </w:r>
      <w:r>
        <w:rPr>
          <w:rStyle w:val="FootnoteReference"/>
          <w:rFonts w:ascii="Times New Roman" w:hAnsi="Times New Roman"/>
          <w:noProof/>
          <w:sz w:val="24"/>
        </w:rPr>
        <w:footnoteReference w:id="4"/>
      </w:r>
      <w:r>
        <w:rPr>
          <w:rFonts w:ascii="Times New Roman" w:hAnsi="Times New Roman"/>
          <w:noProof/>
          <w:sz w:val="24"/>
        </w:rPr>
        <w:t>, като въз основа на резултатите от тази оценка на въздействието в края на 2005 г. Комисията представи предложение за Модернизиран митнически кодекс на ЕС („ММК“) и решение относно електронни митнически системи. По различни причини обаче — но по-специално тъй като с Договора от Лисабон</w:t>
      </w:r>
      <w:r>
        <w:rPr>
          <w:rStyle w:val="FootnoteReference"/>
          <w:rFonts w:ascii="Times New Roman" w:hAnsi="Times New Roman"/>
          <w:noProof/>
          <w:sz w:val="24"/>
        </w:rPr>
        <w:footnoteReference w:id="5"/>
      </w:r>
      <w:r>
        <w:rPr>
          <w:rFonts w:ascii="Times New Roman" w:hAnsi="Times New Roman"/>
          <w:noProof/>
          <w:sz w:val="24"/>
        </w:rPr>
        <w:t xml:space="preserve"> беше въведена нова законова уредба с нови правила и процедури по отношение на приемането на разпоредби за прилагане, придружаващи основните регламенти — Комисията беше задължена да „преработи“ ММК преди планираната дата на неговото влизане в сила.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Поради това на 20 февруари 2012 г. Комисията предложи МКС като преработен текст на ММК, като включи членове, с които на Комисията се предоставя правомощието да приема подробни правила за допълване и прилагане, като по този начин митническото законодателство на ЕС беше приведено в съответствие с изискванията на Договора от Лисабон.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МКС влезе в сила на 30 октомври 2013 г., но единствено правомощията на Комисията влязоха в сила на тази дата, а другите разпоредби на Кодекса започнаха да се прилагат от 1 май 2016 г. Междувременно Комисията упражни правомощията си с приемането на следните правни актове, които заедно с Кодекса съставляват правния пакет за МКС: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„Делегираният акт“ за МКС,</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xml:space="preserve"> с който се допълват някои несъществени елементи на Кодекса;</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„Актът за изпълнение“ на МКС,</w:t>
      </w:r>
      <w:r>
        <w:rPr>
          <w:rStyle w:val="FootnoteReference"/>
          <w:rFonts w:ascii="Times New Roman" w:hAnsi="Times New Roman"/>
          <w:noProof/>
          <w:sz w:val="24"/>
        </w:rPr>
        <w:footnoteReference w:id="7"/>
      </w:r>
      <w:r>
        <w:rPr>
          <w:rFonts w:ascii="Times New Roman" w:hAnsi="Times New Roman"/>
          <w:noProof/>
          <w:sz w:val="24"/>
        </w:rPr>
        <w:t xml:space="preserve"> в който се определят единни процедурни правила за прилагането на МКС;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„Делегираният акт относно преходните правила“ за МКС,</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xml:space="preserve"> в който се предвиждат алтернативни средства за обмена и съхранението на митническа информация, доколкото електронните системи съгласно МКС все още не са въведени в действие; и</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„Работната програма“ за МКС</w:t>
      </w:r>
      <w:r>
        <w:rPr>
          <w:rFonts w:ascii="Times New Roman" w:hAnsi="Times New Roman"/>
          <w:noProof/>
          <w:sz w:val="24"/>
          <w:vertAlign w:val="superscript"/>
        </w:rPr>
        <w:footnoteReference w:id="9"/>
      </w:r>
      <w:r>
        <w:rPr>
          <w:rFonts w:ascii="Times New Roman" w:hAnsi="Times New Roman"/>
          <w:noProof/>
          <w:sz w:val="24"/>
        </w:rPr>
        <w:t>, която беше изготвена под формата на Решение за изпълнение на Комисията и в която се представя планирането във връзка с информационните системи</w:t>
      </w:r>
      <w:r>
        <w:rPr>
          <w:noProof/>
        </w:rPr>
        <w:t>.</w:t>
      </w:r>
    </w:p>
    <w:p>
      <w:pPr>
        <w:pStyle w:val="NormalWeb"/>
        <w:spacing w:before="0" w:beforeAutospacing="0" w:after="120" w:afterAutospacing="0"/>
        <w:jc w:val="both"/>
        <w:rPr>
          <w:noProof/>
        </w:rPr>
      </w:pPr>
      <w:r>
        <w:rPr>
          <w:noProof/>
        </w:rPr>
        <w:t xml:space="preserve">Освен това в резултат на провеждания диалог с представители на сектора на търговията, Европейския парламент и държавите членки, в хода на който бяха установени някои технически проблеми, Комисията, заедно с Европейския парламент и Съвета, предприеха своевременни действия за решаване на тези проблеми, като приеха следните изменения в законодателния пакет още преди влизането в сила на новите правила: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Две изменения в Делегирания регламент за МКС: </w:t>
      </w:r>
    </w:p>
    <w:p>
      <w:pPr>
        <w:pStyle w:val="NormalWeb"/>
        <w:numPr>
          <w:ilvl w:val="1"/>
          <w:numId w:val="25"/>
        </w:numPr>
        <w:spacing w:before="0" w:beforeAutospacing="0" w:after="120" w:afterAutospacing="0"/>
        <w:jc w:val="both"/>
        <w:rPr>
          <w:noProof/>
        </w:rPr>
      </w:pPr>
      <w:r>
        <w:rPr>
          <w:noProof/>
        </w:rPr>
        <w:t>С Делегирания регламент относно преходните правила беше изменен делегирания акт с цел да се гарантира плавен преход от МКО към МКС на 1 май 2016 г.</w:t>
      </w:r>
      <w:r>
        <w:rPr>
          <w:rStyle w:val="FootnoteReference"/>
          <w:noProof/>
        </w:rPr>
        <w:footnoteReference w:id="10"/>
      </w:r>
      <w:r>
        <w:rPr>
          <w:noProof/>
        </w:rPr>
        <w:t xml:space="preserve">. Стана ясно, че някои разпоредби на делегирания акт не могат да бъдат приложени, докато информационните системи не започнат да функционират изцяло, поради което някои преходни мерки бяха необходими не само за МКС, но и за делегирания акт, за да може да продължи използването на системи на хартиен носител или алтернативни системи, докато информационните системи започнат да функционират.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Бяха направени поправки в две разпоредби</w:t>
      </w:r>
      <w:bookmarkStart w:id="4" w:name="_Ref496013721"/>
      <w:r>
        <w:rPr>
          <w:rStyle w:val="FootnoteReference"/>
          <w:noProof/>
          <w:color w:val="1F1F1F"/>
        </w:rPr>
        <w:footnoteReference w:id="11"/>
      </w:r>
      <w:bookmarkEnd w:id="4"/>
      <w:r>
        <w:rPr>
          <w:rStyle w:val="None"/>
          <w:noProof/>
          <w:color w:val="1F1F1F"/>
        </w:rPr>
        <w:t xml:space="preserve"> от Делегирания регламент за МКС, в които по погрешка е била пропусната разпоредба за улеснение от МКО. Чрез поправката се гарантира запазването на презумпцията за декларация за временен внос или реекспорт в случай на туристически трафик и на някои определени стоки като палети, контейнери и плавателни съдове и самолети, преминаващи през митническата територия. Що се отнася до самолетите, пресичащи по-специално границата на ЕС, задължението за предоставяне на устни или писмени декларации би засегнало сериозно граничния и туристическия трафик.</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Техническа поправка на приложение 12 към Делегирания регламент относно преходните правила за МКС</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в което се определят формулярите, които да се използват за заявления и разрешения.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И накрая, през април 2016 г. Комисията упражни правомощието, предоставено с член 50 от Регламента относно МКС, за да приеме решение за изпълнение на Комисията</w:t>
      </w:r>
      <w:r>
        <w:rPr>
          <w:rStyle w:val="FootnoteReference"/>
          <w:noProof/>
        </w:rPr>
        <w:footnoteReference w:id="13"/>
      </w:r>
      <w:r>
        <w:rPr>
          <w:noProof/>
        </w:rPr>
        <w:t xml:space="preserve"> за установяване на подробни правила за определянето на общи критерии за анализ на риска по отношение на сигурността и безопасността с цел хармонизираното прилагане на някои видове митнически контрол съгласно Митническия кодекс на Съюза.</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Цели и законодателно съдържание</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В съответствие със съвременните потребности целта на МКС е да се предложи по-голяма правна сигурност и еднакви условия в полза както на предприятията, така и на митническите администрации, да се опростят правилата и процедурите, да се улеснят по-ефективните митнически операции и да се постигне пълна автоматизация на всички митнически процедури и процеси. Същевременно предназначението на МКС е да защитава по-добре финансовите и икономическите интереси на Съюза и на държавите членки. Освен това целта му е да бъде взето под внимание развитието на политиките и законодателството в други области, които биха могли да засегнат митническото законодателство, като тези, свързани с безопасността и сигурността на вноса. Някои от най-важните законодателни промени в рамките на МКС в съответствие с горепосочените цели са следните: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Липса на ограничения върху правото на митническия представител</w:t>
      </w:r>
      <w:r>
        <w:rPr>
          <w:rFonts w:ascii="Times New Roman" w:hAnsi="Times New Roman"/>
          <w:noProof/>
          <w:sz w:val="24"/>
        </w:rPr>
        <w:t xml:space="preserve"> да предоставя услуги в държава членка, различна от неговото място на установяване на стопанска дейност, с цел да се гарантират еднакви условия на конкуренция за търговията в рамките на митническия съюз.</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Хармонизирани правила за вземане на решения</w:t>
      </w:r>
      <w:r>
        <w:rPr>
          <w:rFonts w:ascii="Times New Roman" w:hAnsi="Times New Roman"/>
          <w:noProof/>
          <w:sz w:val="24"/>
        </w:rPr>
        <w:t xml:space="preserve"> от държавите членки, включително по отношение на издаването на разрешения от митниците. Предвижда се това да създаде ползи за търговията чрез увеличаване на предсказуемостта, улесняване на процедурите за подаване на заявления и въвеждане на подобрени и по-строги правила по отношение на правото на търговеца да бъде изслушан преди приемането на неблагоприятно решение.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Нови опростявания на процесите за митническо оформяне.</w:t>
      </w:r>
      <w:r>
        <w:rPr>
          <w:rFonts w:ascii="Times New Roman" w:hAnsi="Times New Roman"/>
          <w:b/>
          <w:noProof/>
          <w:sz w:val="24"/>
        </w:rPr>
        <w:t xml:space="preserve"> </w:t>
      </w:r>
      <w:r>
        <w:rPr>
          <w:rFonts w:ascii="Times New Roman" w:hAnsi="Times New Roman"/>
          <w:noProof/>
          <w:sz w:val="24"/>
        </w:rPr>
        <w:t>Критериите за одобрен икономически оператор (ОИО) могат да се използват, за да се определи дали неодобрен икономически оператор може да се възползва от някои опростявания, докато други опростявания са достъпни само за ОИО:</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Опростяванията, по отношение на които се прилагат някои или всички критерии за ОИО, са следните: i</w:t>
      </w:r>
      <w:r>
        <w:rPr>
          <w:rFonts w:ascii="Times New Roman" w:hAnsi="Times New Roman"/>
          <w:noProof/>
          <w:color w:val="000000"/>
          <w:sz w:val="24"/>
        </w:rPr>
        <w:t xml:space="preserve">) </w:t>
      </w:r>
      <w:r>
        <w:rPr>
          <w:rFonts w:ascii="Times New Roman" w:hAnsi="Times New Roman"/>
          <w:noProof/>
          <w:sz w:val="24"/>
        </w:rPr>
        <w:t xml:space="preserve">митнически представител, който желае </w:t>
      </w:r>
      <w:r>
        <w:rPr>
          <w:rFonts w:ascii="Times New Roman" w:hAnsi="Times New Roman"/>
          <w:noProof/>
          <w:color w:val="000000"/>
          <w:sz w:val="24"/>
        </w:rPr>
        <w:t>да предоставя услуги в държава членка, различна от неговото място на установяване на стопанска дейност, ii) намаляване на общите обезпечения по отношение на дължимите мита, iii) одобряване на място, различно от компетентното митническо учреждение, за представяне на стоки; iv)</w:t>
      </w:r>
      <w:r>
        <w:rPr>
          <w:rFonts w:ascii="Times New Roman" w:hAnsi="Times New Roman"/>
          <w:noProof/>
          <w:sz w:val="24"/>
        </w:rPr>
        <w:t xml:space="preserve"> разрешение за подаване на митнически декларации под формата на „вписване в отчетността на декларатора“; v) разрешение за улеснения, свързани с транзита, vi) разрешение за операции в съоръжения за временно складиране, vii) разрешения за използване на специални режими (митническо складиране, специфична употреба, временен внос и активно и пасивно усъвършенстване).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t xml:space="preserve">Предимства, достъпни само за ОИО (компенсиращи факта, че търговците, които желаят да получат статут на ОИО, понастоящем трябва да изпълнят допълнителни критерии): i) пълно или частично намаляване на обезпечението, което следва да се предостави, за да се ползва отсрочване на плащането на мита; ii) централизирано оформяне, позволяване на операторите да подават митнически декларации и да заплащат мита централизирано от тяхното място на установяване на стопанската дейност, а не в други държави членки, в които стоките се представят на митницата; iii) освобождаване от задължението за представяне на стоките чрез опростяване под формата на вписване в отчетността на декларатора; iv) „самооценка“, която позволява на надеждните икономически оператори да изчисляват размера на дължимото мито и да упражняват известен контрол от името на митниците; и v) разрешение за преместване на стоки в друга държава членка, докато все още са под режим временно складиране (т.е. преди да бъдат поставени под митнически режим).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Стандартизиране на правилата, приложими за обвързващите митнически решения за тарифи и за произход:</w:t>
      </w:r>
      <w:r>
        <w:rPr>
          <w:rFonts w:ascii="Times New Roman" w:hAnsi="Times New Roman"/>
          <w:noProof/>
          <w:sz w:val="24"/>
        </w:rPr>
        <w:t xml:space="preserve"> i) валидността на решение за обвързваща тарифна информация (ОТИ) се намалява от шест на три години в съответствие с ограничението, приложимо за обвързващата информация за произход; и ii) решението за ОТИ вече е обвързващо за титуляря, което означава, че той трябва да уведоми митническите органи, че притежава решение за ОТИ за декларираните стоки, за да се избегне „пазаруване“ на ОТИ“.</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Въвеждане на задължителни обезпечения</w:t>
      </w:r>
      <w:r>
        <w:rPr>
          <w:rFonts w:ascii="Times New Roman" w:hAnsi="Times New Roman"/>
          <w:noProof/>
          <w:sz w:val="24"/>
        </w:rPr>
        <w:t xml:space="preserve"> за всички митнически режими, за да се защитят собствените ресурси и финансовите интереси на ЕС, като същевременно се предлагат намаления за много надеждни икономически оператори и възможности за освобождаване на ОИО.</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Нови правила за безопасност и сигурност, според които се изисква многократно подаване на информация при влизане</w:t>
      </w:r>
      <w:r>
        <w:rPr>
          <w:rFonts w:ascii="Times New Roman" w:hAnsi="Times New Roman"/>
          <w:noProof/>
          <w:sz w:val="24"/>
        </w:rPr>
        <w:t xml:space="preserve">, т.е. не само от страна на превозвача, но също и на спедитора и дори на получателя, като така се осигурява съгласуване на условията с международните стандарти (например Рамката от стандарти за сигурност и улесняване на глобалната търговия на Световната митническа организация).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Облекчаване на правилата за временно складиране,</w:t>
      </w:r>
      <w:r>
        <w:rPr>
          <w:rFonts w:ascii="Times New Roman" w:hAnsi="Times New Roman"/>
          <w:noProof/>
          <w:sz w:val="24"/>
        </w:rPr>
        <w:t xml:space="preserve"> включително удължаване на срока за складиране до 90 дни (за разлика от предишните срокове от 20 или 45 дни в зависимост от това дали стоките са превозвани с морски транспорт), и осигуряване на възможност за преместване на стоки под режим временно складиране между съоръжения без режим транзит.</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Обединяване на митническите режими за „активно усъвършенстване“, „обработка под митнически контрол“ и унищожаване.</w:t>
      </w:r>
      <w:r>
        <w:rPr>
          <w:rFonts w:ascii="Times New Roman" w:hAnsi="Times New Roman"/>
          <w:noProof/>
          <w:sz w:val="24"/>
        </w:rPr>
        <w:t xml:space="preserve"> Освен това титулярят на разрешение за използване на митнически режим вече разполага с по-дълъг срок, в който да вземе решение дали да извърши реекспорт на крайните стоки, дали те да бъдат унищожени или да бъдат допуснати за свободно обращение.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Електронни системи</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Съгласно МКС до 2020 г. обменът на информация между икономическите оператори и митническите органи, както и между самите митнически органи трябва да се основава изцяло на средства за електронна обработка на данни. Това се счита за сериозна стъпка за подкрепа на законната търговия, намаляване на административната тежест и гарантиране, че хармонизираните изисквания се прилагат в целия ЕС. За да се постигне тази цел, се подобряват или разработват седемнадесет електронни системи в съответствие с графика, определен в работната програма за МКС. Тези системи могат да бъдат разделени на две категории: i) четиринадесет трансевропейски системи, които трябва да бъдат разработени или подобрени от Комисията в сътрудничество с държавите членки, включително централни системи и системи, които имат национален компонент, който трябва да бъде въведен от държавите членки; и ii) три национални системи, които трябва да бъдат разработени или подобрени от държавите членки.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Четиринадесетте трансевропейски системи (включително тези с национални компоненти) са следните:</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система за регистрирани износители — </w:t>
      </w:r>
      <w:r>
        <w:rPr>
          <w:rFonts w:ascii="Times New Roman" w:hAnsi="Times New Roman"/>
          <w:i/>
          <w:noProof/>
          <w:sz w:val="24"/>
        </w:rPr>
        <w:t>REX</w:t>
      </w:r>
      <w:r>
        <w:rPr>
          <w:rFonts w:ascii="Times New Roman" w:hAnsi="Times New Roman"/>
          <w:noProof/>
          <w:sz w:val="24"/>
        </w:rPr>
        <w:t xml:space="preserve"> (нова): целта е да се предостави актуална информация както за регистрираните износители, установени в държави по ОСП (държави, които се ползват от Общата система за преференции на ЕС, която предоставя преференциален достъп до пазара на ЕС), така и за операторите от Европейския съюз, изнасящи стоки за държави по ОСП и някои други държави;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обвързваща тарифна информация — </w:t>
      </w:r>
      <w:r>
        <w:rPr>
          <w:rFonts w:ascii="Times New Roman" w:hAnsi="Times New Roman"/>
          <w:i/>
          <w:noProof/>
          <w:sz w:val="24"/>
        </w:rPr>
        <w:t>ОТИ</w:t>
      </w:r>
      <w:r>
        <w:rPr>
          <w:rFonts w:ascii="Times New Roman" w:hAnsi="Times New Roman"/>
          <w:noProof/>
          <w:sz w:val="24"/>
        </w:rPr>
        <w:t xml:space="preserve"> (подобряване):  целта е съгласуване с МКС на базата данни, съдържаща цялата обвързваща тарифна информация, която е издадена от митническите органи на държавите членки;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система за митнически решения</w:t>
      </w:r>
      <w:r>
        <w:rPr>
          <w:rFonts w:ascii="Times New Roman" w:hAnsi="Times New Roman"/>
          <w:b/>
          <w:noProof/>
          <w:sz w:val="24"/>
        </w:rPr>
        <w:t xml:space="preserve"> </w:t>
      </w:r>
      <w:r>
        <w:rPr>
          <w:rFonts w:ascii="Times New Roman" w:hAnsi="Times New Roman"/>
          <w:i/>
          <w:noProof/>
          <w:sz w:val="24"/>
        </w:rPr>
        <w:t>(CDS)</w:t>
      </w:r>
      <w:r>
        <w:rPr>
          <w:rFonts w:ascii="Times New Roman" w:hAnsi="Times New Roman"/>
          <w:b/>
          <w:noProof/>
          <w:sz w:val="24"/>
        </w:rPr>
        <w:t xml:space="preserve"> </w:t>
      </w:r>
      <w:r>
        <w:rPr>
          <w:rFonts w:ascii="Times New Roman" w:hAnsi="Times New Roman"/>
          <w:noProof/>
          <w:sz w:val="24"/>
        </w:rPr>
        <w:t xml:space="preserve">(нова): целта е в рамките на Съюза да се хармонизират процесите за митническите решения, свързани с прилагането на митническото законодателство, чрез улесняване на консултациите по време на периода на вземането на решения и управлението на процеса за издаване на разрешения;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единно управление на потребителите и цифров подпис — </w:t>
      </w:r>
      <w:r>
        <w:rPr>
          <w:rFonts w:ascii="Times New Roman" w:hAnsi="Times New Roman"/>
          <w:i/>
          <w:noProof/>
          <w:sz w:val="24"/>
        </w:rPr>
        <w:t>UUM&amp;DS или „портал на търговците в ЕС“</w:t>
      </w:r>
      <w:r>
        <w:rPr>
          <w:rFonts w:ascii="Times New Roman" w:hAnsi="Times New Roman"/>
          <w:noProof/>
          <w:sz w:val="24"/>
        </w:rPr>
        <w:t xml:space="preserve"> (нова): целта е да се осигури пряк и хармонизиран на равнището на ЕС достъп за търговците до различни електронни митнически системи, както е определено в МКС;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одобрени икономически оператори — </w:t>
      </w:r>
      <w:r>
        <w:rPr>
          <w:rFonts w:ascii="Times New Roman" w:hAnsi="Times New Roman"/>
          <w:i/>
          <w:noProof/>
          <w:sz w:val="24"/>
        </w:rPr>
        <w:t>ОИО</w:t>
      </w:r>
      <w:r>
        <w:rPr>
          <w:rFonts w:ascii="Times New Roman" w:hAnsi="Times New Roman"/>
          <w:b/>
          <w:noProof/>
          <w:sz w:val="24"/>
        </w:rPr>
        <w:t xml:space="preserve"> </w:t>
      </w:r>
      <w:r>
        <w:rPr>
          <w:rFonts w:ascii="Times New Roman" w:hAnsi="Times New Roman"/>
          <w:noProof/>
          <w:sz w:val="24"/>
        </w:rPr>
        <w:t>(подобряване): целта е да се подобрят оперативните процеси, свързани със заявленията и разрешенията за ОИО, като се вземат под внимание промените в МКС;</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система за регистрация и идентификация на икономическите оператори — </w:t>
      </w:r>
      <w:r>
        <w:rPr>
          <w:rFonts w:ascii="Times New Roman" w:hAnsi="Times New Roman"/>
          <w:i/>
          <w:noProof/>
          <w:sz w:val="24"/>
        </w:rPr>
        <w:t>EORI</w:t>
      </w:r>
      <w:r>
        <w:rPr>
          <w:rFonts w:ascii="Times New Roman" w:hAnsi="Times New Roman"/>
          <w:noProof/>
          <w:sz w:val="24"/>
        </w:rPr>
        <w:t xml:space="preserve"> (подобряване): целта е да се осигури несъществено подобряване на съществуващата система, която дава възможност за регистрация и идентификация на икономическите оператори от Съюза и лицата от трети държави, които извършват свързана с митниците дейност в Съюза;</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обща митническа тарифа и наблюдение — </w:t>
      </w:r>
      <w:r>
        <w:rPr>
          <w:rFonts w:ascii="Times New Roman" w:hAnsi="Times New Roman"/>
          <w:i/>
          <w:noProof/>
          <w:sz w:val="24"/>
        </w:rPr>
        <w:t>Наблюдение</w:t>
      </w:r>
      <w:r>
        <w:rPr>
          <w:rFonts w:ascii="Times New Roman" w:hAnsi="Times New Roman"/>
          <w:b/>
          <w:noProof/>
          <w:sz w:val="24"/>
        </w:rPr>
        <w:t xml:space="preserve"> </w:t>
      </w:r>
      <w:r>
        <w:rPr>
          <w:rFonts w:ascii="Times New Roman" w:hAnsi="Times New Roman"/>
          <w:noProof/>
          <w:sz w:val="24"/>
        </w:rPr>
        <w:t>(подобряване): целта е подобряване, с цел съгласуване с изискванията на МКС, на съществуващата база данни, в която се регистрират и централизират всички данни за търговията на ЕС (внос и износ), предоставяни ежедневно от националните митнически органи;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доказателство за съюзен статус — </w:t>
      </w:r>
      <w:r>
        <w:rPr>
          <w:rFonts w:ascii="Times New Roman" w:hAnsi="Times New Roman"/>
          <w:i/>
          <w:noProof/>
          <w:sz w:val="24"/>
        </w:rPr>
        <w:t>PoUS</w:t>
      </w:r>
      <w:r>
        <w:rPr>
          <w:rFonts w:ascii="Times New Roman" w:hAnsi="Times New Roman"/>
          <w:noProof/>
          <w:sz w:val="24"/>
        </w:rPr>
        <w:t xml:space="preserve"> (нова): чрез нея ще се извършва съхранение, управление и извличане на всички декларации, които търговците предоставят за доказване на съюзния статус на техните стоки;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нова компютризирана система за транзита — </w:t>
      </w:r>
      <w:r>
        <w:rPr>
          <w:rFonts w:ascii="Times New Roman" w:hAnsi="Times New Roman"/>
          <w:i/>
          <w:noProof/>
          <w:sz w:val="24"/>
        </w:rPr>
        <w:t>NCTS</w:t>
      </w:r>
      <w:r>
        <w:rPr>
          <w:rFonts w:ascii="Times New Roman" w:hAnsi="Times New Roman"/>
          <w:b/>
          <w:noProof/>
          <w:sz w:val="24"/>
        </w:rPr>
        <w:t xml:space="preserve"> </w:t>
      </w:r>
      <w:r>
        <w:rPr>
          <w:rFonts w:ascii="Times New Roman" w:hAnsi="Times New Roman"/>
          <w:noProof/>
          <w:sz w:val="24"/>
        </w:rPr>
        <w:t>(подобряване): чрез нея съществуващата система за транзит се привежда в съответствие с изискванията на новия МКС, като например регистриране на събития „по маршрута“, привеждане в съответствие на обмена на информация с изискванията за данните на МКС и подобряване и разработване на интерфейсите с други системи;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автоматизирана система за износа — </w:t>
      </w:r>
      <w:r>
        <w:rPr>
          <w:rFonts w:ascii="Times New Roman" w:hAnsi="Times New Roman"/>
          <w:i/>
          <w:noProof/>
          <w:sz w:val="24"/>
        </w:rPr>
        <w:t>AES</w:t>
      </w:r>
      <w:r>
        <w:rPr>
          <w:rFonts w:ascii="Times New Roman" w:hAnsi="Times New Roman"/>
          <w:b/>
          <w:noProof/>
          <w:sz w:val="24"/>
        </w:rPr>
        <w:t xml:space="preserve"> </w:t>
      </w:r>
      <w:r>
        <w:rPr>
          <w:rFonts w:ascii="Times New Roman" w:hAnsi="Times New Roman"/>
          <w:noProof/>
          <w:sz w:val="24"/>
        </w:rPr>
        <w:t>(подобряване както на съществуващата трансевропейска система, така и на съществуващите национални системи за износа): целта е изпълнение на изискванията на МКС по отношение на износа и напускането на стоки;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стандартизиран обмен на информация за специални режими — </w:t>
      </w:r>
      <w:r>
        <w:rPr>
          <w:rFonts w:ascii="Times New Roman" w:hAnsi="Times New Roman"/>
          <w:i/>
          <w:noProof/>
          <w:sz w:val="24"/>
        </w:rPr>
        <w:t xml:space="preserve">INF </w:t>
      </w:r>
      <w:r>
        <w:rPr>
          <w:rFonts w:ascii="Times New Roman" w:hAnsi="Times New Roman"/>
          <w:noProof/>
          <w:sz w:val="24"/>
        </w:rPr>
        <w:t>(нова): развитие на нова система, която да подкрепи и опрости процеса на управление на данните и електронната обработка на данните от областта на специалните режими;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централизирано оформяне на вноса — </w:t>
      </w:r>
      <w:r>
        <w:rPr>
          <w:rFonts w:ascii="Times New Roman" w:hAnsi="Times New Roman"/>
          <w:i/>
          <w:noProof/>
          <w:sz w:val="24"/>
        </w:rPr>
        <w:t xml:space="preserve">CCI </w:t>
      </w:r>
      <w:r>
        <w:rPr>
          <w:rFonts w:ascii="Times New Roman" w:hAnsi="Times New Roman"/>
          <w:noProof/>
          <w:sz w:val="24"/>
        </w:rPr>
        <w:t>(нова): целта е да се осъществява координация между съответните митнически учреждения по отношение на митническите декларации и разрешенията за вдигане на стоките, така че икономическите оператори да могат да централизират взаимоотношенията си с митническите органи;</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управление на обезпеченията — G</w:t>
      </w:r>
      <w:r>
        <w:rPr>
          <w:rFonts w:ascii="Times New Roman" w:hAnsi="Times New Roman"/>
          <w:i/>
          <w:noProof/>
          <w:sz w:val="24"/>
        </w:rPr>
        <w:t>UM</w:t>
      </w:r>
      <w:r>
        <w:rPr>
          <w:rFonts w:ascii="Times New Roman" w:hAnsi="Times New Roman"/>
          <w:noProof/>
          <w:sz w:val="24"/>
        </w:rPr>
        <w:t xml:space="preserve"> (нова): целта е в целия ЕС да се осигури разпределение и управление в реално време на общите митнически обезпечения, когато са налице рискове митата да не бъдат платени;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система за контрол на вноса — </w:t>
      </w:r>
      <w:r>
        <w:rPr>
          <w:rFonts w:ascii="Times New Roman" w:hAnsi="Times New Roman"/>
          <w:i/>
          <w:noProof/>
          <w:sz w:val="24"/>
        </w:rPr>
        <w:t>ICS</w:t>
      </w:r>
      <w:r>
        <w:rPr>
          <w:rFonts w:ascii="Times New Roman" w:hAnsi="Times New Roman"/>
          <w:noProof/>
          <w:sz w:val="24"/>
        </w:rPr>
        <w:t xml:space="preserve"> (подобряване): целта е да се укрепят безопасността и сигурността на веригата на доставки посредством подобряване на качеството на данните, регистрирането на данни, наличността на данни и техния обмен във връзка с обобщените декларации за въвеждане и друга информация, свързана с риска и контрола.</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Трите системи, които държавите членки трябва да разработят или да подобрят, са следните:</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хармонизиране и улесняване на специалните режими — </w:t>
      </w:r>
      <w:r>
        <w:rPr>
          <w:rFonts w:ascii="Times New Roman" w:hAnsi="Times New Roman"/>
          <w:i/>
          <w:noProof/>
          <w:sz w:val="24"/>
        </w:rPr>
        <w:t>SP</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в националните системи ще трябва да се въведат всички промени съгласно МКС, които се изискват за митническо складиране, специфична употреба, временен внос и активно и пасивно усъвършенстване.</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 xml:space="preserve">уведомление за пристигане, уведомление за представяне и временно складиране — </w:t>
      </w:r>
      <w:r>
        <w:rPr>
          <w:rFonts w:ascii="Times New Roman" w:hAnsi="Times New Roman"/>
          <w:i/>
          <w:noProof/>
          <w:sz w:val="24"/>
        </w:rPr>
        <w:t>NA, PN, TS:</w:t>
      </w:r>
      <w:r>
        <w:rPr>
          <w:rFonts w:ascii="Times New Roman" w:hAnsi="Times New Roman"/>
          <w:b/>
          <w:noProof/>
          <w:sz w:val="24"/>
        </w:rPr>
        <w:t xml:space="preserve"> </w:t>
      </w:r>
      <w:r>
        <w:rPr>
          <w:rFonts w:ascii="Times New Roman" w:hAnsi="Times New Roman"/>
          <w:noProof/>
          <w:sz w:val="24"/>
        </w:rPr>
        <w:t xml:space="preserve">целта е да се определи автоматизацията на процесите на национално равнище по отношение на уведомлението за пристигането на транспортното средство, представянето на стоките и декларацията за временно складиране, както е описано в МКС, и да се подкрепи хармонизирането във всички държави членки по отношение на обмена на данни между търговците и митниците.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национални системи за внос — </w:t>
      </w:r>
      <w:r>
        <w:rPr>
          <w:rFonts w:ascii="Times New Roman" w:hAnsi="Times New Roman"/>
          <w:i/>
          <w:noProof/>
          <w:sz w:val="24"/>
        </w:rPr>
        <w:t>NIS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целта е да се приложат всички произтичащи от МKС изисквания по отношение на процедурите и данните, които се отнасят до областта на вноса.</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ПРЕГЛЕД</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Състояние на прилагането на законодателния пакет за МКС</w:t>
      </w:r>
    </w:p>
    <w:p>
      <w:pPr>
        <w:pStyle w:val="NormalWeb"/>
        <w:spacing w:before="0" w:beforeAutospacing="0" w:after="0" w:afterAutospacing="0"/>
        <w:jc w:val="both"/>
        <w:rPr>
          <w:noProof/>
        </w:rPr>
      </w:pPr>
      <w:r>
        <w:rPr>
          <w:noProof/>
        </w:rPr>
        <w:t xml:space="preserve">Пакетът за МКС беше своевременно приложен на 1 май 2016 г.  До момента Комисията не е установила сериозни проблеми при прилагането му, въпреки че е ясно, че както ползите, така и въздействието на МКС ще станат напълно осезаеми едва когато бъдат въведени всички информационни системи. </w:t>
      </w:r>
    </w:p>
    <w:p>
      <w:pPr>
        <w:pStyle w:val="NormalWeb"/>
        <w:jc w:val="both"/>
        <w:rPr>
          <w:noProof/>
        </w:rPr>
      </w:pPr>
      <w:r>
        <w:rPr>
          <w:noProof/>
        </w:rPr>
        <w:t>След влизането в сила на МКС Комисията продължи процеса на провеждане на редовни срещи с държавите членки и представители на сектора на търговията с цел установяване и решаване на проблемите, свързани със законодателството, оказване на съдействие при неговото тълкуване и проучване на възможностите за по-нататъшно опростяване на процесите. Този процес на консултации е в съответствие с ангажиментите, поети от Комисията в нейното съобщение „Развитие на митническия съюз в ЕС и на неговото управление“</w:t>
      </w:r>
      <w:r>
        <w:rPr>
          <w:rStyle w:val="FootnoteReference"/>
          <w:noProof/>
        </w:rPr>
        <w:footnoteReference w:id="14"/>
      </w:r>
      <w:r>
        <w:rPr>
          <w:noProof/>
        </w:rPr>
        <w:t xml:space="preserve">. Във всички случаи Комисията обърна специално внимание на необходимостта от реалистични графици и на разходите и общото въздействие на промените върху митниците и търговията.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Освен това държавите членки и представителите на сектора на търговията оказаха съдействие на Комисията във връзка с няколко документа с насоки, които засягат практическото приложение на новите правила.</w:t>
      </w:r>
    </w:p>
    <w:p>
      <w:pPr>
        <w:pStyle w:val="NormalWeb"/>
        <w:jc w:val="both"/>
        <w:rPr>
          <w:noProof/>
        </w:rPr>
      </w:pPr>
      <w:r>
        <w:rPr>
          <w:noProof/>
        </w:rPr>
        <w:t>Комисията сформира няколко проектни групи</w:t>
      </w:r>
      <w:r>
        <w:rPr>
          <w:rStyle w:val="FootnoteReference"/>
          <w:noProof/>
        </w:rPr>
        <w:footnoteReference w:id="15"/>
      </w:r>
      <w:r>
        <w:rPr>
          <w:noProof/>
        </w:rPr>
        <w:t xml:space="preserve"> по програмата „Митници 2020“, в които участва както държавите членки, така и представители на сектора на търговията, с цел да бъдат разгледани конкретни случаи от стопанския живот: </w:t>
      </w:r>
    </w:p>
    <w:p>
      <w:pPr>
        <w:pStyle w:val="NormalWeb"/>
        <w:numPr>
          <w:ilvl w:val="0"/>
          <w:numId w:val="43"/>
        </w:numPr>
        <w:spacing w:after="120" w:afterAutospacing="0"/>
        <w:jc w:val="both"/>
        <w:rPr>
          <w:noProof/>
        </w:rPr>
      </w:pPr>
      <w:r>
        <w:rPr>
          <w:i/>
          <w:noProof/>
        </w:rPr>
        <w:t>Проектна група относно опростяването</w:t>
      </w:r>
      <w:r>
        <w:rPr>
          <w:noProof/>
        </w:rPr>
        <w:t xml:space="preserve"> с цел реализиране на ползите от самооценката, вписването в отчетността на декларатора и централизираното оформяне. </w:t>
      </w:r>
    </w:p>
    <w:p>
      <w:pPr>
        <w:pStyle w:val="NormalWeb"/>
        <w:numPr>
          <w:ilvl w:val="0"/>
          <w:numId w:val="43"/>
        </w:numPr>
        <w:spacing w:after="120" w:afterAutospacing="0"/>
        <w:jc w:val="both"/>
        <w:rPr>
          <w:noProof/>
        </w:rPr>
      </w:pPr>
      <w:r>
        <w:rPr>
          <w:i/>
          <w:noProof/>
        </w:rPr>
        <w:t>Проектна група относно вноса с ниска стойност</w:t>
      </w:r>
      <w:r>
        <w:rPr>
          <w:noProof/>
        </w:rPr>
        <w:t xml:space="preserve"> с цел анализиране на най-подходящия начин за гарантиране на еднакви условия на конкуренция между пощенските оператори и експресните куриерски служби, като се има предвид увеличаването на продажбите по интернет и произтичащото от това задължение на митниците да гарантират адекватен контрол и да защитават финансовите интереси на гражданите и на ЕС, без да се възпрепятства законната търговия.</w:t>
      </w:r>
    </w:p>
    <w:p>
      <w:pPr>
        <w:pStyle w:val="NormalWeb"/>
        <w:widowControl w:val="0"/>
        <w:numPr>
          <w:ilvl w:val="0"/>
          <w:numId w:val="43"/>
        </w:numPr>
        <w:spacing w:after="120" w:afterAutospacing="0"/>
        <w:jc w:val="both"/>
        <w:rPr>
          <w:noProof/>
        </w:rPr>
      </w:pPr>
      <w:r>
        <w:rPr>
          <w:i/>
          <w:noProof/>
        </w:rPr>
        <w:t>Проектна група относно транзита</w:t>
      </w:r>
      <w:r>
        <w:rPr>
          <w:noProof/>
        </w:rPr>
        <w:t xml:space="preserve">, която да работи за използването на електронен транспортен документ (ЕТД) като транзитна декларация за въздушен или морски транспорт. </w:t>
      </w:r>
    </w:p>
    <w:p>
      <w:pPr>
        <w:pStyle w:val="NormalWeb"/>
        <w:widowControl w:val="0"/>
        <w:numPr>
          <w:ilvl w:val="0"/>
          <w:numId w:val="43"/>
        </w:numPr>
        <w:spacing w:after="120" w:afterAutospacing="0"/>
        <w:jc w:val="both"/>
        <w:rPr>
          <w:noProof/>
        </w:rPr>
      </w:pPr>
      <w:r>
        <w:rPr>
          <w:i/>
          <w:noProof/>
        </w:rPr>
        <w:t>Проектна група относно обезпеченията,</w:t>
      </w:r>
      <w:r>
        <w:rPr>
          <w:noProof/>
        </w:rPr>
        <w:t xml:space="preserve"> която да проучи начините, по които условията за ползване на пълно или частично намаление на равнището на общото обезпечение могат да бъдат съобразени в по-голяма степен с икономическата действителност. </w:t>
      </w:r>
    </w:p>
    <w:p>
      <w:pPr>
        <w:pStyle w:val="NormalWeb"/>
        <w:jc w:val="both"/>
        <w:rPr>
          <w:noProof/>
        </w:rPr>
      </w:pPr>
      <w:r>
        <w:rPr>
          <w:noProof/>
        </w:rPr>
        <w:t xml:space="preserve">Освен това се извършва пилотно изпитване с представители на сектора на търговията и държавите членки, както се предвижда в МКС, с цел да се тестват нови методи и да се намерят по-добри начини за справяне с предизвикателства, като тези, породени от увеличените продажби по интернет, липсата на данни и необходимостта от подходи, основани на системи. </w:t>
      </w:r>
    </w:p>
    <w:p>
      <w:pPr>
        <w:pStyle w:val="NormalWeb"/>
        <w:jc w:val="both"/>
        <w:rPr>
          <w:noProof/>
        </w:rPr>
      </w:pPr>
      <w:r>
        <w:rPr>
          <w:noProof/>
        </w:rPr>
        <w:t xml:space="preserve">Този процес на редовен диалог със заинтересованите страни доведе до някои допълнителни изменения и допълнения в правния пакет за МКС от 1 май 2016 г. насам, като например: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изменение на член 136 от МКС относно стоките, които временно са напуснали митническата територия на Съюза по море или по въздух. Това изменение</w:t>
      </w:r>
      <w:r>
        <w:rPr>
          <w:rStyle w:val="FootnoteReference"/>
          <w:noProof/>
        </w:rPr>
        <w:footnoteReference w:id="16"/>
      </w:r>
      <w:r>
        <w:rPr>
          <w:rFonts w:ascii="Times New Roman" w:hAnsi="Times New Roman"/>
          <w:noProof/>
          <w:sz w:val="24"/>
        </w:rPr>
        <w:t xml:space="preserve"> беше необходимо, за да се гарантира правилен митнически надзор в случаите, когато определени стоки, които влизат в Съюза през едно пристанище, но продължават да пътуват на контейнеровоз до второ пристанище в Съюза и се разтоварват едва във второто пристанище. В резултат на изменението стоките трябва да бъдат представяни пред митническите органи и във второто пристанище.</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Изменение в Регламента за изпълнение на МКС</w:t>
      </w:r>
      <w:r>
        <w:rPr>
          <w:rStyle w:val="FootnoteReference"/>
          <w:noProof/>
        </w:rPr>
        <w:footnoteReference w:id="17"/>
      </w:r>
      <w:r>
        <w:rPr>
          <w:rFonts w:ascii="Times New Roman" w:hAnsi="Times New Roman"/>
          <w:noProof/>
          <w:sz w:val="24"/>
        </w:rPr>
        <w:t xml:space="preserve"> с цел по-добро адаптиране на законодателството към нуждите на органите и представителите на сектора на търговията и за по-добро гарантиране на ефективното и еднакво прилагане на правилата. Най-съществените изменения, които бяха въведени по искане на представители на сектора на търговията, могат да бъдат обобщени както следва: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бяха изяснени и опростени правилата, уреждащи дългосрочната декларация на доставчика. Представителите на сектора на търговията приветстваха по-специално повторното въвеждане на възможността търговците да издават във всеки момент през годината единна декларация, обхващаща цялата календарна година; </w:t>
      </w:r>
    </w:p>
    <w:p>
      <w:pPr>
        <w:pStyle w:val="NormalWeb"/>
        <w:numPr>
          <w:ilvl w:val="1"/>
          <w:numId w:val="25"/>
        </w:numPr>
        <w:spacing w:before="0" w:beforeAutospacing="0" w:after="120" w:afterAutospacing="0"/>
        <w:jc w:val="both"/>
        <w:rPr>
          <w:noProof/>
        </w:rPr>
      </w:pPr>
      <w:r>
        <w:rPr>
          <w:noProof/>
        </w:rPr>
        <w:t xml:space="preserve">на износителите беше предоставен по-дълъг срок за получаване на номер от системата за регистрирани износители (REX) (позволяващ на износителите сами да удостоверят произхода на стоките) за целите на Всеобхватното икономическо и търговско споразумение Канада—Европейски съюз (CETA); и </w:t>
      </w:r>
    </w:p>
    <w:p>
      <w:pPr>
        <w:pStyle w:val="NormalWeb"/>
        <w:numPr>
          <w:ilvl w:val="1"/>
          <w:numId w:val="25"/>
        </w:numPr>
        <w:spacing w:before="0" w:beforeAutospacing="0" w:after="0" w:afterAutospacing="0"/>
        <w:jc w:val="both"/>
        <w:rPr>
          <w:noProof/>
        </w:rPr>
      </w:pPr>
      <w:r>
        <w:rPr>
          <w:noProof/>
        </w:rPr>
        <w:t>бяха подобрени правилата за определяне на митническото учреждение на напускане в случай на износ, последван от транзит на акцизни стоки.</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Приемане на регламент за изпълнение</w:t>
      </w:r>
      <w:r>
        <w:rPr>
          <w:rStyle w:val="FootnoteReference"/>
          <w:rFonts w:ascii="Times New Roman" w:hAnsi="Times New Roman"/>
          <w:noProof/>
          <w:sz w:val="24"/>
        </w:rPr>
        <w:footnoteReference w:id="18"/>
      </w:r>
      <w:r>
        <w:rPr>
          <w:rFonts w:ascii="Times New Roman" w:hAnsi="Times New Roman"/>
          <w:noProof/>
          <w:sz w:val="24"/>
        </w:rPr>
        <w:t xml:space="preserve"> относно техническите разпоредби за разработване, поддържане и използване на електронни системи за обмен и съхранение на информация съгласно Митническия кодекс на Съюза. В него се определят правилата, уреждащи системата за митнически решения и системата за единно управление на потребителите и цифров подпис (вж. раздел б. по-долу).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 xml:space="preserve">Вероятно ще възникне необходимост делегираният регламент и регламентът за изпълнение да бъдат изменени отново през 2018 г. с цел решаване, наред с другото, на следните въпроси: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Ново</w:t>
      </w:r>
      <w:r>
        <w:rPr>
          <w:rFonts w:ascii="Times New Roman" w:hAnsi="Times New Roman"/>
          <w:i/>
          <w:noProof/>
          <w:sz w:val="24"/>
        </w:rPr>
        <w:t xml:space="preserve"> определение за износител</w:t>
      </w:r>
      <w:r>
        <w:rPr>
          <w:rFonts w:ascii="Times New Roman" w:hAnsi="Times New Roman"/>
          <w:noProof/>
          <w:sz w:val="24"/>
        </w:rPr>
        <w:t xml:space="preserve"> в член 1, параграф 19 от делегирания регламент, според което от износителя ще продължи да се изисква да бъде установен в ЕС, но условието, че износителят трябва да има договор за продажба, ще бъде облекчено. Представителите на сектора на търговията твърдят, че настоящото определение не отразява адекватно съществуващите бизнес модели, като например случаите, в които продавачът е установен извън ЕС.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Изменение в членове 114 и 134 от Делегирания регламент за МКС с цел въвеждане на гъвкави условия по отношение на митническите формалности, приложими за операции между </w:t>
      </w:r>
      <w:r>
        <w:rPr>
          <w:rFonts w:ascii="Times New Roman" w:hAnsi="Times New Roman"/>
          <w:i/>
          <w:noProof/>
          <w:sz w:val="24"/>
        </w:rPr>
        <w:t>специална данъчна територия</w:t>
      </w:r>
      <w:r>
        <w:rPr>
          <w:rFonts w:ascii="Times New Roman" w:hAnsi="Times New Roman"/>
          <w:noProof/>
          <w:sz w:val="24"/>
        </w:rPr>
        <w:t xml:space="preserve"> и нейната основна територия (т.е. за операции в рамките на една и съща държава членка).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Увеличаване на повече от един ден на крайния срок по член 115 от Делегирания регламент за МКС, в който се декларират </w:t>
      </w:r>
      <w:r>
        <w:rPr>
          <w:rFonts w:ascii="Times New Roman" w:hAnsi="Times New Roman"/>
          <w:i/>
          <w:noProof/>
          <w:sz w:val="24"/>
        </w:rPr>
        <w:t>стоки, съхранявани на място, различно от съоръжение за временно складиране</w:t>
      </w:r>
      <w:r>
        <w:rPr>
          <w:rFonts w:ascii="Times New Roman" w:hAnsi="Times New Roman"/>
          <w:noProof/>
          <w:sz w:val="24"/>
        </w:rPr>
        <w:t xml:space="preserve">. Изменението ще бъде формулирано така, че да се гарантира, че срокът е по-гъвкав както за търговците, така и за митническите органи, като същевременно остава кратък, за да се избегнат злоупотреби.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Изменение на съществуваща разпоредба, според която се изисква на митническите органи на трети държави да се предоставя разпечатка от </w:t>
      </w:r>
      <w:r>
        <w:rPr>
          <w:rFonts w:ascii="Times New Roman" w:hAnsi="Times New Roman"/>
          <w:i/>
          <w:noProof/>
          <w:sz w:val="24"/>
        </w:rPr>
        <w:t>риболовния дневник,</w:t>
      </w:r>
      <w:r>
        <w:rPr>
          <w:rFonts w:ascii="Times New Roman" w:hAnsi="Times New Roman"/>
          <w:b/>
          <w:noProof/>
          <w:sz w:val="24"/>
        </w:rPr>
        <w:t xml:space="preserve"> </w:t>
      </w:r>
      <w:r>
        <w:rPr>
          <w:rFonts w:ascii="Times New Roman" w:hAnsi="Times New Roman"/>
          <w:noProof/>
          <w:sz w:val="24"/>
        </w:rPr>
        <w:t>включително поверителна търговска информация, така че тези органи да могат да удостоверят, че не се извършва манипулиране по отношение на продукти от морски риболов, които се претоварват и превозват през тяхната държава или територия. Риболовният отрасъл предупреди Комисията за проблема, свързан с изискването да разкриват поверителна търговска информация за това къде е извършен риболовът, поради което с изменението ще се гарантира, че няма да се разкрива поверителна информация, принадлежаща на плавателни съдове от ЕС.</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Изменение в делегирания регламент за възстановяване на разпоредба, която е съществувала в законодателството съгласно МКО. Представителите на сектора на търговията отбелязаха, че пакетът за МКС не съдържа разпоредба, с която изрично да се позволява на титуляр на разрешения за специфична употреба да </w:t>
      </w:r>
      <w:r>
        <w:rPr>
          <w:rFonts w:ascii="Times New Roman" w:hAnsi="Times New Roman"/>
          <w:i/>
          <w:noProof/>
          <w:sz w:val="24"/>
        </w:rPr>
        <w:t>съхранява в един резервоар</w:t>
      </w:r>
      <w:r>
        <w:rPr>
          <w:rFonts w:ascii="Times New Roman" w:hAnsi="Times New Roman"/>
          <w:noProof/>
          <w:sz w:val="24"/>
        </w:rPr>
        <w:t xml:space="preserve"> енергийни продукти, класифицирани под различни подпозиции. По причини, свързани с техническите характеристики на тези продукти, това ограничение на практика прави невъзможно използването на такива разрешения за специфична употреба.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Изменение в регулаторната рамка, приложима по отношение на </w:t>
      </w:r>
      <w:r>
        <w:rPr>
          <w:rFonts w:ascii="Times New Roman" w:hAnsi="Times New Roman"/>
          <w:i/>
          <w:noProof/>
          <w:sz w:val="24"/>
        </w:rPr>
        <w:t>автомобили, наети под наем извън ЕС от лица с местожителство в ЕС</w:t>
      </w:r>
      <w:r>
        <w:rPr>
          <w:rFonts w:ascii="Times New Roman" w:hAnsi="Times New Roman"/>
          <w:noProof/>
          <w:sz w:val="24"/>
        </w:rPr>
        <w:t>. Понастоящем, ако автомобилите не са с регистрационна табела от ЕС, те подлежат на облагане с вносно мито, когато влизат на митническата територия на ЕС (освен в случаите, когато лице с местожителство в ЕС използва нает под наем автомобил, за да се върне до мястото на своето пребиваване). Това беше счетено за твърде ограничаващо условие в случаите, когато лица с местожителство в ЕС наемат автомобили за кратък период, поради което делегираният регламент може да бъде изменен, за да се реши този въпрос.</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Изменение на правилата за произход, така че </w:t>
      </w:r>
      <w:r>
        <w:rPr>
          <w:rFonts w:ascii="Times New Roman" w:hAnsi="Times New Roman"/>
          <w:i/>
          <w:noProof/>
          <w:sz w:val="24"/>
        </w:rPr>
        <w:t>да може да се предоставя преференциално тарифно третиране по отношение на преработени продукти</w:t>
      </w:r>
      <w:r>
        <w:rPr>
          <w:rFonts w:ascii="Times New Roman" w:hAnsi="Times New Roman"/>
          <w:noProof/>
          <w:sz w:val="24"/>
        </w:rPr>
        <w:t>, получени от вносни стоки, които също отговарят на условията за получаване на преференциално тарифно третиране под режим активно усъвършенстване. Това изменение ще осигури на икономическите оператори тарифно третиране, еквивалентно на това, от което са се ползвали при митническия режим, известен като обработка под митнически контрол, когато МКО беше в сила.</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Някои технически изменения с цел правилата относно регистрацията в електронната система REX да бъдат по-добре адаптирани към положението на износителите.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горепосочените по-общи изменения в пакета за МКС Комисията упражни — както и при МКО — правомощията си съгласно МКС, за да приеме актове за изпълнение в няколко случая във връзка със специфични или технически цели, като относно тарифното класиране на стоки и относно временни дерогации от правилото за преференциален произход.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Състояние на изпълнението на работната програма за МКС</w:t>
      </w:r>
    </w:p>
    <w:p>
      <w:pPr>
        <w:pStyle w:val="NormalWeb"/>
        <w:spacing w:before="0" w:beforeAutospacing="0" w:after="120" w:afterAutospacing="0"/>
        <w:jc w:val="both"/>
        <w:rPr>
          <w:i/>
          <w:noProof/>
        </w:rPr>
      </w:pPr>
      <w:r>
        <w:rPr>
          <w:noProof/>
        </w:rPr>
        <w:t xml:space="preserve">Първият краен срок за въвеждане в действие на някои от седемнадесетте информационни системи, изброени в работната програма за МКС, беше 2017 г., като този краен срок беше спазен: </w:t>
      </w:r>
    </w:p>
    <w:p>
      <w:pPr>
        <w:pStyle w:val="NormalWeb"/>
        <w:numPr>
          <w:ilvl w:val="0"/>
          <w:numId w:val="54"/>
        </w:numPr>
        <w:spacing w:after="120" w:afterAutospacing="0"/>
        <w:jc w:val="both"/>
        <w:rPr>
          <w:noProof/>
        </w:rPr>
      </w:pPr>
      <w:r>
        <w:rPr>
          <w:noProof/>
        </w:rPr>
        <w:t>На 1 януари 2017 г. Комисията въведе в действие системата за регистрирани износители (REX). Тази нова база данни съдържа информация за регистрирани износители в държавите бенефициери по Общата система за преференции на ЕС и за някои оператори от ЕС, включително в контекста на споразумението за свободна търговия с Канада. Това позволява на даден икономически оператор да проверява дали някой доставчик е регистриран, така че да има право да съставя изявления за произход, и също така ще позволи на митническите органи на ЕС да сверяват номерата от REX, предоставени в митническите декларации, спрямо централната база данни. Около 20 000 износители са регистрирани в ЕС и около 11 000 износители са регистрирани в държави бенефициери по Общата система за преференции, които вече прилагат системата. Обратната информация, получена от икономическите оператори, от митническите органи в ЕС и от компетентните органи в държавите бенефициери по Общата система за преференции, беше изключително положителна и до момента не са регистрирани оплаквания.</w:t>
      </w:r>
    </w:p>
    <w:p>
      <w:pPr>
        <w:pStyle w:val="NormalWeb"/>
        <w:numPr>
          <w:ilvl w:val="0"/>
          <w:numId w:val="54"/>
        </w:numPr>
        <w:spacing w:after="120" w:afterAutospacing="0"/>
        <w:jc w:val="both"/>
        <w:rPr>
          <w:noProof/>
        </w:rPr>
      </w:pPr>
      <w:r>
        <w:rPr>
          <w:noProof/>
        </w:rPr>
        <w:t xml:space="preserve">През октомври 2017 г. Комисията въведе едновременно системата за митнически решения и системата за единно управление на потребителите и цифров подпис (UUM&amp;DS). Системата за митнически решения представлява важна стъпка за хармонизирането на начина, по който се управляват митническите разрешения във всички 28 държави членки. Системата има общи компоненти (портал на търговците в ЕС, централна система за управление на митническите решения и информационна система за клиентите) и национални компоненти (национален портал на търговците и национална система за управление на митническите решения). Тя позволява обработването на двадесет и две митнически разрешения, като например такива за опростени декларации, централизирано оформяне, активно и пасивно усъвършенстване, общи обезпечения, отсрочване на плащането, транзит и някои други. Икономическият оператор може да подава заявленията за разрешения чрез системата UUM&amp;DS, която му позволява достъп до системата за решения. </w:t>
      </w:r>
    </w:p>
    <w:p>
      <w:pPr>
        <w:pStyle w:val="NormalWeb"/>
        <w:numPr>
          <w:ilvl w:val="0"/>
          <w:numId w:val="54"/>
        </w:numPr>
        <w:spacing w:after="120" w:afterAutospacing="0"/>
        <w:jc w:val="both"/>
        <w:rPr>
          <w:noProof/>
        </w:rPr>
      </w:pPr>
      <w:r>
        <w:rPr>
          <w:noProof/>
        </w:rPr>
        <w:t xml:space="preserve">Първият етап на системата за обвързваща тарифна информация (ОТИ) беше завършен през октомври 2017 г., което беше целевата дата за завършването на този етап. </w:t>
      </w:r>
    </w:p>
    <w:p>
      <w:pPr>
        <w:pStyle w:val="NormalWeb"/>
        <w:widowControl w:val="0"/>
        <w:jc w:val="both"/>
        <w:rPr>
          <w:noProof/>
        </w:rPr>
      </w:pPr>
      <w:r>
        <w:rPr>
          <w:noProof/>
        </w:rPr>
        <w:t xml:space="preserve">Повечето от другите електронни системи също са в процес на завършване до датите, определени в работната програма. На практика се очаква почти осемдесет процента от работата на Комисията по трансевропейските системи да бъде приключена до 2020 г. </w:t>
      </w:r>
    </w:p>
    <w:p>
      <w:pPr>
        <w:pStyle w:val="NormalWeb"/>
        <w:widowControl w:val="0"/>
        <w:jc w:val="both"/>
        <w:rPr>
          <w:noProof/>
        </w:rPr>
      </w:pPr>
      <w:r>
        <w:rPr>
          <w:noProof/>
        </w:rPr>
        <w:t xml:space="preserve">Също така стана ясно обаче, че не всички системи могат да бъдат завършени до крайния срок през 2020 г. Този срок беше амбициозен от самото начало, като се има предвид сложността на задачата и разходите за въвеждане на новите информационни системи в целия ЕС. При определянето на този срок се очакваше, че правилата за допълване и прилагане на МКС (делегираният регламент, регламентът за изпълнение, делегираният регламент относно преходните правила) ще бъдат приети много скоро след приемането на МКС през 2013 г., така че техните разпоредби да могат да бъдат взети под внимание при разработването на инфромационните системи. Обсъжданията относно разпоредбите за допълване и прилагане обаче отнеха много повече време от очакваното и актовете бяха приети в окончателния си вид едва в края на 2015/началото на 2016 г. Това от своя страна доведе до забавяне на изготвянето на функционалните спецификации за електронните системи, предназначени за декларации и уведомления, които се основават на изискванията за данните, предвидени в приложения Б към делегирания регламент и регламента за изпълнение. Сложността на системите стана напълно очевидна едва при завършването на тези технически спецификации. </w:t>
      </w:r>
    </w:p>
    <w:p>
      <w:pPr>
        <w:pStyle w:val="NormalWeb"/>
        <w:widowControl w:val="0"/>
        <w:jc w:val="both"/>
        <w:rPr>
          <w:noProof/>
        </w:rPr>
      </w:pPr>
      <w:r>
        <w:rPr>
          <w:noProof/>
        </w:rPr>
        <w:t>Освен това хармонизирането на изискванията за данните (т.е. данните, които митническите органи на държавите членки изискват от икономическите оператори) се оказа едно от главните предизвикателства пред разработването на информационните системи. Хармонизирането на данните е от решаващо значение за оперативната съвместимост на различните електронни системи и за хармонизираното прилагане на правните норми. То е решаващо и за гарантирането на съответствие с международните модели за данни, като например този на Световната митническа организация, чрез което да се осигури свързване с инфромационните системи на трети държави и да се улесни търговията. Тази работа обаче изисква много повече от очакваните инвестиции — от гледна точка на време и финансови средства — за пълното препрограмиране на някои от съществуващите електронни системи.</w:t>
      </w:r>
    </w:p>
    <w:p>
      <w:pPr>
        <w:pStyle w:val="NormalWeb"/>
        <w:widowControl w:val="0"/>
        <w:jc w:val="both"/>
        <w:rPr>
          <w:noProof/>
        </w:rPr>
      </w:pPr>
      <w:r>
        <w:rPr>
          <w:noProof/>
        </w:rPr>
        <w:t xml:space="preserve">Друго предизвикателство се състои във факта, че тъй като електронните системи са тясно свързани една с друга, е важно те да бъдат въведени в правилния ред (последователност), за да се гарантира, че взаимозависимостите са спазени и че промените за администрациите и търговията са въведени по структуриран и съгласуван начин. </w:t>
      </w:r>
    </w:p>
    <w:p>
      <w:pPr>
        <w:pStyle w:val="NormalWeb"/>
        <w:widowControl w:val="0"/>
        <w:jc w:val="both"/>
        <w:rPr>
          <w:noProof/>
        </w:rPr>
      </w:pPr>
      <w:r>
        <w:rPr>
          <w:noProof/>
        </w:rPr>
        <w:t xml:space="preserve">Специфични проблеми възникват във връзка с подобряването на системата за контрол на вноса (ICS). Тази система беше проектирана в отговор на опасенията във връзка със сигурността след атентатите от 11 септември и в рамките на стандартите за международната търговия, лансирани от Световната митническа организация. С нея се изисква превозвачите да изпращат определен брой елементи на данни по електронен път до митническото учреждение в ЕС на първо въвеждане преди стоките да влязат на територията и в повечето случаи дори преди стоките да напуснат държавата на износ. Целта съгласно МКС е да се подобри съществуващата ICS. Например с „ICS2“ ще се въведе централен европейски регистър, чрез който да може да се събира предварителна висококачествена информация за товарите в реално време; да се осигури многократно подаване (за да може не само превозвачът, но също и вносителят, получателят или други свързани лица да предоставят необходимите данни за стоките, влизащи на територията на митническия съюз); да се осигури уеднаквен интерфейс за търговците, за да могат операторите да подават предварителна информация за товарите по стандартизиран и уеднаквен начин; и да се осигурят инструменти, които да са в помощ на митническите органи при проверките за целите на управление на риска на големите обеми информация, съхранявани в регистъра. Стана ясно обаче, че работата, свързана с ICS, е много повече от очакваното, по-специално поради високите изисквания, свързани със сигурността по отношение на данните в централния регистър, високите оперативни разходи, горепосочената необходимост от хармонизиране на изискванията за данните и необходимостта от повече общи функции на равнището на ЕС, за да се ограничи необходимостта от едновременни скъпи национални инвестиции.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Следващи стъпки</w:t>
      </w:r>
    </w:p>
    <w:p>
      <w:pPr>
        <w:pStyle w:val="NormalWeb"/>
        <w:widowControl w:val="0"/>
        <w:spacing w:before="0" w:beforeAutospacing="0" w:after="0" w:afterAutospacing="0"/>
        <w:jc w:val="both"/>
        <w:rPr>
          <w:noProof/>
        </w:rPr>
      </w:pPr>
      <w:r>
        <w:rPr>
          <w:noProof/>
        </w:rPr>
        <w:t xml:space="preserve">Комисията ще продължи процеса на редовни обсъждания с държавите членки и предприятията, за да гарантира, че МКС </w:t>
      </w:r>
      <w:r>
        <w:rPr>
          <w:i/>
          <w:noProof/>
        </w:rPr>
        <w:t>улеснява търговията</w:t>
      </w:r>
      <w:r>
        <w:rPr>
          <w:noProof/>
        </w:rPr>
        <w:t xml:space="preserve">. Опростяването на митническото законодателство и на режимите, въведени с МКС, вече оказва положително въздействие и се приветства в много голяма степен от икономическите оператори. Някои страни обаче твърдят, че МКС не предлага достатъчно възможности за улесняване на търговията. Те посочват факта, че статутът на ОИО вече е задължителен, за да може да се ползват някои улеснения, и че това ще постави в по-неблагоприятно положение по-малките предприятия, които не са в състояние да инвестират в получаване на статут на ОИО, въпреки че именно предприятията поискаха някои специални предимства за ОИО за компенсиране на инвестициите и усилията, които засегнатите икономически оператори правят за получаването на разрешение за ОИО. Също така много представители на сектора на търговията отбелязаха, че пълното реализиране на ползите от МКС ще отнеме твърде много време поради дългите преходни периоди, предоставени за продължаващото едновременно съществуване на системите на хартиен носител в някои държави членки, докато други представители предпочитат по-дълги преходни периоди за изпълнението на всички нови изисквания за електронните системи. Освен това някои представители на сектора на търговията посочват продължаващи различия в тълкуването на правилата от страна на отделните държави членки. </w:t>
      </w:r>
    </w:p>
    <w:p>
      <w:pPr>
        <w:pStyle w:val="NormalWeb"/>
        <w:widowControl w:val="0"/>
        <w:spacing w:before="120" w:beforeAutospacing="0" w:after="0" w:afterAutospacing="0"/>
        <w:jc w:val="both"/>
        <w:rPr>
          <w:noProof/>
        </w:rPr>
      </w:pPr>
      <w:r>
        <w:rPr>
          <w:noProof/>
        </w:rPr>
        <w:t xml:space="preserve">Комисията също така ще продължи да работи в тясна консултация със заинтересованите страни </w:t>
      </w:r>
      <w:r>
        <w:rPr>
          <w:i/>
          <w:noProof/>
        </w:rPr>
        <w:t>с цел установяване на грешките и техническите неизрядности</w:t>
      </w:r>
      <w:r>
        <w:rPr>
          <w:noProof/>
        </w:rPr>
        <w:t xml:space="preserve"> в законодателния пакет. Правните актове за МКС са с обем от над 2000 страници, поради което е неизбежно и занапред да са необходими адаптации в законодателния пакет. По отношение на предишния МКО и неговите съответстващи разпоредби за изпълнение бяха необходими няколко изменения. </w:t>
      </w:r>
    </w:p>
    <w:p>
      <w:pPr>
        <w:pStyle w:val="NormalWeb"/>
        <w:jc w:val="both"/>
        <w:rPr>
          <w:noProof/>
        </w:rPr>
      </w:pPr>
      <w:r>
        <w:rPr>
          <w:noProof/>
        </w:rPr>
        <w:t xml:space="preserve">От страна на митническите органи решаваща функция представлява </w:t>
      </w:r>
      <w:r>
        <w:rPr>
          <w:i/>
          <w:noProof/>
        </w:rPr>
        <w:t>защитата на приходите и гарантирането на безопасността и сигурността.</w:t>
      </w:r>
      <w:r>
        <w:rPr>
          <w:noProof/>
        </w:rPr>
        <w:t xml:space="preserve"> Поради това трябва да продължат усилията за гарантиране, че се поддържа правилен баланс между контрола и улесняването на търговията и че всички проблеми в това отношение се решават бързо. Тази дейност ще бъде свързана с продължаващи интензивни контакти с Европейския парламент, Европейската сметна палата и службите на Комисията, отговарящи за защитата на собствените ресурси на ЕС и за борбата с измамите. </w:t>
      </w:r>
    </w:p>
    <w:p>
      <w:pPr>
        <w:pStyle w:val="NormalWeb"/>
        <w:widowControl w:val="0"/>
        <w:jc w:val="both"/>
        <w:rPr>
          <w:noProof/>
        </w:rPr>
      </w:pPr>
      <w:r>
        <w:rPr>
          <w:noProof/>
        </w:rPr>
        <w:t xml:space="preserve">Що се отнася до </w:t>
      </w:r>
      <w:r>
        <w:rPr>
          <w:i/>
          <w:noProof/>
        </w:rPr>
        <w:t>електронните системи за МКС</w:t>
      </w:r>
      <w:r>
        <w:rPr>
          <w:noProof/>
        </w:rPr>
        <w:t xml:space="preserve">, Комисията счита, че е необходимо да се удължи крайният срок за някои системи, за да се гарантира плавното въвеждане на другите до целевата дата през 2020 г. Държавите членки и предприятията се нуждаят от реалистични срокове и правна сигурност за уреждането на обмена и съхранението на митническата информация, като са необходими средно две години за организирането на всяка електронна система. Ако има вероятност някои системи да не бъдат въведени до тази дата, това трябва да бъде изяснено до 2018 г. и да се гарантира сигурност по отношение на правните норми, които ще се прилагат в отсъствието на тези системи.  </w:t>
      </w:r>
    </w:p>
    <w:p>
      <w:pPr>
        <w:pStyle w:val="NormalWeb"/>
        <w:jc w:val="both"/>
        <w:rPr>
          <w:noProof/>
        </w:rPr>
      </w:pPr>
      <w:r>
        <w:rPr>
          <w:noProof/>
        </w:rPr>
        <w:t xml:space="preserve">Във връзка с това Комисията предлага следното: </w:t>
      </w:r>
    </w:p>
    <w:p>
      <w:pPr>
        <w:pStyle w:val="NormalWeb"/>
        <w:jc w:val="both"/>
        <w:rPr>
          <w:noProof/>
        </w:rPr>
      </w:pPr>
      <w:r>
        <w:rPr>
          <w:noProof/>
        </w:rPr>
        <w:t xml:space="preserve">i) Тя ще извърши междинна оценка на МКС до края на 2021 г. и всеобхватна проверка за пригодност, след като всички електронни системи бъдат въведени. Проверката за пригодност ще позволи на Комисията да вземе решение в дългосрочен план дали е необходимо да бъдат направени съществени промени в политиката, така че МКС да остане пригоден за целта в контекста на световната търговия и да продължи да осигурява подходящ баланс между улесняването и контрола на търговията. </w:t>
      </w:r>
    </w:p>
    <w:p>
      <w:pPr>
        <w:pStyle w:val="NormalWeb"/>
        <w:jc w:val="both"/>
        <w:rPr>
          <w:noProof/>
        </w:rPr>
      </w:pPr>
      <w:r>
        <w:rPr>
          <w:noProof/>
        </w:rPr>
        <w:t>ii) Преди проверката за пригодност Комисията може да продължи да представя предложения за всякакви поправки или технически изменения в правния пакет за МКС, които се оказват необходими, за да се гарантира трайното безпроблемно функциониране на законодателната рамка.</w:t>
      </w:r>
    </w:p>
    <w:p>
      <w:pPr>
        <w:pStyle w:val="NormalWeb"/>
        <w:jc w:val="both"/>
        <w:rPr>
          <w:noProof/>
        </w:rPr>
      </w:pPr>
      <w:r>
        <w:rPr>
          <w:noProof/>
        </w:rPr>
        <w:t xml:space="preserve">iii) Комисията ще обмисли представяне в началото на 2018 г. на законодателно предложение за удължаване на крайния срок за продължаващото прилагане на преходните разпоредби по отношение на ограничения брой електронни системи, които не могат да бъдат въведени изцяло до крайния срок през 2020 г. То ще бъде последвано от решение за изпълнение на Комисията със съответстваща актуализация на работната програма. Към момента системите, по които изглежда ще е необходима допълнителна работа след 2020 г., са следните: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подобряване на системата за контрол на вноса (ICS), новата компютъризирана система за транзита (NCTS) и автоматизираната система за износа (AES), както и експортният компонент на системата за специални режими; и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въвеждане на системите „централизирано оформяне на вноса“ (CCI), „доказателство за съюзен статус“ (PoUS) и „управление на обезпечението“ (GUM). </w:t>
      </w:r>
    </w:p>
    <w:p>
      <w:pPr>
        <w:pStyle w:val="TableText"/>
        <w:spacing w:before="0" w:after="120"/>
        <w:jc w:val="both"/>
        <w:rPr>
          <w:rFonts w:ascii="Times New Roman" w:hAnsi="Times New Roman" w:cs="Times New Roman"/>
          <w:noProof/>
          <w:sz w:val="24"/>
        </w:rPr>
      </w:pPr>
      <w:r>
        <w:rPr>
          <w:rFonts w:ascii="Times New Roman" w:hAnsi="Times New Roman"/>
          <w:noProof/>
          <w:sz w:val="24"/>
        </w:rPr>
        <w:t>Комисията се консултира с държавите членки по отношение на електронните системи, за които е необходима допълнителна работа, и изготви този неокончателен план въз основа на отговорите, получени от държавите членки. Тя се консултира и с представители на сектора на търговията по време на редовните заседания на Контактната група по търговията, която включва представители на различни търговски асоциации.</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УПРАЖНЯВАНЕ НА ПРАВОМОЩИЕТО ЗА ПРИЕМАНЕ НА ДЕЛЕГИРАНИ АКТОВЕ</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Съгласно член 284 от МКС на Комисията се предоставя правомощието да приема делегирани актове в съответствие с процедурата, предвидена в член 290 от ДФЕС, с цел допълване и изменяне на определени несъществени елементи от Регламента относно МКС, за срок от пет години, считано от 30 октомври 2013 г. В член 284, параграф 2 се изисква Комисията да изготви доклад до Европейския парламент и до Съвета относно упражняването на това правомощие за приемане на делегирани актове. От Комисията се изисква да изготви доклада не по-късно от девет месеца преди изтичането на петгодишния срок, а именно 30 януари 2018 г.</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С МКС на Комисията се предоставя правомощието да приема делегирани актове съгласно следните разпоредби: членове 2, 7, 10, 20, 24, 31, 36, 40, 62, 65, 75, 88, 99, 106, 115, 122, 126, 131, 142, 151, 156, 160, 164, 168, 175, 180, 183, 186, 196, 206, 212, 216, 221, 224, 231, 235, 253, 265 и 279.</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До ноември 2017 г. Комисията упражни правомощието си да приема делегирани актове четири пъти (вж. раздел 2.а):</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за приемането на Делегирания регламент за МКС</w:t>
      </w:r>
      <w:r>
        <w:rPr>
          <w:rStyle w:val="FootnoteReference"/>
          <w:rFonts w:ascii="Times New Roman" w:hAnsi="Times New Roman"/>
          <w:noProof/>
          <w:sz w:val="24"/>
        </w:rPr>
        <w:footnoteReference w:id="19"/>
      </w:r>
      <w:r>
        <w:rPr>
          <w:rFonts w:ascii="Times New Roman" w:hAnsi="Times New Roman"/>
          <w:noProof/>
          <w:sz w:val="24"/>
        </w:rPr>
        <w:t>. В таблицата в приложението разпоредбите от Делегирания регламент за МКС са свързани с правомощията, предоставени на Комисията съгласно Кодекса;</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за приемането на Делегирания регламент относно преходните правила</w:t>
      </w:r>
      <w:r>
        <w:rPr>
          <w:rStyle w:val="FootnoteReference"/>
          <w:rFonts w:ascii="Times New Roman" w:hAnsi="Times New Roman"/>
          <w:noProof/>
          <w:sz w:val="24"/>
        </w:rPr>
        <w:footnoteReference w:id="20"/>
      </w:r>
      <w:r>
        <w:rPr>
          <w:rFonts w:ascii="Times New Roman" w:hAnsi="Times New Roman"/>
          <w:noProof/>
          <w:sz w:val="24"/>
        </w:rPr>
        <w:t xml:space="preserve"> въз основа на правомощието по член 279 от Кодекса;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за поправката на членове 136 и 141 от Делегирания регламент за МКС</w:t>
      </w:r>
      <w:r>
        <w:rPr>
          <w:rStyle w:val="FootnoteReference"/>
          <w:rFonts w:ascii="Times New Roman" w:hAnsi="Times New Roman"/>
          <w:noProof/>
          <w:sz w:val="24"/>
        </w:rPr>
        <w:footnoteReference w:id="21"/>
      </w:r>
      <w:r>
        <w:rPr>
          <w:rFonts w:ascii="Times New Roman" w:hAnsi="Times New Roman"/>
          <w:noProof/>
          <w:sz w:val="24"/>
        </w:rPr>
        <w:t xml:space="preserve"> въз основа на правомощието по член 160 от Кодекса; и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за поправката на приложение 12 към Делегирания регламент относно преходните правила</w:t>
      </w:r>
      <w:r>
        <w:rPr>
          <w:rStyle w:val="FootnoteReference"/>
          <w:rFonts w:ascii="Times New Roman" w:hAnsi="Times New Roman"/>
          <w:noProof/>
          <w:sz w:val="24"/>
        </w:rPr>
        <w:footnoteReference w:id="22"/>
      </w:r>
      <w:r>
        <w:rPr>
          <w:rFonts w:ascii="Times New Roman" w:hAnsi="Times New Roman"/>
          <w:noProof/>
          <w:sz w:val="24"/>
        </w:rPr>
        <w:t xml:space="preserve"> въз основа на правомощието по член 279 от Кодекса.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При изготвянето на делегираните актове Комисията се консултира с всички съответни заинтересовани страни, по-специално с експерти от държавите членки и икономически оператори от секторите на търговията, логистиката и бизнеса. Експерти от държавите членки и бизнес средите обсъдиха и подкрепиха разпоредбите, включени в делегираните актове.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По време на процедурите и процеса на вземане на решения Комисията осигури своевременно и надлежно предаване на съответните документи на Европейския парламент и на Съвета. Европейският парламент и Съветът не възразиха срещу приемането на нито един от тези актове.</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За да се гарантира, че митническото законодателство на ЕС се адаптира непрекъснато спрямо техническите изисквания и технологичния напредък в сферата на митническата дейност, Комисията счита, че правомощието за приемане на делегирани актове, което ѝ е предоставено съгласно МКС, следва да бъде продължено за допълнителен период от пет години в съответствие с член 284, параграф 2 от Регламента относно МКС.</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ЗАКЛЮЧЕНИЕ</w:t>
      </w:r>
    </w:p>
    <w:p>
      <w:pPr>
        <w:spacing w:line="240" w:lineRule="auto"/>
        <w:jc w:val="both"/>
        <w:rPr>
          <w:rFonts w:ascii="Times New Roman" w:hAnsi="Times New Roman"/>
          <w:noProof/>
          <w:sz w:val="24"/>
          <w:szCs w:val="24"/>
        </w:rPr>
      </w:pPr>
      <w:r>
        <w:rPr>
          <w:rFonts w:ascii="Times New Roman" w:hAnsi="Times New Roman"/>
          <w:noProof/>
          <w:sz w:val="24"/>
        </w:rPr>
        <w:t xml:space="preserve">С настоящия доклад Комисията изпълнява i) искането на Европейския парламент за доклад относно изпълнението на Регламента относно МКС и ii) задължението си да докладва пред Европейския парламент и Съвета относно упражняването от нейна страна на делегираните правомощия съгласно член 284, параграф 2 от Регламента относно МКС. </w:t>
      </w:r>
    </w:p>
    <w:p>
      <w:pPr>
        <w:pStyle w:val="NormalWeb"/>
        <w:jc w:val="both"/>
        <w:rPr>
          <w:noProof/>
        </w:rPr>
      </w:pPr>
      <w:r>
        <w:rPr>
          <w:i/>
          <w:noProof/>
        </w:rPr>
        <w:t>Що се отнася до изпълнението на Регламента относно МКС,</w:t>
      </w:r>
      <w:r>
        <w:rPr>
          <w:noProof/>
        </w:rPr>
        <w:t xml:space="preserve"> Комисията счита за значително постижение факта, че по отношение на МКС, с който бяха въведени толкова съществени промени, не са били налице сериозни законодателни проблеми през първите осемнадесет месеца от неговото изпълнение. Процесът на редовно консултиране с държавите членки и представители на сектора на търговията доведе до бързо справяне с всички технически грешки, които станаха очевидни след приемането на Кодекса през 2013 г. Същевременно е ясно, че въздействието на МКС трябва в бъдеще да бъде всеобхватно проучено, за да се определи дали МКС е изпълнил целите, за които е бил разработен, и дали са необходими корекции в политиката. Поради това Комисията предлага:</w:t>
      </w:r>
    </w:p>
    <w:p>
      <w:pPr>
        <w:pStyle w:val="NormalWeb"/>
        <w:numPr>
          <w:ilvl w:val="0"/>
          <w:numId w:val="62"/>
        </w:numPr>
        <w:jc w:val="both"/>
        <w:rPr>
          <w:noProof/>
        </w:rPr>
      </w:pPr>
      <w:r>
        <w:rPr>
          <w:noProof/>
        </w:rPr>
        <w:t>до 2021 г. да извърши междинна оценка на правната рамка на МКС и на електронните системи, въведени до тази дата;</w:t>
      </w:r>
    </w:p>
    <w:p>
      <w:pPr>
        <w:pStyle w:val="NormalWeb"/>
        <w:numPr>
          <w:ilvl w:val="0"/>
          <w:numId w:val="62"/>
        </w:numPr>
        <w:jc w:val="both"/>
        <w:rPr>
          <w:noProof/>
        </w:rPr>
      </w:pPr>
      <w:r>
        <w:rPr>
          <w:noProof/>
        </w:rPr>
        <w:t xml:space="preserve">да извърши по-всеобхватна проверка за пригодност, след като всички електронни системи бъдат въведени; </w:t>
      </w:r>
    </w:p>
    <w:p>
      <w:pPr>
        <w:pStyle w:val="NormalWeb"/>
        <w:numPr>
          <w:ilvl w:val="0"/>
          <w:numId w:val="62"/>
        </w:numPr>
        <w:jc w:val="both"/>
        <w:rPr>
          <w:noProof/>
        </w:rPr>
      </w:pPr>
      <w:r>
        <w:rPr>
          <w:noProof/>
        </w:rPr>
        <w:t xml:space="preserve">да продължи да предлага поправки или технически изменения в правния пакет за МКС, които са необходими за трайното безпроблемно функциониране законодателната рамка; </w:t>
      </w:r>
    </w:p>
    <w:p>
      <w:pPr>
        <w:pStyle w:val="NormalWeb"/>
        <w:numPr>
          <w:ilvl w:val="0"/>
          <w:numId w:val="62"/>
        </w:numPr>
        <w:jc w:val="both"/>
        <w:rPr>
          <w:noProof/>
        </w:rPr>
      </w:pPr>
      <w:r>
        <w:rPr>
          <w:noProof/>
        </w:rPr>
        <w:t>в началото на 2018 г. да обмисли внасяне на законодателно предложение за изменение на МКС, за да бъде удължен най-късно до 2025 г. срокът, по време на който преходните разпоредби могат да се прилагат по отношение на митническите формалности, обхванати от инфромационните системи, които не могат да бъдат въведени изцяло до 2020 г.;</w:t>
      </w:r>
    </w:p>
    <w:p>
      <w:pPr>
        <w:pStyle w:val="NormalWeb"/>
        <w:numPr>
          <w:ilvl w:val="0"/>
          <w:numId w:val="62"/>
        </w:numPr>
        <w:jc w:val="both"/>
        <w:rPr>
          <w:noProof/>
        </w:rPr>
      </w:pPr>
      <w:r>
        <w:rPr>
          <w:noProof/>
        </w:rPr>
        <w:t xml:space="preserve">да актуализира работната програма за МКС чрез решение за изпълнение на Комисията. </w:t>
      </w:r>
    </w:p>
    <w:p>
      <w:pPr>
        <w:spacing w:line="240" w:lineRule="auto"/>
        <w:jc w:val="both"/>
        <w:rPr>
          <w:rFonts w:ascii="Times New Roman" w:hAnsi="Times New Roman"/>
          <w:noProof/>
          <w:sz w:val="24"/>
          <w:szCs w:val="24"/>
        </w:rPr>
      </w:pPr>
      <w:r>
        <w:rPr>
          <w:rFonts w:ascii="Times New Roman" w:hAnsi="Times New Roman"/>
          <w:i/>
          <w:noProof/>
          <w:sz w:val="24"/>
        </w:rPr>
        <w:t>По отношение на упражняването на правомощието за приемане на делегирани актове, предоставено съгласно член 284, параграф 2 от Регламента относно МКС</w:t>
      </w:r>
      <w:r>
        <w:rPr>
          <w:rFonts w:ascii="Times New Roman" w:hAnsi="Times New Roman"/>
          <w:noProof/>
          <w:sz w:val="24"/>
        </w:rPr>
        <w:t xml:space="preserve">, Комисията счита, че е упражнявала това правомощие активно и целесъобразно. Същевременно Комисията счита, че делегирането на правомощия следва да бъде удължено, за да може да предлага всякакви допълнителни мерки, необходими за адаптиране на митническото законодателство спрямо техническия и технологичния напредък, както и спрямо динамиките в търговията.  </w:t>
      </w:r>
    </w:p>
    <w:p>
      <w:pPr>
        <w:spacing w:line="240" w:lineRule="auto"/>
        <w:jc w:val="both"/>
        <w:rPr>
          <w:rFonts w:ascii="Times New Roman" w:hAnsi="Times New Roman"/>
          <w:noProof/>
          <w:sz w:val="24"/>
          <w:szCs w:val="24"/>
        </w:rPr>
      </w:pPr>
      <w:r>
        <w:rPr>
          <w:rFonts w:ascii="Times New Roman" w:hAnsi="Times New Roman"/>
          <w:noProof/>
          <w:sz w:val="24"/>
        </w:rPr>
        <w:t>Комисията приканва Европейския парламент и Съвета да вземат под внимание настоящия доклад.</w:t>
      </w:r>
    </w:p>
    <w:p>
      <w:pPr>
        <w:rPr>
          <w:rFonts w:ascii="Times New Roman" w:hAnsi="Times New Roman"/>
          <w:noProof/>
          <w:sz w:val="24"/>
          <w:szCs w:val="24"/>
        </w:rPr>
      </w:pPr>
      <w:r>
        <w:rPr>
          <w:noProof/>
        </w:rPr>
        <w:br w:type="page"/>
      </w:r>
    </w:p>
    <w:p>
      <w:pPr>
        <w:spacing w:line="240" w:lineRule="auto"/>
        <w:jc w:val="both"/>
        <w:rPr>
          <w:rFonts w:ascii="Times New Roman" w:hAnsi="Times New Roman"/>
          <w:noProof/>
          <w:sz w:val="24"/>
          <w:szCs w:val="24"/>
        </w:rPr>
      </w:pPr>
    </w:p>
    <w:p>
      <w:pPr>
        <w:spacing w:line="240" w:lineRule="auto"/>
        <w:jc w:val="center"/>
        <w:rPr>
          <w:b/>
          <w:noProof/>
        </w:rPr>
      </w:pPr>
      <w:r>
        <w:rPr>
          <w:rFonts w:ascii="Times New Roman" w:hAnsi="Times New Roman"/>
          <w:b/>
          <w:noProof/>
          <w:sz w:val="24"/>
        </w:rPr>
        <w:t>Приложение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b/>
                <w:noProof/>
              </w:rPr>
            </w:pPr>
            <w:r>
              <w:rPr>
                <w:rFonts w:ascii="Times New Roman" w:hAnsi="Times New Roman"/>
                <w:b/>
                <w:noProof/>
              </w:rPr>
              <w:t>Разпоредби за предоставяне на правомощия съгласно</w:t>
            </w:r>
          </w:p>
          <w:p>
            <w:pPr>
              <w:spacing w:before="120" w:after="100" w:afterAutospacing="1"/>
              <w:jc w:val="center"/>
              <w:rPr>
                <w:rFonts w:ascii="Times New Roman" w:hAnsi="Times New Roman"/>
                <w:noProof/>
              </w:rPr>
            </w:pPr>
            <w:r>
              <w:rPr>
                <w:rFonts w:ascii="Times New Roman" w:hAnsi="Times New Roman"/>
                <w:b/>
                <w:noProof/>
              </w:rPr>
              <w:t>МКС</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Разпоредби от Делегирания регламент за МКС, приети в съответствие с делегирането на правомощия</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Член 2</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Членове 114, 134 и 188:</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Член 7 (Средства за обмен и съхраняване на информация и общи изисквания за данните)</w:t>
            </w:r>
          </w:p>
        </w:tc>
        <w:tc>
          <w:tcPr>
            <w:tcW w:w="6628" w:type="dxa"/>
            <w:shd w:val="clear" w:color="auto" w:fill="auto"/>
            <w:vAlign w:val="center"/>
          </w:tcPr>
          <w:p>
            <w:pPr>
              <w:spacing w:before="120" w:after="120" w:line="240" w:lineRule="auto"/>
              <w:rPr>
                <w:rFonts w:ascii="Times New Roman" w:hAnsi="Times New Roman"/>
                <w:noProof/>
              </w:rPr>
            </w:pPr>
            <w:r>
              <w:rPr>
                <w:rFonts w:ascii="Times New Roman" w:hAnsi="Times New Roman"/>
                <w:noProof/>
              </w:rPr>
              <w:t>Членове 2, 3, 4, 9, 19, 21, 38, 39, 40, 82, 85, 86, 87, 92, 93, 94, 95, 96, 116, 124, 124a, 125, 126, 126a, 127, 129a, 129б, 130, 131, 132, 133, 144, 154, 157, 160, 163, 164, 165, 175, 178, 181, 184, 185, 190, 196, 238, 241, 246, 247, 249</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Член 10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Членове 5, 6 и 7:</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Член 20</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Член 210</w:t>
            </w:r>
          </w:p>
        </w:tc>
      </w:tr>
      <w:tr>
        <w:tc>
          <w:tcPr>
            <w:tcW w:w="2552" w:type="dxa"/>
            <w:shd w:val="clear" w:color="auto" w:fill="auto"/>
          </w:tcPr>
          <w:p>
            <w:pPr>
              <w:tabs>
                <w:tab w:val="left" w:pos="1102"/>
              </w:tabs>
              <w:spacing w:before="120" w:after="120"/>
              <w:rPr>
                <w:noProof/>
              </w:rPr>
            </w:pPr>
            <w:r>
              <w:rPr>
                <w:rFonts w:ascii="Times New Roman" w:hAnsi="Times New Roman"/>
                <w:noProof/>
              </w:rPr>
              <w:t>Член 24 (Решения, свързани с прилагане на митническото законодателство)</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Членове 5, 8, 10, 11, 12, 13, 14, 15, 16, 17, 18, 19, 20, 22, 26, 27, 28, 29, 30, 82, 92, 97, 121, 123, 156, 162, 171, 172, 173, 186, 192, 194, 205 </w:t>
            </w:r>
          </w:p>
        </w:tc>
      </w:tr>
      <w:tr>
        <w:tc>
          <w:tcPr>
            <w:tcW w:w="2552" w:type="dxa"/>
            <w:shd w:val="clear" w:color="auto" w:fill="auto"/>
          </w:tcPr>
          <w:p>
            <w:pPr>
              <w:spacing w:before="120" w:after="120"/>
              <w:rPr>
                <w:noProof/>
              </w:rPr>
            </w:pPr>
            <w:r>
              <w:rPr>
                <w:rFonts w:ascii="Times New Roman" w:hAnsi="Times New Roman"/>
                <w:noProof/>
              </w:rPr>
              <w:t>Член 31 (Отмяна и изменение на благоприятни решения)</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Делегирането все още не е упражнено: </w:t>
            </w:r>
          </w:p>
          <w:p>
            <w:pPr>
              <w:spacing w:before="120" w:after="120"/>
              <w:jc w:val="both"/>
              <w:rPr>
                <w:rFonts w:ascii="Times New Roman" w:hAnsi="Times New Roman"/>
                <w:noProof/>
              </w:rPr>
            </w:pPr>
            <w:r>
              <w:rPr>
                <w:rFonts w:ascii="Times New Roman" w:hAnsi="Times New Roman"/>
                <w:noProof/>
              </w:rPr>
              <w:t xml:space="preserve">Разпоредбата засяга 1) случаите, когато благоприятно решение, отнасящо се до няколко лица, може да бъде отменено както по отношение на лицето, което не изпълнява задължение, наложено по силата на това решение, така и на други засегнати лица; 2) изключителните случаи, в които митническите органи могат да отложат датата, от която отмяната или изменението поражда действие. </w:t>
            </w:r>
          </w:p>
        </w:tc>
      </w:tr>
      <w:tr>
        <w:tc>
          <w:tcPr>
            <w:tcW w:w="2552" w:type="dxa"/>
            <w:shd w:val="clear" w:color="auto" w:fill="auto"/>
          </w:tcPr>
          <w:p>
            <w:pPr>
              <w:spacing w:before="120" w:after="120"/>
              <w:rPr>
                <w:noProof/>
              </w:rPr>
            </w:pPr>
            <w:r>
              <w:rPr>
                <w:rFonts w:ascii="Times New Roman" w:hAnsi="Times New Roman"/>
                <w:noProof/>
              </w:rPr>
              <w:t>Член 36 (Управление на решения, отнасящи се до обвързваща информация)</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Делегирането все още не е упражнено:</w:t>
            </w:r>
            <w:r>
              <w:rPr>
                <w:noProof/>
              </w:rPr>
              <w:t xml:space="preserve"> </w:t>
            </w:r>
          </w:p>
          <w:p>
            <w:pPr>
              <w:spacing w:before="120" w:after="120"/>
              <w:jc w:val="both"/>
              <w:rPr>
                <w:rFonts w:ascii="Times New Roman" w:hAnsi="Times New Roman"/>
                <w:noProof/>
              </w:rPr>
            </w:pPr>
            <w:r>
              <w:rPr>
                <w:rFonts w:ascii="Times New Roman" w:hAnsi="Times New Roman"/>
                <w:noProof/>
              </w:rPr>
              <w:t>Разпоредбата засяга 1) специфичните случаи, посочени в член 34, параграф 7, буква б) и член 34, параграф 8, в които трябва да се отменят решения относно обвързваща тарифна информация (ОТИ) и обвързваща информация за произход (ОИП); 2) случаите, посочени в член 35, в които се вземат решения за обвързваща информация във връзка с други фактори, въз основа на които се прилагат вносни или износни мита и други мерки относно търговията със стоки.</w:t>
            </w:r>
          </w:p>
        </w:tc>
      </w:tr>
      <w:tr>
        <w:tc>
          <w:tcPr>
            <w:tcW w:w="2552" w:type="dxa"/>
            <w:shd w:val="clear" w:color="auto" w:fill="auto"/>
          </w:tcPr>
          <w:p>
            <w:pPr>
              <w:spacing w:before="120" w:after="120"/>
              <w:rPr>
                <w:noProof/>
              </w:rPr>
            </w:pPr>
            <w:r>
              <w:rPr>
                <w:rFonts w:ascii="Times New Roman" w:hAnsi="Times New Roman"/>
                <w:noProof/>
              </w:rPr>
              <w:t>Член 40</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23, 24 и 25:</w:t>
            </w:r>
          </w:p>
        </w:tc>
      </w:tr>
      <w:tr>
        <w:tc>
          <w:tcPr>
            <w:tcW w:w="2552" w:type="dxa"/>
            <w:shd w:val="clear" w:color="auto" w:fill="auto"/>
          </w:tcPr>
          <w:p>
            <w:pPr>
              <w:spacing w:before="120" w:after="120"/>
              <w:rPr>
                <w:noProof/>
              </w:rPr>
            </w:pPr>
            <w:r>
              <w:rPr>
                <w:rFonts w:ascii="Times New Roman" w:hAnsi="Times New Roman"/>
                <w:noProof/>
              </w:rPr>
              <w:t xml:space="preserve">Член 62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31, 32, 33, 34, 35, 36</w:t>
            </w:r>
          </w:p>
        </w:tc>
      </w:tr>
      <w:tr>
        <w:tc>
          <w:tcPr>
            <w:tcW w:w="2552" w:type="dxa"/>
            <w:shd w:val="clear" w:color="auto" w:fill="auto"/>
          </w:tcPr>
          <w:p>
            <w:pPr>
              <w:spacing w:before="120" w:after="120"/>
              <w:rPr>
                <w:noProof/>
              </w:rPr>
            </w:pPr>
            <w:r>
              <w:rPr>
                <w:rFonts w:ascii="Times New Roman" w:hAnsi="Times New Roman"/>
                <w:noProof/>
              </w:rPr>
              <w:t>Член 65 (Преференциален произход)</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41, 42, 43, 44, 45, 46, 47, 48, 49, 50, 51, 52, 53, 54, 55, 56, 57, 58, 59, 60, 61, 62, 63, 64, 65, 66, 67, 68, 69, 70</w:t>
            </w:r>
          </w:p>
        </w:tc>
      </w:tr>
      <w:tr>
        <w:tc>
          <w:tcPr>
            <w:tcW w:w="2552" w:type="dxa"/>
            <w:shd w:val="clear" w:color="auto" w:fill="auto"/>
          </w:tcPr>
          <w:p>
            <w:pPr>
              <w:spacing w:before="120" w:after="120"/>
              <w:rPr>
                <w:noProof/>
              </w:rPr>
            </w:pPr>
            <w:r>
              <w:rPr>
                <w:rFonts w:ascii="Times New Roman" w:hAnsi="Times New Roman"/>
                <w:noProof/>
              </w:rPr>
              <w:t>Член 75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 71</w:t>
            </w:r>
          </w:p>
        </w:tc>
      </w:tr>
      <w:tr>
        <w:tc>
          <w:tcPr>
            <w:tcW w:w="2552" w:type="dxa"/>
            <w:shd w:val="clear" w:color="auto" w:fill="auto"/>
          </w:tcPr>
          <w:p>
            <w:pPr>
              <w:spacing w:before="120" w:after="120"/>
              <w:rPr>
                <w:noProof/>
              </w:rPr>
            </w:pPr>
            <w:r>
              <w:rPr>
                <w:rFonts w:ascii="Times New Roman" w:hAnsi="Times New Roman"/>
                <w:noProof/>
              </w:rPr>
              <w:t>Член 88 (Митническо задължение)</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72, 73, 74, 75, 76, 77, 78, 79, 80, 168</w:t>
            </w:r>
          </w:p>
        </w:tc>
      </w:tr>
      <w:tr>
        <w:tc>
          <w:tcPr>
            <w:tcW w:w="2552" w:type="dxa"/>
            <w:shd w:val="clear" w:color="auto" w:fill="auto"/>
          </w:tcPr>
          <w:p>
            <w:pPr>
              <w:spacing w:before="120" w:after="120"/>
              <w:rPr>
                <w:noProof/>
              </w:rPr>
            </w:pPr>
            <w:r>
              <w:rPr>
                <w:rFonts w:ascii="Times New Roman" w:hAnsi="Times New Roman"/>
                <w:noProof/>
              </w:rPr>
              <w:t>Член 99</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81, 82, 83, 84, 85, 86</w:t>
            </w:r>
          </w:p>
        </w:tc>
      </w:tr>
      <w:tr>
        <w:tc>
          <w:tcPr>
            <w:tcW w:w="2552" w:type="dxa"/>
            <w:shd w:val="clear" w:color="auto" w:fill="auto"/>
          </w:tcPr>
          <w:p>
            <w:pPr>
              <w:spacing w:before="120" w:after="120"/>
              <w:rPr>
                <w:noProof/>
              </w:rPr>
            </w:pPr>
            <w:r>
              <w:rPr>
                <w:rFonts w:ascii="Times New Roman" w:hAnsi="Times New Roman"/>
                <w:noProof/>
              </w:rPr>
              <w:t>Член 106</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88, 92</w:t>
            </w:r>
          </w:p>
        </w:tc>
      </w:tr>
      <w:tr>
        <w:tc>
          <w:tcPr>
            <w:tcW w:w="2552" w:type="dxa"/>
            <w:shd w:val="clear" w:color="auto" w:fill="auto"/>
          </w:tcPr>
          <w:p>
            <w:pPr>
              <w:spacing w:before="120" w:after="120"/>
              <w:rPr>
                <w:noProof/>
              </w:rPr>
            </w:pPr>
            <w:r>
              <w:rPr>
                <w:rFonts w:ascii="Times New Roman" w:hAnsi="Times New Roman"/>
                <w:noProof/>
              </w:rPr>
              <w:t>Член 115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89, 90, 91</w:t>
            </w:r>
          </w:p>
        </w:tc>
      </w:tr>
      <w:tr>
        <w:tc>
          <w:tcPr>
            <w:tcW w:w="2552" w:type="dxa"/>
            <w:shd w:val="clear" w:color="auto" w:fill="auto"/>
          </w:tcPr>
          <w:p>
            <w:pPr>
              <w:spacing w:before="120" w:after="120"/>
              <w:rPr>
                <w:noProof/>
              </w:rPr>
            </w:pPr>
            <w:r>
              <w:rPr>
                <w:rFonts w:ascii="Times New Roman" w:hAnsi="Times New Roman"/>
                <w:noProof/>
              </w:rPr>
              <w:t>Член 122</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Членове 98, 99, 100, 101, 102</w:t>
            </w:r>
          </w:p>
        </w:tc>
      </w:tr>
      <w:tr>
        <w:tc>
          <w:tcPr>
            <w:tcW w:w="2552" w:type="dxa"/>
            <w:shd w:val="clear" w:color="auto" w:fill="auto"/>
          </w:tcPr>
          <w:p>
            <w:pPr>
              <w:spacing w:before="120" w:after="120"/>
              <w:rPr>
                <w:noProof/>
              </w:rPr>
            </w:pPr>
            <w:r>
              <w:rPr>
                <w:rFonts w:ascii="Times New Roman" w:hAnsi="Times New Roman"/>
                <w:noProof/>
              </w:rPr>
              <w:t>Член 126</w:t>
            </w:r>
          </w:p>
        </w:tc>
        <w:tc>
          <w:tcPr>
            <w:tcW w:w="6628" w:type="dxa"/>
            <w:shd w:val="clear" w:color="auto" w:fill="auto"/>
            <w:vAlign w:val="center"/>
          </w:tcPr>
          <w:p>
            <w:pPr>
              <w:spacing w:before="120" w:after="120"/>
              <w:rPr>
                <w:noProof/>
              </w:rPr>
            </w:pPr>
            <w:r>
              <w:rPr>
                <w:rFonts w:ascii="Times New Roman" w:hAnsi="Times New Roman"/>
                <w:noProof/>
              </w:rPr>
              <w:t>Член 103</w:t>
            </w:r>
          </w:p>
        </w:tc>
      </w:tr>
      <w:tr>
        <w:tc>
          <w:tcPr>
            <w:tcW w:w="2552" w:type="dxa"/>
            <w:shd w:val="clear" w:color="auto" w:fill="auto"/>
          </w:tcPr>
          <w:p>
            <w:pPr>
              <w:spacing w:before="120" w:after="120"/>
              <w:rPr>
                <w:noProof/>
              </w:rPr>
            </w:pPr>
            <w:r>
              <w:rPr>
                <w:rFonts w:ascii="Times New Roman" w:hAnsi="Times New Roman"/>
                <w:noProof/>
              </w:rPr>
              <w:t>Член 131(Възстановяване и опрощаване)</w:t>
            </w:r>
          </w:p>
        </w:tc>
        <w:tc>
          <w:tcPr>
            <w:tcW w:w="6628" w:type="dxa"/>
            <w:shd w:val="clear" w:color="auto" w:fill="auto"/>
            <w:vAlign w:val="center"/>
          </w:tcPr>
          <w:p>
            <w:pPr>
              <w:spacing w:before="120" w:after="120"/>
              <w:rPr>
                <w:noProof/>
              </w:rPr>
            </w:pPr>
            <w:r>
              <w:rPr>
                <w:rFonts w:ascii="Times New Roman" w:hAnsi="Times New Roman"/>
                <w:noProof/>
              </w:rPr>
              <w:t>Членове 104, 105, 106, 107, 108, 109, 110, 111, 112, 113</w:t>
            </w:r>
          </w:p>
        </w:tc>
      </w:tr>
      <w:tr>
        <w:tc>
          <w:tcPr>
            <w:tcW w:w="2552" w:type="dxa"/>
            <w:shd w:val="clear" w:color="auto" w:fill="auto"/>
          </w:tcPr>
          <w:p>
            <w:pPr>
              <w:spacing w:before="120" w:after="120"/>
              <w:rPr>
                <w:noProof/>
              </w:rPr>
            </w:pPr>
            <w:r>
              <w:rPr>
                <w:rFonts w:ascii="Times New Roman" w:hAnsi="Times New Roman"/>
                <w:noProof/>
              </w:rPr>
              <w:t>Член 142 (Определени места за представянето на стоките, въведени на митническата територия на Съюза)</w:t>
            </w:r>
          </w:p>
        </w:tc>
        <w:tc>
          <w:tcPr>
            <w:tcW w:w="6628" w:type="dxa"/>
            <w:shd w:val="clear" w:color="auto" w:fill="auto"/>
            <w:vAlign w:val="center"/>
          </w:tcPr>
          <w:p>
            <w:pPr>
              <w:spacing w:before="120" w:after="120"/>
              <w:rPr>
                <w:noProof/>
              </w:rPr>
            </w:pPr>
            <w:r>
              <w:rPr>
                <w:rFonts w:ascii="Times New Roman" w:hAnsi="Times New Roman"/>
                <w:noProof/>
              </w:rPr>
              <w:t>Член 115</w:t>
            </w:r>
          </w:p>
        </w:tc>
      </w:tr>
      <w:tr>
        <w:tc>
          <w:tcPr>
            <w:tcW w:w="2552" w:type="dxa"/>
            <w:shd w:val="clear" w:color="auto" w:fill="auto"/>
          </w:tcPr>
          <w:p>
            <w:pPr>
              <w:spacing w:before="120" w:after="120"/>
              <w:rPr>
                <w:noProof/>
              </w:rPr>
            </w:pPr>
            <w:r>
              <w:rPr>
                <w:rFonts w:ascii="Times New Roman" w:hAnsi="Times New Roman"/>
                <w:noProof/>
              </w:rPr>
              <w:t>Член 151 (Условия и разрешения за временно складиране)</w:t>
            </w:r>
          </w:p>
        </w:tc>
        <w:tc>
          <w:tcPr>
            <w:tcW w:w="6628" w:type="dxa"/>
            <w:shd w:val="clear" w:color="auto" w:fill="auto"/>
            <w:vAlign w:val="center"/>
          </w:tcPr>
          <w:p>
            <w:pPr>
              <w:spacing w:before="120" w:after="120"/>
              <w:rPr>
                <w:noProof/>
              </w:rPr>
            </w:pPr>
            <w:r>
              <w:rPr>
                <w:rFonts w:ascii="Times New Roman" w:hAnsi="Times New Roman"/>
                <w:noProof/>
              </w:rPr>
              <w:t>Членове 115, 116, 117, 118</w:t>
            </w:r>
          </w:p>
        </w:tc>
      </w:tr>
      <w:tr>
        <w:tc>
          <w:tcPr>
            <w:tcW w:w="2552" w:type="dxa"/>
            <w:shd w:val="clear" w:color="auto" w:fill="auto"/>
          </w:tcPr>
          <w:p>
            <w:pPr>
              <w:spacing w:before="120" w:after="120"/>
              <w:rPr>
                <w:noProof/>
              </w:rPr>
            </w:pPr>
            <w:r>
              <w:rPr>
                <w:rFonts w:ascii="Times New Roman" w:hAnsi="Times New Roman"/>
                <w:noProof/>
              </w:rPr>
              <w:t>Член 156 (Митнически статус на стоките)</w:t>
            </w:r>
          </w:p>
        </w:tc>
        <w:tc>
          <w:tcPr>
            <w:tcW w:w="6628" w:type="dxa"/>
            <w:shd w:val="clear" w:color="auto" w:fill="auto"/>
            <w:vAlign w:val="center"/>
          </w:tcPr>
          <w:p>
            <w:pPr>
              <w:spacing w:before="120" w:after="120"/>
              <w:rPr>
                <w:noProof/>
              </w:rPr>
            </w:pPr>
            <w:r>
              <w:rPr>
                <w:rFonts w:ascii="Times New Roman" w:hAnsi="Times New Roman"/>
                <w:noProof/>
              </w:rPr>
              <w:t>Членове 119, 120, 121, 122, 122а,128, 129, 129в, 129г,182</w:t>
            </w:r>
          </w:p>
        </w:tc>
      </w:tr>
      <w:tr>
        <w:tc>
          <w:tcPr>
            <w:tcW w:w="2552" w:type="dxa"/>
            <w:shd w:val="clear" w:color="auto" w:fill="auto"/>
          </w:tcPr>
          <w:p>
            <w:pPr>
              <w:spacing w:before="120" w:after="120"/>
              <w:rPr>
                <w:noProof/>
              </w:rPr>
            </w:pPr>
            <w:r>
              <w:rPr>
                <w:rFonts w:ascii="Times New Roman" w:hAnsi="Times New Roman"/>
                <w:noProof/>
              </w:rPr>
              <w:t>Член 160 (Поставяне на стоки под митнически режим)</w:t>
            </w:r>
          </w:p>
        </w:tc>
        <w:tc>
          <w:tcPr>
            <w:tcW w:w="6628" w:type="dxa"/>
            <w:shd w:val="clear" w:color="auto" w:fill="auto"/>
            <w:vAlign w:val="center"/>
          </w:tcPr>
          <w:p>
            <w:pPr>
              <w:spacing w:before="120" w:after="120"/>
              <w:rPr>
                <w:noProof/>
              </w:rPr>
            </w:pPr>
            <w:r>
              <w:rPr>
                <w:rFonts w:ascii="Times New Roman" w:hAnsi="Times New Roman"/>
                <w:noProof/>
              </w:rPr>
              <w:t xml:space="preserve">Членове 135, 136, 137, 138, 139, 140, 141, 142, 143 </w:t>
            </w:r>
          </w:p>
        </w:tc>
      </w:tr>
      <w:tr>
        <w:tc>
          <w:tcPr>
            <w:tcW w:w="2552" w:type="dxa"/>
            <w:shd w:val="clear" w:color="auto" w:fill="auto"/>
          </w:tcPr>
          <w:p>
            <w:pPr>
              <w:spacing w:before="120" w:after="120"/>
              <w:rPr>
                <w:noProof/>
              </w:rPr>
            </w:pPr>
            <w:r>
              <w:rPr>
                <w:rFonts w:ascii="Times New Roman" w:hAnsi="Times New Roman"/>
                <w:noProof/>
              </w:rPr>
              <w:t xml:space="preserve">Член 164 </w:t>
            </w:r>
          </w:p>
        </w:tc>
        <w:tc>
          <w:tcPr>
            <w:tcW w:w="6628" w:type="dxa"/>
            <w:shd w:val="clear" w:color="auto" w:fill="auto"/>
            <w:vAlign w:val="center"/>
          </w:tcPr>
          <w:p>
            <w:pPr>
              <w:spacing w:before="120" w:after="120"/>
              <w:rPr>
                <w:noProof/>
              </w:rPr>
            </w:pPr>
            <w:r>
              <w:rPr>
                <w:rFonts w:ascii="Times New Roman" w:hAnsi="Times New Roman"/>
                <w:noProof/>
              </w:rPr>
              <w:t>Член 155</w:t>
            </w:r>
          </w:p>
        </w:tc>
      </w:tr>
      <w:tr>
        <w:tc>
          <w:tcPr>
            <w:tcW w:w="2552" w:type="dxa"/>
            <w:shd w:val="clear" w:color="auto" w:fill="auto"/>
            <w:vAlign w:val="center"/>
          </w:tcPr>
          <w:p>
            <w:pPr>
              <w:spacing w:after="0" w:line="240" w:lineRule="auto"/>
              <w:rPr>
                <w:noProof/>
              </w:rPr>
            </w:pPr>
            <w:r>
              <w:rPr>
                <w:rFonts w:ascii="Times New Roman" w:hAnsi="Times New Roman"/>
                <w:noProof/>
              </w:rPr>
              <w:t>Член 168 (Опростена декларация)</w:t>
            </w:r>
          </w:p>
        </w:tc>
        <w:tc>
          <w:tcPr>
            <w:tcW w:w="6628" w:type="dxa"/>
            <w:shd w:val="clear" w:color="auto" w:fill="auto"/>
            <w:vAlign w:val="center"/>
          </w:tcPr>
          <w:p>
            <w:pPr>
              <w:spacing w:before="120" w:after="120"/>
              <w:rPr>
                <w:noProof/>
              </w:rPr>
            </w:pPr>
            <w:r>
              <w:rPr>
                <w:rFonts w:ascii="Times New Roman" w:hAnsi="Times New Roman"/>
                <w:noProof/>
              </w:rPr>
              <w:t>Членове 145, 146, 147, 183</w:t>
            </w:r>
          </w:p>
        </w:tc>
      </w:tr>
      <w:tr>
        <w:tc>
          <w:tcPr>
            <w:tcW w:w="2552" w:type="dxa"/>
            <w:shd w:val="clear" w:color="auto" w:fill="auto"/>
            <w:vAlign w:val="center"/>
          </w:tcPr>
          <w:p>
            <w:pPr>
              <w:spacing w:after="0" w:line="240" w:lineRule="auto"/>
              <w:rPr>
                <w:noProof/>
              </w:rPr>
            </w:pPr>
            <w:r>
              <w:rPr>
                <w:rFonts w:ascii="Times New Roman" w:hAnsi="Times New Roman"/>
                <w:noProof/>
              </w:rPr>
              <w:t xml:space="preserve">Член 175 </w:t>
            </w:r>
          </w:p>
        </w:tc>
        <w:tc>
          <w:tcPr>
            <w:tcW w:w="6628" w:type="dxa"/>
            <w:shd w:val="clear" w:color="auto" w:fill="auto"/>
            <w:vAlign w:val="center"/>
          </w:tcPr>
          <w:p>
            <w:pPr>
              <w:spacing w:before="120" w:after="120"/>
              <w:rPr>
                <w:noProof/>
              </w:rPr>
            </w:pPr>
            <w:r>
              <w:rPr>
                <w:rFonts w:ascii="Times New Roman" w:hAnsi="Times New Roman"/>
                <w:noProof/>
              </w:rPr>
              <w:t>Членове 148, 248:</w:t>
            </w:r>
          </w:p>
        </w:tc>
      </w:tr>
      <w:tr>
        <w:tc>
          <w:tcPr>
            <w:tcW w:w="2552" w:type="dxa"/>
            <w:shd w:val="clear" w:color="auto" w:fill="auto"/>
            <w:vAlign w:val="center"/>
          </w:tcPr>
          <w:p>
            <w:pPr>
              <w:spacing w:after="0" w:line="240" w:lineRule="auto"/>
              <w:rPr>
                <w:noProof/>
              </w:rPr>
            </w:pPr>
            <w:r>
              <w:rPr>
                <w:rFonts w:ascii="Times New Roman" w:hAnsi="Times New Roman"/>
                <w:noProof/>
              </w:rPr>
              <w:t>Член 180</w:t>
            </w:r>
          </w:p>
        </w:tc>
        <w:tc>
          <w:tcPr>
            <w:tcW w:w="6628" w:type="dxa"/>
            <w:shd w:val="clear" w:color="auto" w:fill="auto"/>
            <w:vAlign w:val="center"/>
          </w:tcPr>
          <w:p>
            <w:pPr>
              <w:spacing w:before="120" w:after="120"/>
              <w:rPr>
                <w:noProof/>
              </w:rPr>
            </w:pPr>
            <w:r>
              <w:rPr>
                <w:rFonts w:ascii="Times New Roman" w:hAnsi="Times New Roman"/>
                <w:noProof/>
              </w:rPr>
              <w:t>Член 149</w:t>
            </w:r>
          </w:p>
        </w:tc>
      </w:tr>
      <w:tr>
        <w:tc>
          <w:tcPr>
            <w:tcW w:w="2552" w:type="dxa"/>
            <w:shd w:val="clear" w:color="auto" w:fill="auto"/>
            <w:vAlign w:val="center"/>
          </w:tcPr>
          <w:p>
            <w:pPr>
              <w:spacing w:after="0" w:line="240" w:lineRule="auto"/>
              <w:rPr>
                <w:noProof/>
              </w:rPr>
            </w:pPr>
            <w:r>
              <w:rPr>
                <w:rFonts w:ascii="Times New Roman" w:hAnsi="Times New Roman"/>
                <w:noProof/>
              </w:rPr>
              <w:t>Член 183 (Вписване в отчетността на декларатора)</w:t>
            </w:r>
          </w:p>
        </w:tc>
        <w:tc>
          <w:tcPr>
            <w:tcW w:w="6628" w:type="dxa"/>
            <w:shd w:val="clear" w:color="auto" w:fill="auto"/>
            <w:vAlign w:val="center"/>
          </w:tcPr>
          <w:p>
            <w:pPr>
              <w:spacing w:before="120" w:after="120"/>
              <w:rPr>
                <w:noProof/>
              </w:rPr>
            </w:pPr>
            <w:r>
              <w:rPr>
                <w:rFonts w:ascii="Times New Roman" w:hAnsi="Times New Roman"/>
                <w:noProof/>
              </w:rPr>
              <w:t>Член 150</w:t>
            </w:r>
          </w:p>
        </w:tc>
      </w:tr>
      <w:tr>
        <w:tc>
          <w:tcPr>
            <w:tcW w:w="2552" w:type="dxa"/>
            <w:shd w:val="clear" w:color="auto" w:fill="auto"/>
            <w:vAlign w:val="center"/>
          </w:tcPr>
          <w:p>
            <w:pPr>
              <w:spacing w:after="0" w:line="240" w:lineRule="auto"/>
              <w:rPr>
                <w:noProof/>
              </w:rPr>
            </w:pPr>
            <w:r>
              <w:rPr>
                <w:rFonts w:ascii="Times New Roman" w:hAnsi="Times New Roman"/>
                <w:noProof/>
              </w:rPr>
              <w:t>Член 186</w:t>
            </w:r>
          </w:p>
        </w:tc>
        <w:tc>
          <w:tcPr>
            <w:tcW w:w="6628" w:type="dxa"/>
            <w:shd w:val="clear" w:color="auto" w:fill="auto"/>
            <w:vAlign w:val="center"/>
          </w:tcPr>
          <w:p>
            <w:pPr>
              <w:spacing w:before="120" w:after="120"/>
              <w:rPr>
                <w:noProof/>
              </w:rPr>
            </w:pPr>
            <w:r>
              <w:rPr>
                <w:rFonts w:ascii="Times New Roman" w:hAnsi="Times New Roman"/>
                <w:noProof/>
              </w:rPr>
              <w:t>Членове 151, 152</w:t>
            </w:r>
          </w:p>
        </w:tc>
      </w:tr>
      <w:tr>
        <w:tc>
          <w:tcPr>
            <w:tcW w:w="2552" w:type="dxa"/>
            <w:shd w:val="clear" w:color="auto" w:fill="auto"/>
            <w:vAlign w:val="center"/>
          </w:tcPr>
          <w:p>
            <w:pPr>
              <w:spacing w:after="0" w:line="240" w:lineRule="auto"/>
              <w:rPr>
                <w:noProof/>
              </w:rPr>
            </w:pPr>
            <w:r>
              <w:rPr>
                <w:rFonts w:ascii="Times New Roman" w:hAnsi="Times New Roman"/>
                <w:noProof/>
              </w:rPr>
              <w:t>Член 196</w:t>
            </w:r>
          </w:p>
        </w:tc>
        <w:tc>
          <w:tcPr>
            <w:tcW w:w="6628" w:type="dxa"/>
            <w:shd w:val="clear" w:color="auto" w:fill="auto"/>
            <w:vAlign w:val="center"/>
          </w:tcPr>
          <w:p>
            <w:pPr>
              <w:spacing w:before="120" w:after="120"/>
              <w:rPr>
                <w:noProof/>
              </w:rPr>
            </w:pPr>
            <w:r>
              <w:rPr>
                <w:rFonts w:ascii="Times New Roman" w:hAnsi="Times New Roman"/>
                <w:noProof/>
              </w:rPr>
              <w:t>Член 153</w:t>
            </w:r>
          </w:p>
        </w:tc>
      </w:tr>
      <w:tr>
        <w:tc>
          <w:tcPr>
            <w:tcW w:w="2552" w:type="dxa"/>
            <w:shd w:val="clear" w:color="auto" w:fill="auto"/>
            <w:vAlign w:val="center"/>
          </w:tcPr>
          <w:p>
            <w:pPr>
              <w:spacing w:after="0" w:line="240" w:lineRule="auto"/>
              <w:rPr>
                <w:noProof/>
              </w:rPr>
            </w:pPr>
            <w:r>
              <w:rPr>
                <w:rFonts w:ascii="Times New Roman" w:hAnsi="Times New Roman"/>
                <w:noProof/>
              </w:rPr>
              <w:t>Член 206</w:t>
            </w:r>
          </w:p>
        </w:tc>
        <w:tc>
          <w:tcPr>
            <w:tcW w:w="6628" w:type="dxa"/>
            <w:shd w:val="clear" w:color="auto" w:fill="auto"/>
            <w:vAlign w:val="center"/>
          </w:tcPr>
          <w:p>
            <w:pPr>
              <w:spacing w:before="120" w:after="120"/>
              <w:rPr>
                <w:noProof/>
              </w:rPr>
            </w:pPr>
            <w:r>
              <w:rPr>
                <w:rFonts w:ascii="Times New Roman" w:hAnsi="Times New Roman"/>
                <w:noProof/>
              </w:rPr>
              <w:t>Членове 158, 159</w:t>
            </w:r>
          </w:p>
        </w:tc>
      </w:tr>
      <w:tr>
        <w:tc>
          <w:tcPr>
            <w:tcW w:w="2552" w:type="dxa"/>
            <w:shd w:val="clear" w:color="auto" w:fill="auto"/>
            <w:vAlign w:val="center"/>
          </w:tcPr>
          <w:p>
            <w:pPr>
              <w:spacing w:after="0" w:line="240" w:lineRule="auto"/>
              <w:rPr>
                <w:noProof/>
              </w:rPr>
            </w:pPr>
            <w:r>
              <w:rPr>
                <w:rFonts w:ascii="Times New Roman" w:hAnsi="Times New Roman"/>
                <w:noProof/>
              </w:rPr>
              <w:t>Член 212 (Общи разпоредби за специални режими)</w:t>
            </w:r>
          </w:p>
        </w:tc>
        <w:tc>
          <w:tcPr>
            <w:tcW w:w="6628" w:type="dxa"/>
            <w:shd w:val="clear" w:color="auto" w:fill="auto"/>
            <w:vAlign w:val="center"/>
          </w:tcPr>
          <w:p>
            <w:pPr>
              <w:spacing w:before="120" w:after="120"/>
              <w:rPr>
                <w:noProof/>
              </w:rPr>
            </w:pPr>
            <w:r>
              <w:rPr>
                <w:rFonts w:ascii="Times New Roman" w:hAnsi="Times New Roman"/>
                <w:noProof/>
              </w:rPr>
              <w:t xml:space="preserve">Членове 161, 163, 165, 166, 167, 170, 175, 176, 177, 178, 201, 202, 203, 204, 206, 207, 218, 239, 240, 242, 243 </w:t>
            </w:r>
          </w:p>
        </w:tc>
      </w:tr>
      <w:tr>
        <w:tc>
          <w:tcPr>
            <w:tcW w:w="2552" w:type="dxa"/>
            <w:shd w:val="clear" w:color="auto" w:fill="auto"/>
            <w:vAlign w:val="center"/>
          </w:tcPr>
          <w:p>
            <w:pPr>
              <w:spacing w:after="0" w:line="240" w:lineRule="auto"/>
              <w:rPr>
                <w:noProof/>
              </w:rPr>
            </w:pPr>
            <w:r>
              <w:rPr>
                <w:rFonts w:ascii="Times New Roman" w:hAnsi="Times New Roman"/>
                <w:noProof/>
              </w:rPr>
              <w:t xml:space="preserve">Член 216 </w:t>
            </w:r>
          </w:p>
        </w:tc>
        <w:tc>
          <w:tcPr>
            <w:tcW w:w="6628" w:type="dxa"/>
            <w:shd w:val="clear" w:color="auto" w:fill="auto"/>
            <w:vAlign w:val="center"/>
          </w:tcPr>
          <w:p>
            <w:pPr>
              <w:spacing w:before="120" w:after="120"/>
              <w:rPr>
                <w:strike/>
                <w:noProof/>
              </w:rPr>
            </w:pPr>
            <w:r>
              <w:rPr>
                <w:rFonts w:ascii="Times New Roman" w:hAnsi="Times New Roman"/>
                <w:noProof/>
              </w:rPr>
              <w:t>Членове 174, 217, 218, 237</w:t>
            </w:r>
          </w:p>
        </w:tc>
      </w:tr>
      <w:tr>
        <w:tc>
          <w:tcPr>
            <w:tcW w:w="2552" w:type="dxa"/>
            <w:shd w:val="clear" w:color="auto" w:fill="auto"/>
            <w:vAlign w:val="center"/>
          </w:tcPr>
          <w:p>
            <w:pPr>
              <w:spacing w:after="0" w:line="240" w:lineRule="auto"/>
              <w:rPr>
                <w:noProof/>
              </w:rPr>
            </w:pPr>
            <w:r>
              <w:rPr>
                <w:rFonts w:ascii="Times New Roman" w:hAnsi="Times New Roman"/>
                <w:noProof/>
              </w:rPr>
              <w:t>Член 221</w:t>
            </w:r>
          </w:p>
        </w:tc>
        <w:tc>
          <w:tcPr>
            <w:tcW w:w="6628" w:type="dxa"/>
            <w:shd w:val="clear" w:color="auto" w:fill="auto"/>
            <w:vAlign w:val="center"/>
          </w:tcPr>
          <w:p>
            <w:pPr>
              <w:spacing w:before="120" w:after="120"/>
              <w:rPr>
                <w:noProof/>
              </w:rPr>
            </w:pPr>
            <w:r>
              <w:rPr>
                <w:rFonts w:ascii="Times New Roman" w:hAnsi="Times New Roman"/>
                <w:noProof/>
              </w:rPr>
              <w:t>Членове 179, 180:</w:t>
            </w:r>
          </w:p>
        </w:tc>
      </w:tr>
      <w:tr>
        <w:tc>
          <w:tcPr>
            <w:tcW w:w="2552" w:type="dxa"/>
            <w:shd w:val="clear" w:color="auto" w:fill="auto"/>
            <w:vAlign w:val="center"/>
          </w:tcPr>
          <w:p>
            <w:pPr>
              <w:spacing w:after="0" w:line="240" w:lineRule="auto"/>
              <w:rPr>
                <w:noProof/>
              </w:rPr>
            </w:pPr>
            <w:r>
              <w:rPr>
                <w:rFonts w:ascii="Times New Roman" w:hAnsi="Times New Roman"/>
                <w:noProof/>
              </w:rPr>
              <w:t>Член 224</w:t>
            </w:r>
          </w:p>
        </w:tc>
        <w:tc>
          <w:tcPr>
            <w:tcW w:w="6628" w:type="dxa"/>
            <w:shd w:val="clear" w:color="auto" w:fill="auto"/>
            <w:vAlign w:val="center"/>
          </w:tcPr>
          <w:p>
            <w:pPr>
              <w:spacing w:before="120" w:after="120"/>
              <w:rPr>
                <w:noProof/>
              </w:rPr>
            </w:pPr>
            <w:r>
              <w:rPr>
                <w:rFonts w:ascii="Times New Roman" w:hAnsi="Times New Roman"/>
                <w:noProof/>
              </w:rPr>
              <w:t>Член 169</w:t>
            </w:r>
          </w:p>
        </w:tc>
      </w:tr>
      <w:tr>
        <w:tc>
          <w:tcPr>
            <w:tcW w:w="2552" w:type="dxa"/>
            <w:shd w:val="clear" w:color="auto" w:fill="auto"/>
            <w:vAlign w:val="center"/>
          </w:tcPr>
          <w:p>
            <w:pPr>
              <w:spacing w:after="0" w:line="240" w:lineRule="auto"/>
              <w:rPr>
                <w:noProof/>
              </w:rPr>
            </w:pPr>
            <w:r>
              <w:rPr>
                <w:rFonts w:ascii="Times New Roman" w:hAnsi="Times New Roman"/>
                <w:noProof/>
              </w:rPr>
              <w:t>Член 231</w:t>
            </w:r>
          </w:p>
        </w:tc>
        <w:tc>
          <w:tcPr>
            <w:tcW w:w="6628" w:type="dxa"/>
            <w:shd w:val="clear" w:color="auto" w:fill="auto"/>
            <w:vAlign w:val="center"/>
          </w:tcPr>
          <w:p>
            <w:pPr>
              <w:spacing w:before="120" w:after="120"/>
              <w:rPr>
                <w:noProof/>
              </w:rPr>
            </w:pPr>
            <w:r>
              <w:rPr>
                <w:rFonts w:ascii="Times New Roman" w:hAnsi="Times New Roman"/>
                <w:noProof/>
              </w:rPr>
              <w:t>Членове 187, 189</w:t>
            </w:r>
          </w:p>
        </w:tc>
      </w:tr>
      <w:tr>
        <w:tc>
          <w:tcPr>
            <w:tcW w:w="2552" w:type="dxa"/>
            <w:shd w:val="clear" w:color="auto" w:fill="auto"/>
            <w:vAlign w:val="center"/>
          </w:tcPr>
          <w:p>
            <w:pPr>
              <w:spacing w:after="0" w:line="240" w:lineRule="auto"/>
              <w:rPr>
                <w:noProof/>
              </w:rPr>
            </w:pPr>
            <w:r>
              <w:rPr>
                <w:rFonts w:ascii="Times New Roman" w:hAnsi="Times New Roman"/>
                <w:noProof/>
              </w:rPr>
              <w:t>Член 235 (Съюзен транзит)</w:t>
            </w:r>
          </w:p>
        </w:tc>
        <w:tc>
          <w:tcPr>
            <w:tcW w:w="6628" w:type="dxa"/>
            <w:shd w:val="clear" w:color="auto" w:fill="auto"/>
            <w:vAlign w:val="center"/>
          </w:tcPr>
          <w:p>
            <w:pPr>
              <w:spacing w:before="120" w:after="120"/>
              <w:rPr>
                <w:noProof/>
              </w:rPr>
            </w:pPr>
            <w:r>
              <w:rPr>
                <w:rFonts w:ascii="Times New Roman" w:hAnsi="Times New Roman"/>
                <w:noProof/>
              </w:rPr>
              <w:t>Членове 191, 193, 195, 197, 198, 199, 200</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Член 253 (Употреба за специфични цели)</w:t>
            </w:r>
          </w:p>
        </w:tc>
        <w:tc>
          <w:tcPr>
            <w:tcW w:w="6628" w:type="dxa"/>
            <w:shd w:val="clear" w:color="auto" w:fill="auto"/>
            <w:vAlign w:val="center"/>
          </w:tcPr>
          <w:p>
            <w:pPr>
              <w:spacing w:before="120" w:after="120"/>
              <w:rPr>
                <w:noProof/>
              </w:rPr>
            </w:pPr>
            <w:r>
              <w:rPr>
                <w:rFonts w:ascii="Times New Roman" w:hAnsi="Times New Roman"/>
                <w:noProof/>
              </w:rPr>
              <w:t>Членове 206, 208, 209, 210, 211, 212, 213, 214, 215, 216, 219, 220, 221, 222, 223, 224, 225, 226, 227, 228, 229, 230, 231, 232, 233, 234, 235, 236</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Член 265</w:t>
            </w:r>
          </w:p>
        </w:tc>
        <w:tc>
          <w:tcPr>
            <w:tcW w:w="6628" w:type="dxa"/>
            <w:shd w:val="clear" w:color="auto" w:fill="auto"/>
            <w:vAlign w:val="center"/>
          </w:tcPr>
          <w:p>
            <w:pPr>
              <w:spacing w:before="120" w:after="120"/>
              <w:rPr>
                <w:noProof/>
              </w:rPr>
            </w:pPr>
            <w:r>
              <w:rPr>
                <w:rFonts w:ascii="Times New Roman" w:hAnsi="Times New Roman"/>
                <w:noProof/>
              </w:rPr>
              <w:t>Членове 244, 245</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ОВ L 269, 10.10.2013 г., стр. 1. С поправка (ОВ L 287, 29.10.2013 г., стр. 90) беше коригирана печатна грешка в текста от 10 октомври, където като дата на начало на прилагането беше посочено 1 юни 2016 г.  В текста, гласуван от Европейския парламент и Съвета, като дата за начало на прилагането беше определен 1 май 2016 г.</w:t>
      </w:r>
      <w:r>
        <w:rPr>
          <w:rStyle w:val="FootnoteReference"/>
          <w:rFonts w:ascii="Times New Roman" w:hAnsi="Times New Roman"/>
          <w:sz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Резолюция на Европейския парламент от 19 януари 2017 г. относно справянето с предизвикателствата на прилагането на Митническия кодекс на Съюза и отговор на Комисията —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Заключения на Съвета относно последващите действия във връзка с Митническия кодекс на Съюза (ОВ C 357, 29.9.2016 г., стр.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 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ОВ C 306, 17.12.2007 г., стр. 1—271.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Регламент за изпълнение (ЕС) № 2015/2447 на Комисията</w:t>
        </w:r>
      </w:hyperlink>
      <w:r>
        <w:rPr>
          <w:rFonts w:ascii="Times New Roman" w:hAnsi="Times New Roman"/>
          <w:sz w:val="20"/>
        </w:rPr>
        <w:t xml:space="preserve">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Делегиран регламент (ЕС) 2016/341 на Комисията от 17 декември 2015 г. за допълнение на Регламент (ЕС) № 952/2013 на Европейския парламент и на Съвета чрез преходни правила за някои разпоредби от Митническия кодекс на Съюза, за случаите, когато съответните електронни системи все още не са в действие, и за изменение на Делегиран регламент (ЕС) 2015/2446 (ОВ L 69, 15.3.2016 г., стр. 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Решение за изпълнение (ЕС</w:t>
      </w:r>
      <w:r>
        <w:rPr>
          <w:rFonts w:ascii="Times New Roman" w:hAnsi="Times New Roman"/>
          <w:color w:val="auto"/>
          <w:sz w:val="20"/>
        </w:rPr>
        <w:t xml:space="preserve">) 2016/578 на Комисията от 11 април 2016 г. </w:t>
      </w:r>
      <w:r>
        <w:rPr>
          <w:rFonts w:ascii="Times New Roman" w:hAnsi="Times New Roman"/>
          <w:sz w:val="20"/>
        </w:rPr>
        <w:t xml:space="preserve">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 което се заменя по-ранната версия на Работната програма, установена в Решение за изпълнение 2014/255/ЕС на Комисията от 29 април 2014 г. (ОВ L 134 7.5.2014 г., стр. 46—53).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С Делегирания регламент относно преходните правила бяха изменени членове 2, 3, 104, 106, 112, 113, 128, 138, 141, 144, 146, 181 и 184 от Делегирания регламент за МКС и бяха добавени членове 122а, 124, 124а, 126, 126а и 129а—129г.</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С Делегиран регламент (ЕС) 2016/651 на Комисията от 5 април 2016 г. (ОВ L 111, 27.4.2016 г., стр. 1) бяха поправени членове 136 и 141 от Делегирания регламент за МКС.</w:t>
      </w:r>
      <w:r>
        <w:rPr>
          <w:rStyle w:val="FootnoteReference"/>
          <w:rFonts w:ascii="Times New Roman" w:hAnsi="Times New Roman"/>
          <w:sz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Делегиран регламент (ЕС) 2016/698 на Комисията от 8 април 2016 г. за поправка на Делегирания акт относно преходните правила. </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Решение за изпълнение C 2016/2422 на Комисията от 27 април 2016 г. за определяне на общи критерии за анализ на риска по отношение на сигурността и безопасността.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Вж. регистъра на експертните групи към Комисията на адрес </w:t>
      </w:r>
      <w:hyperlink r:id="rId2">
        <w:r>
          <w:rPr>
            <w:rStyle w:val="Hyperlink"/>
          </w:rPr>
          <w:t>http://ec.europa.eu/transparency/regexpert/index.cfm?do=search.result&amp;page=1</w:t>
        </w:r>
        <w:r>
          <w:rPr>
            <w:rStyle w:val="Hyperlink"/>
            <w:rFonts w:ascii="Times New Roman" w:hAnsi="Times New Roman"/>
            <w:sz w:val="20"/>
          </w:rPr>
          <w:t xml:space="preserve"> </w:t>
        </w:r>
      </w:hyperlink>
      <w:r>
        <w:rPr>
          <w:rFonts w:ascii="Times New Roman" w:hAnsi="Times New Roman"/>
          <w:sz w:val="20"/>
        </w:rPr>
        <w:t xml:space="preserve"> </w:t>
      </w:r>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Регламент (ЕС) 2016/2339 на Европейския парламент и на Съвета от 14 декември 2016 г. за изменение на Регламент (ЕС) № 952/2013 за създаване на Митнически кодекс на Съюза, по отношение на стоки, които са напуснали временно митническата територия на Съюза по море или по въздух (ОВ L 354, 23.12.2016 г., стр.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Регламент за изпълнение (ЕС) 2017/989 на Комисията от 8 юни 2017 г. за поправка и изменение на Регламент за изпълнение (ЕС) 2015/2447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149, 13.6.2017 г., стр. 19—56).</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за изпълнение (ЕС) 2017/2089 на Комисията от 14 ноември 2017 г. относно техническите разпоредби за разработване, поддържане и използване на електронни системи за обмен и съхранение на информация съгласно Митническия кодекс на Съюза.</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под линия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под линия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rPr>
        <w:t xml:space="preserve">.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под линия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r>
        <w:rPr>
          <w:rFonts w:ascii="Times New Roman" w:hAnsi="Times New Roman"/>
        </w:rPr>
        <w: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бележка под линия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C700EF54"/>
    <w:lvl w:ilvl="0" w:tplc="89B2D634">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9846381C"/>
    <w:lvl w:ilvl="0" w:tplc="50928106">
      <w:start w:val="1"/>
      <w:numFmt w:val="decimal"/>
      <w:lvlText w:val="%1."/>
      <w:lvlJc w:val="left"/>
      <w:pPr>
        <w:ind w:left="644" w:hanging="360"/>
      </w:pPr>
      <w:rPr>
        <w:rFonts w:hint="default"/>
        <w:b/>
      </w:rPr>
    </w:lvl>
    <w:lvl w:ilvl="1" w:tplc="A41A28DA">
      <w:start w:val="1"/>
      <mc:AlternateContent>
        <mc:Choice Requires="w14">
          <w:numFmt w:val="custom" w:format="а, й, к, ..."/>
        </mc:Choice>
        <mc:Fallback>
          <w:numFmt w:val="decimal"/>
        </mc:Fallback>
      </mc:AlternateContent>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12808F-5CE2-4C08-B0CF-13B6CAA3C531"/>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7?\u1088?\u1080?\u1083?\u1072?\u1075?\u1072?\u1085?\u1077?\u1090?\u1086? \u1085?\u1072? \u1052?\u1080?\u1090?\u1085?\u1080?\u1095?\u1077?\u1089?\u1082?\u1080?\u1103? \u1082?\u1086?\u1076?\u1077?\u1082?\u1089? \u1085?\u1072? \u1057?\u1098?\u1102?\u1079?\u1072? \u1080?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9?\u1098?\u1075?\u1083?\u1072?\u1089?\u1085?\u1086? \u1095?\u1083?\u1077?\u1085? 284 \u1086?\u1090? \u1085?\u1077?\u1075?\u1086?&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bg-BG"/>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bg-BG"/>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BG/TXT/?uri=CELEX:32015R2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A3E7-E886-4361-B9B2-C205971E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7303</Words>
  <Characters>41851</Characters>
  <Application>Microsoft Office Word</Application>
  <DocSecurity>0</DocSecurity>
  <Lines>837</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2017-10-23T07:28:00Z</cp:lastPrinted>
  <dcterms:created xsi:type="dcterms:W3CDTF">2018-01-10T08:05:00Z</dcterms:created>
  <dcterms:modified xsi:type="dcterms:W3CDTF">2018-01-15T16:25:00Z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