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531221D-BCE2-450F-BA2A-D00B568E7B6A" style="width:450.4pt;height:383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caps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  <w:r>
        <w:rPr>
          <w:noProof/>
        </w:rPr>
        <w:br/>
      </w:r>
      <w:r>
        <w:rPr>
          <w:caps/>
          <w:noProof/>
        </w:rPr>
        <w:t xml:space="preserve">Ключови компетентности за учене през целия живот </w:t>
      </w:r>
      <w:r>
        <w:rPr>
          <w:caps/>
          <w:noProof/>
        </w:rPr>
        <w:br/>
        <w:t>Европейска референтна рамка</w:t>
      </w:r>
    </w:p>
    <w:p>
      <w:pPr>
        <w:rPr>
          <w:b/>
          <w:noProof/>
        </w:rPr>
      </w:pPr>
      <w:r>
        <w:rPr>
          <w:b/>
          <w:noProof/>
        </w:rPr>
        <w:t>Контекст и цели</w:t>
      </w:r>
    </w:p>
    <w:p>
      <w:pPr>
        <w:ind w:left="720"/>
        <w:rPr>
          <w:i/>
          <w:noProof/>
        </w:rPr>
      </w:pPr>
      <w:r>
        <w:rPr>
          <w:i/>
          <w:noProof/>
        </w:rPr>
        <w:t>Всеки има право на достъп до качествено и приобщаващо образование, обучение и учене през целия живот, за да поддържа и придобива умения, които му дават възможност да участва пълноценно в обществото и успешно да осъществява преходи на пазара на труда.</w:t>
      </w:r>
    </w:p>
    <w:p>
      <w:pPr>
        <w:ind w:left="720"/>
        <w:rPr>
          <w:i/>
          <w:noProof/>
          <w:spacing w:val="-4"/>
        </w:rPr>
      </w:pPr>
      <w:r>
        <w:rPr>
          <w:i/>
          <w:noProof/>
          <w:spacing w:val="-4"/>
        </w:rPr>
        <w:t>Всеки има право на навременна и съобразена с нуждите му помощ за подобряване на перспективите му за заетост или за самостоятелна заетост. Това включва правото да се получи подкрепа за търсене на работа, обучение и преквалификация.</w:t>
      </w:r>
    </w:p>
    <w:p>
      <w:pPr>
        <w:rPr>
          <w:noProof/>
        </w:rPr>
      </w:pPr>
      <w:r>
        <w:rPr>
          <w:noProof/>
        </w:rPr>
        <w:t>Тези принципи са определени в Европейския стълб на социалните права.</w:t>
      </w:r>
    </w:p>
    <w:p>
      <w:pPr>
        <w:rPr>
          <w:noProof/>
          <w:spacing w:val="-2"/>
        </w:rPr>
      </w:pPr>
      <w:r>
        <w:rPr>
          <w:noProof/>
          <w:spacing w:val="-2"/>
        </w:rPr>
        <w:t xml:space="preserve">В един бързо променящ се и силно взаимосвързан свят всеки човек ще има нужда от широк набор от умения и компетентности и ще трябва да ги развива през целия си живот. Ключовите компетентности, определени в настоящата референтна рамка, имат за цел да положат основите за постигане на по-равноправни и по-демократични общества. Тези компетентности отговарят на необходимостта от приобщаващ и устойчив растеж, социално сближаване и по-нататъшно развитие на демократичната култура. </w:t>
      </w:r>
    </w:p>
    <w:p>
      <w:pPr>
        <w:rPr>
          <w:noProof/>
        </w:rPr>
      </w:pPr>
      <w:r>
        <w:rPr>
          <w:noProof/>
        </w:rPr>
        <w:t>Главните цели на Референтната рамка са следните:</w:t>
      </w:r>
    </w:p>
    <w:p>
      <w:pPr>
        <w:pStyle w:val="ListNumber3"/>
        <w:rPr>
          <w:noProof/>
          <w:spacing w:val="-2"/>
        </w:rPr>
      </w:pPr>
      <w:r>
        <w:rPr>
          <w:noProof/>
          <w:spacing w:val="-2"/>
        </w:rPr>
        <w:t>а) да идентифицира и определи ключовите компетентности, необходими за пригодност за заетост, личностна реализация, активно гражданско участие и социално приобщаване;</w:t>
      </w:r>
    </w:p>
    <w:p>
      <w:pPr>
        <w:pStyle w:val="ListNumber3"/>
        <w:rPr>
          <w:noProof/>
        </w:rPr>
      </w:pPr>
      <w:r>
        <w:rPr>
          <w:noProof/>
        </w:rPr>
        <w:t>б) да осигури европейски референтен инструмент за определящите политиката лица, доставчиците на образование и обучение, персонала в образователната система, работодателите и самите учащи;</w:t>
      </w:r>
    </w:p>
    <w:p>
      <w:pPr>
        <w:pStyle w:val="ListNumber3"/>
        <w:rPr>
          <w:noProof/>
        </w:rPr>
      </w:pPr>
      <w:r>
        <w:rPr>
          <w:noProof/>
        </w:rPr>
        <w:t>в) да подпомага усилията на европейско, национално, регионално и местно равнище за насърчаване на развитието на компетентности чрез учене през целия живот.</w:t>
      </w:r>
    </w:p>
    <w:p>
      <w:pPr>
        <w:rPr>
          <w:b/>
          <w:noProof/>
        </w:rPr>
      </w:pPr>
      <w:r>
        <w:rPr>
          <w:b/>
          <w:noProof/>
        </w:rPr>
        <w:t>Ключови компетентности</w:t>
      </w:r>
    </w:p>
    <w:p>
      <w:pPr>
        <w:rPr>
          <w:noProof/>
        </w:rPr>
      </w:pPr>
      <w:r>
        <w:rPr>
          <w:noProof/>
        </w:rPr>
        <w:t xml:space="preserve">За целите на настоящата препоръка компетентностите се определят като съчетание от знания, умения и нагласи, при което: 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а) знанията са съставени от фактите и цифрите, понятията, представите и теориите, които са вече утвърдени и подпомагат разбирането на определена област или предмет;</w:t>
      </w:r>
    </w:p>
    <w:p>
      <w:pPr>
        <w:rPr>
          <w:noProof/>
          <w:szCs w:val="24"/>
        </w:rPr>
      </w:pPr>
      <w:r>
        <w:rPr>
          <w:noProof/>
        </w:rPr>
        <w:t>б) уменията се определят като способността и възможността на човек да извършва процеси и да използва съществуващите знания, за да постигне резултати;</w:t>
      </w:r>
    </w:p>
    <w:p>
      <w:pPr>
        <w:rPr>
          <w:noProof/>
          <w:szCs w:val="24"/>
        </w:rPr>
      </w:pPr>
      <w:r>
        <w:rPr>
          <w:noProof/>
        </w:rPr>
        <w:t>в) нагласите описват предразположението и начинът на мислене за действие или реагиране на идеи, лица или ситуации.</w:t>
      </w:r>
    </w:p>
    <w:p>
      <w:pPr>
        <w:rPr>
          <w:noProof/>
        </w:rPr>
      </w:pPr>
      <w:r>
        <w:rPr>
          <w:noProof/>
        </w:rPr>
        <w:t>Ключовите компетентности са компетентностите, нужни на всеки човек за личностна реализация и развитие, пригодност за заетост, социално приобщаване и активно гражданско участие. Те се развиват чрез учене през целия живот — от ранна детска възраст до живот като възрастен — и чрез формално, неформално и информално учене.</w:t>
      </w:r>
    </w:p>
    <w:p>
      <w:pPr>
        <w:rPr>
          <w:noProof/>
          <w:spacing w:val="-2"/>
        </w:rPr>
      </w:pPr>
      <w:r>
        <w:rPr>
          <w:noProof/>
          <w:spacing w:val="-2"/>
        </w:rPr>
        <w:t xml:space="preserve">Всички ключови компетентности се считат еднакво важни; всяка от тях допринася за успешен живот в обществото. Компетентностите могат да се прилагат в много различни ситуации и в най-различни съчетания. Те се припокриват и са взаимосвързани; аспектите, които са най-важни в дадена област, подпомагат компетентността в друга. В ключовите компетентности са залегнали умения като критичното мислене, уменията за решаване на </w:t>
      </w:r>
      <w:r>
        <w:rPr>
          <w:noProof/>
          <w:spacing w:val="-2"/>
        </w:rPr>
        <w:lastRenderedPageBreak/>
        <w:t xml:space="preserve">проблеми, за работа в екип, за общуване и водене на преговори, аналитичните умения, творческите способности и междукултурните умения. 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>В Референтната рамка се определят осем ключови компетентности:</w:t>
      </w:r>
    </w:p>
    <w:p>
      <w:pPr>
        <w:pStyle w:val="Bullet0"/>
        <w:numPr>
          <w:ilvl w:val="0"/>
          <w:numId w:val="8"/>
        </w:numPr>
        <w:rPr>
          <w:noProof/>
        </w:rPr>
      </w:pPr>
      <w:r>
        <w:rPr>
          <w:noProof/>
        </w:rPr>
        <w:t>езикова грамотност;</w:t>
      </w:r>
    </w:p>
    <w:p>
      <w:pPr>
        <w:pStyle w:val="Bullet0"/>
        <w:rPr>
          <w:noProof/>
        </w:rPr>
      </w:pPr>
      <w:r>
        <w:rPr>
          <w:noProof/>
        </w:rPr>
        <w:t>компетентност по чужди езици;</w:t>
      </w:r>
    </w:p>
    <w:p>
      <w:pPr>
        <w:pStyle w:val="Bullet0"/>
        <w:rPr>
          <w:noProof/>
        </w:rPr>
      </w:pPr>
      <w:r>
        <w:rPr>
          <w:noProof/>
        </w:rPr>
        <w:t>математическа компетентност и компетентност в областта на науките, технологиите и инженерството;</w:t>
      </w:r>
    </w:p>
    <w:p>
      <w:pPr>
        <w:pStyle w:val="Bullet0"/>
        <w:rPr>
          <w:noProof/>
        </w:rPr>
      </w:pPr>
      <w:r>
        <w:rPr>
          <w:noProof/>
        </w:rPr>
        <w:t>цифрова компетентност;</w:t>
      </w:r>
    </w:p>
    <w:p>
      <w:pPr>
        <w:pStyle w:val="Bullet0"/>
        <w:rPr>
          <w:noProof/>
        </w:rPr>
      </w:pPr>
      <w:r>
        <w:rPr>
          <w:noProof/>
        </w:rPr>
        <w:t>личностна компетентност, социална компетентност и компетентност за учене;</w:t>
      </w:r>
    </w:p>
    <w:p>
      <w:pPr>
        <w:pStyle w:val="Bullet0"/>
        <w:rPr>
          <w:noProof/>
        </w:rPr>
      </w:pPr>
      <w:r>
        <w:rPr>
          <w:noProof/>
        </w:rPr>
        <w:t>гражданска компетентност;</w:t>
      </w:r>
    </w:p>
    <w:p>
      <w:pPr>
        <w:pStyle w:val="Bullet0"/>
        <w:rPr>
          <w:noProof/>
        </w:rPr>
      </w:pPr>
      <w:r>
        <w:rPr>
          <w:noProof/>
        </w:rPr>
        <w:t xml:space="preserve">предприемаческа компетентност; </w:t>
      </w:r>
    </w:p>
    <w:p>
      <w:pPr>
        <w:pStyle w:val="Bullet0"/>
        <w:rPr>
          <w:noProof/>
        </w:rPr>
      </w:pPr>
      <w:r>
        <w:rPr>
          <w:noProof/>
        </w:rPr>
        <w:t>компетентност за културна осведоменост и изява.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Езикова грамотност</w:t>
      </w:r>
    </w:p>
    <w:p>
      <w:pPr>
        <w:rPr>
          <w:noProof/>
        </w:rPr>
      </w:pPr>
      <w:r>
        <w:rPr>
          <w:noProof/>
        </w:rPr>
        <w:t xml:space="preserve">Езиковата грамотност е способността за разпознаване, разбиране, изразяване, създаване и тълкуване на понятия, чувства, факти и мнения както в устен, така и в писмен вид при използване на нагледни, звукови материали, аудиоматериали и материали в цифров формат в различни дисциплини и ситуации. Тя предполага способност за общуване и успешно разбиране с останалите хора по подходящ и съзидателен начин. </w:t>
      </w:r>
    </w:p>
    <w:p>
      <w:pPr>
        <w:rPr>
          <w:noProof/>
        </w:rPr>
      </w:pPr>
      <w:r>
        <w:rPr>
          <w:noProof/>
        </w:rPr>
        <w:t xml:space="preserve">Развитието на езиковата грамотност формира основата за по-нататъшно учене и по-нататъшно езиково взаимодействие. В зависимост от контекста езиковата грамотност може да се развива на майчиния език, на езика, на който се провежда обучението, и/или на официалния език в дадена държава или регион. 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Езиковата грамотност включва уменията за четене и писане и правилно разбиране на писмена информация. За такава грамотност е необходимо лицето да има познания по лексика, по функционална граматика и за функциите на езика. Тя включва разбиране на основните видове вербално взаимодействие, на различни литературни и нелитературни текстове и на главните особености на различните езикови стилове и регистри.</w:t>
      </w:r>
    </w:p>
    <w:p>
      <w:pPr>
        <w:rPr>
          <w:noProof/>
        </w:rPr>
      </w:pPr>
      <w:r>
        <w:rPr>
          <w:noProof/>
        </w:rPr>
        <w:t>Лицата следва да притежават умения да комуникират както устно, така и писмено в различни ситуации и да наблюдават и адаптират своята комуникация към нуждите на ситуацията. Тази компетентност включва и способност да се разграничават и използват различни видове източници, да се търси, събира и обработва информация, да се използват пособия и да се формулират и изразяват устно и писмено собствените аргументи по убедителен начин, подходящ за контекста.</w:t>
      </w:r>
    </w:p>
    <w:p>
      <w:pPr>
        <w:rPr>
          <w:noProof/>
        </w:rPr>
      </w:pPr>
      <w:r>
        <w:rPr>
          <w:noProof/>
        </w:rPr>
        <w:t>Положителното отношение към езиковата грамотност включва предразположение към провеждането на критичен и конструктивен диалог, оценяване на естетическите качества и интерес към общуването с други хора. Това предполага разбиране на въздействието на езика върху другите хора и необходимост езикът да се разбира и използва по положителен и социално отговорен начин.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Компетентност по чужди езици</w:t>
      </w:r>
    </w:p>
    <w:p>
      <w:pPr>
        <w:rPr>
          <w:noProof/>
        </w:rPr>
      </w:pPr>
      <w:r>
        <w:rPr>
          <w:noProof/>
        </w:rPr>
        <w:t xml:space="preserve">Тази компетентност определя способността за ефективно ползване на различни езици по подходящ начин за комуникация. Тя като цяло обхваща същите основни умения </w:t>
      </w:r>
      <w:r>
        <w:rPr>
          <w:noProof/>
        </w:rPr>
        <w:lastRenderedPageBreak/>
        <w:t>като тези на езиковата грамотност: основава се на способността за разбиране, изразяване и тълкуване на понятия, мисли, чувства, факти и мнения както в устен, така и в писмен вид (слушане, говорене, четене и писане) в подходящ кръг обществени и културни контексти в съответствие със собствените желания и нужди. Когато е уместно, тази компетентност може да включва поддържане и доразвиване на компетентностите по майчиния език.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Тази компетентност изисква познаване на лексиката и функционалната граматика на различни езици, както и познаване на основните видове вербално взаимодействие и езикови регистри. Важно е познаването на обществените норми и на културния аспект и променливостта на езиците.</w:t>
      </w:r>
    </w:p>
    <w:p>
      <w:pPr>
        <w:rPr>
          <w:noProof/>
          <w:spacing w:val="-2"/>
        </w:rPr>
      </w:pPr>
      <w:r>
        <w:rPr>
          <w:noProof/>
          <w:spacing w:val="-2"/>
        </w:rPr>
        <w:t xml:space="preserve">Най-важното умение за тази компетентност е способността за разбиране на устни съобщения, за започване, поддържане и приключване на разговор и за четене, разбиране и съставяне на текстове — при различни равнища на владеене на различни езици — съобразно нуждите на лицето. Лицата следва да могат да използват правилно помощните средства и да учат езици формално, неформално и информално през целия си живот. </w:t>
      </w:r>
    </w:p>
    <w:p>
      <w:pPr>
        <w:rPr>
          <w:noProof/>
          <w:spacing w:val="-4"/>
        </w:rPr>
      </w:pPr>
      <w:r>
        <w:rPr>
          <w:noProof/>
          <w:spacing w:val="-4"/>
        </w:rPr>
        <w:t xml:space="preserve">Положителната нагласа включва оценяване на културното многообразие, интерес и любопитство към различни езици и междукултурно общуване. Тя включва също уважение към индивидуалния езиков профил на всеки човек, включително уважение към майчиния език на лицата, принадлежащи към малцинства и/или от семейства на мигранти. </w:t>
      </w:r>
    </w:p>
    <w:p>
      <w:pPr>
        <w:pStyle w:val="ListNumber"/>
        <w:rPr>
          <w:b/>
          <w:noProof/>
        </w:rPr>
      </w:pPr>
      <w:r>
        <w:rPr>
          <w:b/>
          <w:noProof/>
        </w:rPr>
        <w:t xml:space="preserve">Математическа компетентност и компетентност в областта на науките, технологиите и инженерството </w:t>
      </w:r>
    </w:p>
    <w:p>
      <w:pPr>
        <w:rPr>
          <w:noProof/>
        </w:rPr>
      </w:pPr>
      <w:r>
        <w:rPr>
          <w:noProof/>
        </w:rPr>
        <w:t>А. Математическата компетентност е умението за развиване и прилагане на математическо мислене с цел решаване на различни проблеми в ситуации от ежедневието. Като се стъпва на добра математическа грамотност, се набляга на разсъждението и дейността, както и на знанията. Математическата компетентност включва в различна степен способността и желанието за използване на математически начини на мислене (логическо и пространствено мислене) и представяне (формули, модели, концепции, графики и диаграми).</w:t>
      </w:r>
    </w:p>
    <w:p>
      <w:pPr>
        <w:rPr>
          <w:noProof/>
        </w:rPr>
      </w:pPr>
      <w:r>
        <w:rPr>
          <w:noProof/>
        </w:rPr>
        <w:t>Б. Компетентността в областта на науките се отнася до способността и желанието да се използват знанията и методиките, служещи за обясняване на природния свят, с цел задаване на въпроси и формулиране на заключения, основани на факти. Компетентностите в областта на технологиите и инженерството са прилагането на тези знания и методики в отговор на предполагаеми човешки желания или нужди. Компетентността в областта на науките, технологиите и инженерството включва разбиране на промените, причинени от човешката дейност, и отговорността на отделния гражданин.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А. Необходимите знания по математика включват добро познаване на числата, мерките и структурите, основните действия и основните начини за математическо представяне, разбиране на математическите термини и понятия и познаване на въпросите, на които математиката може да даде отговор.</w:t>
      </w:r>
    </w:p>
    <w:p>
      <w:pPr>
        <w:rPr>
          <w:noProof/>
        </w:rPr>
      </w:pPr>
      <w:r>
        <w:rPr>
          <w:noProof/>
        </w:rPr>
        <w:t xml:space="preserve">Лицето следва да притежава умения за прилагане на основните математически принципи и действия в ежедневни ситуации у дома и на работа (напр. финансови умения) и да проследява и оценява поредица от аргументи. То следва да може да разсъждава математически, да разбира математически доказателства, да комуникира на </w:t>
      </w:r>
      <w:r>
        <w:rPr>
          <w:noProof/>
        </w:rPr>
        <w:lastRenderedPageBreak/>
        <w:t xml:space="preserve">математически език и да използва подходящи помощни средства, включително статистически данни и графики. </w:t>
      </w:r>
    </w:p>
    <w:p>
      <w:pPr>
        <w:rPr>
          <w:noProof/>
        </w:rPr>
      </w:pPr>
      <w:r>
        <w:rPr>
          <w:noProof/>
        </w:rPr>
        <w:t>Положителната нагласа в математиката се основава на зачитането на истината и на желанието да се търсят причините, както и да се оценява тяхната валидност.</w:t>
      </w:r>
    </w:p>
    <w:p>
      <w:pPr>
        <w:rPr>
          <w:noProof/>
        </w:rPr>
      </w:pPr>
      <w:r>
        <w:rPr>
          <w:noProof/>
        </w:rPr>
        <w:t>Б. Най-важните знания в областта на науката, технологиите и инженерството обхващат основните принципи на природния свят, основните научни понятия, теории, принципи и методи, технологиите и технологичните продукти и процеси, както и разбиране на въздействието на науката, технологиите, инженерството и човешката дейност като цяло върху природния свят. Тези компетентности следва да дават възможност на лицата да разбират по-добре напредъка, ограниченията и рисковете на научните теории и приложения и на технологиите в обществата като цяло (във връзка с вземането на решения, ценностите, моралните въпроси, културата и т.н.).</w:t>
      </w:r>
    </w:p>
    <w:p>
      <w:pPr>
        <w:rPr>
          <w:noProof/>
          <w:spacing w:val="-2"/>
        </w:rPr>
      </w:pPr>
      <w:r>
        <w:rPr>
          <w:noProof/>
          <w:spacing w:val="-2"/>
        </w:rPr>
        <w:t>Уменията включват разбирането на науката като процес на изследване на природата чрез контролирани експерименти, способността да се използват и управляват технологични средства и машини, както и научни данни с цел постигане на дадена цел или вземане на решение/стигане до заключение въз основа на факти, както и готовността за отказ от собствените убеждения, когато те противоречат на резултатите от нови експерименти. Лицата следва също да могат да разпознават съществените особености на научно изследване и да умеят да предадат заключенията и разсъжденията, довели до тях.</w:t>
      </w:r>
    </w:p>
    <w:p>
      <w:pPr>
        <w:rPr>
          <w:noProof/>
        </w:rPr>
      </w:pPr>
      <w:r>
        <w:rPr>
          <w:noProof/>
        </w:rPr>
        <w:t>Компетентността включва нагласа за критично оценяване и любопитство, загриженост по етичните въпроси и подкрепа за безопасността и устойчивостта на околната среда, по-специално що се отнася до научния и технологичния прогрес по отношение на самия себе си, семейството, общността и глобалните въпроси.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Цифрова компетентност</w:t>
      </w:r>
    </w:p>
    <w:p>
      <w:pPr>
        <w:rPr>
          <w:noProof/>
        </w:rPr>
      </w:pPr>
      <w:r>
        <w:rPr>
          <w:noProof/>
        </w:rPr>
        <w:t xml:space="preserve">Цифровата компетентност означава уверено, критично и отговорно ползване на цифровите технологии за учене, на работното място и за участие в обществото. Тя включва информационна грамотност и грамотност по отношение на данните, общуване и сътрудничество, създаване на цифрово съдържание (включително програмиране), безопасност (включително благополучие в цифровата среда и компетентности във връзка с киберсигурността) и решаване на проблеми. 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Лицата следва да разбират как цифровите технологии могат да подпомагат общуването, творчеството и иновациите и да са запознати с възможностите на тези технологии, с техните ограничения, с последиците от тях и с рисковете, свързани с тях. Те следва да разбират общите принципи, механизмите и логиката, които стоят в основата на развиващите се цифрови технологии и да познават основните функции и употреба на различните устройства, софтуер и мрежи. Лицата следва да имат критичен подход към валидността, надеждността и въздействието на информацията и данните, достъпни посредством цифрови средства, и да са запознати с правните и етичните принципи, свързани с ползването на цифровите технологии.</w:t>
      </w:r>
    </w:p>
    <w:p>
      <w:pPr>
        <w:rPr>
          <w:noProof/>
        </w:rPr>
      </w:pPr>
      <w:r>
        <w:rPr>
          <w:noProof/>
        </w:rPr>
        <w:t xml:space="preserve">Лицата следва да могат да ползват цифровите технологии, за да подпомогнат активното си гражданско участие и социалното си приобщаване, сътрудничеството си с други хора и творчеството си за постигане на личностни, социални или търговски цели. Уменията включват способност за ползване на цифрово съдържание, достъп до цифрово съдържание и филтриране, оценяване, създаване, програмиране и споделяне на цифрово съдържание. Лицата следва да могат да управляват и защитават </w:t>
      </w:r>
      <w:r>
        <w:rPr>
          <w:noProof/>
        </w:rPr>
        <w:lastRenderedPageBreak/>
        <w:t>информация, съдържание, данни и цифрови самоличности, както и да разпознават и да ползват ефективно софтуер, устройства, изкуствен интелект или роботи.</w:t>
      </w:r>
    </w:p>
    <w:p>
      <w:pPr>
        <w:rPr>
          <w:noProof/>
        </w:rPr>
      </w:pPr>
      <w:r>
        <w:rPr>
          <w:noProof/>
        </w:rPr>
        <w:t>Ползването на цифрови технологии и цифрово съдържание изисква разсъдливо и критично, но любознателно, непредубедено и напредничаво отношение към тяхното развитие. Изисква се също етичен, безопасен и отговорен подход към ползването на тези средства.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Личностна компетентност, социална компетентност и компетентност за учене</w:t>
      </w:r>
    </w:p>
    <w:p>
      <w:pPr>
        <w:keepNext/>
        <w:rPr>
          <w:noProof/>
        </w:rPr>
      </w:pPr>
      <w:r>
        <w:rPr>
          <w:noProof/>
        </w:rPr>
        <w:t xml:space="preserve">Личностната компетентност, социалната компетентност и компетентността за учене са способността човек да разсъждава за себе си, да управлява ефективно времето и информацията, да работи конструктивно с други хора, да запазва своята устойчивост и да управлява собственото си обучение и кариера. Те включват способност за справяне с несигурността и сложността, за придобиване на умения за учене, за подпомагане на собственото физическо и емоционално благополучие, за съпричастност и за управление на конфликти. 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 xml:space="preserve">За успешни междуличностни отношения и социално участие е от съществено значение разбирането на кодексите на поведение и правилата за общуване, общоприети в различните общества и среди. Личностната компетентност, социалната компетентност и компетентността за учене изискват също така познаване на компонентите на здравия дух, здравото тяло и здравословния начин на живот. Те включват познаване на предпочитаните собствени стратегии за учене, на собствените нужди от развиване на компетентностите и различните начини за развиване на компетентностите, както и способност за търсене на възможности за образоване, обучаване и развиване на кариерата и наличното ориентиране или подкрепа. </w:t>
      </w:r>
    </w:p>
    <w:p>
      <w:pPr>
        <w:rPr>
          <w:noProof/>
          <w:spacing w:val="-2"/>
        </w:rPr>
      </w:pPr>
      <w:r>
        <w:rPr>
          <w:noProof/>
          <w:spacing w:val="-2"/>
        </w:rPr>
        <w:t xml:space="preserve">Уменията включват способността за определяне на собствените възможности, за съсредоточаване, за справяне със сложността, за критично разсъждаване и за вземане на решения. Това включва способността за учене и работа както в сътрудничество, така и самостоятелно и за организиране и постоянстване в собствените знания, за тяхната оценка и споделяне, за търсене на подкрепа, когато е уместно, и за ефективно управление на собствената кариера и социални взаимодействия. Лицата следва да са устойчиви и да могат да се справят с несигурността и стреса. Те следва да могат да общуват конструктивно в различни среди, да работят съвместно с други хора в екип и да преговарят. Това включва демонстриране на толерантност, изразяване и разбиране на различни гледни точки, както и способност за вдъхване на доверие и за съпричастност. </w:t>
      </w:r>
    </w:p>
    <w:p>
      <w:pPr>
        <w:rPr>
          <w:noProof/>
          <w:spacing w:val="-4"/>
        </w:rPr>
      </w:pPr>
      <w:r>
        <w:rPr>
          <w:noProof/>
          <w:spacing w:val="-4"/>
        </w:rPr>
        <w:t>Тези компетентности се основават на положително отношение към собственото личностно, социално и физическо благополучие и учене през целия живот. Те се основават на нагласа за сътрудничество, отстояване и почтеност. Това включва уважаване на другите и готовност за преодоляване на предразсъдъци и за постигане на компромис. Лицата следва да могат да определят и поставят цели, да се мотивират и да развиват устойчивост и увереност, за да учат и да постигнат успехи в това отношение през целия си живот. Нагласата за решаване на проблеми подпомага както процеса на учене, така и способността на човек да се справя с препятствията и промените. Тя включва желание за прилагане на придобити по-рано знания и жизнен опит, както и любопитство за търсене на възможности за учене и развитие в различни жизнени контексти.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Гражданска компетентност</w:t>
      </w:r>
    </w:p>
    <w:p>
      <w:pPr>
        <w:rPr>
          <w:noProof/>
        </w:rPr>
      </w:pPr>
      <w:r>
        <w:rPr>
          <w:noProof/>
        </w:rPr>
        <w:t xml:space="preserve">Гражданската компетентност е способността за действие като разумни граждани и за пълноценно участие в гражданския и социалния живот въз основа на разбиране на </w:t>
      </w:r>
      <w:r>
        <w:rPr>
          <w:noProof/>
        </w:rPr>
        <w:lastRenderedPageBreak/>
        <w:t xml:space="preserve">социалните, икономическите и политическите понятия и структури, както и световните събития и устойчивост. 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Гражданската компетентност се основава на познаване на основните понятия, свързани с физическите лица, групите, трудовите организации, обществото, икономиката и културата. Това означава разбиране на европейските общи ценности, изразени в член 2 от Договора за Европейския съюз и в Хартата на основните права на Европейския съюз. Тази компетентност включва осведоменост за съвременните събития и критическо разбиране за главните събития в националната, европейската и световната история. Освен това тя включва информираност относно целите, ценностите и политиките на социалните и политическите движения, както и осведоменост за устойчивите системи, по-специално за изменението на климата и демографските промени в световен мащаб и техните основни причини. От съществено значение са познанията за европейската интеграция и осведоменост за многообразието и културните идентичности в Европа и в света. Това включва разбиране за мултикултурните и социално-икономическите измерения на европейските общества и за начина, по който националната културна идентичност допринася за европейската идентичност.</w:t>
      </w:r>
    </w:p>
    <w:p>
      <w:pPr>
        <w:rPr>
          <w:noProof/>
        </w:rPr>
      </w:pPr>
      <w:r>
        <w:rPr>
          <w:noProof/>
        </w:rPr>
        <w:t xml:space="preserve">Уменията за гражданска компетентност са свързани със способността за ефективно участие, заедно с други хора, в дейности от общ или обществен интерес, включително за устойчиво развитие на обществото. Това включва умения за критическо мислене и за конструктивно участие в дейности на общността, както и във вземането на решения на всички равнища, от местно и национално до европейско и световно равнище. Включва също така умението за оценка, за критическо разбиране и за взаимодействие както с традиционните, така и с новите видове медии. </w:t>
      </w:r>
    </w:p>
    <w:p>
      <w:pPr>
        <w:rPr>
          <w:noProof/>
          <w:spacing w:val="-2"/>
        </w:rPr>
      </w:pPr>
      <w:r>
        <w:rPr>
          <w:noProof/>
          <w:spacing w:val="-2"/>
        </w:rPr>
        <w:t>Зачитането на правата на човека като база за демокрацията лежи в основата на отговорната и конструктивна нагласа. Конструктивно участие означава желание за участие в демократичното вземане на решения на всички равнища и в граждански дейности. То включва подкрепа за социалното и културното многообразие, равенството между половете и социалното сближаване, готовност за зачитане на личното пространство на другите и за поемане на отговорност за околната среда. Нужен е интерес към политическите и социално-икономическите събития и междукултурното общуване, за да бъде човек подготвен да преодолява предразсъдъци и да постига компромиси, когато е необходимо, и да осигурява социална справедливост и безпристрастност.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Предприемаческа компетентност</w:t>
      </w:r>
    </w:p>
    <w:p>
      <w:pPr>
        <w:rPr>
          <w:noProof/>
        </w:rPr>
      </w:pPr>
      <w:r>
        <w:rPr>
          <w:noProof/>
        </w:rPr>
        <w:t>Предприемаческа компетентност означава способността за действие в съответствие с благоприятни възможности и идеи и за тяхното трансформиране в ценности за другите хора. Тя се основава на творчество, критическо мислене, способност за решаване на проблеми и за поемане на инициатива, постоянство и умение за работа в сътрудничество, за планиране и управление на проекти, които имат културна, социална или търговска стойност.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 xml:space="preserve">Предприемаческата компетентност изисква да се съзнава, че има различни ситуации и възможности за практическо реализиране на идеи в личната, социалната и професионалната дейност и да се разбира кога тези ситуации и възможности се проявяват. Лицата следва да познават и разбират подходите за планиране и управление на проекти, включващи процеси и ресурси. Те следва да имат разбиране за икономиката и за социалните и икономическите възможности и предизвикателства, пред които се </w:t>
      </w:r>
      <w:r>
        <w:rPr>
          <w:noProof/>
        </w:rPr>
        <w:lastRenderedPageBreak/>
        <w:t>изправя всеки работодател, организация или обществото. Освен това следва да разбират етичните принципи и да са наясно относно собствените си силни и слаби страни.</w:t>
      </w:r>
    </w:p>
    <w:p>
      <w:pPr>
        <w:rPr>
          <w:noProof/>
        </w:rPr>
      </w:pPr>
      <w:r>
        <w:rPr>
          <w:noProof/>
        </w:rPr>
        <w:t>Предприемаческите умения се основават на творчество, което включва въображение, стратегическо мислене и умения за решаване на проблеми, както и критическо и конструктивно разсъждаване в рамките на развиващи се градивни процеси и иновации. Тези умения включват способност да се работи както самостоятелно, така и колективно в екипи, да се мобилизират ресурси (хора и материали) и да се поддържа дейността. Това включа и способността за вземане на финансови решения, свързани с разходи и стойност. От съществено значение е способността за ефективна комуникация и за договаряне с други лица, за справяне с несигурността, неяснотата и риска като част от вземането на информирани решения.</w:t>
      </w:r>
    </w:p>
    <w:p>
      <w:pPr>
        <w:rPr>
          <w:noProof/>
        </w:rPr>
      </w:pPr>
      <w:r>
        <w:rPr>
          <w:noProof/>
        </w:rPr>
        <w:t>Предприемаческата нагласа се характеризира с инициативност и действеност, проактивност, поглед в бъдещето, решителност и постоянство за постигане на целите. Тя включва желание за мотивиране на други хора и оценяване на техните идеи; съпричастност и грижа за хората и за света, поемане на отговорност и прилагане на етични подходи по време на целия процес.</w:t>
      </w:r>
    </w:p>
    <w:p>
      <w:pPr>
        <w:pStyle w:val="ListNumber"/>
        <w:rPr>
          <w:b/>
          <w:noProof/>
        </w:rPr>
      </w:pPr>
      <w:r>
        <w:rPr>
          <w:b/>
          <w:noProof/>
        </w:rPr>
        <w:t>Компетентност за културна осведоменост и изява</w:t>
      </w:r>
    </w:p>
    <w:p>
      <w:pPr>
        <w:rPr>
          <w:noProof/>
        </w:rPr>
      </w:pPr>
      <w:r>
        <w:rPr>
          <w:noProof/>
        </w:rPr>
        <w:t>Компетентността за културна осведоменост и изява означава разбиране и уважение към начина, по който идеи и значение се изразяват творчески и се предават в различните култури и посредством редица изкуства и други форми на културата. Тя включва ангажираност за разбиране, развиване и изразяване на собствените идеи и чувство за собственото място или роля в обществото по разнообразни начини и в най-различен контекст.</w:t>
      </w:r>
    </w:p>
    <w:p>
      <w:pPr>
        <w:rPr>
          <w:i/>
          <w:noProof/>
        </w:rPr>
      </w:pPr>
      <w:r>
        <w:rPr>
          <w:i/>
          <w:noProof/>
        </w:rPr>
        <w:t>Най-важни знания, умения и нагласи, свързани с тази компетентност</w:t>
      </w:r>
    </w:p>
    <w:p>
      <w:pPr>
        <w:rPr>
          <w:noProof/>
        </w:rPr>
      </w:pPr>
      <w:r>
        <w:rPr>
          <w:noProof/>
        </w:rPr>
        <w:t>Тази компетентност изисква познаване на местните, националните, европейските и световните култури и изяви, включително техните езици, наследство, традиции и продукти на културата, както и разбиране как тези изяви могат взаимно да си влияят и да влияят върху представите на отделния човек. Тя включва разбиране на различните начини на предаване на идеи между творец, участник и публика посредством писмени, печатни текстове и текстове в цифров формат, театър, филм, танц, игри, изкуство и дизайн, музика, ритуали, архитектура, както и хибридни форми. Изисква разбиране на собствената развиваща се идентичност в един свят на културно многообразие и за това как изкуствата и другите форми на културата могат да бъдат начин едновременно за възприемане на света и за въздействие върху него.</w:t>
      </w:r>
    </w:p>
    <w:p>
      <w:pPr>
        <w:rPr>
          <w:noProof/>
        </w:rPr>
      </w:pPr>
      <w:r>
        <w:rPr>
          <w:noProof/>
        </w:rPr>
        <w:t>Уменията включват способността за съпричастно изразяване и интерпретиране на метафорични и абстрактни идеи, преживявания и емоции и способността за осъществяване на това в сферата на изкуствата и в други форми на културата. Уменията включват също способността да се откриват и реализират възможности за лична, социална полезност или търговска стойност чрез изкуствата и други форми на културата и способността за участие в творчески процеси, както индивидуално, така и колективно.</w:t>
      </w:r>
    </w:p>
    <w:p>
      <w:pPr>
        <w:rPr>
          <w:noProof/>
        </w:rPr>
      </w:pPr>
      <w:r>
        <w:rPr>
          <w:noProof/>
        </w:rPr>
        <w:t xml:space="preserve">Важно е непредубеденото отношение към многообразието на културната изява и зачитане на това многообразие, съчетано с етичен и отговорен подход към интелектуалната и културната собственост. Положителната нагласа включва също и любопитство към света, откритост и въображение за нови възможности, както и готовност за участие в културни преживявания. </w:t>
      </w:r>
    </w:p>
    <w:p>
      <w:pPr>
        <w:pStyle w:val="ListNumber"/>
        <w:rPr>
          <w:b/>
          <w:noProof/>
        </w:rPr>
      </w:pPr>
      <w:r>
        <w:rPr>
          <w:b/>
          <w:noProof/>
        </w:rPr>
        <w:lastRenderedPageBreak/>
        <w:t>Подпомагане на развитието на ключови компетентности</w:t>
      </w:r>
    </w:p>
    <w:p>
      <w:pPr>
        <w:rPr>
          <w:noProof/>
          <w:szCs w:val="24"/>
        </w:rPr>
      </w:pPr>
      <w:r>
        <w:rPr>
          <w:noProof/>
        </w:rPr>
        <w:t xml:space="preserve">Ключовите компетентности са динамично съчетание от знания, умения и нагласи, които е нужно учащият се да развие през живота си, започвайки от ранна възраст. Висококачественото и приобщаващо образование, обучение и учене през целия живот осигурява възможности за всички да развиват ключови компетентности, затова, ориентирани към компетентности подходи, могат да се използват през целия живот във всички образователни и учебни заведения и среди за учене. </w:t>
      </w:r>
    </w:p>
    <w:p>
      <w:pPr>
        <w:rPr>
          <w:noProof/>
          <w:szCs w:val="24"/>
        </w:rPr>
      </w:pPr>
      <w:r>
        <w:rPr>
          <w:noProof/>
        </w:rPr>
        <w:t>В подкрепа на ориентираните към компетентностите образование, обучение и учене в контекста на ученето през целия живот са констатирани три предизвикателства: използването на разнообразни подходи и контексти за учене; помощ за преподавателите и другия персонал в образователната система и оценяване и валидиране на развитието на компетентностите. За справяне с тези предизвикателства могат да се набележат определени добри практики.</w:t>
      </w:r>
    </w:p>
    <w:p>
      <w:pPr>
        <w:pStyle w:val="Point1"/>
        <w:ind w:left="851"/>
        <w:rPr>
          <w:i/>
          <w:noProof/>
        </w:rPr>
      </w:pPr>
      <w:r>
        <w:rPr>
          <w:i/>
          <w:noProof/>
        </w:rPr>
        <w:t>а.</w:t>
      </w:r>
      <w:r>
        <w:rPr>
          <w:i/>
          <w:noProof/>
        </w:rPr>
        <w:tab/>
        <w:t>Разнообразни подходи и контексти за учене</w:t>
      </w:r>
    </w:p>
    <w:p>
      <w:pPr>
        <w:pStyle w:val="Point3"/>
        <w:rPr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  <w:t>Междудисциплинарното обучение, партньорствата между различните равнища на образованието, участниците в обучението и в ученето, включително от пазара на труда, както и концепциите, като например всеобхватните училищни подходи, които поставят акцент върху сътрудничеството в преподаването и ученето и върху активното участие на учащите и вземането на решения от тях, могат да обогатят ученето. Междусекторното сътрудничество между институциите за образование и обучение и външните участници от бизнеса, изкуствата, спорта и младежката общност, висшето образование или научноизследователските институти може да бъде от ключово значение за ефективното развитие на компетентностите.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Усвояването на основни умения, както и развитието на по-широки компетентности могат да бъдат подпомогнати чрез систематично допълване на академичното учене със социално и емоционално учене, изкуства и спорт. Засилването на личностната, социалната компетентност и компетентността за учене от ранна възраст могат да осигурят основа за развитието на основни умения.</w:t>
      </w:r>
    </w:p>
    <w:p>
      <w:pPr>
        <w:pStyle w:val="Point3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Методи, като обучение, основано на проучвания, на проекти, смесено, основано на изкуствата или на игри,могат да увеличат мотивацията за учене и ангажираността. Също така експерименталното учене, ученето в процеса на работа и научните методи в областта на науките, технологиите, инженерството и математиката могат да спомогнат за развиване на редица компетентности.</w:t>
      </w:r>
    </w:p>
    <w:p>
      <w:pPr>
        <w:pStyle w:val="Point3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Учащите, персоналът в образователната система и доставчиците на образование и обучение могат да бъдат насърчени да използват цифрови технологии за усъвършенстване на обучението и за подпомагане на развитието на цифровите компетентности . Например чрез участие в инициативи на Съюза като „Европейска седмица на </w:t>
      </w:r>
      <w:r>
        <w:rPr>
          <w:noProof/>
        </w:rPr>
        <w:lastRenderedPageBreak/>
        <w:t>програмирането“ (The EU Code Week)</w:t>
      </w:r>
      <w:r>
        <w:rPr>
          <w:rStyle w:val="FootnoteReference"/>
          <w:noProof/>
        </w:rPr>
        <w:footnoteReference w:id="1"/>
      </w:r>
      <w:r>
        <w:rPr>
          <w:noProof/>
        </w:rPr>
        <w:t>. Използването на инструменти за самооценка, като SELFIE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може да подобри цифровите възможности на доставчиците на образование, обучение и учене. </w:t>
      </w:r>
    </w:p>
    <w:p>
      <w:pPr>
        <w:pStyle w:val="Point3"/>
        <w:rPr>
          <w:noProof/>
          <w:spacing w:val="-6"/>
        </w:rPr>
      </w:pPr>
      <w:r>
        <w:rPr>
          <w:noProof/>
          <w:spacing w:val="-6"/>
        </w:rPr>
        <w:t>д)</w:t>
      </w:r>
      <w:r>
        <w:rPr>
          <w:noProof/>
          <w:spacing w:val="-6"/>
        </w:rPr>
        <w:tab/>
        <w:t>Конкретните възможности за предприемачески опит, като например създаването на минипредприятия, стажовете във фирми или посещенията на предприемачи в институциите за образование и обучение, могат да са особено полезни за младите хора, а така също и за възрастните и за преподавателите. На младите хора може да се осигури поне една възможност в основното или средното образование да придобият практически опит в областта на предприемачеството. Партньорствата между училищата и бизнеса и съответни платформи на местно равнище, особено в селските райони, могат да са главни фактори за разпространяване на образование в сферата на предприемачеството. Подходящото обучение и подпомагане на преподавателите и директорите на учебните заведения може да е от решаващо значение, за постигането на постоянен напредък и лидерство.</w:t>
      </w:r>
    </w:p>
    <w:p>
      <w:pPr>
        <w:pStyle w:val="Point3"/>
        <w:rPr>
          <w:noProof/>
        </w:rPr>
      </w:pPr>
      <w:r>
        <w:rPr>
          <w:noProof/>
        </w:rPr>
        <w:t>е)</w:t>
      </w:r>
      <w:r>
        <w:rPr>
          <w:noProof/>
        </w:rPr>
        <w:tab/>
        <w:t>Компетентността по чужди езици може да се развива в тясно сътрудничество с образователни и обучаващи институции и учебни среди в чужбина, чрез мобилност на преподавателския персонал и учащите или чрез използването на eTwinning, EPALE и подобни онлайн портали.</w:t>
      </w:r>
    </w:p>
    <w:p>
      <w:pPr>
        <w:pStyle w:val="Point3"/>
        <w:rPr>
          <w:noProof/>
          <w:spacing w:val="-6"/>
        </w:rPr>
      </w:pPr>
      <w:r>
        <w:rPr>
          <w:noProof/>
          <w:spacing w:val="-6"/>
        </w:rPr>
        <w:t>ж)</w:t>
      </w:r>
      <w:r>
        <w:rPr>
          <w:noProof/>
          <w:spacing w:val="-6"/>
        </w:rPr>
        <w:tab/>
        <w:t>Младите хора и възрастните в неравностойно положение поради социално-икономическата си среда или поради мигрантския си произход, или със специални образователни потребности, могат да бъдат адекватно подпомагани в приобщаваща среда, за да реализират своя потенциал за образование. Това подпомагане може да се заключава в езикова, академична или емоционална подкрепа, наставничество от партньори, извънкласни занимания, професионално ориентиране или материално подпомагане.</w:t>
      </w:r>
    </w:p>
    <w:p>
      <w:pPr>
        <w:pStyle w:val="Point3"/>
        <w:rPr>
          <w:noProof/>
        </w:rPr>
      </w:pPr>
      <w:r>
        <w:rPr>
          <w:noProof/>
        </w:rPr>
        <w:t>з)</w:t>
      </w:r>
      <w:r>
        <w:rPr>
          <w:noProof/>
        </w:rPr>
        <w:tab/>
        <w:t xml:space="preserve">Сътрудничеството между образователни и обучаващи институции и учебни среди на всички равнища може да бъде от съществено значение за подобряване на продължителността на развитие на компетентностите у учащите през целия им живот и за разработването на иновативни подходи за учене. </w:t>
      </w:r>
    </w:p>
    <w:p>
      <w:pPr>
        <w:pStyle w:val="Point3"/>
        <w:rPr>
          <w:noProof/>
        </w:rPr>
      </w:pPr>
      <w:r>
        <w:rPr>
          <w:noProof/>
        </w:rPr>
        <w:t>и)</w:t>
      </w:r>
      <w:r>
        <w:rPr>
          <w:noProof/>
        </w:rPr>
        <w:tab/>
        <w:t>Сътрудничеството в местните общности между партньори в сферата на образованието и обучението и извън тази сфера и работодатели, в съчетание с формално и неформално учене, спомага за развиването на компетентности и може да улесни прехода от образование към работа.</w:t>
      </w:r>
    </w:p>
    <w:p>
      <w:pPr>
        <w:pStyle w:val="Point1"/>
        <w:ind w:left="851"/>
        <w:rPr>
          <w:i/>
          <w:noProof/>
        </w:rPr>
      </w:pPr>
      <w:r>
        <w:rPr>
          <w:i/>
          <w:noProof/>
        </w:rPr>
        <w:t>б.</w:t>
      </w:r>
      <w:r>
        <w:rPr>
          <w:i/>
          <w:noProof/>
        </w:rPr>
        <w:tab/>
        <w:t>Помощ за персонала в образователната система</w:t>
      </w:r>
    </w:p>
    <w:p>
      <w:pPr>
        <w:pStyle w:val="Point3"/>
        <w:rPr>
          <w:noProof/>
        </w:rPr>
      </w:pPr>
      <w:r>
        <w:rPr>
          <w:noProof/>
        </w:rPr>
        <w:lastRenderedPageBreak/>
        <w:t>а)</w:t>
      </w:r>
      <w:r>
        <w:rPr>
          <w:noProof/>
        </w:rPr>
        <w:tab/>
        <w:t xml:space="preserve">Внедряването на ориентирани към компетентности подходи за образование, обучение и учене в началното образование и в продължаващото професионално развитие може да подпомогне работещите в образователната система да променят преподаването и ученето в средата си и да са компетентни при прилагане на съответния подход. 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Персоналът в образователната система може да бъде подпомаган за разработване на ориентирани към компетентности подходи в техния специфичен контекст чрез обмен на преподаватели и чрез партньорско обучение, като се дава възможност за гъвкавост и самостоятелност при организацията на обучението, чрез мрежи, сътрудничество и общности от практикуващи специалисти.</w:t>
      </w:r>
    </w:p>
    <w:p>
      <w:pPr>
        <w:pStyle w:val="Point3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На персонала в образователната система може да се оказва съдействие чрез създаване на новаторски практики, участие в научни изследвания и използване на новите технологии по подходящ начин за ориентирани към компетентностите подходи в преподаването и ученето. </w:t>
      </w:r>
    </w:p>
    <w:p>
      <w:pPr>
        <w:pStyle w:val="Point3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Могат да се осигурят насоки за персонала в образователната система. Достъпът до експертни центрове и до подходящи инструменти и материали може да подобри методите и практиките на преподаване и учене.</w:t>
      </w:r>
    </w:p>
    <w:p>
      <w:pPr>
        <w:pStyle w:val="Point1"/>
        <w:ind w:left="851"/>
        <w:rPr>
          <w:i/>
          <w:noProof/>
        </w:rPr>
      </w:pPr>
      <w:r>
        <w:rPr>
          <w:i/>
          <w:noProof/>
        </w:rPr>
        <w:t>в.</w:t>
      </w:r>
      <w:r>
        <w:rPr>
          <w:i/>
          <w:noProof/>
        </w:rPr>
        <w:tab/>
        <w:t xml:space="preserve">Оценяване и валидиране на развитието на компетентности </w:t>
      </w:r>
    </w:p>
    <w:p>
      <w:pPr>
        <w:pStyle w:val="Point3"/>
        <w:rPr>
          <w:noProof/>
          <w:spacing w:val="-6"/>
        </w:rPr>
      </w:pPr>
      <w:r>
        <w:rPr>
          <w:noProof/>
          <w:spacing w:val="-6"/>
        </w:rPr>
        <w:t>а)</w:t>
      </w:r>
      <w:r>
        <w:rPr>
          <w:noProof/>
          <w:spacing w:val="-6"/>
        </w:rPr>
        <w:tab/>
        <w:t>Описанията на ключовите компетентности могат да бъдат трансформирани в рамки за учебни резултати, които могат да се допълнят с подходящи инструменти за диагностична, формираща и обобщаваща оценка и валидиране на съответни равнища</w:t>
      </w:r>
      <w:r>
        <w:rPr>
          <w:rStyle w:val="FootnoteReference"/>
          <w:noProof/>
          <w:spacing w:val="-6"/>
        </w:rPr>
        <w:footnoteReference w:id="3"/>
      </w:r>
      <w:r>
        <w:rPr>
          <w:noProof/>
          <w:spacing w:val="-6"/>
        </w:rPr>
        <w:t xml:space="preserve">. 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По-специално цифровите технологии могат да допринесат за обхващане на многобройните измерения на напредъка на учащите, включително предприемаческото обучение.</w:t>
      </w:r>
    </w:p>
    <w:p>
      <w:pPr>
        <w:pStyle w:val="Point3"/>
        <w:rPr>
          <w:noProof/>
          <w:spacing w:val="-4"/>
        </w:rPr>
      </w:pPr>
      <w:r>
        <w:rPr>
          <w:noProof/>
          <w:spacing w:val="-4"/>
        </w:rPr>
        <w:t>в)</w:t>
      </w:r>
      <w:r>
        <w:rPr>
          <w:noProof/>
          <w:spacing w:val="-4"/>
        </w:rPr>
        <w:tab/>
        <w:t>Може да се разработят различни подходи за оценка на ключовите компетентности в средите за неформално и информално учене, включително съответни дейности на работодателите, работещите в сферата на професионалното ориентиране и социалните партньори. Тези подходи следва да са достъпни за всички и особено за нискоквалифицираните лица, за да се насърчи тяхното напредване към по-нататъшно обучение.</w:t>
      </w:r>
    </w:p>
    <w:p>
      <w:pPr>
        <w:pStyle w:val="Point3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Валидирането на учебните резултати, постигнати чрез неформално и информално учене, може да се разшири и да стане по-устойчиво в съответствие с Препоръката на Съвета относно валидирането на неформалното и информалното учене, включително различни процеси на валидиране и използването на „Европас“ и Youthpass.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The Code Week, http://codeweek.eu/</w:t>
      </w:r>
    </w:p>
  </w:footnote>
  <w:footnote w:id="2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Инструмент за самооценка на цифровите възможности (SELFIE), </w:t>
      </w:r>
      <w:hyperlink r:id="rId1">
        <w:r>
          <w:rPr>
            <w:rStyle w:val="Hyperlink"/>
          </w:rPr>
          <w:t>https://ec.europa.eu/jrc/en/digcomporg/selfie-tool</w:t>
        </w:r>
      </w:hyperlink>
      <w:r>
        <w:t xml:space="preserve">, или </w:t>
      </w:r>
      <w:r>
        <w:tab/>
        <w:t xml:space="preserve">HEInnovate, </w:t>
      </w:r>
      <w:hyperlink r:id="rId2">
        <w:r>
          <w:rPr>
            <w:rStyle w:val="Hyperlink"/>
          </w:rPr>
          <w:t>https://heinnovate.eu/</w:t>
        </w:r>
      </w:hyperlink>
      <w:r>
        <w:t>.</w:t>
      </w:r>
    </w:p>
  </w:footnote>
  <w:footnote w:id="3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Напр. Общата европейска референтна рамка за езиците, Рамката за цифрова компетентност, Рамката за предприемаческа компетентност, както и описанията на PISA на компетентностите осигуряват помощен материал за оценка на компетентностите.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7CC05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73029EFA"/>
    <w:name w:val="Point2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2">
    <w:nsid w:val="FFFFFF81"/>
    <w:multiLevelType w:val="singleLevel"/>
    <w:tmpl w:val="D30623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B34F1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A3EC07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2C46FC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14A08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8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  <w:num w:numId="20">
    <w:abstractNumId w:val="16"/>
  </w:num>
  <w:num w:numId="21">
    <w:abstractNumId w:val="9"/>
  </w:num>
  <w:num w:numId="22">
    <w:abstractNumId w:val="14"/>
  </w:num>
  <w:num w:numId="23">
    <w:abstractNumId w:val="20"/>
  </w:num>
  <w:num w:numId="24">
    <w:abstractNumId w:val="17"/>
  </w:num>
  <w:num w:numId="25">
    <w:abstractNumId w:val="11"/>
  </w:num>
  <w:num w:numId="26">
    <w:abstractNumId w:val="19"/>
  </w:num>
  <w:num w:numId="27">
    <w:abstractNumId w:val="10"/>
  </w:num>
  <w:num w:numId="28">
    <w:abstractNumId w:val="12"/>
  </w:num>
  <w:num w:numId="29">
    <w:abstractNumId w:val="8"/>
  </w:num>
  <w:num w:numId="30">
    <w:abstractNumId w:val="18"/>
  </w:num>
  <w:num w:numId="31">
    <w:abstractNumId w:val="7"/>
  </w:num>
  <w:num w:numId="32">
    <w:abstractNumId w:val="13"/>
  </w:num>
  <w:num w:numId="33">
    <w:abstractNumId w:val="15"/>
  </w:num>
  <w:num w:numId="34">
    <w:abstractNumId w:val="16"/>
  </w:num>
  <w:num w:numId="35">
    <w:abstractNumId w:val="9"/>
  </w:num>
  <w:num w:numId="36">
    <w:abstractNumId w:val="14"/>
  </w:num>
  <w:num w:numId="3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22 16:32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531221D-BCE2-450F-BA2A-D00B568E7B6A"/>
    <w:docVar w:name="LW_COVERPAGE_TYPE" w:val="1"/>
    <w:docVar w:name="LW_CROSSREFERENCE" w:val="{SWD(2018) 14 final}"/>
    <w:docVar w:name="LW_DocType" w:val="ANNEX"/>
    <w:docVar w:name="LW_EMISSION" w:val="17.1.2018"/>
    <w:docVar w:name="LW_EMISSION_ISODATE" w:val="2018-01-1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2?\u1083?\u1102?\u1095?\u1086?\u1074?\u1080?\u1090?\u1077? \u1082?\u1086?\u1084?\u1087?\u1077?\u1090?\u1077?\u1085?\u1090?\u1085?\u1086?\u1089?\u1090?\u1080? \u1079?\u1072? \u1091?\u1095?\u1077?\u1085?\u1077? \u1087?\u1088?\u1077?\u1079? \u1094?\u1077?\u1083?\u1080?\u1103? \u1078?\u1080?\u1074?\u1086?\u1090?"/>
    <w:docVar w:name="LW_OBJETACTEPRINCIPAL.CP" w:val="\u1086?\u1090?\u1085?\u1086?\u1089?\u1085?\u1086? \u1082?\u1083?\u1102?\u1095?\u1086?\u1074?\u1080?\u1090?\u1077? \u1082?\u1086?\u1084?\u1087?\u1077?\u1090?\u1077?\u1085?\u1090?\u1085?\u1086?\u1089?\u1090?\u1080? \u1079?\u1072? \u1091?\u1095?\u1077?\u1085?\u1077? \u1087?\u1088?\u1077?\u1079? \u1094?\u1077?\u1083?\u1080?\u1103? \u1078?\u1080?\u1074?\u1086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5?\u1088?\u1077?\u1087?\u1086?\u1088?\u1098?\u1082?\u1072? \u1085?\u1072? \u1057?\u1098?\u1074?\u1077?\u1090?\u1072?"/>
    <w:docVar w:name="LW_TYPEACTEPRINCIPAL.CP" w:val="\u1055?\u1088?\u1077?\u1076?\u1083?\u1086?\u1078?\u1077?\u1085?\u1080?\u1077? \u1079?\u1072? \u1055?\u1088?\u1077?\u1087?\u1086?\u1088?\u1098?\u1082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einnovate.eu/" TargetMode="External"/><Relationship Id="rId1" Type="http://schemas.openxmlformats.org/officeDocument/2006/relationships/hyperlink" Target="https://ec.europa.eu/jrc/en/digcomporg/selfie-to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D5F2-95FA-4DEA-B1EA-A0D67A1F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11</Pages>
  <Words>4241</Words>
  <Characters>26042</Characters>
  <Application>Microsoft Office Word</Application>
  <DocSecurity>0</DocSecurity>
  <Lines>456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8</cp:revision>
  <cp:lastPrinted>2017-12-14T13:59:00Z</cp:lastPrinted>
  <dcterms:created xsi:type="dcterms:W3CDTF">2018-01-19T10:31:00Z</dcterms:created>
  <dcterms:modified xsi:type="dcterms:W3CDTF">2018-01-22T15:32:00Z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