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945900E-025B-4B39-AC3F-3BD308ED46D6" style="width:450.75pt;height:393pt">
            <v:imagedata r:id="rId8" o:title=""/>
          </v:shape>
        </w:pict>
      </w:r>
    </w:p>
    <w:bookmarkEnd w:id="0"/>
    <w:p>
      <w:pPr>
        <w:rPr>
          <w:rFonts w:eastAsiaTheme="minorHAnsi"/>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center"/>
        <w:rPr>
          <w:rFonts w:ascii="Times New Roman" w:eastAsiaTheme="minorHAnsi" w:hAnsi="Times New Roman" w:cs="Times New Roman"/>
          <w:b/>
          <w:noProof/>
          <w:sz w:val="24"/>
          <w:szCs w:val="24"/>
        </w:rPr>
      </w:pPr>
      <w:bookmarkStart w:id="1" w:name="_GoBack"/>
      <w:bookmarkEnd w:id="1"/>
      <w:r>
        <w:rPr>
          <w:rFonts w:ascii="Times New Roman" w:eastAsiaTheme="minorHAnsi" w:hAnsi="Times New Roman"/>
          <w:b/>
          <w:noProof/>
          <w:sz w:val="24"/>
        </w:rPr>
        <w:lastRenderedPageBreak/>
        <w:t>ПРИЛОЖЕНИЕ I</w:t>
      </w:r>
    </w:p>
    <w:p>
      <w:pPr>
        <w:jc w:val="center"/>
        <w:rPr>
          <w:rFonts w:ascii="Times New Roman" w:eastAsiaTheme="minorHAnsi" w:hAnsi="Times New Roman" w:cs="Times New Roman"/>
          <w:b/>
          <w:noProof/>
          <w:sz w:val="24"/>
          <w:szCs w:val="24"/>
        </w:rPr>
      </w:pPr>
      <w:r>
        <w:rPr>
          <w:rFonts w:ascii="Times New Roman" w:eastAsiaTheme="minorHAnsi" w:hAnsi="Times New Roman"/>
          <w:b/>
          <w:noProof/>
          <w:sz w:val="24"/>
        </w:rPr>
        <w:t>Списък на бъдещи мерки на ЕС за изпълнение на стратегията</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0"/>
        <w:gridCol w:w="2126"/>
      </w:tblGrid>
      <w:tr>
        <w:trPr>
          <w:trHeight w:val="241"/>
        </w:trPr>
        <w:tc>
          <w:tcPr>
            <w:tcW w:w="7670" w:type="dxa"/>
            <w:shd w:val="clear" w:color="000000" w:fill="FFFFFF"/>
            <w:hideMark/>
          </w:tcPr>
          <w:p>
            <w:pPr>
              <w:spacing w:after="0" w:line="240" w:lineRule="auto"/>
              <w:jc w:val="left"/>
              <w:rPr>
                <w:rFonts w:ascii="Times New Roman" w:eastAsia="Times New Roman" w:hAnsi="Times New Roman" w:cs="Times New Roman"/>
                <w:b/>
                <w:bCs/>
                <w:noProof/>
                <w:color w:val="000000"/>
              </w:rPr>
            </w:pPr>
            <w:r>
              <w:rPr>
                <w:rFonts w:ascii="Times New Roman" w:hAnsi="Times New Roman"/>
                <w:b/>
                <w:noProof/>
                <w:color w:val="000000"/>
              </w:rPr>
              <w:t>Мерки</w:t>
            </w:r>
          </w:p>
        </w:tc>
        <w:tc>
          <w:tcPr>
            <w:tcW w:w="2126" w:type="dxa"/>
            <w:shd w:val="clear" w:color="000000" w:fill="F2F2F2"/>
          </w:tcPr>
          <w:p>
            <w:pPr>
              <w:spacing w:after="0" w:line="240" w:lineRule="auto"/>
              <w:jc w:val="left"/>
              <w:rPr>
                <w:rFonts w:ascii="Times New Roman" w:eastAsia="Times New Roman" w:hAnsi="Times New Roman" w:cs="Times New Roman"/>
                <w:b/>
                <w:bCs/>
                <w:noProof/>
                <w:color w:val="000000"/>
              </w:rPr>
            </w:pPr>
            <w:r>
              <w:rPr>
                <w:rFonts w:ascii="Times New Roman" w:hAnsi="Times New Roman"/>
                <w:b/>
                <w:noProof/>
                <w:color w:val="000000"/>
              </w:rPr>
              <w:t>Срокове</w:t>
            </w:r>
          </w:p>
        </w:tc>
      </w:tr>
      <w:tr>
        <w:trPr>
          <w:trHeight w:val="190"/>
        </w:trPr>
        <w:tc>
          <w:tcPr>
            <w:tcW w:w="9796" w:type="dxa"/>
            <w:gridSpan w:val="2"/>
            <w:shd w:val="clear" w:color="000000" w:fill="D9D9D9"/>
          </w:tcPr>
          <w:p>
            <w:pPr>
              <w:spacing w:after="0" w:line="240" w:lineRule="auto"/>
              <w:jc w:val="left"/>
              <w:rPr>
                <w:rFonts w:ascii="Times New Roman" w:eastAsia="Times New Roman" w:hAnsi="Times New Roman" w:cs="Times New Roman"/>
                <w:b/>
                <w:bCs/>
                <w:noProof/>
                <w:color w:val="000000"/>
              </w:rPr>
            </w:pPr>
            <w:r>
              <w:rPr>
                <w:rFonts w:ascii="Times New Roman" w:hAnsi="Times New Roman"/>
                <w:b/>
                <w:noProof/>
                <w:color w:val="000000"/>
              </w:rPr>
              <w:t>Подобряване на рентабилността и качеството на рециклирането на пластмаси</w:t>
            </w:r>
          </w:p>
        </w:tc>
      </w:tr>
      <w:tr>
        <w:trPr>
          <w:trHeight w:val="1864"/>
        </w:trPr>
        <w:tc>
          <w:tcPr>
            <w:tcW w:w="7670" w:type="dxa"/>
            <w:shd w:val="clear" w:color="auto" w:fill="auto"/>
            <w:hideMark/>
          </w:tcPr>
          <w:p>
            <w:pPr>
              <w:spacing w:after="0" w:line="240" w:lineRule="auto"/>
              <w:jc w:val="left"/>
              <w:rPr>
                <w:rFonts w:ascii="Times New Roman" w:eastAsia="Times New Roman" w:hAnsi="Times New Roman" w:cs="Times New Roman"/>
                <w:b/>
                <w:iCs/>
                <w:noProof/>
                <w:color w:val="000000"/>
              </w:rPr>
            </w:pPr>
            <w:r>
              <w:rPr>
                <w:rFonts w:ascii="Times New Roman" w:hAnsi="Times New Roman"/>
                <w:b/>
                <w:noProof/>
                <w:color w:val="000000"/>
              </w:rPr>
              <w:t>Действия за подобряване на проектирането на продуктите:</w:t>
            </w:r>
          </w:p>
          <w:p>
            <w:pPr>
              <w:pStyle w:val="ListParagraph"/>
              <w:numPr>
                <w:ilvl w:val="0"/>
                <w:numId w:val="11"/>
              </w:numPr>
              <w:spacing w:after="0" w:line="240" w:lineRule="auto"/>
              <w:jc w:val="left"/>
              <w:rPr>
                <w:rFonts w:ascii="Times New Roman" w:eastAsia="Times New Roman" w:hAnsi="Times New Roman" w:cs="Times New Roman"/>
                <w:iCs/>
                <w:noProof/>
                <w:color w:val="000000"/>
              </w:rPr>
            </w:pPr>
            <w:r>
              <w:rPr>
                <w:rFonts w:ascii="Times New Roman" w:hAnsi="Times New Roman"/>
                <w:noProof/>
                <w:color w:val="000000"/>
              </w:rPr>
              <w:t>подготвителна работа за бъдещо преразглеждане на Директивата относно опаковките и отпадъците от опаковки: Комисията да инициира работа върху нови хармонизирани правила, за да се гарантира, че до 2030 г. всички пластмасови опаковки, пуснати на пазара на ЕС, ще могат да се използват повторно или да се рециклират по разходоефективен начин.</w:t>
            </w:r>
          </w:p>
          <w:p>
            <w:pPr>
              <w:pStyle w:val="ListParagraph"/>
              <w:numPr>
                <w:ilvl w:val="0"/>
                <w:numId w:val="11"/>
              </w:numPr>
              <w:spacing w:after="0" w:line="240" w:lineRule="auto"/>
              <w:jc w:val="left"/>
              <w:rPr>
                <w:rFonts w:ascii="Times New Roman" w:eastAsia="Times New Roman" w:hAnsi="Times New Roman" w:cs="Times New Roman"/>
                <w:iCs/>
                <w:noProof/>
                <w:color w:val="000000"/>
              </w:rPr>
            </w:pPr>
            <w:r>
              <w:rPr>
                <w:rFonts w:ascii="Times New Roman" w:hAnsi="Times New Roman"/>
                <w:noProof/>
                <w:color w:val="000000"/>
              </w:rPr>
              <w:t>последващи действия във връзка с COM (2018) 32 „</w:t>
            </w:r>
            <w:r>
              <w:rPr>
                <w:rFonts w:ascii="Times New Roman" w:hAnsi="Times New Roman"/>
                <w:i/>
                <w:noProof/>
                <w:color w:val="000000"/>
              </w:rPr>
              <w:t>Съобщение относно изпълнението на пакета за кръговата икономика</w:t>
            </w:r>
            <w:r>
              <w:rPr>
                <w:rFonts w:ascii="Times New Roman" w:hAnsi="Times New Roman"/>
                <w:noProof/>
                <w:color w:val="000000"/>
              </w:rPr>
              <w:t>:</w:t>
            </w:r>
            <w:r>
              <w:rPr>
                <w:rFonts w:ascii="Times New Roman" w:hAnsi="Times New Roman"/>
                <w:i/>
                <w:noProof/>
                <w:color w:val="000000"/>
              </w:rPr>
              <w:t xml:space="preserve"> варианти за решаване на въпросите, свързани с взаимодействието на законодателството в областта на химикалите, продуктите и отпадъците</w:t>
            </w:r>
            <w:r>
              <w:rPr>
                <w:rFonts w:ascii="Times New Roman" w:hAnsi="Times New Roman"/>
                <w:noProof/>
                <w:color w:val="000000"/>
              </w:rPr>
              <w:t>“: подобряване на проследяването на химикалите и разрешаване на въпроса с вещества от миналото в рециклираните потоци</w:t>
            </w:r>
          </w:p>
          <w:p>
            <w:pPr>
              <w:pStyle w:val="ListParagraph"/>
              <w:numPr>
                <w:ilvl w:val="0"/>
                <w:numId w:val="11"/>
              </w:numPr>
              <w:spacing w:after="0" w:line="240" w:lineRule="auto"/>
              <w:jc w:val="left"/>
              <w:rPr>
                <w:rFonts w:ascii="Times New Roman" w:eastAsia="Times New Roman" w:hAnsi="Times New Roman" w:cs="Times New Roman"/>
                <w:noProof/>
              </w:rPr>
            </w:pPr>
            <w:r>
              <w:rPr>
                <w:rFonts w:ascii="Times New Roman" w:hAnsi="Times New Roman"/>
                <w:noProof/>
                <w:color w:val="000000"/>
              </w:rPr>
              <w:t>нови мерки за екопроектиране: да се обмислят изисквания за подпомагане на пригодността за рециклиране на пластмасите</w:t>
            </w:r>
          </w:p>
        </w:tc>
        <w:tc>
          <w:tcPr>
            <w:tcW w:w="2126" w:type="dxa"/>
          </w:tcPr>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от Т1 на 2018 г. нататък</w:t>
            </w:r>
          </w:p>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от Т1 на 2018 г. нататък</w:t>
            </w:r>
          </w:p>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текущо</w:t>
            </w:r>
          </w:p>
        </w:tc>
      </w:tr>
      <w:tr>
        <w:trPr>
          <w:trHeight w:val="1230"/>
        </w:trPr>
        <w:tc>
          <w:tcPr>
            <w:tcW w:w="7670" w:type="dxa"/>
            <w:shd w:val="clear" w:color="auto" w:fill="auto"/>
          </w:tcPr>
          <w:p>
            <w:pPr>
              <w:spacing w:after="0" w:line="240" w:lineRule="auto"/>
              <w:jc w:val="left"/>
              <w:rPr>
                <w:rFonts w:ascii="Times New Roman" w:eastAsia="Times New Roman" w:hAnsi="Times New Roman" w:cs="Times New Roman"/>
                <w:b/>
                <w:iCs/>
                <w:noProof/>
                <w:color w:val="000000"/>
                <w:spacing w:val="-6"/>
              </w:rPr>
            </w:pPr>
            <w:r>
              <w:rPr>
                <w:rFonts w:ascii="Times New Roman" w:hAnsi="Times New Roman"/>
                <w:b/>
                <w:noProof/>
                <w:color w:val="000000"/>
                <w:spacing w:val="-6"/>
              </w:rPr>
              <w:t>Действия за насърчаване на използването на рециклирани материали в продуктите:</w:t>
            </w:r>
          </w:p>
          <w:p>
            <w:pPr>
              <w:pStyle w:val="ListParagraph"/>
              <w:numPr>
                <w:ilvl w:val="0"/>
                <w:numId w:val="11"/>
              </w:numPr>
              <w:spacing w:after="0" w:line="240" w:lineRule="auto"/>
              <w:jc w:val="left"/>
              <w:rPr>
                <w:rFonts w:ascii="Times New Roman" w:eastAsia="Times New Roman" w:hAnsi="Times New Roman" w:cs="Times New Roman"/>
                <w:iCs/>
                <w:noProof/>
                <w:color w:val="000000"/>
              </w:rPr>
            </w:pPr>
            <w:r>
              <w:rPr>
                <w:rFonts w:ascii="Times New Roman" w:hAnsi="Times New Roman"/>
                <w:noProof/>
                <w:color w:val="000000"/>
              </w:rPr>
              <w:t xml:space="preserve">започване на кампания в целия ЕС, насочена към промишлеността и публичните органи, с цел те да поемат съответен ангажимент </w:t>
            </w:r>
          </w:p>
          <w:p>
            <w:pPr>
              <w:pStyle w:val="ListParagraph"/>
              <w:numPr>
                <w:ilvl w:val="0"/>
                <w:numId w:val="11"/>
              </w:numPr>
              <w:spacing w:after="0" w:line="240" w:lineRule="auto"/>
              <w:jc w:val="left"/>
              <w:rPr>
                <w:rFonts w:ascii="Times New Roman" w:eastAsia="Times New Roman" w:hAnsi="Times New Roman" w:cs="Times New Roman"/>
                <w:iCs/>
                <w:noProof/>
                <w:color w:val="000000"/>
              </w:rPr>
            </w:pPr>
            <w:r>
              <w:rPr>
                <w:rFonts w:ascii="Times New Roman" w:hAnsi="Times New Roman"/>
                <w:noProof/>
                <w:color w:val="000000"/>
              </w:rPr>
              <w:t>оценка на регулаторни или икономически стимули за увеличаване на използването на рециклирани материали, по-специално в контекста на:</w:t>
            </w:r>
          </w:p>
          <w:p>
            <w:pPr>
              <w:pStyle w:val="ListParagraph"/>
              <w:numPr>
                <w:ilvl w:val="1"/>
                <w:numId w:val="12"/>
              </w:numPr>
              <w:spacing w:after="0" w:line="240" w:lineRule="auto"/>
              <w:jc w:val="left"/>
              <w:rPr>
                <w:rFonts w:ascii="Times New Roman" w:eastAsia="Times New Roman" w:hAnsi="Times New Roman" w:cs="Times New Roman"/>
                <w:iCs/>
                <w:noProof/>
                <w:color w:val="000000"/>
              </w:rPr>
            </w:pPr>
            <w:r>
              <w:rPr>
                <w:rFonts w:ascii="Times New Roman" w:hAnsi="Times New Roman"/>
                <w:noProof/>
                <w:color w:val="000000"/>
              </w:rPr>
              <w:t>преразглеждането на Директивата относно опаковките и отпадъците от опаковки (вж. по-горе)</w:t>
            </w:r>
          </w:p>
          <w:p>
            <w:pPr>
              <w:pStyle w:val="ListParagraph"/>
              <w:numPr>
                <w:ilvl w:val="1"/>
                <w:numId w:val="12"/>
              </w:numPr>
              <w:spacing w:after="0" w:line="240" w:lineRule="auto"/>
              <w:jc w:val="left"/>
              <w:rPr>
                <w:rFonts w:ascii="Times New Roman" w:eastAsia="Times New Roman" w:hAnsi="Times New Roman" w:cs="Times New Roman"/>
                <w:iCs/>
                <w:noProof/>
                <w:color w:val="000000"/>
              </w:rPr>
            </w:pPr>
            <w:r>
              <w:rPr>
                <w:rFonts w:ascii="Times New Roman" w:hAnsi="Times New Roman"/>
                <w:noProof/>
                <w:color w:val="000000"/>
              </w:rPr>
              <w:t>оценката/прегледа на Регламента относно строителните продукти</w:t>
            </w:r>
          </w:p>
          <w:p>
            <w:pPr>
              <w:pStyle w:val="ListParagraph"/>
              <w:numPr>
                <w:ilvl w:val="1"/>
                <w:numId w:val="12"/>
              </w:numPr>
              <w:spacing w:after="0" w:line="240" w:lineRule="auto"/>
              <w:jc w:val="left"/>
              <w:rPr>
                <w:rFonts w:ascii="Times New Roman" w:eastAsia="Times New Roman" w:hAnsi="Times New Roman" w:cs="Times New Roman"/>
                <w:iCs/>
                <w:noProof/>
                <w:color w:val="000000"/>
              </w:rPr>
            </w:pPr>
            <w:r>
              <w:rPr>
                <w:rFonts w:ascii="Times New Roman" w:hAnsi="Times New Roman"/>
                <w:noProof/>
                <w:color w:val="000000"/>
              </w:rPr>
              <w:t xml:space="preserve">оценката/прегледа на Директивата относно излезлите от употреба превозни средства </w:t>
            </w:r>
          </w:p>
          <w:p>
            <w:pPr>
              <w:pStyle w:val="ListParagraph"/>
              <w:numPr>
                <w:ilvl w:val="0"/>
                <w:numId w:val="11"/>
              </w:numPr>
              <w:spacing w:after="0" w:line="240" w:lineRule="auto"/>
              <w:jc w:val="left"/>
              <w:rPr>
                <w:rFonts w:ascii="Times New Roman" w:eastAsia="Times New Roman" w:hAnsi="Times New Roman" w:cs="Times New Roman"/>
                <w:iCs/>
                <w:noProof/>
                <w:color w:val="000000"/>
              </w:rPr>
            </w:pPr>
            <w:r>
              <w:rPr>
                <w:rFonts w:ascii="Times New Roman" w:hAnsi="Times New Roman"/>
                <w:noProof/>
                <w:color w:val="000000"/>
              </w:rPr>
              <w:t>по отношение на материалите, предназначени за контакт с храни: бързо приключване на висящите процедури за издаване на разрешение по отношение на процесите на рециклиране на пластмаси, по-добро характеризиране на замърсителите и въвеждане на система за мониторинг</w:t>
            </w:r>
          </w:p>
          <w:p>
            <w:pPr>
              <w:pStyle w:val="ListParagraph"/>
              <w:numPr>
                <w:ilvl w:val="0"/>
                <w:numId w:val="11"/>
              </w:numPr>
              <w:spacing w:after="0" w:line="240" w:lineRule="auto"/>
              <w:jc w:val="left"/>
              <w:rPr>
                <w:rFonts w:ascii="Times New Roman" w:eastAsia="Times New Roman" w:hAnsi="Times New Roman" w:cs="Times New Roman"/>
                <w:noProof/>
              </w:rPr>
            </w:pPr>
            <w:r>
              <w:rPr>
                <w:rFonts w:ascii="Times New Roman" w:hAnsi="Times New Roman"/>
                <w:noProof/>
                <w:color w:val="000000"/>
              </w:rPr>
              <w:t xml:space="preserve">разработване, в сътрудничество с Европейския комитет по стандартизация, на стандарти за качество за сортирани отпадъци от пластмаси и рециклирани пластмаси </w:t>
            </w:r>
          </w:p>
          <w:p>
            <w:pPr>
              <w:pStyle w:val="ListParagraph"/>
              <w:numPr>
                <w:ilvl w:val="0"/>
                <w:numId w:val="11"/>
              </w:numPr>
              <w:spacing w:after="0" w:line="240" w:lineRule="auto"/>
              <w:jc w:val="left"/>
              <w:rPr>
                <w:rFonts w:ascii="Times New Roman" w:eastAsia="Times New Roman" w:hAnsi="Times New Roman" w:cs="Times New Roman"/>
                <w:noProof/>
              </w:rPr>
            </w:pPr>
            <w:r>
              <w:rPr>
                <w:rFonts w:ascii="Times New Roman" w:hAnsi="Times New Roman"/>
                <w:noProof/>
                <w:color w:val="000000"/>
              </w:rPr>
              <w:t>екомаркировка и екологосъобразни обществени поръчки : по-нататъшно стимулиране на използването на рециклирани пластмаси, включително чрез разработване на подходящи средства за проверка</w:t>
            </w:r>
          </w:p>
        </w:tc>
        <w:tc>
          <w:tcPr>
            <w:tcW w:w="2126" w:type="dxa"/>
          </w:tcPr>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Т1—Т3 на 2018 г.</w:t>
            </w:r>
          </w:p>
          <w:p>
            <w:pPr>
              <w:spacing w:after="0" w:line="240" w:lineRule="auto"/>
              <w:jc w:val="left"/>
              <w:rPr>
                <w:rFonts w:ascii="Times New Roman" w:hAnsi="Times New Roman"/>
                <w:noProof/>
                <w:color w:val="000000"/>
                <w:lang w:val="en-GB"/>
              </w:rPr>
            </w:pPr>
          </w:p>
          <w:p>
            <w:p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от Т1 на 2018 г. нататък</w:t>
            </w:r>
          </w:p>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lang w:val="en-GB"/>
              </w:rPr>
            </w:pPr>
          </w:p>
          <w:p>
            <w:pPr>
              <w:spacing w:after="0" w:line="240" w:lineRule="auto"/>
              <w:jc w:val="left"/>
              <w:rPr>
                <w:rFonts w:ascii="Times New Roman" w:eastAsia="Times New Roman" w:hAnsi="Times New Roman" w:cs="Times New Roman"/>
                <w:noProof/>
                <w:color w:val="000000"/>
                <w:lang w:val="en-GB"/>
              </w:rPr>
            </w:pPr>
          </w:p>
          <w:p>
            <w:p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текущо</w:t>
            </w:r>
          </w:p>
          <w:p>
            <w:pPr>
              <w:spacing w:after="0" w:line="240" w:lineRule="auto"/>
              <w:jc w:val="left"/>
              <w:rPr>
                <w:rFonts w:ascii="Times New Roman" w:eastAsia="Times New Roman" w:hAnsi="Times New Roman" w:cs="Times New Roman"/>
                <w:noProof/>
                <w:color w:val="000000"/>
                <w:lang w:val="en-GB"/>
              </w:rPr>
            </w:pPr>
          </w:p>
          <w:p>
            <w:pPr>
              <w:spacing w:after="0" w:line="240" w:lineRule="auto"/>
              <w:jc w:val="left"/>
              <w:rPr>
                <w:rFonts w:ascii="Times New Roman" w:eastAsia="Times New Roman" w:hAnsi="Times New Roman" w:cs="Times New Roman"/>
                <w:noProof/>
                <w:color w:val="000000"/>
                <w:lang w:val="en-GB"/>
              </w:rPr>
            </w:pPr>
          </w:p>
          <w:p>
            <w:p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2018 г.</w:t>
            </w:r>
          </w:p>
          <w:p>
            <w:pPr>
              <w:spacing w:after="0" w:line="240" w:lineRule="auto"/>
              <w:jc w:val="left"/>
              <w:rPr>
                <w:rFonts w:ascii="Times New Roman" w:eastAsia="Times New Roman" w:hAnsi="Times New Roman" w:cs="Times New Roman"/>
                <w:noProof/>
                <w:color w:val="000000"/>
                <w:lang w:val="en-GB"/>
              </w:rPr>
            </w:pPr>
          </w:p>
          <w:p>
            <w:pPr>
              <w:spacing w:after="0" w:line="240" w:lineRule="auto"/>
              <w:jc w:val="left"/>
              <w:rPr>
                <w:rFonts w:ascii="Times New Roman" w:eastAsia="Times New Roman" w:hAnsi="Times New Roman" w:cs="Times New Roman"/>
                <w:noProof/>
                <w:color w:val="000000"/>
                <w:lang w:val="en-GB"/>
              </w:rPr>
            </w:pPr>
          </w:p>
          <w:p>
            <w:p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от 2018 г. нататък</w:t>
            </w:r>
          </w:p>
        </w:tc>
      </w:tr>
      <w:tr>
        <w:trPr>
          <w:trHeight w:val="300"/>
        </w:trPr>
        <w:tc>
          <w:tcPr>
            <w:tcW w:w="7670" w:type="dxa"/>
            <w:shd w:val="clear" w:color="auto" w:fill="FFFFFF" w:themeFill="background1"/>
            <w:hideMark/>
          </w:tcPr>
          <w:p>
            <w:pPr>
              <w:spacing w:after="0" w:line="240" w:lineRule="auto"/>
              <w:jc w:val="left"/>
              <w:rPr>
                <w:rFonts w:ascii="Times New Roman" w:eastAsia="Times New Roman" w:hAnsi="Times New Roman" w:cs="Times New Roman"/>
                <w:b/>
                <w:noProof/>
                <w:color w:val="000000"/>
              </w:rPr>
            </w:pPr>
            <w:r>
              <w:rPr>
                <w:rFonts w:ascii="Times New Roman" w:hAnsi="Times New Roman"/>
                <w:b/>
                <w:noProof/>
                <w:color w:val="000000"/>
              </w:rPr>
              <w:t>Действия за подобряване на разделното събиране на отпадъци от пластмаси:</w:t>
            </w:r>
          </w:p>
          <w:p>
            <w:pPr>
              <w:pStyle w:val="ListParagraph"/>
              <w:numPr>
                <w:ilvl w:val="0"/>
                <w:numId w:val="7"/>
              </w:num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 xml:space="preserve">издаване на нови насоки за разделно събиране и сортиране на отпадъци </w:t>
            </w:r>
          </w:p>
          <w:p>
            <w:pPr>
              <w:pStyle w:val="ListParagraph"/>
              <w:numPr>
                <w:ilvl w:val="0"/>
                <w:numId w:val="7"/>
              </w:num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осигуряване на по-добро изпълнение на съществуващите задължения за разделно събиране, включително чрез текущото преразглеждане на законодателството в областта на отпадъците</w:t>
            </w:r>
          </w:p>
        </w:tc>
        <w:tc>
          <w:tcPr>
            <w:tcW w:w="2126" w:type="dxa"/>
            <w:shd w:val="clear" w:color="auto" w:fill="FFFFFF" w:themeFill="background1"/>
          </w:tcPr>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2019 г.</w:t>
            </w:r>
          </w:p>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текущо</w:t>
            </w:r>
          </w:p>
        </w:tc>
      </w:tr>
      <w:tr>
        <w:trPr>
          <w:trHeight w:val="194"/>
        </w:trPr>
        <w:tc>
          <w:tcPr>
            <w:tcW w:w="9796" w:type="dxa"/>
            <w:gridSpan w:val="2"/>
            <w:shd w:val="clear" w:color="000000" w:fill="D9D9D9"/>
          </w:tcPr>
          <w:p>
            <w:pPr>
              <w:spacing w:after="0" w:line="240" w:lineRule="auto"/>
              <w:jc w:val="left"/>
              <w:rPr>
                <w:rFonts w:ascii="Times New Roman" w:eastAsia="Times New Roman" w:hAnsi="Times New Roman" w:cs="Times New Roman"/>
                <w:b/>
                <w:bCs/>
                <w:noProof/>
                <w:color w:val="000000"/>
              </w:rPr>
            </w:pPr>
            <w:r>
              <w:rPr>
                <w:rFonts w:ascii="Times New Roman" w:hAnsi="Times New Roman"/>
                <w:b/>
                <w:noProof/>
                <w:color w:val="000000"/>
              </w:rPr>
              <w:t>Ограничаване на отпадъците от пластмаси и нерегламентираното изхвърляне на отпадъци</w:t>
            </w:r>
          </w:p>
        </w:tc>
      </w:tr>
      <w:tr>
        <w:trPr>
          <w:trHeight w:val="630"/>
        </w:trPr>
        <w:tc>
          <w:tcPr>
            <w:tcW w:w="7670" w:type="dxa"/>
            <w:shd w:val="clear" w:color="auto" w:fill="FFFFFF" w:themeFill="background1"/>
          </w:tcPr>
          <w:p>
            <w:pPr>
              <w:spacing w:after="0" w:line="240" w:lineRule="auto"/>
              <w:jc w:val="left"/>
              <w:rPr>
                <w:rFonts w:ascii="Times New Roman" w:eastAsia="Times New Roman" w:hAnsi="Times New Roman" w:cs="Times New Roman"/>
                <w:noProof/>
                <w:color w:val="000000"/>
              </w:rPr>
            </w:pPr>
            <w:r>
              <w:rPr>
                <w:rFonts w:ascii="Times New Roman" w:hAnsi="Times New Roman"/>
                <w:b/>
                <w:noProof/>
                <w:color w:val="000000"/>
              </w:rPr>
              <w:t>Действия за намаляване на пластмасовите изделия за еднократна употреба</w:t>
            </w:r>
            <w:r>
              <w:rPr>
                <w:rFonts w:ascii="Times New Roman" w:hAnsi="Times New Roman"/>
                <w:noProof/>
                <w:color w:val="000000"/>
              </w:rPr>
              <w:t>:</w:t>
            </w:r>
          </w:p>
          <w:p>
            <w:pPr>
              <w:pStyle w:val="ListParagraph"/>
              <w:numPr>
                <w:ilvl w:val="0"/>
                <w:numId w:val="11"/>
              </w:numPr>
              <w:spacing w:after="0" w:line="240" w:lineRule="auto"/>
              <w:jc w:val="left"/>
              <w:rPr>
                <w:rFonts w:ascii="Times New Roman" w:eastAsia="Times New Roman" w:hAnsi="Times New Roman" w:cs="Times New Roman"/>
                <w:iCs/>
                <w:noProof/>
                <w:color w:val="000000"/>
              </w:rPr>
            </w:pPr>
            <w:r>
              <w:rPr>
                <w:rFonts w:ascii="Times New Roman" w:hAnsi="Times New Roman"/>
                <w:noProof/>
                <w:color w:val="000000"/>
              </w:rPr>
              <w:t>аналитична работа, включително стартиране на обществена консултация, за да се определи обхватът на дадена законодателна инициатива относно пластмасовите изделия за еднократна употреба</w:t>
            </w:r>
          </w:p>
        </w:tc>
        <w:tc>
          <w:tcPr>
            <w:tcW w:w="2126" w:type="dxa"/>
            <w:shd w:val="clear" w:color="auto" w:fill="FFFFFF" w:themeFill="background1"/>
          </w:tcPr>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текущо</w:t>
            </w:r>
          </w:p>
        </w:tc>
      </w:tr>
      <w:tr>
        <w:trPr>
          <w:trHeight w:val="411"/>
        </w:trPr>
        <w:tc>
          <w:tcPr>
            <w:tcW w:w="7670" w:type="dxa"/>
            <w:shd w:val="clear" w:color="auto" w:fill="FFFFFF" w:themeFill="background1"/>
          </w:tcPr>
          <w:p>
            <w:pPr>
              <w:spacing w:after="0" w:line="240" w:lineRule="auto"/>
              <w:jc w:val="left"/>
              <w:rPr>
                <w:rFonts w:ascii="Times New Roman" w:eastAsia="Times New Roman" w:hAnsi="Times New Roman" w:cs="Times New Roman"/>
                <w:b/>
                <w:noProof/>
                <w:color w:val="000000"/>
              </w:rPr>
            </w:pPr>
            <w:r>
              <w:rPr>
                <w:rFonts w:ascii="Times New Roman" w:hAnsi="Times New Roman"/>
                <w:b/>
                <w:noProof/>
                <w:color w:val="000000"/>
              </w:rPr>
              <w:t>Действия за справяне с разположени в морето източници на морски отпадъци:</w:t>
            </w:r>
          </w:p>
          <w:p>
            <w:pPr>
              <w:pStyle w:val="ListParagraph"/>
              <w:numPr>
                <w:ilvl w:val="0"/>
                <w:numId w:val="7"/>
              </w:num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приемане на законодателно предложение относно пристанищните приемни съоръжения за предаване на отпадъци от кораби</w:t>
            </w:r>
          </w:p>
          <w:p>
            <w:pPr>
              <w:pStyle w:val="ListParagraph"/>
              <w:numPr>
                <w:ilvl w:val="0"/>
                <w:numId w:val="7"/>
              </w:numPr>
              <w:spacing w:after="0" w:line="240" w:lineRule="auto"/>
              <w:jc w:val="left"/>
              <w:rPr>
                <w:rFonts w:ascii="Times New Roman" w:eastAsia="Times New Roman" w:hAnsi="Times New Roman" w:cs="Times New Roman"/>
                <w:noProof/>
                <w:color w:val="000000"/>
                <w:spacing w:val="-2"/>
              </w:rPr>
            </w:pPr>
            <w:r>
              <w:rPr>
                <w:rFonts w:ascii="Times New Roman" w:hAnsi="Times New Roman"/>
                <w:noProof/>
                <w:color w:val="000000"/>
                <w:spacing w:val="-2"/>
              </w:rPr>
              <w:t>разработване на мерки за намаляване на загубата или изоставянето на море на риболовни уреди (</w:t>
            </w:r>
            <w:r>
              <w:rPr>
                <w:rFonts w:ascii="Times New Roman" w:hAnsi="Times New Roman"/>
                <w:i/>
                <w:noProof/>
                <w:color w:val="000000"/>
                <w:spacing w:val="-2"/>
              </w:rPr>
              <w:t>напр. включване на цели за рециклиране, режими за разширена отговорност на производителя, фондове за рециклиране или схеми за депозит</w:t>
            </w:r>
            <w:r>
              <w:rPr>
                <w:rFonts w:ascii="Times New Roman" w:hAnsi="Times New Roman"/>
                <w:noProof/>
                <w:color w:val="000000"/>
                <w:spacing w:val="-2"/>
              </w:rPr>
              <w:t>)</w:t>
            </w:r>
          </w:p>
          <w:p>
            <w:pPr>
              <w:pStyle w:val="ListParagraph"/>
              <w:numPr>
                <w:ilvl w:val="0"/>
                <w:numId w:val="7"/>
              </w:num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разработване на мерки за ограничаване на загубите на пластмаси от аквакултури (</w:t>
            </w:r>
            <w:r>
              <w:rPr>
                <w:rFonts w:ascii="Times New Roman" w:hAnsi="Times New Roman"/>
                <w:i/>
                <w:noProof/>
                <w:color w:val="000000"/>
              </w:rPr>
              <w:t>напр. евентуален референтен документ за най-добрите налични техники</w:t>
            </w:r>
            <w:r>
              <w:rPr>
                <w:rFonts w:ascii="Times New Roman" w:hAnsi="Times New Roman"/>
                <w:noProof/>
                <w:color w:val="000000"/>
              </w:rPr>
              <w:t xml:space="preserve">) </w:t>
            </w:r>
          </w:p>
        </w:tc>
        <w:tc>
          <w:tcPr>
            <w:tcW w:w="2126" w:type="dxa"/>
            <w:shd w:val="clear" w:color="auto" w:fill="FFFFFF" w:themeFill="background1"/>
          </w:tcPr>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Т1 на 2018 г.</w:t>
            </w:r>
          </w:p>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от 2018 г. нататък</w:t>
            </w:r>
          </w:p>
        </w:tc>
      </w:tr>
      <w:tr>
        <w:trPr>
          <w:trHeight w:val="600"/>
        </w:trPr>
        <w:tc>
          <w:tcPr>
            <w:tcW w:w="7670" w:type="dxa"/>
            <w:shd w:val="clear" w:color="auto" w:fill="auto"/>
            <w:hideMark/>
          </w:tcPr>
          <w:p>
            <w:pPr>
              <w:spacing w:after="0" w:line="240" w:lineRule="auto"/>
              <w:jc w:val="left"/>
              <w:rPr>
                <w:rFonts w:ascii="Times New Roman" w:eastAsia="Times New Roman" w:hAnsi="Times New Roman" w:cs="Times New Roman"/>
                <w:b/>
                <w:noProof/>
              </w:rPr>
            </w:pPr>
            <w:r>
              <w:rPr>
                <w:rFonts w:ascii="Times New Roman" w:hAnsi="Times New Roman"/>
                <w:b/>
                <w:noProof/>
              </w:rPr>
              <w:t>Действия, имащи за цел по-ефективен мониторинг и по-ефективно ограничаване на морските отпадъци:</w:t>
            </w:r>
          </w:p>
          <w:p>
            <w:pPr>
              <w:pStyle w:val="ListParagraph"/>
              <w:numPr>
                <w:ilvl w:val="0"/>
                <w:numId w:val="7"/>
              </w:num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подобрен мониторинг и картографиране на морските отпадъци, включително на пластмасовите микрочастици, въз основа на хармонизирани на равнището на ЕС методи</w:t>
            </w:r>
          </w:p>
          <w:p>
            <w:pPr>
              <w:pStyle w:val="ListParagraph"/>
              <w:numPr>
                <w:ilvl w:val="0"/>
                <w:numId w:val="7"/>
              </w:num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оказване на подкрепа на държавите членки за изпълнението на техните програми с мерки за намаляване на морските отпадъци съгласно Рамковата директива за морска стратегия, включително за връзката им с техните планове за управление на отпадъците/нерегламентираното изхвърляне на отпадъци съгласно Рамковата директива за отпадъците</w:t>
            </w:r>
          </w:p>
        </w:tc>
        <w:tc>
          <w:tcPr>
            <w:tcW w:w="2126" w:type="dxa"/>
          </w:tcPr>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от 2018 г. нататък</w:t>
            </w:r>
          </w:p>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p>
        </w:tc>
      </w:tr>
      <w:tr>
        <w:trPr>
          <w:trHeight w:val="283"/>
        </w:trPr>
        <w:tc>
          <w:tcPr>
            <w:tcW w:w="7670" w:type="dxa"/>
            <w:shd w:val="clear" w:color="auto" w:fill="FFFFFF" w:themeFill="background1"/>
            <w:hideMark/>
          </w:tcPr>
          <w:p>
            <w:pPr>
              <w:spacing w:after="0" w:line="240" w:lineRule="auto"/>
              <w:jc w:val="left"/>
              <w:rPr>
                <w:rFonts w:ascii="Times New Roman" w:eastAsia="Times New Roman" w:hAnsi="Times New Roman" w:cs="Times New Roman"/>
                <w:b/>
                <w:noProof/>
                <w:color w:val="000000"/>
                <w:spacing w:val="-6"/>
              </w:rPr>
            </w:pPr>
            <w:r>
              <w:rPr>
                <w:rFonts w:ascii="Times New Roman" w:hAnsi="Times New Roman"/>
                <w:b/>
                <w:noProof/>
                <w:color w:val="000000"/>
                <w:spacing w:val="-6"/>
              </w:rPr>
              <w:t>Действия по отношение на подлежащи на компостиране и биоразградими пластмаси:</w:t>
            </w:r>
          </w:p>
          <w:p>
            <w:pPr>
              <w:pStyle w:val="ListParagraph"/>
              <w:numPr>
                <w:ilvl w:val="0"/>
                <w:numId w:val="7"/>
              </w:num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започване на работа за разработване на хармонизирани правила относно определянето и етикетирането на подлежащи на компостиране и биоразградими пластмаси</w:t>
            </w:r>
          </w:p>
          <w:p>
            <w:pPr>
              <w:pStyle w:val="ListParagraph"/>
              <w:numPr>
                <w:ilvl w:val="0"/>
                <w:numId w:val="7"/>
              </w:num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извършване на оценка на жизнения цикъл, за да се определят условията, при които тяхната употреба е от полза, както и критериите за такава употреба</w:t>
            </w:r>
          </w:p>
          <w:p>
            <w:pPr>
              <w:pStyle w:val="ListParagraph"/>
              <w:numPr>
                <w:ilvl w:val="0"/>
                <w:numId w:val="7"/>
              </w:num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започване на процеса за ограничаване чрез прилагане на REACH на употребата на разградими при окисляване пластмаси</w:t>
            </w:r>
          </w:p>
        </w:tc>
        <w:tc>
          <w:tcPr>
            <w:tcW w:w="2126" w:type="dxa"/>
            <w:shd w:val="clear" w:color="auto" w:fill="FFFFFF" w:themeFill="background1"/>
          </w:tcPr>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от Т1 на 2018 г. нататък</w:t>
            </w:r>
          </w:p>
          <w:p>
            <w:pPr>
              <w:spacing w:after="0" w:line="240" w:lineRule="auto"/>
              <w:jc w:val="left"/>
              <w:rPr>
                <w:rFonts w:ascii="Times New Roman" w:eastAsia="Times New Roman" w:hAnsi="Times New Roman" w:cs="Times New Roman"/>
                <w:noProof/>
                <w:color w:val="000000"/>
                <w:lang w:val="en-GB"/>
              </w:rPr>
            </w:pPr>
          </w:p>
          <w:p>
            <w:p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от Т1 на 2018 г. нататък</w:t>
            </w:r>
          </w:p>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 xml:space="preserve">текущо </w:t>
            </w:r>
          </w:p>
        </w:tc>
      </w:tr>
      <w:tr>
        <w:trPr>
          <w:trHeight w:val="600"/>
        </w:trPr>
        <w:tc>
          <w:tcPr>
            <w:tcW w:w="7670" w:type="dxa"/>
            <w:shd w:val="clear" w:color="auto" w:fill="FFFFFF" w:themeFill="background1"/>
            <w:hideMark/>
          </w:tcPr>
          <w:p>
            <w:pPr>
              <w:spacing w:after="0" w:line="240" w:lineRule="auto"/>
              <w:jc w:val="left"/>
              <w:rPr>
                <w:rFonts w:ascii="Times New Roman" w:eastAsia="Times New Roman" w:hAnsi="Times New Roman" w:cs="Times New Roman"/>
                <w:b/>
                <w:noProof/>
                <w:color w:val="000000"/>
              </w:rPr>
            </w:pPr>
            <w:r>
              <w:rPr>
                <w:rFonts w:ascii="Times New Roman" w:hAnsi="Times New Roman"/>
                <w:b/>
                <w:noProof/>
                <w:color w:val="000000"/>
              </w:rPr>
              <w:t>Действия за намаляване на замърсяването с пластмасови микрочастици:</w:t>
            </w:r>
          </w:p>
          <w:p>
            <w:pPr>
              <w:pStyle w:val="ListParagraph"/>
              <w:numPr>
                <w:ilvl w:val="0"/>
                <w:numId w:val="8"/>
              </w:num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започване на процеса за ограничаване чрез прилагане на REACH на умишленото добавяне на пластмасови микрочастици в продукти</w:t>
            </w:r>
          </w:p>
          <w:p>
            <w:pPr>
              <w:pStyle w:val="ListParagraph"/>
              <w:numPr>
                <w:ilvl w:val="0"/>
                <w:numId w:val="8"/>
              </w:numPr>
              <w:spacing w:after="0" w:line="240" w:lineRule="auto"/>
              <w:jc w:val="left"/>
              <w:rPr>
                <w:rFonts w:ascii="Times New Roman" w:eastAsia="Times New Roman" w:hAnsi="Times New Roman" w:cs="Times New Roman"/>
                <w:noProof/>
                <w:color w:val="000000"/>
                <w:spacing w:val="6"/>
              </w:rPr>
            </w:pPr>
            <w:r>
              <w:rPr>
                <w:rFonts w:ascii="Times New Roman" w:hAnsi="Times New Roman"/>
                <w:noProof/>
                <w:color w:val="000000"/>
                <w:spacing w:val="6"/>
              </w:rPr>
              <w:t>разглеждане на варианти на политиките за намаляване на непреднамереното изпускане на пластмасови микрочастици от гуми, текстил и бои (</w:t>
            </w:r>
            <w:r>
              <w:rPr>
                <w:rFonts w:ascii="Times New Roman" w:hAnsi="Times New Roman"/>
                <w:i/>
                <w:noProof/>
                <w:color w:val="000000"/>
                <w:spacing w:val="6"/>
              </w:rPr>
              <w:t>напр. чрез включването на минимални изисквания за конструкцията на гумата (абразивно износване и устойчивост, ако е уместно) и/или изискване за предоставяне на информация (включително етикетиране, ако е приложимо), методи за оценка на загуби на пластмасови микрочастици от текстилни изделия и гуми, комбинирани с информация (включително евентуално етикетиране)/минимални изисквания, целево финансиране за научноизследователска и развойна дейност</w:t>
            </w:r>
            <w:r>
              <w:rPr>
                <w:rFonts w:ascii="Times New Roman" w:hAnsi="Times New Roman"/>
                <w:noProof/>
                <w:color w:val="000000"/>
                <w:spacing w:val="6"/>
              </w:rPr>
              <w:t>)</w:t>
            </w:r>
          </w:p>
          <w:p>
            <w:pPr>
              <w:pStyle w:val="ListParagraph"/>
              <w:numPr>
                <w:ilvl w:val="0"/>
                <w:numId w:val="8"/>
              </w:num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разработване на мерки за намаляване на отделянето на пластмасови гранули (</w:t>
            </w:r>
            <w:r>
              <w:rPr>
                <w:rFonts w:ascii="Times New Roman" w:hAnsi="Times New Roman"/>
                <w:i/>
                <w:noProof/>
                <w:color w:val="000000"/>
              </w:rPr>
              <w:t>напр. схема за сертифициране на веригата на доставки на пластмаси и/или референтен документ за най-добрите налични техники съгласно Директивата относно емисиите от промишлеността</w:t>
            </w:r>
            <w:r>
              <w:rPr>
                <w:rFonts w:ascii="Times New Roman" w:hAnsi="Times New Roman"/>
                <w:noProof/>
                <w:color w:val="000000"/>
              </w:rPr>
              <w:t>)</w:t>
            </w:r>
          </w:p>
          <w:p>
            <w:pPr>
              <w:pStyle w:val="ListParagraph"/>
              <w:numPr>
                <w:ilvl w:val="0"/>
                <w:numId w:val="8"/>
              </w:num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 xml:space="preserve">оценка на Директивата за пречистване на градските отпадъчни води: оценяване на ефективността по отношение на улавянето и отстраняването на пластмасови микрочастици </w:t>
            </w:r>
          </w:p>
        </w:tc>
        <w:tc>
          <w:tcPr>
            <w:tcW w:w="2126" w:type="dxa"/>
            <w:shd w:val="clear" w:color="auto" w:fill="FFFFFF" w:themeFill="background1"/>
          </w:tcPr>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текущо</w:t>
            </w:r>
          </w:p>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текущо</w:t>
            </w:r>
          </w:p>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lang w:val="en-GB"/>
              </w:rPr>
            </w:pPr>
          </w:p>
          <w:p>
            <w:pPr>
              <w:spacing w:after="0" w:line="240" w:lineRule="auto"/>
              <w:jc w:val="left"/>
              <w:rPr>
                <w:rFonts w:ascii="Times New Roman" w:eastAsia="Times New Roman" w:hAnsi="Times New Roman" w:cs="Times New Roman"/>
                <w:noProof/>
                <w:color w:val="000000"/>
                <w:lang w:val="en-GB"/>
              </w:rPr>
            </w:pPr>
          </w:p>
          <w:p>
            <w:pPr>
              <w:spacing w:after="0" w:line="240" w:lineRule="auto"/>
              <w:jc w:val="left"/>
              <w:rPr>
                <w:rFonts w:ascii="Times New Roman" w:eastAsia="Times New Roman" w:hAnsi="Times New Roman" w:cs="Times New Roman"/>
                <w:noProof/>
                <w:color w:val="000000"/>
                <w:lang w:val="en-GB"/>
              </w:rPr>
            </w:pPr>
          </w:p>
          <w:p>
            <w:pPr>
              <w:spacing w:after="0" w:line="240" w:lineRule="auto"/>
              <w:jc w:val="left"/>
              <w:rPr>
                <w:rFonts w:ascii="Times New Roman" w:eastAsia="Times New Roman" w:hAnsi="Times New Roman" w:cs="Times New Roman"/>
                <w:noProof/>
                <w:color w:val="000000"/>
                <w:lang w:val="en-GB"/>
              </w:rPr>
            </w:pPr>
          </w:p>
          <w:p>
            <w:pPr>
              <w:spacing w:after="0" w:line="240" w:lineRule="auto"/>
              <w:jc w:val="left"/>
              <w:rPr>
                <w:rFonts w:ascii="Times New Roman" w:hAnsi="Times New Roman"/>
                <w:noProof/>
                <w:color w:val="000000"/>
                <w:lang w:val="en-GB"/>
              </w:rPr>
            </w:pPr>
          </w:p>
          <w:p>
            <w:p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от Т1 на 2018 г. нататък</w:t>
            </w:r>
          </w:p>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текущо</w:t>
            </w:r>
          </w:p>
        </w:tc>
      </w:tr>
      <w:tr>
        <w:trPr>
          <w:trHeight w:val="154"/>
        </w:trPr>
        <w:tc>
          <w:tcPr>
            <w:tcW w:w="9796" w:type="dxa"/>
            <w:gridSpan w:val="2"/>
            <w:shd w:val="clear" w:color="000000" w:fill="D9D9D9"/>
          </w:tcPr>
          <w:p>
            <w:pPr>
              <w:spacing w:after="0" w:line="240" w:lineRule="auto"/>
              <w:jc w:val="left"/>
              <w:rPr>
                <w:rFonts w:ascii="Times New Roman" w:eastAsia="Times New Roman" w:hAnsi="Times New Roman" w:cs="Times New Roman"/>
                <w:b/>
                <w:bCs/>
                <w:noProof/>
                <w:color w:val="000000"/>
              </w:rPr>
            </w:pPr>
            <w:r>
              <w:rPr>
                <w:rFonts w:ascii="Times New Roman" w:hAnsi="Times New Roman"/>
                <w:b/>
                <w:noProof/>
                <w:color w:val="000000"/>
              </w:rPr>
              <w:t>Стимулиране на иновации и инвестиции за намиране на подходящи за кръговата икономика решения</w:t>
            </w:r>
          </w:p>
        </w:tc>
      </w:tr>
      <w:tr>
        <w:trPr>
          <w:trHeight w:val="1607"/>
        </w:trPr>
        <w:tc>
          <w:tcPr>
            <w:tcW w:w="7670" w:type="dxa"/>
            <w:shd w:val="clear" w:color="auto" w:fill="FFFFFF" w:themeFill="background1"/>
            <w:noWrap/>
            <w:hideMark/>
          </w:tcPr>
          <w:p>
            <w:pPr>
              <w:spacing w:after="0" w:line="240" w:lineRule="auto"/>
              <w:jc w:val="left"/>
              <w:rPr>
                <w:rFonts w:ascii="Times New Roman" w:eastAsia="Times New Roman" w:hAnsi="Times New Roman" w:cs="Times New Roman"/>
                <w:noProof/>
                <w:color w:val="000000"/>
              </w:rPr>
            </w:pPr>
            <w:r>
              <w:rPr>
                <w:rFonts w:ascii="Times New Roman" w:hAnsi="Times New Roman"/>
                <w:b/>
                <w:noProof/>
                <w:color w:val="000000"/>
              </w:rPr>
              <w:t>Действия за насърчаване на инвестициите и иновациите във веригата за създаване на стойност</w:t>
            </w:r>
            <w:r>
              <w:rPr>
                <w:rFonts w:ascii="Times New Roman" w:hAnsi="Times New Roman"/>
                <w:noProof/>
                <w:color w:val="000000"/>
              </w:rPr>
              <w:t>:</w:t>
            </w:r>
          </w:p>
          <w:p>
            <w:pPr>
              <w:pStyle w:val="ListParagraph"/>
              <w:numPr>
                <w:ilvl w:val="0"/>
                <w:numId w:val="9"/>
              </w:num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 xml:space="preserve">Насоки на Комисията относно модулацията с оглед на околната среда на таксите за разширена отговорност на производителя </w:t>
            </w:r>
          </w:p>
          <w:p>
            <w:pPr>
              <w:pStyle w:val="ListParagraph"/>
              <w:numPr>
                <w:ilvl w:val="0"/>
                <w:numId w:val="9"/>
              </w:numPr>
              <w:rPr>
                <w:rFonts w:ascii="Times New Roman" w:eastAsia="Times New Roman" w:hAnsi="Times New Roman" w:cs="Times New Roman"/>
                <w:noProof/>
                <w:color w:val="000000"/>
              </w:rPr>
            </w:pPr>
            <w:r>
              <w:rPr>
                <w:rFonts w:ascii="Times New Roman" w:hAnsi="Times New Roman"/>
                <w:noProof/>
                <w:color w:val="000000"/>
              </w:rPr>
              <w:t xml:space="preserve">Препоръки от наскоро създадената </w:t>
            </w:r>
            <w:r>
              <w:rPr>
                <w:rFonts w:ascii="Times New Roman" w:hAnsi="Times New Roman"/>
                <w:i/>
                <w:noProof/>
                <w:color w:val="000000"/>
              </w:rPr>
              <w:t>„платформа за финансова подкрепа на кръговата икономика“</w:t>
            </w:r>
          </w:p>
          <w:p>
            <w:pPr>
              <w:pStyle w:val="ListParagraph"/>
              <w:numPr>
                <w:ilvl w:val="0"/>
                <w:numId w:val="9"/>
              </w:num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проучване на възможността за създаване на ръководен от частни партньори инвестиционен фонд за финансиране на инвестиции в иновативни решения и нови технологии, насочени към намаляване на въздействието върху околната среда от първичното производство на пластмаса</w:t>
            </w:r>
          </w:p>
          <w:p>
            <w:pPr>
              <w:pStyle w:val="ListParagraph"/>
              <w:numPr>
                <w:ilvl w:val="0"/>
                <w:numId w:val="9"/>
              </w:num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пряка финансова подкрепа за инфраструктура и иновации посредством Европейския фонд за стратегически инвестиции и други финансови инструменти на ЕС (напр. структурните фондове и стратегиите за интелигентна специализация, програма „Хоризонт 2020“)</w:t>
            </w:r>
          </w:p>
          <w:p>
            <w:pPr>
              <w:pStyle w:val="ListParagraph"/>
              <w:numPr>
                <w:ilvl w:val="0"/>
                <w:numId w:val="9"/>
              </w:num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продължаване на работата по отношение на въздействието през жизнения цикъл на алтернативни суровини за производство на пластмаса</w:t>
            </w:r>
          </w:p>
          <w:p>
            <w:pPr>
              <w:pStyle w:val="ListParagraph"/>
              <w:numPr>
                <w:ilvl w:val="0"/>
                <w:numId w:val="9"/>
              </w:numPr>
              <w:spacing w:after="0" w:line="240" w:lineRule="auto"/>
              <w:jc w:val="left"/>
              <w:rPr>
                <w:rFonts w:ascii="Times New Roman" w:eastAsia="Times New Roman" w:hAnsi="Times New Roman" w:cs="Times New Roman"/>
                <w:noProof/>
                <w:color w:val="000000"/>
                <w:spacing w:val="2"/>
              </w:rPr>
            </w:pPr>
            <w:r>
              <w:rPr>
                <w:rFonts w:ascii="Times New Roman" w:hAnsi="Times New Roman"/>
                <w:noProof/>
                <w:color w:val="000000"/>
                <w:spacing w:val="2"/>
              </w:rPr>
              <w:t xml:space="preserve">разработване на стратегическа програма за научни изследвания и иновации относно пластмасите, която да направлява бъдещите решения за финансиране </w:t>
            </w:r>
          </w:p>
        </w:tc>
        <w:tc>
          <w:tcPr>
            <w:tcW w:w="2126" w:type="dxa"/>
            <w:shd w:val="clear" w:color="auto" w:fill="FFFFFF" w:themeFill="background1"/>
          </w:tcPr>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2019 г.</w:t>
            </w:r>
          </w:p>
          <w:p>
            <w:pPr>
              <w:spacing w:after="0" w:line="240" w:lineRule="auto"/>
              <w:jc w:val="left"/>
              <w:rPr>
                <w:rFonts w:ascii="Times New Roman" w:hAnsi="Times New Roman"/>
                <w:noProof/>
                <w:color w:val="000000"/>
                <w:lang w:val="en-GB"/>
              </w:rPr>
            </w:pPr>
          </w:p>
          <w:p>
            <w:p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в средата на 2018 г.</w:t>
            </w:r>
          </w:p>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до средата на 2019 г.</w:t>
            </w:r>
          </w:p>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hAnsi="Times New Roman"/>
                <w:noProof/>
                <w:color w:val="000000"/>
                <w:lang w:val="en-GB"/>
              </w:rPr>
            </w:pPr>
          </w:p>
          <w:p>
            <w:p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текущо</w:t>
            </w:r>
          </w:p>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eastAsia="Times New Roman" w:hAnsi="Times New Roman" w:cs="Times New Roman"/>
                <w:noProof/>
                <w:color w:val="000000"/>
              </w:rPr>
            </w:pPr>
          </w:p>
          <w:p>
            <w:pPr>
              <w:spacing w:after="0" w:line="240" w:lineRule="auto"/>
              <w:jc w:val="left"/>
              <w:rPr>
                <w:rFonts w:ascii="Times New Roman" w:hAnsi="Times New Roman"/>
                <w:noProof/>
                <w:color w:val="000000"/>
                <w:lang w:val="en-GB"/>
              </w:rPr>
            </w:pPr>
          </w:p>
          <w:p>
            <w:p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от 2018 г. нататък</w:t>
            </w:r>
          </w:p>
          <w:p>
            <w:pPr>
              <w:spacing w:after="0" w:line="240" w:lineRule="auto"/>
              <w:jc w:val="left"/>
              <w:rPr>
                <w:rFonts w:ascii="Times New Roman" w:eastAsia="Times New Roman" w:hAnsi="Times New Roman" w:cs="Times New Roman"/>
                <w:noProof/>
                <w:color w:val="000000"/>
                <w:lang w:val="en-GB"/>
              </w:rPr>
            </w:pPr>
          </w:p>
          <w:p>
            <w:pPr>
              <w:spacing w:after="0" w:line="240" w:lineRule="auto"/>
              <w:jc w:val="left"/>
              <w:rPr>
                <w:rFonts w:ascii="Times New Roman" w:eastAsia="Times New Roman" w:hAnsi="Times New Roman" w:cs="Times New Roman"/>
                <w:noProof/>
                <w:color w:val="000000"/>
                <w:lang w:val="en-GB"/>
              </w:rPr>
            </w:pPr>
          </w:p>
          <w:p>
            <w:p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Т2 на 2018 г.</w:t>
            </w:r>
          </w:p>
        </w:tc>
      </w:tr>
      <w:tr>
        <w:trPr>
          <w:trHeight w:val="212"/>
        </w:trPr>
        <w:tc>
          <w:tcPr>
            <w:tcW w:w="9796" w:type="dxa"/>
            <w:gridSpan w:val="2"/>
            <w:shd w:val="clear" w:color="000000" w:fill="D9D9D9"/>
          </w:tcPr>
          <w:p>
            <w:pPr>
              <w:spacing w:after="0" w:line="240" w:lineRule="auto"/>
              <w:jc w:val="left"/>
              <w:rPr>
                <w:rFonts w:ascii="Times New Roman" w:eastAsia="Times New Roman" w:hAnsi="Times New Roman" w:cs="Times New Roman"/>
                <w:b/>
                <w:bCs/>
                <w:noProof/>
                <w:color w:val="000000"/>
              </w:rPr>
            </w:pPr>
            <w:r>
              <w:rPr>
                <w:rFonts w:ascii="Times New Roman" w:hAnsi="Times New Roman"/>
                <w:b/>
                <w:noProof/>
                <w:color w:val="000000"/>
              </w:rPr>
              <w:t>Извличане на ползи от глобални действия</w:t>
            </w:r>
          </w:p>
        </w:tc>
      </w:tr>
      <w:tr>
        <w:trPr>
          <w:trHeight w:val="1200"/>
        </w:trPr>
        <w:tc>
          <w:tcPr>
            <w:tcW w:w="7670" w:type="dxa"/>
            <w:shd w:val="clear" w:color="auto" w:fill="auto"/>
            <w:hideMark/>
          </w:tcPr>
          <w:p>
            <w:pPr>
              <w:spacing w:after="0" w:line="240" w:lineRule="auto"/>
              <w:jc w:val="left"/>
              <w:rPr>
                <w:rFonts w:ascii="Times New Roman" w:eastAsia="Times New Roman" w:hAnsi="Times New Roman" w:cs="Times New Roman"/>
                <w:b/>
                <w:noProof/>
                <w:color w:val="000000"/>
              </w:rPr>
            </w:pPr>
            <w:r>
              <w:rPr>
                <w:rFonts w:ascii="Times New Roman" w:hAnsi="Times New Roman"/>
                <w:b/>
                <w:noProof/>
                <w:color w:val="000000"/>
              </w:rPr>
              <w:t>Действия, насочени към ключови региони:</w:t>
            </w:r>
          </w:p>
          <w:p>
            <w:pPr>
              <w:pStyle w:val="ListParagraph"/>
              <w:numPr>
                <w:ilvl w:val="0"/>
                <w:numId w:val="9"/>
              </w:num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проект за намаляване на отпадъците от пластмаси и на морските отпадъци в Източна и Югоизточна Азия с цел подкрепа на устойчивото потребление и производство, насърчаване на йерархията на отпадъците и разширената отговорност на производителя, както и подобряване на оползотворяването на риболовните съоръжения</w:t>
            </w:r>
          </w:p>
          <w:p>
            <w:pPr>
              <w:pStyle w:val="ListParagraph"/>
              <w:numPr>
                <w:ilvl w:val="0"/>
                <w:numId w:val="9"/>
              </w:num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разглеждане на възможности за конкретни действия за намаляване на замърсяването на Средиземно море с отпадъци от пластмаси, в подкрепа на изпълнението на Конвенцията от Барселона</w:t>
            </w:r>
          </w:p>
          <w:p>
            <w:pPr>
              <w:pStyle w:val="ListParagraph"/>
              <w:numPr>
                <w:ilvl w:val="0"/>
                <w:numId w:val="9"/>
              </w:num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сътрудничество относно предотвратяването на разпространяването на отпадъци от пластмаси в основните световни речни басейни</w:t>
            </w:r>
          </w:p>
        </w:tc>
        <w:tc>
          <w:tcPr>
            <w:tcW w:w="2126" w:type="dxa"/>
          </w:tcPr>
          <w:p>
            <w:p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от 2018 г. нататък</w:t>
            </w:r>
          </w:p>
        </w:tc>
      </w:tr>
      <w:tr>
        <w:trPr>
          <w:trHeight w:val="900"/>
        </w:trPr>
        <w:tc>
          <w:tcPr>
            <w:tcW w:w="7670" w:type="dxa"/>
            <w:shd w:val="clear" w:color="auto" w:fill="auto"/>
            <w:hideMark/>
          </w:tcPr>
          <w:p>
            <w:pPr>
              <w:spacing w:after="0" w:line="240" w:lineRule="auto"/>
              <w:jc w:val="left"/>
              <w:rPr>
                <w:rFonts w:ascii="Times New Roman" w:eastAsia="Times New Roman" w:hAnsi="Times New Roman" w:cs="Times New Roman"/>
                <w:b/>
                <w:noProof/>
                <w:color w:val="000000"/>
              </w:rPr>
            </w:pPr>
            <w:r>
              <w:rPr>
                <w:rFonts w:ascii="Times New Roman" w:hAnsi="Times New Roman"/>
                <w:b/>
                <w:noProof/>
                <w:color w:val="000000"/>
              </w:rPr>
              <w:t>Действия в подкрепа на многостранните инициативи относно пластмасите:</w:t>
            </w:r>
          </w:p>
          <w:p>
            <w:pPr>
              <w:pStyle w:val="ListParagraph"/>
              <w:numPr>
                <w:ilvl w:val="0"/>
                <w:numId w:val="9"/>
              </w:num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подновен ангажимент за пластмасите и морските отпадъци във форуми като ООН, Г-7, Г-20, Международната конвенция за предотвратяване на замърсяването от кораби (MARPOL) и регионалните морски конвенции, в това число разработването на практически инструменти и специфични действия в областта на риболова и аквакултурите.</w:t>
            </w:r>
          </w:p>
          <w:p>
            <w:pPr>
              <w:pStyle w:val="ListParagraph"/>
              <w:numPr>
                <w:ilvl w:val="0"/>
                <w:numId w:val="9"/>
              </w:num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подкрепа за действия по Базелската конвенция, особено за прилагането на инструментариум по въпросите на екологосъобразното управление на отпадъците</w:t>
            </w:r>
          </w:p>
        </w:tc>
        <w:tc>
          <w:tcPr>
            <w:tcW w:w="2126" w:type="dxa"/>
          </w:tcPr>
          <w:p>
            <w:p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от 2018 г. нататък</w:t>
            </w:r>
          </w:p>
        </w:tc>
      </w:tr>
      <w:tr>
        <w:trPr>
          <w:trHeight w:val="600"/>
        </w:trPr>
        <w:tc>
          <w:tcPr>
            <w:tcW w:w="7670" w:type="dxa"/>
            <w:shd w:val="clear" w:color="auto" w:fill="auto"/>
            <w:hideMark/>
          </w:tcPr>
          <w:p>
            <w:pPr>
              <w:spacing w:after="0" w:line="240" w:lineRule="auto"/>
              <w:jc w:val="left"/>
              <w:rPr>
                <w:rFonts w:ascii="Times New Roman" w:eastAsia="Times New Roman" w:hAnsi="Times New Roman" w:cs="Times New Roman"/>
                <w:noProof/>
                <w:color w:val="000000"/>
              </w:rPr>
            </w:pPr>
            <w:r>
              <w:rPr>
                <w:rFonts w:ascii="Times New Roman" w:hAnsi="Times New Roman"/>
                <w:b/>
                <w:noProof/>
                <w:color w:val="000000"/>
              </w:rPr>
              <w:t>Действия, свързани с двустранното сътрудничество с държави извън ЕС</w:t>
            </w:r>
            <w:r>
              <w:rPr>
                <w:rFonts w:ascii="Times New Roman" w:hAnsi="Times New Roman"/>
                <w:noProof/>
                <w:color w:val="000000"/>
              </w:rPr>
              <w:t>:</w:t>
            </w:r>
          </w:p>
          <w:p>
            <w:pPr>
              <w:pStyle w:val="ListParagraph"/>
              <w:numPr>
                <w:ilvl w:val="0"/>
                <w:numId w:val="9"/>
              </w:num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насърчаване на кръгова икономика в сектора на пластмасите в държави извън ЕС чрез диалог относно политиките в търговията, промишлеността и околната среда, както и икономическата дипломация</w:t>
            </w:r>
          </w:p>
          <w:p>
            <w:pPr>
              <w:pStyle w:val="ListParagraph"/>
              <w:numPr>
                <w:ilvl w:val="0"/>
                <w:numId w:val="9"/>
              </w:num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използване на двустранно, регионално и тематично финансиране в областта на развитието, добросъседството и разширяването на политиките на ЕС в подкрепа на стратегията за пластмасите чрез предотвратяване и адекватно управление на отпадъците и чрез подкрепа на кръговата икономика; чрез програми и инструменти, включително програмата за преминаване към екологични методи „Switch to Green“ и плана за външни инвестиции</w:t>
            </w:r>
          </w:p>
        </w:tc>
        <w:tc>
          <w:tcPr>
            <w:tcW w:w="2126" w:type="dxa"/>
          </w:tcPr>
          <w:p>
            <w:p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от 2018 г. нататък</w:t>
            </w:r>
          </w:p>
        </w:tc>
      </w:tr>
      <w:tr>
        <w:trPr>
          <w:trHeight w:val="600"/>
        </w:trPr>
        <w:tc>
          <w:tcPr>
            <w:tcW w:w="7670" w:type="dxa"/>
            <w:shd w:val="clear" w:color="auto" w:fill="auto"/>
            <w:hideMark/>
          </w:tcPr>
          <w:p>
            <w:pPr>
              <w:spacing w:after="0" w:line="240" w:lineRule="auto"/>
              <w:jc w:val="left"/>
              <w:rPr>
                <w:rFonts w:ascii="Times New Roman" w:eastAsia="Times New Roman" w:hAnsi="Times New Roman" w:cs="Times New Roman"/>
                <w:b/>
                <w:noProof/>
                <w:color w:val="000000"/>
              </w:rPr>
            </w:pPr>
            <w:r>
              <w:rPr>
                <w:rFonts w:ascii="Times New Roman" w:hAnsi="Times New Roman"/>
                <w:b/>
                <w:noProof/>
                <w:color w:val="000000"/>
              </w:rPr>
              <w:t>Действия, свързани с международната търговия:</w:t>
            </w:r>
          </w:p>
          <w:p>
            <w:pPr>
              <w:pStyle w:val="ListParagraph"/>
              <w:numPr>
                <w:ilvl w:val="0"/>
                <w:numId w:val="9"/>
              </w:num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 xml:space="preserve">подкрепа на развитието на международните промишлени стандарти за сортирани отпадъци от пластмаси и рециклирани пластмаси </w:t>
            </w:r>
          </w:p>
          <w:p>
            <w:pPr>
              <w:pStyle w:val="ListParagraph"/>
              <w:numPr>
                <w:ilvl w:val="0"/>
                <w:numId w:val="9"/>
              </w:num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 xml:space="preserve">гарантиране, че изнасяните отпадъци от пластмаси са третирани по подходящ начин в съответствие с Регламента на ЕС за превоз на отпадъци </w:t>
            </w:r>
          </w:p>
          <w:p>
            <w:pPr>
              <w:pStyle w:val="ListParagraph"/>
              <w:numPr>
                <w:ilvl w:val="0"/>
                <w:numId w:val="9"/>
              </w:num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подкрепа за разработване на схема за сертифициране на съоръженията за рециклиране в ЕС и в трети държави</w:t>
            </w:r>
          </w:p>
        </w:tc>
        <w:tc>
          <w:tcPr>
            <w:tcW w:w="2126" w:type="dxa"/>
          </w:tcPr>
          <w:p>
            <w:pPr>
              <w:spacing w:after="0" w:line="240" w:lineRule="auto"/>
              <w:jc w:val="left"/>
              <w:rPr>
                <w:rFonts w:ascii="Times New Roman" w:eastAsia="Times New Roman" w:hAnsi="Times New Roman" w:cs="Times New Roman"/>
                <w:noProof/>
                <w:color w:val="000000"/>
              </w:rPr>
            </w:pPr>
            <w:r>
              <w:rPr>
                <w:rFonts w:ascii="Times New Roman" w:hAnsi="Times New Roman"/>
                <w:noProof/>
                <w:color w:val="000000"/>
              </w:rPr>
              <w:t>от 2018 г. нататък</w:t>
            </w:r>
          </w:p>
        </w:tc>
      </w:tr>
    </w:tbl>
    <w:p>
      <w:pPr>
        <w:rPr>
          <w:rFonts w:ascii="Times New Roman" w:eastAsia="Calibri" w:hAnsi="Times New Roman" w:cs="Times New Roman"/>
          <w:b/>
          <w:noProof/>
          <w:sz w:val="24"/>
          <w:szCs w:val="22"/>
        </w:rPr>
      </w:pPr>
      <w:r>
        <w:rPr>
          <w:rFonts w:ascii="Times New Roman" w:hAnsi="Times New Roman"/>
          <w:b/>
          <w:noProof/>
          <w:sz w:val="24"/>
        </w:rPr>
        <w:t xml:space="preserve"> </w:t>
      </w:r>
      <w:r>
        <w:rPr>
          <w:noProof/>
        </w:rPr>
        <w:br w:type="page"/>
      </w:r>
    </w:p>
    <w:p>
      <w:pPr>
        <w:jc w:val="center"/>
        <w:rPr>
          <w:rFonts w:ascii="Times New Roman" w:eastAsia="Calibri" w:hAnsi="Times New Roman" w:cs="Times New Roman"/>
          <w:b/>
          <w:noProof/>
          <w:sz w:val="24"/>
          <w:szCs w:val="22"/>
        </w:rPr>
      </w:pPr>
      <w:r>
        <w:rPr>
          <w:rFonts w:ascii="Times New Roman" w:hAnsi="Times New Roman"/>
          <w:b/>
          <w:noProof/>
          <w:sz w:val="24"/>
        </w:rPr>
        <w:t>ПРИЛОЖЕНИЕ II</w:t>
      </w:r>
    </w:p>
    <w:p>
      <w:pPr>
        <w:jc w:val="center"/>
        <w:rPr>
          <w:rFonts w:ascii="Times New Roman" w:eastAsia="Calibri" w:hAnsi="Times New Roman" w:cs="Times New Roman"/>
          <w:b/>
          <w:noProof/>
          <w:sz w:val="24"/>
          <w:szCs w:val="24"/>
        </w:rPr>
      </w:pPr>
      <w:r>
        <w:rPr>
          <w:rFonts w:ascii="Times New Roman" w:hAnsi="Times New Roman"/>
          <w:b/>
          <w:noProof/>
          <w:sz w:val="24"/>
        </w:rPr>
        <w:t>Списък с мерки, препоръчани на националните органи и промишлеността</w:t>
      </w:r>
    </w:p>
    <w:tbl>
      <w:tblPr>
        <w:tblStyle w:val="TableGrid"/>
        <w:tblW w:w="0" w:type="auto"/>
        <w:tblLook w:val="04A0" w:firstRow="1" w:lastRow="0" w:firstColumn="1" w:lastColumn="0" w:noHBand="0" w:noVBand="1"/>
      </w:tblPr>
      <w:tblGrid>
        <w:gridCol w:w="9288"/>
      </w:tblGrid>
      <w:tr>
        <w:tc>
          <w:tcPr>
            <w:tcW w:w="9288" w:type="dxa"/>
            <w:shd w:val="clear" w:color="auto" w:fill="A6A6A6" w:themeFill="background1" w:themeFillShade="A6"/>
          </w:tcPr>
          <w:p>
            <w:pPr>
              <w:rPr>
                <w:rFonts w:ascii="Times New Roman" w:eastAsiaTheme="minorHAnsi" w:hAnsi="Times New Roman" w:cs="Times New Roman"/>
                <w:b/>
                <w:noProof/>
              </w:rPr>
            </w:pPr>
            <w:r>
              <w:rPr>
                <w:rFonts w:ascii="Times New Roman" w:eastAsiaTheme="minorHAnsi" w:hAnsi="Times New Roman"/>
                <w:b/>
                <w:noProof/>
              </w:rPr>
              <w:t>Ключови мерки за подобряване на рентабилността и качеството на рециклирането на пластмаси</w:t>
            </w:r>
          </w:p>
        </w:tc>
      </w:tr>
      <w:tr>
        <w:tc>
          <w:tcPr>
            <w:tcW w:w="9288" w:type="dxa"/>
          </w:tcPr>
          <w:p>
            <w:pPr>
              <w:spacing w:after="0" w:line="240" w:lineRule="auto"/>
              <w:jc w:val="left"/>
              <w:rPr>
                <w:rFonts w:ascii="Times New Roman" w:eastAsia="Times New Roman" w:hAnsi="Times New Roman" w:cs="Times New Roman"/>
                <w:b/>
                <w:noProof/>
                <w:color w:val="000000"/>
              </w:rPr>
            </w:pPr>
            <w:r>
              <w:rPr>
                <w:rFonts w:ascii="Times New Roman" w:hAnsi="Times New Roman"/>
                <w:b/>
                <w:noProof/>
                <w:color w:val="000000"/>
              </w:rPr>
              <w:t>Националните и регионалните органи се приканват да:</w:t>
            </w:r>
          </w:p>
          <w:p>
            <w:pPr>
              <w:pStyle w:val="ListParagraph"/>
              <w:numPr>
                <w:ilvl w:val="0"/>
                <w:numId w:val="3"/>
              </w:numPr>
              <w:spacing w:after="0" w:line="240" w:lineRule="auto"/>
              <w:jc w:val="left"/>
              <w:rPr>
                <w:rFonts w:ascii="Times New Roman" w:hAnsi="Times New Roman" w:cs="Times New Roman"/>
                <w:noProof/>
              </w:rPr>
            </w:pPr>
            <w:r>
              <w:rPr>
                <w:rFonts w:ascii="Times New Roman" w:hAnsi="Times New Roman"/>
                <w:noProof/>
              </w:rPr>
              <w:t>насърчават повторно използваеми и рециклирани пластмаси в обществените поръчки;</w:t>
            </w:r>
          </w:p>
          <w:p>
            <w:pPr>
              <w:pStyle w:val="ListParagraph"/>
              <w:numPr>
                <w:ilvl w:val="0"/>
                <w:numId w:val="3"/>
              </w:numPr>
              <w:spacing w:after="0" w:line="240" w:lineRule="auto"/>
              <w:jc w:val="left"/>
              <w:rPr>
                <w:rFonts w:ascii="Times New Roman" w:hAnsi="Times New Roman" w:cs="Times New Roman"/>
                <w:noProof/>
              </w:rPr>
            </w:pPr>
            <w:r>
              <w:rPr>
                <w:rFonts w:ascii="Times New Roman" w:hAnsi="Times New Roman"/>
                <w:noProof/>
              </w:rPr>
              <w:t>използват по-добре данъчното облагане и други икономически инструменти за:</w:t>
            </w:r>
          </w:p>
          <w:p>
            <w:pPr>
              <w:pStyle w:val="ListParagraph"/>
              <w:numPr>
                <w:ilvl w:val="0"/>
                <w:numId w:val="10"/>
              </w:numPr>
              <w:spacing w:after="0" w:line="240" w:lineRule="auto"/>
              <w:jc w:val="left"/>
              <w:rPr>
                <w:rFonts w:ascii="Times New Roman" w:hAnsi="Times New Roman" w:cs="Times New Roman"/>
                <w:noProof/>
              </w:rPr>
            </w:pPr>
            <w:r>
              <w:rPr>
                <w:rFonts w:ascii="Times New Roman" w:hAnsi="Times New Roman"/>
                <w:noProof/>
              </w:rPr>
              <w:t>поощряване увеличаването на използването на рециклирани пластмаси и насърчаване на повторното използване и рециклирането за сметка на депонирането и изгарянето на отпадъци</w:t>
            </w:r>
          </w:p>
          <w:p>
            <w:pPr>
              <w:pStyle w:val="ListParagraph"/>
              <w:numPr>
                <w:ilvl w:val="0"/>
                <w:numId w:val="10"/>
              </w:numPr>
              <w:spacing w:after="0" w:line="240" w:lineRule="auto"/>
              <w:jc w:val="left"/>
              <w:rPr>
                <w:rFonts w:ascii="Times New Roman" w:hAnsi="Times New Roman" w:cs="Times New Roman"/>
                <w:noProof/>
              </w:rPr>
            </w:pPr>
            <w:r>
              <w:rPr>
                <w:rFonts w:ascii="Times New Roman" w:hAnsi="Times New Roman"/>
                <w:noProof/>
              </w:rPr>
              <w:t>подобряване на разделното събиране на отпадъци от пластмаси и начина, по който това се прави</w:t>
            </w:r>
          </w:p>
          <w:p>
            <w:pPr>
              <w:pStyle w:val="ListParagraph"/>
              <w:numPr>
                <w:ilvl w:val="0"/>
                <w:numId w:val="3"/>
              </w:numPr>
              <w:spacing w:after="0" w:line="240" w:lineRule="auto"/>
              <w:jc w:val="left"/>
              <w:rPr>
                <w:rFonts w:ascii="Times New Roman" w:hAnsi="Times New Roman" w:cs="Times New Roman"/>
                <w:noProof/>
              </w:rPr>
            </w:pPr>
            <w:r>
              <w:rPr>
                <w:rFonts w:ascii="Times New Roman" w:hAnsi="Times New Roman"/>
                <w:noProof/>
              </w:rPr>
              <w:t>въведат добре обмислени режими за разширена отговорност на производителя (РОП) и/или системи за заплащане на депозит, след провеждане на консултации със съответните отрасли</w:t>
            </w:r>
          </w:p>
          <w:p>
            <w:pPr>
              <w:pStyle w:val="ListParagraph"/>
              <w:numPr>
                <w:ilvl w:val="0"/>
                <w:numId w:val="3"/>
              </w:numPr>
              <w:spacing w:after="0" w:line="240" w:lineRule="auto"/>
              <w:jc w:val="left"/>
              <w:rPr>
                <w:rFonts w:ascii="Times New Roman" w:hAnsi="Times New Roman" w:cs="Times New Roman"/>
                <w:noProof/>
              </w:rPr>
            </w:pPr>
            <w:r>
              <w:rPr>
                <w:rFonts w:ascii="Times New Roman" w:hAnsi="Times New Roman"/>
                <w:noProof/>
              </w:rPr>
              <w:t>поемат доброволни ангажименти в подкрепа на целите на стратегията, по-специално що се отнася до увеличаване на използването на рециклирани пластмаси</w:t>
            </w:r>
          </w:p>
        </w:tc>
      </w:tr>
      <w:tr>
        <w:tc>
          <w:tcPr>
            <w:tcW w:w="9288" w:type="dxa"/>
          </w:tcPr>
          <w:p>
            <w:pPr>
              <w:spacing w:after="0" w:line="240" w:lineRule="auto"/>
              <w:jc w:val="left"/>
              <w:rPr>
                <w:rFonts w:ascii="Times New Roman" w:eastAsia="Times New Roman" w:hAnsi="Times New Roman" w:cs="Times New Roman"/>
                <w:b/>
                <w:noProof/>
                <w:color w:val="000000"/>
              </w:rPr>
            </w:pPr>
            <w:r>
              <w:rPr>
                <w:rFonts w:ascii="Times New Roman" w:hAnsi="Times New Roman"/>
                <w:b/>
                <w:noProof/>
                <w:color w:val="000000"/>
              </w:rPr>
              <w:t>Промишлеността се приканва да:</w:t>
            </w:r>
          </w:p>
          <w:p>
            <w:pPr>
              <w:pStyle w:val="ListParagraph"/>
              <w:numPr>
                <w:ilvl w:val="0"/>
                <w:numId w:val="2"/>
              </w:numPr>
              <w:spacing w:after="0" w:line="240" w:lineRule="auto"/>
              <w:jc w:val="left"/>
              <w:rPr>
                <w:rFonts w:ascii="Times New Roman" w:hAnsi="Times New Roman" w:cs="Times New Roman"/>
                <w:noProof/>
              </w:rPr>
            </w:pPr>
            <w:r>
              <w:rPr>
                <w:rFonts w:ascii="Times New Roman" w:hAnsi="Times New Roman"/>
                <w:noProof/>
              </w:rPr>
              <w:t>предприеме конкретни действия за подобряване на диалога и сътрудничеството по веригата за създаване на стойност, по-специално относно аспектите на проектирането на материалите и продуктите</w:t>
            </w:r>
          </w:p>
          <w:p>
            <w:pPr>
              <w:pStyle w:val="ListParagraph"/>
              <w:numPr>
                <w:ilvl w:val="0"/>
                <w:numId w:val="2"/>
              </w:numPr>
              <w:spacing w:after="0" w:line="240" w:lineRule="auto"/>
              <w:jc w:val="left"/>
              <w:rPr>
                <w:rFonts w:ascii="Times New Roman" w:hAnsi="Times New Roman" w:cs="Times New Roman"/>
                <w:noProof/>
              </w:rPr>
            </w:pPr>
            <w:r>
              <w:rPr>
                <w:rFonts w:ascii="Times New Roman" w:hAnsi="Times New Roman"/>
                <w:noProof/>
              </w:rPr>
              <w:t>поеме доброволни ангажименти в подкрепа на целите на стратегията, по-специално що се отнася до увеличаване на използването на рециклирани пластмаси</w:t>
            </w:r>
          </w:p>
        </w:tc>
      </w:tr>
      <w:tr>
        <w:trPr>
          <w:trHeight w:val="168"/>
        </w:trPr>
        <w:tc>
          <w:tcPr>
            <w:tcW w:w="9288" w:type="dxa"/>
            <w:shd w:val="clear" w:color="auto" w:fill="A6A6A6" w:themeFill="background1" w:themeFillShade="A6"/>
          </w:tcPr>
          <w:p>
            <w:pPr>
              <w:spacing w:line="240" w:lineRule="auto"/>
              <w:jc w:val="left"/>
              <w:rPr>
                <w:rFonts w:ascii="Times New Roman" w:eastAsia="Calibri" w:hAnsi="Times New Roman" w:cs="Times New Roman"/>
                <w:b/>
                <w:noProof/>
              </w:rPr>
            </w:pPr>
            <w:r>
              <w:rPr>
                <w:rFonts w:ascii="Times New Roman" w:hAnsi="Times New Roman"/>
                <w:b/>
                <w:noProof/>
              </w:rPr>
              <w:t>Ключови мерки за намаляване на отпадъците от пластмаси и нерегламентираното изхвърляне на отпадъци</w:t>
            </w:r>
          </w:p>
        </w:tc>
      </w:tr>
      <w:tr>
        <w:tc>
          <w:tcPr>
            <w:tcW w:w="9288" w:type="dxa"/>
          </w:tcPr>
          <w:p>
            <w:pPr>
              <w:spacing w:after="0" w:line="240" w:lineRule="auto"/>
              <w:jc w:val="left"/>
              <w:rPr>
                <w:rFonts w:ascii="Times New Roman" w:eastAsia="Times New Roman" w:hAnsi="Times New Roman" w:cs="Times New Roman"/>
                <w:b/>
                <w:noProof/>
                <w:color w:val="000000"/>
              </w:rPr>
            </w:pPr>
            <w:r>
              <w:rPr>
                <w:rFonts w:ascii="Times New Roman" w:hAnsi="Times New Roman"/>
                <w:b/>
                <w:noProof/>
                <w:color w:val="000000"/>
              </w:rPr>
              <w:t>Националните и регионалните органи се приканват да:</w:t>
            </w:r>
          </w:p>
          <w:p>
            <w:pPr>
              <w:numPr>
                <w:ilvl w:val="0"/>
                <w:numId w:val="1"/>
              </w:numPr>
              <w:spacing w:line="240" w:lineRule="auto"/>
              <w:contextualSpacing/>
              <w:jc w:val="left"/>
              <w:rPr>
                <w:rFonts w:ascii="Times New Roman" w:hAnsi="Times New Roman" w:cs="Times New Roman"/>
                <w:noProof/>
              </w:rPr>
            </w:pPr>
            <w:r>
              <w:rPr>
                <w:rFonts w:ascii="Times New Roman" w:hAnsi="Times New Roman"/>
                <w:noProof/>
              </w:rPr>
              <w:t xml:space="preserve">повишават осведомеността във връзка с нерегламентираното изхвърляне на отпадъци и да обмислят възможността за налагане на глоби, ако още не са предвидени такива; насърчават дейностите по почистване на крайбрежната ивица </w:t>
            </w:r>
          </w:p>
          <w:p>
            <w:pPr>
              <w:numPr>
                <w:ilvl w:val="0"/>
                <w:numId w:val="1"/>
              </w:numPr>
              <w:spacing w:line="240" w:lineRule="auto"/>
              <w:contextualSpacing/>
              <w:jc w:val="left"/>
              <w:rPr>
                <w:rFonts w:ascii="Times New Roman" w:hAnsi="Times New Roman" w:cs="Times New Roman"/>
                <w:noProof/>
              </w:rPr>
            </w:pPr>
            <w:r>
              <w:rPr>
                <w:rFonts w:ascii="Times New Roman" w:hAnsi="Times New Roman"/>
                <w:noProof/>
              </w:rPr>
              <w:t>подобрят събирането на отпадъци, особено в близост до бреговете, и да подобрят координацията между органите, отговарящи за управлението на отпадъците, водите и морската среда</w:t>
            </w:r>
          </w:p>
          <w:p>
            <w:pPr>
              <w:numPr>
                <w:ilvl w:val="0"/>
                <w:numId w:val="1"/>
              </w:numPr>
              <w:spacing w:line="240" w:lineRule="auto"/>
              <w:contextualSpacing/>
              <w:jc w:val="left"/>
              <w:rPr>
                <w:rFonts w:ascii="Times New Roman" w:hAnsi="Times New Roman" w:cs="Times New Roman"/>
                <w:noProof/>
              </w:rPr>
            </w:pPr>
            <w:r>
              <w:rPr>
                <w:rFonts w:ascii="Times New Roman" w:hAnsi="Times New Roman"/>
                <w:noProof/>
              </w:rPr>
              <w:t>увеличат усилията за премахване на незаконни и несъответстващи на изискванията депа за отпадъци</w:t>
            </w:r>
          </w:p>
          <w:p>
            <w:pPr>
              <w:numPr>
                <w:ilvl w:val="0"/>
                <w:numId w:val="1"/>
              </w:numPr>
              <w:spacing w:line="240" w:lineRule="auto"/>
              <w:contextualSpacing/>
              <w:jc w:val="left"/>
              <w:rPr>
                <w:rFonts w:ascii="Times New Roman" w:hAnsi="Times New Roman" w:cs="Times New Roman"/>
                <w:noProof/>
              </w:rPr>
            </w:pPr>
            <w:r>
              <w:rPr>
                <w:rFonts w:ascii="Times New Roman" w:hAnsi="Times New Roman"/>
                <w:noProof/>
              </w:rPr>
              <w:t xml:space="preserve">развиват националния мониторинг на морските отпадъци въз основа на хармонизирани методи на ЕС </w:t>
            </w:r>
          </w:p>
          <w:p>
            <w:pPr>
              <w:numPr>
                <w:ilvl w:val="0"/>
                <w:numId w:val="1"/>
              </w:numPr>
              <w:spacing w:line="240" w:lineRule="auto"/>
              <w:contextualSpacing/>
              <w:jc w:val="left"/>
              <w:rPr>
                <w:rFonts w:ascii="Times New Roman" w:hAnsi="Times New Roman" w:cs="Times New Roman"/>
                <w:noProof/>
              </w:rPr>
            </w:pPr>
            <w:r>
              <w:rPr>
                <w:rFonts w:ascii="Times New Roman" w:hAnsi="Times New Roman"/>
                <w:noProof/>
              </w:rPr>
              <w:t>вземат участие в регионални морски конвенции, по-специално с цел разработване на регионални планове за борба с морските отпадъци</w:t>
            </w:r>
          </w:p>
          <w:p>
            <w:pPr>
              <w:numPr>
                <w:ilvl w:val="0"/>
                <w:numId w:val="1"/>
              </w:numPr>
              <w:spacing w:line="240" w:lineRule="auto"/>
              <w:contextualSpacing/>
              <w:jc w:val="left"/>
              <w:rPr>
                <w:rFonts w:ascii="Times New Roman" w:hAnsi="Times New Roman" w:cs="Times New Roman"/>
                <w:noProof/>
              </w:rPr>
            </w:pPr>
            <w:r>
              <w:rPr>
                <w:rFonts w:ascii="Times New Roman" w:hAnsi="Times New Roman"/>
                <w:noProof/>
              </w:rPr>
              <w:t>обмислят въвеждането на разширената отговорност на производителя, и по-специално да предоставят стимули за събирането на изоставените риболовни съоръжения и рециклирането на пластмасите в селското стопанство</w:t>
            </w:r>
          </w:p>
          <w:p>
            <w:pPr>
              <w:numPr>
                <w:ilvl w:val="0"/>
                <w:numId w:val="1"/>
              </w:numPr>
              <w:spacing w:line="240" w:lineRule="auto"/>
              <w:contextualSpacing/>
              <w:jc w:val="left"/>
              <w:rPr>
                <w:rFonts w:ascii="Times New Roman" w:hAnsi="Times New Roman" w:cs="Times New Roman"/>
                <w:noProof/>
              </w:rPr>
            </w:pPr>
            <w:r>
              <w:rPr>
                <w:rFonts w:ascii="Times New Roman" w:hAnsi="Times New Roman"/>
                <w:noProof/>
              </w:rPr>
              <w:t>разгледат възможността за въвеждане на схеми за възстановяване на депозитите, по-специално за съдове за напитки</w:t>
            </w:r>
          </w:p>
        </w:tc>
      </w:tr>
      <w:tr>
        <w:tc>
          <w:tcPr>
            <w:tcW w:w="9288" w:type="dxa"/>
          </w:tcPr>
          <w:p>
            <w:pPr>
              <w:spacing w:after="0" w:line="240" w:lineRule="auto"/>
              <w:jc w:val="left"/>
              <w:rPr>
                <w:rFonts w:ascii="Times New Roman" w:eastAsia="Times New Roman" w:hAnsi="Times New Roman" w:cs="Times New Roman"/>
                <w:b/>
                <w:noProof/>
                <w:color w:val="000000"/>
              </w:rPr>
            </w:pPr>
            <w:r>
              <w:rPr>
                <w:rFonts w:ascii="Times New Roman" w:hAnsi="Times New Roman"/>
                <w:b/>
                <w:noProof/>
                <w:color w:val="000000"/>
              </w:rPr>
              <w:t>Промишлеността се приканва да:</w:t>
            </w:r>
          </w:p>
          <w:p>
            <w:pPr>
              <w:numPr>
                <w:ilvl w:val="0"/>
                <w:numId w:val="1"/>
              </w:numPr>
              <w:spacing w:line="240" w:lineRule="auto"/>
              <w:contextualSpacing/>
              <w:jc w:val="left"/>
              <w:rPr>
                <w:rFonts w:ascii="Times New Roman" w:hAnsi="Times New Roman" w:cs="Times New Roman"/>
                <w:noProof/>
              </w:rPr>
            </w:pPr>
            <w:r>
              <w:rPr>
                <w:rFonts w:ascii="Times New Roman" w:hAnsi="Times New Roman"/>
                <w:noProof/>
              </w:rPr>
              <w:t>насърчава съществуващите алтернативи на пластмасовите изделия за еднократна употреба (напр. в кетъринга и продажбата на продукти за вкъщи), когато те са от по-голяма полза за околната среда</w:t>
            </w:r>
          </w:p>
          <w:p>
            <w:pPr>
              <w:numPr>
                <w:ilvl w:val="0"/>
                <w:numId w:val="1"/>
              </w:numPr>
              <w:spacing w:line="240" w:lineRule="auto"/>
              <w:contextualSpacing/>
              <w:jc w:val="left"/>
              <w:rPr>
                <w:rFonts w:ascii="Times New Roman" w:hAnsi="Times New Roman" w:cs="Times New Roman"/>
                <w:noProof/>
              </w:rPr>
            </w:pPr>
            <w:r>
              <w:rPr>
                <w:rFonts w:ascii="Times New Roman" w:hAnsi="Times New Roman"/>
                <w:noProof/>
              </w:rPr>
              <w:t>следва и прилага междуотрасловите споразумения, за да се намали изпускането на пластмасови микрочастици в околната среда</w:t>
            </w:r>
          </w:p>
          <w:p>
            <w:pPr>
              <w:numPr>
                <w:ilvl w:val="0"/>
                <w:numId w:val="1"/>
              </w:numPr>
              <w:spacing w:line="240" w:lineRule="auto"/>
              <w:contextualSpacing/>
              <w:jc w:val="left"/>
              <w:rPr>
                <w:rFonts w:ascii="Times New Roman" w:hAnsi="Times New Roman" w:cs="Times New Roman"/>
                <w:noProof/>
              </w:rPr>
            </w:pPr>
            <w:r>
              <w:rPr>
                <w:rFonts w:ascii="Times New Roman" w:hAnsi="Times New Roman"/>
                <w:noProof/>
              </w:rPr>
              <w:t>въведе мерки, за да се избегне разпиляване на пластмасови гранули</w:t>
            </w:r>
          </w:p>
        </w:tc>
      </w:tr>
      <w:tr>
        <w:tc>
          <w:tcPr>
            <w:tcW w:w="9288" w:type="dxa"/>
            <w:shd w:val="clear" w:color="auto" w:fill="A6A6A6" w:themeFill="background1" w:themeFillShade="A6"/>
          </w:tcPr>
          <w:p>
            <w:pPr>
              <w:spacing w:line="240" w:lineRule="auto"/>
              <w:jc w:val="left"/>
              <w:rPr>
                <w:rFonts w:ascii="Times New Roman" w:eastAsia="Calibri" w:hAnsi="Times New Roman" w:cs="Times New Roman"/>
                <w:b/>
                <w:noProof/>
              </w:rPr>
            </w:pPr>
            <w:r>
              <w:rPr>
                <w:rFonts w:ascii="Times New Roman" w:eastAsiaTheme="minorHAnsi" w:hAnsi="Times New Roman"/>
                <w:b/>
                <w:noProof/>
              </w:rPr>
              <w:t>Ключови мерки</w:t>
            </w:r>
            <w:r>
              <w:rPr>
                <w:noProof/>
              </w:rPr>
              <w:t xml:space="preserve"> </w:t>
            </w:r>
            <w:r>
              <w:rPr>
                <w:rFonts w:ascii="Times New Roman" w:eastAsiaTheme="minorHAnsi" w:hAnsi="Times New Roman"/>
                <w:b/>
                <w:noProof/>
              </w:rPr>
              <w:t>за насочване на инвестициите и иновациите към подходящи за кръговата икономика решения</w:t>
            </w:r>
          </w:p>
        </w:tc>
      </w:tr>
      <w:tr>
        <w:tc>
          <w:tcPr>
            <w:tcW w:w="9288" w:type="dxa"/>
          </w:tcPr>
          <w:p>
            <w:pPr>
              <w:spacing w:after="0" w:line="240" w:lineRule="auto"/>
              <w:jc w:val="left"/>
              <w:rPr>
                <w:rFonts w:ascii="Times New Roman" w:eastAsia="Times New Roman" w:hAnsi="Times New Roman" w:cs="Times New Roman"/>
                <w:b/>
                <w:noProof/>
                <w:color w:val="000000"/>
              </w:rPr>
            </w:pPr>
            <w:r>
              <w:rPr>
                <w:rFonts w:ascii="Times New Roman" w:hAnsi="Times New Roman"/>
                <w:b/>
                <w:noProof/>
                <w:color w:val="000000"/>
              </w:rPr>
              <w:t>Националните, регионалните и местните органи се приканват да:</w:t>
            </w:r>
          </w:p>
          <w:p>
            <w:pPr>
              <w:numPr>
                <w:ilvl w:val="0"/>
                <w:numId w:val="4"/>
              </w:numPr>
              <w:spacing w:line="240" w:lineRule="auto"/>
              <w:ind w:left="360"/>
              <w:contextualSpacing/>
              <w:jc w:val="left"/>
              <w:rPr>
                <w:rFonts w:ascii="Times New Roman" w:hAnsi="Times New Roman" w:cs="Times New Roman"/>
                <w:noProof/>
              </w:rPr>
            </w:pPr>
            <w:r>
              <w:rPr>
                <w:rFonts w:ascii="Times New Roman" w:hAnsi="Times New Roman"/>
                <w:noProof/>
              </w:rPr>
              <w:t>използват по-добре икономическите инструменти, особено за повишаване на цената за депониране и изгаряне на отпадъци и насърчаване на рециклирането на отпадъците от пластмаси и превенцията</w:t>
            </w:r>
          </w:p>
          <w:p>
            <w:pPr>
              <w:numPr>
                <w:ilvl w:val="0"/>
                <w:numId w:val="4"/>
              </w:numPr>
              <w:spacing w:line="240" w:lineRule="auto"/>
              <w:ind w:left="360"/>
              <w:contextualSpacing/>
              <w:jc w:val="left"/>
              <w:rPr>
                <w:rFonts w:ascii="Times New Roman" w:hAnsi="Times New Roman" w:cs="Times New Roman"/>
                <w:noProof/>
              </w:rPr>
            </w:pPr>
            <w:r>
              <w:rPr>
                <w:rFonts w:ascii="Times New Roman" w:hAnsi="Times New Roman"/>
                <w:noProof/>
              </w:rPr>
              <w:t xml:space="preserve">използват в по-голяма степен обществените поръчки и финансирането с цел предотвратяване на отпадъците от пластмаси и рециклиране на пластмасите </w:t>
            </w:r>
          </w:p>
        </w:tc>
      </w:tr>
      <w:tr>
        <w:tc>
          <w:tcPr>
            <w:tcW w:w="9288" w:type="dxa"/>
          </w:tcPr>
          <w:p>
            <w:pPr>
              <w:spacing w:after="0" w:line="240" w:lineRule="auto"/>
              <w:jc w:val="left"/>
              <w:rPr>
                <w:rFonts w:ascii="Times New Roman" w:eastAsia="Times New Roman" w:hAnsi="Times New Roman" w:cs="Times New Roman"/>
                <w:b/>
                <w:noProof/>
                <w:color w:val="000000"/>
              </w:rPr>
            </w:pPr>
            <w:r>
              <w:rPr>
                <w:rFonts w:ascii="Times New Roman" w:hAnsi="Times New Roman"/>
                <w:b/>
                <w:noProof/>
                <w:color w:val="000000"/>
              </w:rPr>
              <w:t>Промишлеността се приканва да:</w:t>
            </w:r>
          </w:p>
          <w:p>
            <w:pPr>
              <w:numPr>
                <w:ilvl w:val="0"/>
                <w:numId w:val="4"/>
              </w:numPr>
              <w:spacing w:line="240" w:lineRule="auto"/>
              <w:ind w:left="360"/>
              <w:contextualSpacing/>
              <w:jc w:val="left"/>
              <w:rPr>
                <w:rFonts w:ascii="Times New Roman" w:hAnsi="Times New Roman" w:cs="Times New Roman"/>
                <w:noProof/>
              </w:rPr>
            </w:pPr>
            <w:r>
              <w:rPr>
                <w:rFonts w:ascii="Times New Roman" w:hAnsi="Times New Roman"/>
                <w:noProof/>
              </w:rPr>
              <w:t>увеличи инвестициите в инфраструктура и в научноизследователска и развойна дейност в областите, които имат пряко значение за постигането на целите на стратегията</w:t>
            </w:r>
          </w:p>
          <w:p>
            <w:pPr>
              <w:numPr>
                <w:ilvl w:val="0"/>
                <w:numId w:val="4"/>
              </w:numPr>
              <w:spacing w:line="240" w:lineRule="auto"/>
              <w:ind w:left="360"/>
              <w:contextualSpacing/>
              <w:jc w:val="left"/>
              <w:rPr>
                <w:rFonts w:ascii="Times New Roman" w:hAnsi="Times New Roman" w:cs="Times New Roman"/>
                <w:noProof/>
              </w:rPr>
            </w:pPr>
            <w:r>
              <w:rPr>
                <w:rFonts w:ascii="Times New Roman" w:hAnsi="Times New Roman"/>
                <w:noProof/>
              </w:rPr>
              <w:t>допринесе за работата по създаването на фонд за частни инвестиции, който да компенсира екологичните външни фактори в производството на пластмаси</w:t>
            </w:r>
          </w:p>
        </w:tc>
      </w:tr>
      <w:tr>
        <w:tc>
          <w:tcPr>
            <w:tcW w:w="9288" w:type="dxa"/>
            <w:shd w:val="clear" w:color="auto" w:fill="A6A6A6" w:themeFill="background1" w:themeFillShade="A6"/>
          </w:tcPr>
          <w:p>
            <w:pPr>
              <w:spacing w:line="240" w:lineRule="auto"/>
              <w:jc w:val="left"/>
              <w:rPr>
                <w:rFonts w:ascii="Times New Roman" w:hAnsi="Times New Roman" w:cs="Times New Roman"/>
                <w:b/>
                <w:noProof/>
              </w:rPr>
            </w:pPr>
            <w:r>
              <w:rPr>
                <w:rFonts w:ascii="Times New Roman" w:hAnsi="Times New Roman"/>
                <w:b/>
                <w:noProof/>
              </w:rPr>
              <w:t>Ключови мерки за използване на глобални действия</w:t>
            </w:r>
          </w:p>
        </w:tc>
      </w:tr>
      <w:tr>
        <w:tc>
          <w:tcPr>
            <w:tcW w:w="9288" w:type="dxa"/>
          </w:tcPr>
          <w:p>
            <w:pPr>
              <w:spacing w:after="0" w:line="240" w:lineRule="auto"/>
              <w:jc w:val="left"/>
              <w:rPr>
                <w:rFonts w:ascii="Times New Roman" w:eastAsia="Times New Roman" w:hAnsi="Times New Roman" w:cs="Times New Roman"/>
                <w:b/>
                <w:noProof/>
                <w:color w:val="000000"/>
              </w:rPr>
            </w:pPr>
            <w:r>
              <w:rPr>
                <w:rFonts w:ascii="Times New Roman" w:hAnsi="Times New Roman"/>
                <w:b/>
                <w:noProof/>
                <w:color w:val="000000"/>
              </w:rPr>
              <w:t>Националните и регионалните органи, включително в държави извън ЕС, се насърчават да:</w:t>
            </w:r>
          </w:p>
          <w:p>
            <w:pPr>
              <w:numPr>
                <w:ilvl w:val="0"/>
                <w:numId w:val="1"/>
              </w:numPr>
              <w:spacing w:line="240" w:lineRule="auto"/>
              <w:contextualSpacing/>
              <w:jc w:val="left"/>
              <w:rPr>
                <w:rFonts w:ascii="Times New Roman" w:hAnsi="Times New Roman" w:cs="Times New Roman"/>
                <w:noProof/>
              </w:rPr>
            </w:pPr>
            <w:r>
              <w:rPr>
                <w:rFonts w:ascii="Times New Roman" w:hAnsi="Times New Roman"/>
                <w:noProof/>
              </w:rPr>
              <w:t>вземат участие в международни форуми за разработване на глобален отговор на нарастването на морските отпадъци</w:t>
            </w:r>
          </w:p>
          <w:p>
            <w:pPr>
              <w:numPr>
                <w:ilvl w:val="0"/>
                <w:numId w:val="1"/>
              </w:numPr>
              <w:spacing w:line="240" w:lineRule="auto"/>
              <w:contextualSpacing/>
              <w:jc w:val="left"/>
              <w:rPr>
                <w:rFonts w:ascii="Times New Roman" w:hAnsi="Times New Roman" w:cs="Times New Roman"/>
                <w:noProof/>
              </w:rPr>
            </w:pPr>
            <w:r>
              <w:rPr>
                <w:rFonts w:ascii="Times New Roman" w:hAnsi="Times New Roman"/>
                <w:noProof/>
              </w:rPr>
              <w:t>предприемат действия на национално равнище за намаляване изпускането на пластмаси в околната среда, предотвратяване на отпадъците от пластмаси и увеличаване на рециклирането</w:t>
            </w:r>
          </w:p>
        </w:tc>
      </w:tr>
      <w:tr>
        <w:tc>
          <w:tcPr>
            <w:tcW w:w="9288" w:type="dxa"/>
          </w:tcPr>
          <w:p>
            <w:pPr>
              <w:spacing w:after="0" w:line="240" w:lineRule="auto"/>
              <w:jc w:val="left"/>
              <w:rPr>
                <w:rFonts w:ascii="Times New Roman" w:eastAsia="Times New Roman" w:hAnsi="Times New Roman" w:cs="Times New Roman"/>
                <w:b/>
                <w:noProof/>
                <w:color w:val="000000"/>
              </w:rPr>
            </w:pPr>
            <w:r>
              <w:rPr>
                <w:rFonts w:ascii="Times New Roman" w:hAnsi="Times New Roman"/>
                <w:b/>
                <w:noProof/>
                <w:color w:val="000000"/>
              </w:rPr>
              <w:t>Промишлеността се приканва да:</w:t>
            </w:r>
          </w:p>
          <w:p>
            <w:pPr>
              <w:numPr>
                <w:ilvl w:val="0"/>
                <w:numId w:val="1"/>
              </w:numPr>
              <w:spacing w:line="240" w:lineRule="auto"/>
              <w:contextualSpacing/>
              <w:jc w:val="left"/>
              <w:rPr>
                <w:rFonts w:ascii="Times New Roman" w:hAnsi="Times New Roman" w:cs="Times New Roman"/>
                <w:b/>
                <w:noProof/>
              </w:rPr>
            </w:pPr>
            <w:r>
              <w:rPr>
                <w:rFonts w:ascii="Times New Roman" w:hAnsi="Times New Roman"/>
                <w:noProof/>
              </w:rPr>
              <w:t>играе активна роля в подкрепа на интегрирана, трансгранична кръгова икономика в сектора на пластмасите, включително чрез разработването на световен протокол за пластмаси</w:t>
            </w:r>
          </w:p>
        </w:tc>
      </w:tr>
    </w:tbl>
    <w:p>
      <w:pPr>
        <w:rPr>
          <w:rFonts w:eastAsia="Calibri"/>
          <w:noProof/>
          <w:lang w:val="en-GB"/>
        </w:rPr>
      </w:pPr>
    </w:p>
    <w:p>
      <w:pPr>
        <w:spacing w:after="0" w:line="240" w:lineRule="auto"/>
        <w:jc w:val="left"/>
        <w:rPr>
          <w:rFonts w:eastAsia="Calibri"/>
          <w:noProof/>
          <w:lang w:val="en-GB"/>
        </w:rPr>
      </w:pPr>
      <w:r>
        <w:rPr>
          <w:rFonts w:eastAsia="Calibri"/>
          <w:noProof/>
          <w:lang w:val="en-GB"/>
        </w:rPr>
        <w:br w:type="page"/>
      </w:r>
    </w:p>
    <w:p>
      <w:pPr>
        <w:jc w:val="center"/>
        <w:rPr>
          <w:rFonts w:ascii="Times New Roman" w:eastAsia="Calibri" w:hAnsi="Times New Roman" w:cs="Times New Roman"/>
          <w:b/>
          <w:noProof/>
          <w:sz w:val="24"/>
          <w:szCs w:val="22"/>
          <w:lang w:val="en-GB"/>
        </w:rPr>
      </w:pPr>
      <w:r>
        <w:rPr>
          <w:rFonts w:ascii="Times New Roman" w:hAnsi="Times New Roman"/>
          <w:b/>
          <w:noProof/>
          <w:sz w:val="24"/>
        </w:rPr>
        <w:t>ПРИЛОЖЕНИЕ III</w:t>
      </w:r>
    </w:p>
    <w:p>
      <w:pPr>
        <w:jc w:val="center"/>
        <w:rPr>
          <w:rFonts w:ascii="Times New Roman" w:eastAsia="Calibri" w:hAnsi="Times New Roman" w:cs="Times New Roman"/>
          <w:b/>
          <w:noProof/>
          <w:sz w:val="24"/>
          <w:szCs w:val="22"/>
        </w:rPr>
      </w:pPr>
      <w:r>
        <w:rPr>
          <w:rFonts w:ascii="Times New Roman" w:hAnsi="Times New Roman"/>
          <w:b/>
          <w:noProof/>
          <w:sz w:val="24"/>
        </w:rPr>
        <w:t>Кампания за поемане на ангажименти</w:t>
      </w:r>
    </w:p>
    <w:p>
      <w:pPr>
        <w:numPr>
          <w:ilvl w:val="0"/>
          <w:numId w:val="5"/>
        </w:numPr>
        <w:contextualSpacing/>
        <w:rPr>
          <w:rFonts w:ascii="Times New Roman" w:eastAsia="Calibri" w:hAnsi="Times New Roman" w:cs="Times New Roman"/>
          <w:b/>
          <w:noProof/>
          <w:sz w:val="24"/>
          <w:szCs w:val="22"/>
        </w:rPr>
      </w:pPr>
      <w:r>
        <w:rPr>
          <w:rFonts w:ascii="Times New Roman" w:hAnsi="Times New Roman"/>
          <w:noProof/>
          <w:sz w:val="24"/>
        </w:rPr>
        <w:t>Европейската комисия приканва заинтересованите страни да поемат доброволни ангажименти за насърчaване на увеличаването на използването на рециклирани пластмаси. Целта е да се гарантира, че до 2025 г. десет милиона тона рециклирани пластмаси ще бъдат вложени в нови продукти на пазара на ЕС.</w:t>
      </w:r>
    </w:p>
    <w:p>
      <w:pPr>
        <w:ind w:left="720"/>
        <w:contextualSpacing/>
        <w:rPr>
          <w:rFonts w:ascii="Times New Roman" w:eastAsia="Calibri" w:hAnsi="Times New Roman" w:cs="Times New Roman"/>
          <w:b/>
          <w:noProof/>
          <w:sz w:val="24"/>
          <w:szCs w:val="22"/>
        </w:rPr>
      </w:pPr>
    </w:p>
    <w:p>
      <w:pPr>
        <w:numPr>
          <w:ilvl w:val="0"/>
          <w:numId w:val="5"/>
        </w:numPr>
        <w:contextualSpacing/>
        <w:rPr>
          <w:rFonts w:ascii="Times New Roman" w:eastAsia="Calibri" w:hAnsi="Times New Roman" w:cs="Times New Roman"/>
          <w:noProof/>
          <w:sz w:val="24"/>
          <w:szCs w:val="22"/>
        </w:rPr>
      </w:pPr>
      <w:r>
        <w:rPr>
          <w:rFonts w:ascii="Times New Roman" w:hAnsi="Times New Roman"/>
          <w:noProof/>
          <w:sz w:val="24"/>
        </w:rPr>
        <w:t xml:space="preserve">До 30 юни 2018 г. заинтересованите дружества и/или браншови организации трябва да представят ангажиментите си по електронната поща на следния адрес: </w:t>
      </w:r>
      <w:r>
        <w:rPr>
          <w:rFonts w:ascii="Times New Roman" w:hAnsi="Times New Roman"/>
          <w:i/>
          <w:noProof/>
          <w:sz w:val="24"/>
        </w:rPr>
        <w:t>GROW-ENV-RPLASTICS-PLEDGE@ec.europa.eu</w:t>
      </w:r>
    </w:p>
    <w:p>
      <w:pPr>
        <w:ind w:left="720"/>
        <w:contextualSpacing/>
        <w:rPr>
          <w:rFonts w:ascii="Times New Roman" w:eastAsia="Calibri" w:hAnsi="Times New Roman" w:cs="Times New Roman"/>
          <w:noProof/>
          <w:sz w:val="24"/>
          <w:szCs w:val="22"/>
        </w:rPr>
      </w:pPr>
    </w:p>
    <w:p>
      <w:pPr>
        <w:numPr>
          <w:ilvl w:val="0"/>
          <w:numId w:val="5"/>
        </w:numPr>
        <w:contextualSpacing/>
        <w:rPr>
          <w:rFonts w:ascii="Times New Roman" w:eastAsia="Calibri" w:hAnsi="Times New Roman" w:cs="Times New Roman"/>
          <w:noProof/>
          <w:sz w:val="24"/>
          <w:szCs w:val="22"/>
        </w:rPr>
      </w:pPr>
      <w:r>
        <w:rPr>
          <w:rFonts w:ascii="Times New Roman" w:hAnsi="Times New Roman"/>
          <w:noProof/>
          <w:sz w:val="24"/>
        </w:rPr>
        <w:t>При изпращане на своите ангажименти, заинтересованите страни се приканват да предоставят на Европейската комисия данни, показващи как техните ангажименти допринасят за постигането на количествената цел, определена в параграф 1. Тези данни ще бъдат обработени поверително и ще бъдат използвани само за целите на наблюдението на общия напредък за постигането на количествената цел. Ангажиментите ще бъдат подложени на контрол на качеството и оценени въз основа на тяхната надеждност, както и на способността им за спазване на обявените срокове.</w:t>
      </w:r>
    </w:p>
    <w:p>
      <w:pPr>
        <w:ind w:left="720"/>
        <w:contextualSpacing/>
        <w:rPr>
          <w:rFonts w:ascii="Times New Roman" w:eastAsia="Calibri" w:hAnsi="Times New Roman" w:cs="Times New Roman"/>
          <w:noProof/>
          <w:sz w:val="24"/>
          <w:szCs w:val="22"/>
        </w:rPr>
      </w:pPr>
    </w:p>
    <w:p>
      <w:pPr>
        <w:numPr>
          <w:ilvl w:val="0"/>
          <w:numId w:val="5"/>
        </w:numPr>
        <w:contextualSpacing/>
        <w:rPr>
          <w:rFonts w:ascii="Times New Roman" w:eastAsia="Calibri" w:hAnsi="Times New Roman" w:cs="Times New Roman"/>
          <w:noProof/>
          <w:sz w:val="24"/>
          <w:szCs w:val="22"/>
        </w:rPr>
      </w:pPr>
      <w:r>
        <w:rPr>
          <w:rFonts w:ascii="Times New Roman" w:hAnsi="Times New Roman"/>
          <w:noProof/>
          <w:sz w:val="24"/>
        </w:rPr>
        <w:t>При изпращане на своите ангажименти за използването на рециклирани материали, заинтересованите страни се приканват да поемат ангажименти, обхващащи други аспекти, които имат отношение към стратегията, като например проектирането с оглед на пригодността за рециклиране.</w:t>
      </w:r>
    </w:p>
    <w:p>
      <w:pPr>
        <w:ind w:left="720"/>
        <w:contextualSpacing/>
        <w:rPr>
          <w:rFonts w:ascii="Times New Roman" w:eastAsia="Calibri" w:hAnsi="Times New Roman" w:cs="Times New Roman"/>
          <w:noProof/>
          <w:sz w:val="24"/>
          <w:szCs w:val="22"/>
        </w:rPr>
      </w:pPr>
    </w:p>
    <w:p>
      <w:pPr>
        <w:numPr>
          <w:ilvl w:val="0"/>
          <w:numId w:val="5"/>
        </w:numPr>
        <w:contextualSpacing/>
        <w:rPr>
          <w:rFonts w:ascii="Times New Roman" w:eastAsia="Calibri" w:hAnsi="Times New Roman" w:cs="Times New Roman"/>
          <w:noProof/>
          <w:sz w:val="24"/>
          <w:szCs w:val="22"/>
        </w:rPr>
      </w:pPr>
      <w:r>
        <w:rPr>
          <w:rFonts w:ascii="Times New Roman" w:hAnsi="Times New Roman"/>
          <w:noProof/>
          <w:sz w:val="24"/>
        </w:rPr>
        <w:t>Получените ангажименти ще бъдат оповестени чрез специален уебсайт.</w:t>
      </w:r>
    </w:p>
    <w:p>
      <w:pPr>
        <w:ind w:left="720"/>
        <w:contextualSpacing/>
        <w:rPr>
          <w:rFonts w:ascii="Times New Roman" w:eastAsia="Calibri" w:hAnsi="Times New Roman" w:cs="Times New Roman"/>
          <w:noProof/>
          <w:sz w:val="24"/>
          <w:szCs w:val="22"/>
        </w:rPr>
      </w:pPr>
    </w:p>
    <w:p>
      <w:pPr>
        <w:numPr>
          <w:ilvl w:val="0"/>
          <w:numId w:val="5"/>
        </w:numPr>
        <w:contextualSpacing/>
        <w:rPr>
          <w:rFonts w:ascii="Times New Roman" w:eastAsia="Calibri" w:hAnsi="Times New Roman" w:cs="Times New Roman"/>
          <w:noProof/>
          <w:sz w:val="24"/>
          <w:szCs w:val="22"/>
        </w:rPr>
      </w:pPr>
      <w:r>
        <w:rPr>
          <w:rFonts w:ascii="Times New Roman" w:hAnsi="Times New Roman"/>
          <w:noProof/>
          <w:sz w:val="24"/>
        </w:rPr>
        <w:t>До 31 октомври 2018 г. Комисията ще представи оценка на получените ангажименти и на цялостния им принос към количествената цел, определена в параграф 1. Ако приносът бъде счетен за недостатъчен, Комисията ще започне работа по евентуални следващи стъпки, включително регулаторни действия.</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628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4264"/>
    <w:multiLevelType w:val="hybridMultilevel"/>
    <w:tmpl w:val="DCE2727A"/>
    <w:lvl w:ilvl="0" w:tplc="0809000B">
      <w:start w:val="1"/>
      <w:numFmt w:val="bullet"/>
      <w:lvlText w:val=""/>
      <w:lvlJc w:val="left"/>
      <w:pPr>
        <w:ind w:left="720" w:hanging="360"/>
      </w:pPr>
      <w:rPr>
        <w:rFonts w:ascii="Wingdings" w:hAnsi="Wingdings" w:hint="default"/>
      </w:rPr>
    </w:lvl>
    <w:lvl w:ilvl="1" w:tplc="4E62538A">
      <w:numFmt w:val="bullet"/>
      <w:lvlText w:val="-"/>
      <w:lvlJc w:val="left"/>
      <w:pPr>
        <w:ind w:left="1440" w:hanging="360"/>
      </w:pPr>
      <w:rPr>
        <w:rFonts w:ascii="Times New Roman" w:eastAsiaTheme="minorEastAsia" w:hAnsi="Times New Roman" w:cs="Times New Roman"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DE1C64"/>
    <w:multiLevelType w:val="hybridMultilevel"/>
    <w:tmpl w:val="16CC0704"/>
    <w:lvl w:ilvl="0" w:tplc="6CC2B07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0F125D5"/>
    <w:multiLevelType w:val="hybridMultilevel"/>
    <w:tmpl w:val="10E8EEBC"/>
    <w:lvl w:ilvl="0" w:tplc="ED9066F2">
      <w:start w:val="1"/>
      <w:numFmt w:val="bullet"/>
      <w:lvlText w:val="−"/>
      <w:lvlJc w:val="left"/>
      <w:pPr>
        <w:ind w:left="720" w:hanging="360"/>
      </w:pPr>
      <w:rPr>
        <w:rFonts w:ascii="Calibri" w:hAnsi="Calibri" w:hint="default"/>
      </w:rPr>
    </w:lvl>
    <w:lvl w:ilvl="1" w:tplc="ED9066F2">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367B34"/>
    <w:multiLevelType w:val="hybridMultilevel"/>
    <w:tmpl w:val="AAF4BFB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CEB5132"/>
    <w:multiLevelType w:val="hybridMultilevel"/>
    <w:tmpl w:val="5022892A"/>
    <w:lvl w:ilvl="0" w:tplc="0809000B">
      <w:start w:val="1"/>
      <w:numFmt w:val="bullet"/>
      <w:lvlText w:val=""/>
      <w:lvlJc w:val="left"/>
      <w:pPr>
        <w:ind w:left="360" w:hanging="360"/>
      </w:pPr>
      <w:rPr>
        <w:rFonts w:ascii="Wingdings" w:hAnsi="Wingdings" w:hint="default"/>
      </w:rPr>
    </w:lvl>
    <w:lvl w:ilvl="1" w:tplc="ED9066F2">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166017A"/>
    <w:multiLevelType w:val="hybridMultilevel"/>
    <w:tmpl w:val="A5C851FA"/>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70D67CC"/>
    <w:multiLevelType w:val="hybridMultilevel"/>
    <w:tmpl w:val="B4D85C28"/>
    <w:lvl w:ilvl="0" w:tplc="ED9066F2">
      <w:start w:val="1"/>
      <w:numFmt w:val="bullet"/>
      <w:lvlText w:val="−"/>
      <w:lvlJc w:val="left"/>
      <w:pPr>
        <w:ind w:left="720" w:hanging="360"/>
      </w:pPr>
      <w:rPr>
        <w:rFonts w:ascii="Calibri" w:hAnsi="Calibri" w:hint="default"/>
      </w:rPr>
    </w:lvl>
    <w:lvl w:ilvl="1" w:tplc="ED9066F2">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D109FF"/>
    <w:multiLevelType w:val="hybridMultilevel"/>
    <w:tmpl w:val="6098399C"/>
    <w:lvl w:ilvl="0" w:tplc="ED9066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5F7A6D"/>
    <w:multiLevelType w:val="hybridMultilevel"/>
    <w:tmpl w:val="E3B670A0"/>
    <w:lvl w:ilvl="0" w:tplc="ED9066F2">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8C512A"/>
    <w:multiLevelType w:val="hybridMultilevel"/>
    <w:tmpl w:val="23BEA872"/>
    <w:lvl w:ilvl="0" w:tplc="ED9066F2">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CAB2202"/>
    <w:multiLevelType w:val="hybridMultilevel"/>
    <w:tmpl w:val="E182E9CE"/>
    <w:lvl w:ilvl="0" w:tplc="ED9066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8AA62C3"/>
    <w:multiLevelType w:val="hybridMultilevel"/>
    <w:tmpl w:val="58286F36"/>
    <w:lvl w:ilvl="0" w:tplc="ED9066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11"/>
  </w:num>
  <w:num w:numId="9">
    <w:abstractNumId w:val="7"/>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3"/>
    <w:docVar w:name="LW_ANNEX_UNIQUE" w:val="0"/>
    <w:docVar w:name="LW_CORRIGENDUM" w:val="&lt;UNUSED&gt;"/>
    <w:docVar w:name="LW_COVERPAGE_EXISTS" w:val="True"/>
    <w:docVar w:name="LW_COVERPAGE_GUID" w:val="4945900E-025B-4B39-AC3F-3BD308ED46D6"/>
    <w:docVar w:name="LW_COVERPAGE_TYPE" w:val="1"/>
    <w:docVar w:name="LW_CROSSREFERENCE" w:val="{SWD(2018) 16 final}"/>
    <w:docVar w:name="LW_DocType" w:val="NORMAL"/>
    <w:docVar w:name="LW_EMISSION" w:val="16.1.2018"/>
    <w:docVar w:name="LW_EMISSION_ISODATE" w:val="2018-01-16"/>
    <w:docVar w:name="LW_EMISSION_LOCATION" w:val="STR"/>
    <w:docVar w:name="LW_EMISSION_PREFIX" w:val="Страсбург, "/>
    <w:docVar w:name="LW_EMISSION_SUFFIX" w:val="\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E\u1074?\u1088?\u1086?\u1087?\u1077?\u1081?\u1089?\u1082?\u1072? \u1089?\u1090?\u1088?\u1072?\u1090?\u1077?\u1075?\u1080?\u1103? \u1079?\u1072? \u1087?\u1083?\u1072?\u1089?\u1090?\u1084?\u1072?\u1089?\u1080?\u1090?\u1077? \u1074? \u1082?\u1088?\u1098?\u1075?\u1086?\u1074?\u1072?\u1090?\u1072? \u1080?\u1082?\u1086?\u1085?\u1086?\u1084?\u1080?\u1082?\u1072?"/>
    <w:docVar w:name="LW_PART_NBR" w:val="&lt;UNUSED&gt;"/>
    <w:docVar w:name="LW_PART_NBR_TOTAL" w:val="&lt;UNUSED&gt;"/>
    <w:docVar w:name="LW_REF.INST.NEW" w:val="COM"/>
    <w:docVar w:name="LW_REF.INST.NEW_ADOPTED" w:val="final"/>
    <w:docVar w:name="LW_REF.INST.NEW_TEXT" w:val="(2018) 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71?_x000b_"/>
    <w:docVar w:name="LW_TYPEACTEPRINCIPAL.CP" w:val="\u1057?\u1098?\u1086?\u1073?\u1097?\u1077?\u1085?\u1080?\u1077? \u1085?\u1072? \u1050?\u1086?\u1084?\u1080?\u1089?\u1080?\u1103?\u1090?\u1072? \u1076?\u1086? \u1045?\u1074?\u1088?\u1086?\u1087?\u1077?\u1081?\u1089?\u1082?\u1080?\u1103? \u1087?\u1072?\u1088?\u1083?\u1072?\u1084?\u1077?\u1085?\u1090?, \u1057?\u1098?\u1074?\u1077?\u1090?\u1072?, \u1045?\u1074?\u1088?\u1086?\u1087?\u1077?\u1081?\u1089?\u1082?\u1080?\u1103? \u1080?\u1082?\u1086?\u1085?\u1086?\u1084?\u1080?\u1095?\u1077?\u1089?\u1082?\u1080? \u1080? \u1089?\u1086?\u1094?\u1080?\u1072?\u1083?\u1077?\u1085? \u1082?\u1086?\u1084?\u1080?\u1090?\u1077?\u1090? \u1080? \u1050?\u1086?\u1084?\u1080?\u1090?\u1077?\u1090?\u1072? \u1085?\u1072? \u1088?\u1077?\u1075?\u1080?\u1086?\u1085?\u1080?\u1090?\u1077?"/>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jc w:val="both"/>
    </w:pPr>
    <w:rPr>
      <w:rFonts w:asciiTheme="minorHAnsi" w:eastAsiaTheme="minorEastAsia" w:hAnsiTheme="minorHAnsi" w:cstheme="min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heme="minorHAnsi" w:eastAsiaTheme="minorEastAsia" w:hAnsiTheme="minorHAnsi" w:cstheme="minorBidi"/>
      <w:lang w:eastAsia="bg-BG"/>
    </w:rPr>
  </w:style>
  <w:style w:type="table" w:styleId="TableGrid">
    <w:name w:val="Table Grid"/>
    <w:basedOn w:val="TableNormal"/>
    <w:uiPriority w:val="39"/>
    <w:pPr>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ascii="Times New Roman" w:eastAsiaTheme="minorHAnsi" w:hAnsi="Times New Roman" w:cs="Times New Roman"/>
      <w:sz w:val="24"/>
      <w:szCs w:val="22"/>
    </w:rPr>
  </w:style>
  <w:style w:type="paragraph" w:styleId="Header">
    <w:name w:val="header"/>
    <w:basedOn w:val="Normal"/>
    <w:link w:val="HeaderChar"/>
    <w:pPr>
      <w:tabs>
        <w:tab w:val="center" w:pos="4536"/>
        <w:tab w:val="right" w:pos="9072"/>
      </w:tabs>
      <w:spacing w:after="0" w:line="240" w:lineRule="auto"/>
    </w:pPr>
  </w:style>
  <w:style w:type="character" w:customStyle="1" w:styleId="HeaderChar">
    <w:name w:val="Header Char"/>
    <w:basedOn w:val="DefaultParagraphFont"/>
    <w:link w:val="Header"/>
    <w:rPr>
      <w:rFonts w:asciiTheme="minorHAnsi" w:eastAsiaTheme="minorEastAsia" w:hAnsiTheme="minorHAnsi" w:cstheme="minorBidi"/>
      <w:lang w:eastAsia="bg-BG"/>
    </w:rP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heme="minorHAnsi" w:eastAsiaTheme="minorEastAsia" w:hAnsiTheme="minorHAnsi" w:cstheme="minorBidi"/>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ascii="Times New Roman" w:hAnsi="Times New Roman" w:cs="Times New Roman"/>
      <w:sz w:val="24"/>
    </w:rPr>
  </w:style>
  <w:style w:type="character" w:customStyle="1" w:styleId="FooterCoverPageChar">
    <w:name w:val="Footer Cover Page Char"/>
    <w:basedOn w:val="DefaultParagraphFont"/>
    <w:link w:val="FooterCoverPage"/>
    <w:rPr>
      <w:rFonts w:eastAsiaTheme="minorEastAsia"/>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eastAsiaTheme="minorEastAsia"/>
      <w:b/>
      <w:sz w:val="32"/>
    </w:rPr>
  </w:style>
  <w:style w:type="paragraph" w:customStyle="1" w:styleId="HeaderCoverPage">
    <w:name w:val="Header Cover Page"/>
    <w:basedOn w:val="Normal"/>
    <w:link w:val="HeaderCoverPageChar"/>
    <w:pPr>
      <w:tabs>
        <w:tab w:val="center" w:pos="4535"/>
        <w:tab w:val="right" w:pos="9071"/>
      </w:tabs>
      <w:spacing w:after="120" w:line="240" w:lineRule="auto"/>
    </w:pPr>
    <w:rPr>
      <w:rFonts w:ascii="Times New Roman" w:hAnsi="Times New Roman" w:cs="Times New Roman"/>
      <w:sz w:val="24"/>
    </w:rPr>
  </w:style>
  <w:style w:type="character" w:customStyle="1" w:styleId="HeaderCoverPageChar">
    <w:name w:val="Header Cover Page Char"/>
    <w:basedOn w:val="DefaultParagraphFont"/>
    <w:link w:val="HeaderCoverPage"/>
    <w:rPr>
      <w:rFonts w:eastAsiaTheme="minorEastAsia"/>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eastAsiaTheme="minorEastAsia"/>
      <w:b/>
      <w:sz w:val="32"/>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Theme="minorEastAsia" w:hAnsi="Tahoma" w:cs="Tahoma"/>
      <w:sz w:val="16"/>
      <w:szCs w:val="16"/>
      <w:lang w:eastAsia="bg-BG"/>
    </w:rPr>
  </w:style>
  <w:style w:type="paragraph" w:styleId="Revision">
    <w:name w:val="Revision"/>
    <w:hidden/>
    <w:uiPriority w:val="99"/>
    <w:semiHidden/>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jc w:val="both"/>
    </w:pPr>
    <w:rPr>
      <w:rFonts w:asciiTheme="minorHAnsi" w:eastAsiaTheme="minorEastAsia" w:hAnsiTheme="minorHAnsi" w:cstheme="min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heme="minorHAnsi" w:eastAsiaTheme="minorEastAsia" w:hAnsiTheme="minorHAnsi" w:cstheme="minorBidi"/>
      <w:lang w:eastAsia="bg-BG"/>
    </w:rPr>
  </w:style>
  <w:style w:type="table" w:styleId="TableGrid">
    <w:name w:val="Table Grid"/>
    <w:basedOn w:val="TableNormal"/>
    <w:uiPriority w:val="39"/>
    <w:pPr>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ascii="Times New Roman" w:eastAsiaTheme="minorHAnsi" w:hAnsi="Times New Roman" w:cs="Times New Roman"/>
      <w:sz w:val="24"/>
      <w:szCs w:val="22"/>
    </w:rPr>
  </w:style>
  <w:style w:type="paragraph" w:styleId="Header">
    <w:name w:val="header"/>
    <w:basedOn w:val="Normal"/>
    <w:link w:val="HeaderChar"/>
    <w:pPr>
      <w:tabs>
        <w:tab w:val="center" w:pos="4536"/>
        <w:tab w:val="right" w:pos="9072"/>
      </w:tabs>
      <w:spacing w:after="0" w:line="240" w:lineRule="auto"/>
    </w:pPr>
  </w:style>
  <w:style w:type="character" w:customStyle="1" w:styleId="HeaderChar">
    <w:name w:val="Header Char"/>
    <w:basedOn w:val="DefaultParagraphFont"/>
    <w:link w:val="Header"/>
    <w:rPr>
      <w:rFonts w:asciiTheme="minorHAnsi" w:eastAsiaTheme="minorEastAsia" w:hAnsiTheme="minorHAnsi" w:cstheme="minorBidi"/>
      <w:lang w:eastAsia="bg-BG"/>
    </w:rP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heme="minorHAnsi" w:eastAsiaTheme="minorEastAsia" w:hAnsiTheme="minorHAnsi" w:cstheme="minorBidi"/>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ascii="Times New Roman" w:hAnsi="Times New Roman" w:cs="Times New Roman"/>
      <w:sz w:val="24"/>
    </w:rPr>
  </w:style>
  <w:style w:type="character" w:customStyle="1" w:styleId="FooterCoverPageChar">
    <w:name w:val="Footer Cover Page Char"/>
    <w:basedOn w:val="DefaultParagraphFont"/>
    <w:link w:val="FooterCoverPage"/>
    <w:rPr>
      <w:rFonts w:eastAsiaTheme="minorEastAsia"/>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eastAsiaTheme="minorEastAsia"/>
      <w:b/>
      <w:sz w:val="32"/>
    </w:rPr>
  </w:style>
  <w:style w:type="paragraph" w:customStyle="1" w:styleId="HeaderCoverPage">
    <w:name w:val="Header Cover Page"/>
    <w:basedOn w:val="Normal"/>
    <w:link w:val="HeaderCoverPageChar"/>
    <w:pPr>
      <w:tabs>
        <w:tab w:val="center" w:pos="4535"/>
        <w:tab w:val="right" w:pos="9071"/>
      </w:tabs>
      <w:spacing w:after="120" w:line="240" w:lineRule="auto"/>
    </w:pPr>
    <w:rPr>
      <w:rFonts w:ascii="Times New Roman" w:hAnsi="Times New Roman" w:cs="Times New Roman"/>
      <w:sz w:val="24"/>
    </w:rPr>
  </w:style>
  <w:style w:type="character" w:customStyle="1" w:styleId="HeaderCoverPageChar">
    <w:name w:val="Header Cover Page Char"/>
    <w:basedOn w:val="DefaultParagraphFont"/>
    <w:link w:val="HeaderCoverPage"/>
    <w:rPr>
      <w:rFonts w:eastAsiaTheme="minorEastAsia"/>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eastAsiaTheme="minorEastAsia"/>
      <w:b/>
      <w:sz w:val="32"/>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Theme="minorEastAsia" w:hAnsi="Tahoma" w:cs="Tahoma"/>
      <w:sz w:val="16"/>
      <w:szCs w:val="16"/>
      <w:lang w:eastAsia="bg-BG"/>
    </w:rPr>
  </w:style>
  <w:style w:type="paragraph" w:styleId="Revision">
    <w:name w:val="Revision"/>
    <w:hidden/>
    <w:uiPriority w:val="99"/>
    <w:semiHidden/>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2203</Words>
  <Characters>13638</Characters>
  <Application>Microsoft Office Word</Application>
  <DocSecurity>0</DocSecurity>
  <Lines>349</Lines>
  <Paragraphs>163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Stefaan Lemmens</dc:creator>
  <cp:lastModifiedBy>DIGIT/A3</cp:lastModifiedBy>
  <cp:revision>34</cp:revision>
  <cp:lastPrinted>2018-01-08T14:50:00Z</cp:lastPrinted>
  <dcterms:created xsi:type="dcterms:W3CDTF">2018-01-12T13:09:00Z</dcterms:created>
  <dcterms:modified xsi:type="dcterms:W3CDTF">2018-01-24T08:44:00Z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3</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ies>
</file>