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DD31C42-05B6-4B98-89F1-D97A20D6C1CC" style="width:450.4pt;height:424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br/>
      </w:r>
      <w:r>
        <w:rPr>
          <w:noProof/>
          <w:color w:val="000000"/>
        </w:rPr>
        <w:t>Позицията по отношение на промените в приложното поле на контрола на вещества, която трябва да се заеме от държавите членки — членове на Комисията за упойващите вещества, действащи съвместно в интерес на Съюза, по време на шестдесет и първата сесия на тази комисия от 12 до 16 март 2018 г., е следната:</w:t>
      </w:r>
    </w:p>
    <w:p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</w:p>
    <w:p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>Веществото карфентанил да бъде включено в списъци I и IV на Конвенцията по упойващите вещества.</w:t>
      </w:r>
    </w:p>
    <w:p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 xml:space="preserve">Веществото окфентанил да бъде включено в списък I на Конвенцията по упойващите вещества. 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фуранил фентанил (Fu-F) да бъде включено в списък I на Конвенцията по упойващите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акрилоилфентанил (акрилфентанил) да бъде включено в списък I на Конвенцията по упойващите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4-флуороизобутирфентанил (4-FIBF, pFIBF) да бъде включено в списък I на Конвенцията по упойващите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тетрахидрофуранилфентанил (THF-F) да бъде включено в списък I на Конвенцията по упойващите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4-флуороамфетамин (4-FA) да бъде включено в списък II на Конвенцията за психотропните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AB-PINACA да бъде включено в списък II на Конвенцията за психотропните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AB-CHMINACA да бъде включено в списък II на Конвенцията за психотропните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5F-PB-22 да бъде включено в списък II на Конвенцията за психотропните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UR-144 да бъде включено в списък II на Конвенцията за психотропните вещества.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5F-ADB да бъде включено в списък II на Конвенцията за психотропните вещества.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18C64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A229A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9C002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5AC3B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D4630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934D0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B4A79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21C5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24 12:06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DD31C42-05B6-4B98-89F1-D97A20D6C1CC"/>
    <w:docVar w:name="LW_COVERPAGE_TYPE" w:val="1"/>
    <w:docVar w:name="LW_CROSSREFERENCE" w:val="&lt;UNUSED&gt;"/>
    <w:docVar w:name="LW_DocType" w:val="ANNEX"/>
    <w:docVar w:name="LW_EMISSION" w:val="12.1.2018"/>
    <w:docVar w:name="LW_EMISSION_ISODATE" w:val="2018-01-1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96?\u1077?\u1089?\u1090?\u1076?\u1077?\u1089?\u1077?\u1090? \u1080? \u1087?\u1098?\u1088?\u1074?\u1072?\u1090?\u1072? \u1089?\u1077?\u1089?\u1080?\u1103? \u1085?\u1072? \u1050?\u1086?\u1084?\u1080?\u1089?\u1080?\u1103?\u1090?\u1072? \u1079?\u1072? \u1091?\u1087?\u1086?\u1081?\u1074?\u1072?\u1097?\u1080?\u1090?\u1077? \u1074?\u1077?\u1097?\u1077?\u1089?\u1090?\u1074?\u1072? \u1087?\u1086? \u1086?\u1090?\u1085?\u1086?\u1096?\u1077?\u1085?\u1080?\u1077? \u1085?\u1072? \u1089?\u1087?\u1080?\u1089?\u1098?\u1094?\u1080?\u1090?\u1077? \u1089? \u1074?\u1077?\u1097?\u1077?\u1089?\u1090?\u1074?\u1072? \u1087?\u1086? \u1045?\u1076?\u1080?\u1085?\u1085?\u1072?\u1090?\u1072? \u1082?\u1086?\u1085?\u1074?\u1077?\u1085?\u1094?\u1080?\u1103? \u1087?\u1086? \u1091?\u1087?\u1086?\u1081?\u1074?\u1072?\u1097?\u1080?\u1090?\u1077? \u1074?\u1077?\u1097?\u1077?\u1089?\u1090?\u1074?\u1072? \u1086?\u1090? 1961&lt;LWCR:NBS&gt;\u1075?., \u1080?\u1079?\u1084?\u1077?\u1085?\u1077?\u1085?\u1072? \u1089? \u1055?\u1088?\u1086?\u1090?\u1086?\u1082?\u1086?\u1083?\u1072? \u1086?\u1090? 1972&lt;LWCR:NBS&gt;\u1075?., \u1080? \u1050?\u1086?\u1085?\u1074?\u1077?\u1085?\u1094?\u1080?\u1103?\u1090?\u1072? \u1079?\u1072? \u1087?\u1089?\u1080?\u1093?\u1086?\u1090?\u1088?\u1086?\u1087?\u1085?\u1080?\u1090?\u1077? \u1074?\u1077?\u1097?\u1077?\u1089?\u1090?\u1074?\u1072? \u1086?\u1090? 1971&lt;LWCR:NBS&gt;\u1075?.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96?\u1077?\u1089?\u1090?\u1076?\u1077?\u1089?\u1077?\u1090? \u1080? \u1087?\u1098?\u1088?\u1074?\u1072?\u1090?\u1072? \u1089?\u1077?\u1089?\u1080?\u1103? \u1085?\u1072? \u1050?\u1086?\u1084?\u1080?\u1089?\u1080?\u1103?\u1090?\u1072? \u1079?\u1072? \u1091?\u1087?\u1086?\u1081?\u1074?\u1072?\u1097?\u1080?\u1090?\u1077? \u1074?\u1077?\u1097?\u1077?\u1089?\u1090?\u1074?\u1072? \u1087?\u1086? \u1086?\u1090?\u1085?\u1086?\u1096?\u1077?\u1085?\u1080?\u1077? \u1085?\u1072? \u1089?\u1087?\u1080?\u1089?\u1098?\u1094?\u1080?\u1090?\u1077? \u1089? \u1074?\u1077?\u1097?\u1077?\u1089?\u1090?\u1074?\u1072? \u1087?\u1086? \u1045?\u1076?\u1080?\u1085?\u1085?\u1072?\u1090?\u1072? \u1082?\u1086?\u1085?\u1074?\u1077?\u1085?\u1094?\u1080?\u1103? \u1087?\u1086? \u1091?\u1087?\u1086?\u1081?\u1074?\u1072?\u1097?\u1080?\u1090?\u1077? \u1074?\u1077?\u1097?\u1077?\u1089?\u1090?\u1074?\u1072? \u1086?\u1090? 1961 \u1075?., \u1080?\u1079?\u1084?\u1077?\u1085?\u1077?\u1085?\u1072? \u1089? \u1055?\u1088?\u1086?\u1090?\u1086?\u1082?\u1086?\u1083?\u1072? \u1086?\u1090? 1972 \u1075?., \u1080? \u1050?\u1086?\u1085?\u1074?\u1077?\u1085?\u1094?\u1080?\u1103?\u1090?\u1072? \u1079?\u1072? \u1087?\u1089?\u1080?\u1093?\u1086?\u1090?\u1088?\u1086?\u1087?\u1085?\u1080?\u1090?\u1077? \u1074?\u1077?\u1097?\u1077?\u1089?\u1090?\u1074?\u1072? \u1086?\u1090? 1971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8) 3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222</Words>
  <Characters>1289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(EMPL)</dc:creator>
  <cp:lastModifiedBy>DIGIT/A3</cp:lastModifiedBy>
  <cp:revision>7</cp:revision>
  <dcterms:created xsi:type="dcterms:W3CDTF">2018-01-19T10:51:00Z</dcterms:created>
  <dcterms:modified xsi:type="dcterms:W3CDTF">2018-01-24T11:06:00Z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