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532705923"/>
      <w:bookmarkStart w:id="1" w:name="_Toc3883272"/>
      <w:bookmarkStart w:id="2"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43631FC7-F301-454B-8090-E7C936A23F78" style="width:450.8pt;height:334.2pt">
            <v:imagedata r:id="rId9" o:title=""/>
          </v:shape>
        </w:pict>
      </w:r>
    </w:p>
    <w:bookmarkEnd w:id="2"/>
    <w:p>
      <w:pPr>
        <w:rPr>
          <w:noProof/>
        </w:rPr>
        <w:sectPr>
          <w:headerReference w:type="even" r:id="rId10"/>
          <w:headerReference w:type="default" r:id="rId11"/>
          <w:footerReference w:type="even" r:id="rId12"/>
          <w:footerReference w:type="default" r:id="rId13"/>
          <w:headerReference w:type="first" r:id="rId14"/>
          <w:footerReference w:type="first" r:id="rId15"/>
          <w:pgSz w:w="11907" w:h="16840" w:code="9"/>
          <w:pgMar w:top="1134" w:right="1417" w:bottom="1134" w:left="1417" w:header="709" w:footer="709" w:gutter="0"/>
          <w:pgNumType w:start="0"/>
          <w:cols w:space="720"/>
          <w:docGrid w:linePitch="326"/>
        </w:sectPr>
      </w:pPr>
    </w:p>
    <w:p>
      <w:pPr>
        <w:pStyle w:val="ManualHeading1"/>
        <w:rPr>
          <w:noProof/>
        </w:rPr>
      </w:pPr>
      <w:bookmarkStart w:id="3" w:name="_GoBack"/>
      <w:bookmarkEnd w:id="3"/>
      <w:r>
        <w:lastRenderedPageBreak/>
        <w:t>1.</w:t>
      </w:r>
      <w:r>
        <w:tab/>
      </w:r>
      <w:r>
        <w:rPr>
          <w:noProof/>
        </w:rPr>
        <w:t>Introduction</w:t>
      </w:r>
      <w:bookmarkEnd w:id="0"/>
      <w:bookmarkEnd w:id="1"/>
    </w:p>
    <w:p>
      <w:pPr>
        <w:pStyle w:val="Text1"/>
        <w:ind w:left="0"/>
        <w:rPr>
          <w:noProof/>
        </w:rPr>
      </w:pPr>
      <w:r>
        <w:rPr>
          <w:noProof/>
        </w:rPr>
        <w:t>L’avenir de l’Europe repose sur la capacité de ses citoyens à défendre les valeurs communes qui les lient: la démocratie, l’état de droit et les droits fondamentaux. La tenue d’élections libres et régulières représente l’expression fondamentale de la démocratie et les élections dans l’UE doivent observer les normes démocratiques les plus élevées. Comme l’a déclaré le président de la Commission, Jean-Claude Juncker, à l’occasion de son discours sur l’état de l’Union en septembre 2017</w:t>
      </w:r>
      <w:r>
        <w:rPr>
          <w:rStyle w:val="FootnoteReference"/>
          <w:noProof/>
        </w:rPr>
        <w:footnoteReference w:id="1"/>
      </w:r>
      <w:r>
        <w:rPr>
          <w:noProof/>
        </w:rPr>
        <w:t>, le moment est venu de bâtir une Europe plus unie, plus forte, plus démocratique d’ici à 2025.</w:t>
      </w:r>
    </w:p>
    <w:p>
      <w:pPr>
        <w:pStyle w:val="Text1"/>
        <w:ind w:left="0"/>
        <w:rPr>
          <w:noProof/>
        </w:rPr>
      </w:pPr>
      <w:r>
        <w:rPr>
          <w:noProof/>
        </w:rPr>
        <w:t>Les autorités locales ou municipales constituent le niveau de gouvernance le plus proche des citoyens européens et occupent une place essentielle dans la vie politique européenne qui touche directement ces derniers. Participer démocratiquement à des élections municipales témoigne d’une implication plus large dans la communauté locale. Une telle participation va également de pair avec une meilleure intégration dans la société, un sentiment d’appartenance et un engagement démocratique plus vaste. Toutefois, les citoyens européens ayant exercé leur droit de circuler et de séjourner librement sur le territoire des États membres (les «citoyens mobiles de l’UE») risquent de se sentir étrangers à la culture politique locale lorsqu’ils changent de pays de résidence.</w:t>
      </w:r>
    </w:p>
    <w:p>
      <w:pPr>
        <w:pStyle w:val="Heading2"/>
        <w:rPr>
          <w:noProof/>
        </w:rPr>
      </w:pPr>
      <w:r>
        <w:rPr>
          <w:noProof/>
        </w:rPr>
        <w:t>Droit de vote aux élections municipales</w:t>
      </w:r>
    </w:p>
    <w:p>
      <w:pPr>
        <w:pStyle w:val="Text1"/>
        <w:ind w:left="0"/>
        <w:rPr>
          <w:noProof/>
        </w:rPr>
      </w:pPr>
      <w:r>
        <w:rPr>
          <w:noProof/>
        </w:rPr>
        <w:t>La citoyenneté européenne donne à chaque citoyen de l’Union le droit de vote et d’éligibilité aux élections municipales et européennes, qu’il possède ou non la nationalité du pays de l’UE dans lequel il réside et selon les mêmes conditions que celles s’appliquant aux ressortissants de ce pays. Ce droit est consacré par l’article 22, paragraphe 1, du traité sur le fonctionnement de l’Union européenne</w:t>
      </w:r>
      <w:r>
        <w:rPr>
          <w:rStyle w:val="FootnoteReference"/>
          <w:noProof/>
        </w:rPr>
        <w:footnoteReference w:id="2"/>
      </w:r>
      <w:r>
        <w:rPr>
          <w:noProof/>
        </w:rPr>
        <w:t>. Les modalités de l’exercice de ce droit sont établies par la directive 94/80/CE du Conseil (la «directive»)</w:t>
      </w:r>
      <w:r>
        <w:rPr>
          <w:rStyle w:val="FootnoteReference"/>
          <w:noProof/>
        </w:rPr>
        <w:footnoteReference w:id="3"/>
      </w:r>
      <w:r>
        <w:rPr>
          <w:noProof/>
        </w:rPr>
        <w:t>.</w:t>
      </w:r>
    </w:p>
    <w:p>
      <w:pPr>
        <w:pStyle w:val="Text1"/>
        <w:ind w:left="0"/>
        <w:rPr>
          <w:noProof/>
        </w:rPr>
      </w:pPr>
      <w:r>
        <w:rPr>
          <w:noProof/>
        </w:rPr>
        <w:t>Il existe toutefois deux restrictions. Tout d’abord, un État membre peut décider que seuls ses propres ressortissants sont éligibles à la fonction de chef de l’exécutif d’une collectivité locale de base</w:t>
      </w:r>
      <w:r>
        <w:rPr>
          <w:rStyle w:val="FootnoteReference"/>
          <w:noProof/>
        </w:rPr>
        <w:footnoteReference w:id="4"/>
      </w:r>
      <w:r>
        <w:rPr>
          <w:noProof/>
        </w:rPr>
        <w:t>. Ensuite, si l’électorat est constitué à plus de 20 % de ressortissants étrangers, un État membre est en droit de subordonner la participation aux élections municipales à une période de résidence supplémentaire.</w:t>
      </w:r>
    </w:p>
    <w:p>
      <w:pPr>
        <w:pStyle w:val="Heading2"/>
        <w:rPr>
          <w:noProof/>
        </w:rPr>
      </w:pPr>
      <w:r>
        <w:rPr>
          <w:noProof/>
        </w:rPr>
        <w:t>Contenu du rapport</w:t>
      </w:r>
    </w:p>
    <w:p>
      <w:pPr>
        <w:pStyle w:val="Text1"/>
        <w:ind w:left="0"/>
        <w:rPr>
          <w:bCs/>
          <w:noProof/>
        </w:rPr>
      </w:pPr>
      <w:r>
        <w:rPr>
          <w:noProof/>
        </w:rPr>
        <w:t>Dans ce troisième rapport</w:t>
      </w:r>
      <w:r>
        <w:rPr>
          <w:rStyle w:val="FootnoteReference"/>
          <w:noProof/>
        </w:rPr>
        <w:footnoteReference w:id="5"/>
      </w:r>
      <w:r>
        <w:rPr>
          <w:noProof/>
        </w:rPr>
        <w:t>, qui fait suite au rapport de 2017 sur la citoyenneté de l’Union, la Commission dresse le bilan de la mesure dans laquelle, depuis 2012, les citoyens de l’Union ont exercé leur droit de vote aux élections municipales dans leur État membre de résidence.</w:t>
      </w:r>
    </w:p>
    <w:p>
      <w:pPr>
        <w:pStyle w:val="Text1"/>
        <w:ind w:left="0"/>
        <w:rPr>
          <w:noProof/>
        </w:rPr>
      </w:pPr>
      <w:r>
        <w:rPr>
          <w:noProof/>
        </w:rPr>
        <w:t>Le rapport repose en grande partie sur les données fournies directement par les États membres en réponse à un questionnaire envoyé aux autorités nationales concernées. Le questionnaire visait à rassembler des informations concernant la taille de l’électorat constitué de citoyens mobiles de l’UE dans chaque État membre ainsi que leur représentation sur les listes électorales pour les élections municipales dans leur État membre de résidence. Les informations demandées concernaient également le taux de participation électorale de ces citoyens lors des élections municipales les plus récentes ainsi que les mesures prises pour encourager leur participation au vote. D’autres données de la Commission sont venues s’associer à ces informations et les compléter. Certaines données n’étaient pas toujours disponibles étant donné que les registres des électeurs et de la population nationaux et municipaux possèdent chacun leurs propres caractéristiques.</w:t>
      </w:r>
    </w:p>
    <w:p>
      <w:pPr>
        <w:pStyle w:val="ManualHeading1"/>
        <w:rPr>
          <w:noProof/>
        </w:rPr>
      </w:pPr>
      <w:r>
        <w:t>2.</w:t>
      </w:r>
      <w:r>
        <w:tab/>
      </w:r>
      <w:r>
        <w:rPr>
          <w:noProof/>
        </w:rPr>
        <w:t>Connaissance et participation</w:t>
      </w:r>
    </w:p>
    <w:p>
      <w:pPr>
        <w:pStyle w:val="Text1"/>
        <w:ind w:left="0"/>
        <w:rPr>
          <w:noProof/>
        </w:rPr>
      </w:pPr>
      <w:r>
        <w:rPr>
          <w:noProof/>
        </w:rPr>
        <w:t>Depuis la consécration de la libre circulation dans les traités, il est devenu beaucoup plus simple de vivre, de travailler, d’étudier et de voyager au sein de l’Union européenne. L’Allemagne, le Royaume-Uni, la France, l’Espagne et l’Italie sont les pays qui accueillent le plus grand nombre de citoyens mobiles de l’UE en valeur absolue. C’est au Luxembourg, à Chypre, en Irlande, en Belgique et en Autriche que la part des citoyens mobiles de l’UE dans la population totale est la plus grande.</w:t>
      </w:r>
    </w:p>
    <w:p>
      <w:pPr>
        <w:spacing w:before="0" w:after="0"/>
        <w:jc w:val="left"/>
        <w:rPr>
          <w:noProof/>
        </w:rPr>
      </w:pPr>
      <w:r>
        <w:rPr>
          <w:noProof/>
        </w:rPr>
        <w:br w:type="page"/>
      </w:r>
    </w:p>
    <w:p>
      <w:pPr>
        <w:pStyle w:val="Text1"/>
        <w:ind w:left="0"/>
        <w:rPr>
          <w:noProof/>
        </w:rPr>
      </w:pPr>
    </w:p>
    <w:p>
      <w:pPr>
        <w:rPr>
          <w:b/>
          <w:noProof/>
        </w:rPr>
      </w:pPr>
      <w:r>
        <w:rPr>
          <w:b/>
          <w:noProof/>
        </w:rPr>
        <w:t>Graphique 1: Population de citoyens mobiles de l’UE en âge de voter (15 ans et plus) par État membre au 1.1.2016</w:t>
      </w:r>
      <w:r>
        <w:rPr>
          <w:rStyle w:val="FootnoteReference"/>
          <w:noProof/>
          <w:sz w:val="20"/>
        </w:rPr>
        <w:footnoteReference w:id="6"/>
      </w:r>
    </w:p>
    <w:p>
      <w:pPr>
        <w:rPr>
          <w:b/>
          <w:noProof/>
        </w:rPr>
      </w:pPr>
    </w:p>
    <w:p>
      <w:pPr>
        <w:pStyle w:val="Text1"/>
        <w:ind w:left="0"/>
        <w:rPr>
          <w:i/>
          <w:noProof/>
          <w:sz w:val="20"/>
        </w:rPr>
      </w:pPr>
      <w:r>
        <w:rPr>
          <w:i/>
          <w:noProof/>
          <w:sz w:val="20"/>
          <w:lang w:val="en-US" w:eastAsia="en-US" w:bidi="ar-SA"/>
        </w:rPr>
        <w:drawing>
          <wp:inline distT="0" distB="0" distL="0" distR="0">
            <wp:extent cx="5794745" cy="6400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 citizens voting_20017.12_update_ok.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810726" cy="6418452"/>
                    </a:xfrm>
                    <a:prstGeom prst="rect">
                      <a:avLst/>
                    </a:prstGeom>
                  </pic:spPr>
                </pic:pic>
              </a:graphicData>
            </a:graphic>
          </wp:inline>
        </w:drawing>
      </w:r>
    </w:p>
    <w:p>
      <w:pPr>
        <w:pStyle w:val="Text1"/>
        <w:ind w:left="0"/>
        <w:rPr>
          <w:i/>
          <w:noProof/>
          <w:sz w:val="20"/>
        </w:rPr>
      </w:pPr>
      <w:r>
        <w:rPr>
          <w:i/>
          <w:noProof/>
        </w:rPr>
        <w:t>Données d’Eurostat pour 2016 relatives à la population par classe d’âge, sexe et nationalité [migr_pop1ctz], extraites le 31.10.2017.</w:t>
      </w:r>
    </w:p>
    <w:p>
      <w:pPr>
        <w:pStyle w:val="Text1"/>
        <w:ind w:left="0"/>
        <w:rPr>
          <w:noProof/>
        </w:rPr>
      </w:pPr>
      <w:r>
        <w:rPr>
          <w:noProof/>
        </w:rPr>
        <w:t>Nombre de ces citoyens mobiles de l’UE résident dans des centres urbains, mais également en dehors des grandes villes, où les possibilités d’emploi constituent un critère déterminant</w:t>
      </w:r>
      <w:r>
        <w:rPr>
          <w:rStyle w:val="FootnoteReference"/>
          <w:noProof/>
        </w:rPr>
        <w:footnoteReference w:id="7"/>
      </w:r>
      <w:r>
        <w:rPr>
          <w:noProof/>
        </w:rPr>
        <w:t>. Les principaux pays de nationalité des citoyens mobiles sont très divers et varient d’un pays à l’autre et d’un lieu à l’autre. Dans certaines zones comme les zones frontalières, seulement une ou un petit nombre de nationalités sont représentées; dans d’autres endroits, la situation est plus complexe.</w:t>
      </w:r>
    </w:p>
    <w:p>
      <w:pPr>
        <w:pStyle w:val="Text1"/>
        <w:ind w:left="0"/>
        <w:rPr>
          <w:rFonts w:eastAsiaTheme="minorHAnsi"/>
          <w:noProof/>
          <w:szCs w:val="24"/>
        </w:rPr>
      </w:pPr>
      <w:r>
        <w:rPr>
          <w:noProof/>
        </w:rPr>
        <w:t>Les citoyens de l’Union exercent leur droit de résider dans d’autres États membres, notamment pour travailler. Ils se déplacent également pour étudier, prendre leur retraite ou rejoindre des membres de leur famille. De nombreux citoyens mobiles de l’UE ne prennent pas la nationalité de l’État membre qui les accueille</w:t>
      </w:r>
      <w:r>
        <w:rPr>
          <w:rStyle w:val="FootnoteReference"/>
          <w:noProof/>
        </w:rPr>
        <w:footnoteReference w:id="8"/>
      </w:r>
      <w:r>
        <w:rPr>
          <w:noProof/>
        </w:rPr>
        <w:t>, mais ils sont susceptibles d’y investir une grande partie de leur vie et de leurs ressources.</w:t>
      </w:r>
    </w:p>
    <w:p>
      <w:pPr>
        <w:pStyle w:val="Heading2"/>
        <w:rPr>
          <w:noProof/>
        </w:rPr>
      </w:pPr>
      <w:r>
        <w:rPr>
          <w:noProof/>
        </w:rPr>
        <w:t>Connaissance du droit de vote et d’éligibilité aux élections municipales</w:t>
      </w:r>
    </w:p>
    <w:p>
      <w:pPr>
        <w:autoSpaceDE w:val="0"/>
        <w:autoSpaceDN w:val="0"/>
        <w:rPr>
          <w:rFonts w:ascii="ECSquareSansPro" w:hAnsi="ECSquareSansPro"/>
          <w:noProof/>
          <w:sz w:val="22"/>
          <w:szCs w:val="22"/>
        </w:rPr>
      </w:pPr>
      <w:r>
        <w:rPr>
          <w:noProof/>
        </w:rPr>
        <w:t>Les résultats des dernières enquêtes Eurobaromètre indiquent que l’expression «citoyen de l’Union européenne» est familière à 87 % des citoyens européens</w:t>
      </w:r>
      <w:r>
        <w:rPr>
          <w:rStyle w:val="FootnoteReference"/>
          <w:noProof/>
        </w:rPr>
        <w:footnoteReference w:id="9"/>
      </w:r>
      <w:r>
        <w:rPr>
          <w:noProof/>
        </w:rPr>
        <w:t>. En moyenne, 54 % savent qu’ils disposent du droit de vote et d’éligibilité aux élections municipales dans l’État membre dans lequel ils résident. Une baisse considérable a été enregistrée par rapport à 2012</w:t>
      </w:r>
      <w:r>
        <w:rPr>
          <w:rStyle w:val="FootnoteReference"/>
          <w:noProof/>
        </w:rPr>
        <w:footnoteReference w:id="10"/>
      </w:r>
      <w:r>
        <w:rPr>
          <w:noProof/>
        </w:rPr>
        <w:t xml:space="preserve"> et ce dans tous les États membres (à l’exception de la Croatie, pour laquelle aucune donnée n’est disponible pour l’année 2012). La connaissance de ce droit est aujourd’hui nettement supérieure à ce qu’elle était en 2007 (où elle se situait à son niveau le plus bas, soit 37 %), mais elle a décliné dans plus de la moitié des États membres depuis 2010.</w:t>
      </w:r>
    </w:p>
    <w:p>
      <w:pPr>
        <w:pStyle w:val="Text1"/>
        <w:ind w:left="0"/>
        <w:rPr>
          <w:b/>
          <w:noProof/>
        </w:rPr>
      </w:pPr>
      <w:r>
        <w:rPr>
          <w:b/>
          <w:noProof/>
        </w:rPr>
        <w:t>Graphique 2: Connaissance des droits électoraux de l’UE parmi les citoyens, 2007-2015</w:t>
      </w:r>
    </w:p>
    <w:p>
      <w:pPr>
        <w:suppressAutoHyphens/>
        <w:ind w:left="567"/>
        <w:rPr>
          <w:i/>
          <w:noProof/>
          <w:sz w:val="20"/>
        </w:rPr>
      </w:pPr>
      <w:r>
        <w:rPr>
          <w:i/>
          <w:noProof/>
          <w:sz w:val="20"/>
          <w:lang w:val="en-US" w:eastAsia="en-US" w:bidi="ar-SA"/>
        </w:rPr>
        <w:drawing>
          <wp:anchor distT="0" distB="0" distL="114300" distR="114300" simplePos="0" relativeHeight="251659264" behindDoc="1" locked="0" layoutInCell="1" allowOverlap="1">
            <wp:simplePos x="0" y="0"/>
            <wp:positionH relativeFrom="column">
              <wp:posOffset>377825</wp:posOffset>
            </wp:positionH>
            <wp:positionV relativeFrom="paragraph">
              <wp:posOffset>440690</wp:posOffset>
            </wp:positionV>
            <wp:extent cx="4289425" cy="414020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obarometer 2015 awareness 2.png"/>
                    <pic:cNvPicPr/>
                  </pic:nvPicPr>
                  <pic:blipFill>
                    <a:blip r:embed="rId17">
                      <a:extLst>
                        <a:ext uri="{28A0092B-C50C-407E-A947-70E740481C1C}">
                          <a14:useLocalDpi xmlns:a14="http://schemas.microsoft.com/office/drawing/2010/main" val="0"/>
                        </a:ext>
                      </a:extLst>
                    </a:blip>
                    <a:stretch>
                      <a:fillRect/>
                    </a:stretch>
                  </pic:blipFill>
                  <pic:spPr>
                    <a:xfrm>
                      <a:off x="0" y="0"/>
                      <a:ext cx="4289425" cy="4140200"/>
                    </a:xfrm>
                    <a:prstGeom prst="rect">
                      <a:avLst/>
                    </a:prstGeom>
                  </pic:spPr>
                </pic:pic>
              </a:graphicData>
            </a:graphic>
            <wp14:sizeRelH relativeFrom="page">
              <wp14:pctWidth>0</wp14:pctWidth>
            </wp14:sizeRelH>
            <wp14:sizeRelV relativeFrom="page">
              <wp14:pctHeight>0</wp14:pctHeight>
            </wp14:sizeRelV>
          </wp:anchor>
        </w:drawing>
      </w:r>
      <w:r>
        <w:rPr>
          <w:i/>
          <w:noProof/>
          <w:sz w:val="20"/>
        </w:rPr>
        <w:t>Un citoyen de l’UE vivant en/à/au/aux [NOTRE PAYS] a le droit de vote et d’éligibilité aux élections municipales — Vrai</w:t>
      </w:r>
    </w:p>
    <w:p>
      <w:pPr>
        <w:suppressAutoHyphens/>
        <w:ind w:left="567"/>
        <w:rPr>
          <w:i/>
          <w:noProof/>
          <w:sz w:val="20"/>
        </w:rPr>
      </w:pPr>
      <w:r>
        <w:rPr>
          <w:i/>
          <w:noProof/>
          <w:sz w:val="20"/>
        </w:rPr>
        <w:t>Source: Eurobaromètre Flash 430 – Citoyenneté de l’Union européenne – mars 2016.</w:t>
      </w:r>
    </w:p>
    <w:p>
      <w:pPr>
        <w:pStyle w:val="Heading2"/>
        <w:rPr>
          <w:noProof/>
        </w:rPr>
      </w:pPr>
      <w:r>
        <w:rPr>
          <w:noProof/>
        </w:rPr>
        <w:t>Participation aux élections municipales</w:t>
      </w:r>
    </w:p>
    <w:p>
      <w:pPr>
        <w:pStyle w:val="Text1"/>
        <w:ind w:left="0"/>
        <w:rPr>
          <w:i/>
          <w:noProof/>
          <w:sz w:val="20"/>
        </w:rPr>
      </w:pPr>
      <w:r>
        <w:rPr>
          <w:noProof/>
        </w:rPr>
        <w:t>Sur plus de 16 millions de citoyens mobiles de l’UE en 2016, près de 14 millions étaient en âge de voter et jouissaient du droit de vote. Ils représentaient 3,25 % de l’électorat.</w:t>
      </w:r>
    </w:p>
    <w:p>
      <w:pPr>
        <w:pStyle w:val="Text1"/>
        <w:ind w:left="0"/>
        <w:rPr>
          <w:noProof/>
        </w:rPr>
      </w:pPr>
      <w:r>
        <w:rPr>
          <w:noProof/>
        </w:rPr>
        <w:t>Le nombre de citoyens mobiles de l’UE en âge de voter a considérablement augmenté dans de nombreux États membres depuis le rapport de 2012. Depuis 2014</w:t>
      </w:r>
      <w:r>
        <w:rPr>
          <w:rStyle w:val="FootnoteReference"/>
          <w:noProof/>
        </w:rPr>
        <w:footnoteReference w:id="11"/>
      </w:r>
      <w:r>
        <w:rPr>
          <w:noProof/>
        </w:rPr>
        <w:t>, la plupart des États membres ont connu une augmentation de ce groupe de population et le nombre total est en hausse de 11,1 % (passant de 12,6 à près de 14 millions)</w:t>
      </w:r>
      <w:r>
        <w:rPr>
          <w:rStyle w:val="FootnoteReference"/>
          <w:noProof/>
        </w:rPr>
        <w:footnoteReference w:id="12"/>
      </w:r>
      <w:r>
        <w:rPr>
          <w:noProof/>
        </w:rPr>
        <w:t>.</w:t>
      </w:r>
    </w:p>
    <w:p>
      <w:pPr>
        <w:pStyle w:val="Text1"/>
        <w:ind w:left="0"/>
        <w:rPr>
          <w:noProof/>
        </w:rPr>
      </w:pPr>
      <w:r>
        <w:rPr>
          <w:noProof/>
        </w:rPr>
        <w:t>Pour participer aux élections municipales, un citoyen doit être inscrit sur la liste électorale. Toutefois, il semble que seul un petit nombre de citoyens mobiles ont exercé leurs droits électoraux lors des élections municipales dans leur pays de résidence ces dernières années; même si les chiffres correspondant au taux de participation aux élections municipales n’étaient disponibles que pour le petit groupe d’États qui collectent ces données, les faibles taux d’inscription électorale dans les États ayant fourni des données donnent à penser que tel est le cas</w:t>
      </w:r>
      <w:r>
        <w:rPr>
          <w:rStyle w:val="FootnoteReference"/>
          <w:noProof/>
        </w:rPr>
        <w:footnoteReference w:id="13"/>
      </w:r>
      <w:r>
        <w:rPr>
          <w:noProof/>
        </w:rPr>
        <w:t>. Il est difficile de tirer d’autres conclusions au vu du nombre réduit d’États membres ayant pu fournir des données. Les graphiques 3 et 4 tentent de donner une image la plus fidèle possible des inscriptions en se fondant sur les données d’Eurostat et les réponses au questionnaire.</w:t>
      </w:r>
    </w:p>
    <w:p>
      <w:pPr>
        <w:pStyle w:val="Text1"/>
        <w:ind w:left="0"/>
        <w:rPr>
          <w:noProof/>
        </w:rPr>
      </w:pPr>
      <w:r>
        <w:rPr>
          <w:noProof/>
        </w:rPr>
        <w:t>Les formalités d’inscription des citoyens mobiles de l’UE sur les listes électorales varient</w:t>
      </w:r>
      <w:r>
        <w:rPr>
          <w:rStyle w:val="FootnoteReference"/>
          <w:noProof/>
        </w:rPr>
        <w:footnoteReference w:id="14"/>
      </w:r>
      <w:r>
        <w:rPr>
          <w:noProof/>
        </w:rPr>
        <w:t xml:space="preserve">. Sur le portail de la Commission </w:t>
      </w:r>
      <w:r>
        <w:rPr>
          <w:i/>
          <w:noProof/>
        </w:rPr>
        <w:t>L’Europe est à vous</w:t>
      </w:r>
      <w:r>
        <w:rPr>
          <w:noProof/>
        </w:rPr>
        <w:t>, les citoyens mobiles peuvent trouver des informations aisément accessibles sur les formalités électorales dans leur État membre de résidence.</w:t>
      </w:r>
    </w:p>
    <w:p>
      <w:pPr>
        <w:pStyle w:val="Text1"/>
        <w:ind w:left="0"/>
        <w:rPr>
          <w:noProof/>
        </w:rPr>
      </w:pPr>
      <w:r>
        <w:rPr>
          <w:noProof/>
        </w:rPr>
        <w:t>Dans les États membres où l’inscription sur les listes électorales n’est pas automatique, les données recueillies indiquent que seulement 18,5 % des citoyens mobiles de l’UE qui étaient résidents ont demandé à y être inscrits. Dans ceux qui ont recours à l’inscription d’office, le pourcentage de citoyens mobiles de l’UE sur les listes électorales est plus de deux fois supérieur (51,2 %). Certains États membres pratiquant l’inscription d’office obligent les citoyens mobiles à faire enregistrer leur résidence, d’autres pas. Par conséquent, dans les États membres où un tel enregistrement n’est pas obligatoire, le nombre de citoyens mobiles de l’UE inscrits sur les listes électorales sera différent du nombre de citoyens mobiles de l’UE résidents.</w:t>
      </w:r>
    </w:p>
    <w:p>
      <w:pPr>
        <w:rPr>
          <w:noProof/>
        </w:rPr>
      </w:pPr>
      <w:r>
        <w:rPr>
          <w:noProof/>
        </w:rPr>
        <w:br w:type="page"/>
      </w:r>
    </w:p>
    <w:p>
      <w:pPr>
        <w:pStyle w:val="Text1"/>
        <w:ind w:left="0"/>
        <w:rPr>
          <w:b/>
          <w:noProof/>
        </w:rPr>
      </w:pPr>
      <w:r>
        <w:rPr>
          <w:b/>
          <w:noProof/>
        </w:rPr>
        <w:t>Graphique 3: Pourcentage de citoyens mobiles de l’UE inscrits sur les listes électorales dans le cadre des élections municipales (les États membres en blanc n’inscrivent pas les citoyens d’office)</w:t>
      </w:r>
    </w:p>
    <w:p>
      <w:pPr>
        <w:pStyle w:val="Text1"/>
        <w:ind w:left="0"/>
        <w:rPr>
          <w:noProof/>
          <w:szCs w:val="24"/>
        </w:rPr>
      </w:pPr>
      <w:r>
        <w:rPr>
          <w:noProof/>
          <w:lang w:val="en-US" w:eastAsia="en-US" w:bidi="ar-SA"/>
        </w:rPr>
        <w:drawing>
          <wp:inline distT="0" distB="0" distL="0" distR="0">
            <wp:extent cx="5850255" cy="32653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850255" cy="3265345"/>
                    </a:xfrm>
                    <a:prstGeom prst="rect">
                      <a:avLst/>
                    </a:prstGeom>
                  </pic:spPr>
                </pic:pic>
              </a:graphicData>
            </a:graphic>
          </wp:inline>
        </w:drawing>
      </w:r>
    </w:p>
    <w:p>
      <w:pPr>
        <w:pStyle w:val="Text1"/>
        <w:ind w:left="0"/>
        <w:rPr>
          <w:i/>
          <w:noProof/>
          <w:sz w:val="20"/>
        </w:rPr>
      </w:pPr>
      <w:r>
        <w:rPr>
          <w:i/>
          <w:noProof/>
          <w:sz w:val="20"/>
        </w:rPr>
        <w:t>Sur la base des données d’Eurostat pour 2016 relatives à la population par classe d’âge, sexe et nationalité [migr_pop1ctz], extraites le 31.10.2017, et des données fournies par les États membres.</w:t>
      </w:r>
    </w:p>
    <w:p>
      <w:pPr>
        <w:pStyle w:val="Text1"/>
        <w:ind w:left="0"/>
        <w:rPr>
          <w:b/>
          <w:i/>
          <w:noProof/>
          <w:szCs w:val="24"/>
        </w:rPr>
      </w:pPr>
      <w:r>
        <w:rPr>
          <w:b/>
          <w:noProof/>
        </w:rPr>
        <w:t>Graphique 4: Pourcentage de citoyens mobiles de l’UE inscrits sur les listes électorales dans le cadre des élections municipales (les États membres en blanc n’inscrivent pas les citoyens d’office – données des États membres uniquement)</w:t>
      </w:r>
    </w:p>
    <w:p>
      <w:pPr>
        <w:pStyle w:val="Text1"/>
        <w:ind w:left="0"/>
        <w:rPr>
          <w:i/>
          <w:noProof/>
          <w:sz w:val="20"/>
        </w:rPr>
      </w:pPr>
      <w:r>
        <w:rPr>
          <w:noProof/>
        </w:rPr>
        <w:t xml:space="preserve"> </w:t>
      </w:r>
      <w:r>
        <w:rPr>
          <w:noProof/>
          <w:lang w:val="en-US" w:eastAsia="en-US" w:bidi="ar-SA"/>
        </w:rPr>
        <w:drawing>
          <wp:inline distT="0" distB="0" distL="0" distR="0">
            <wp:extent cx="5850255" cy="275097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850255" cy="2750976"/>
                    </a:xfrm>
                    <a:prstGeom prst="rect">
                      <a:avLst/>
                    </a:prstGeom>
                  </pic:spPr>
                </pic:pic>
              </a:graphicData>
            </a:graphic>
          </wp:inline>
        </w:drawing>
      </w:r>
    </w:p>
    <w:p>
      <w:pPr>
        <w:pStyle w:val="Text1"/>
        <w:ind w:left="0"/>
        <w:rPr>
          <w:i/>
          <w:noProof/>
          <w:sz w:val="20"/>
        </w:rPr>
      </w:pPr>
      <w:r>
        <w:rPr>
          <w:i/>
          <w:noProof/>
          <w:sz w:val="20"/>
        </w:rPr>
        <w:t>Sur la base des données des États membres uniquement (seules des données d’inscription ont été fournies pour le Portugal).</w:t>
      </w:r>
    </w:p>
    <w:p>
      <w:pPr>
        <w:pStyle w:val="Text1"/>
        <w:ind w:left="0"/>
        <w:rPr>
          <w:noProof/>
        </w:rPr>
      </w:pPr>
      <w:r>
        <w:rPr>
          <w:noProof/>
        </w:rPr>
        <w:t>Très peu de données sont disponibles concernant le nombre de citoyens de l’UE se présentant en tant que candidats à des élections dans un État membre dont ils n’ont pas la nationalité. Vingt États membres ont précisé que ces données n’étaient pas collectées ou étaient difficiles à obtenir.</w:t>
      </w:r>
    </w:p>
    <w:p>
      <w:pPr>
        <w:pStyle w:val="Text1"/>
        <w:ind w:left="0"/>
        <w:rPr>
          <w:noProof/>
        </w:rPr>
      </w:pPr>
      <w:r>
        <w:rPr>
          <w:noProof/>
        </w:rPr>
        <w:t>L’Espagne est le pays qui a communiqué le plus grand nombre de citoyens de l’UE ressortissants étrangers se présentant aux élections en tant que candidats: 1 913 citoyens mobiles de l’UE y ont exercé leur droit d’éligibilité.</w:t>
      </w:r>
    </w:p>
    <w:p>
      <w:pPr>
        <w:pStyle w:val="Text1"/>
        <w:ind w:left="0"/>
        <w:jc w:val="left"/>
        <w:rPr>
          <w:b/>
          <w:noProof/>
        </w:rPr>
      </w:pPr>
    </w:p>
    <w:p>
      <w:pPr>
        <w:pStyle w:val="Text1"/>
        <w:ind w:left="0"/>
        <w:jc w:val="left"/>
        <w:rPr>
          <w:b/>
          <w:noProof/>
        </w:rPr>
      </w:pPr>
      <w:r>
        <w:rPr>
          <w:b/>
          <w:noProof/>
        </w:rPr>
        <w:t>Graphique 5: Citoyens mobiles de l’UE s’étant présentés comme candidats et ayant été élus dans leur État de résidence</w:t>
      </w:r>
    </w:p>
    <w:p>
      <w:pPr>
        <w:pStyle w:val="Text1"/>
        <w:ind w:left="0"/>
        <w:jc w:val="left"/>
        <w:rPr>
          <w:noProof/>
        </w:rPr>
      </w:pPr>
      <w:r>
        <w:rPr>
          <w:noProof/>
          <w:lang w:val="en-US" w:eastAsia="en-US" w:bidi="ar-SA"/>
        </w:rPr>
        <w:drawing>
          <wp:inline distT="0" distB="0" distL="0" distR="0">
            <wp:extent cx="5850255" cy="2920152"/>
            <wp:effectExtent l="0" t="0" r="17145" b="13970"/>
            <wp:docPr id="6" name="Chart 6">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Pr>
          <w:i/>
          <w:noProof/>
          <w:sz w:val="20"/>
        </w:rPr>
        <w:t>Sur la base des données fournies par les États membres (aucune donnée n’est disponible concernant les candidats élus en Espagne).</w:t>
      </w:r>
    </w:p>
    <w:p>
      <w:pPr>
        <w:pStyle w:val="Text1"/>
        <w:ind w:left="0"/>
        <w:rPr>
          <w:noProof/>
        </w:rPr>
      </w:pPr>
      <w:r>
        <w:rPr>
          <w:noProof/>
        </w:rPr>
        <w:t>Les plus forts pourcentages de citoyens mobiles de l’UE élus par rapport à ceux qui se sont présentés comme candidats aux élections sont observés à Malte (22,2 %) et en Suède (20,8 %). En moyenne, 15,5 % des citoyens de l’UE qui exercent leur droit d’éligibilité aux élections municipales dans leur État membre d’accueil sont élus.</w:t>
      </w:r>
    </w:p>
    <w:p>
      <w:pPr>
        <w:pStyle w:val="ManualHeading1"/>
        <w:rPr>
          <w:noProof/>
        </w:rPr>
      </w:pPr>
      <w:r>
        <w:t>3.</w:t>
      </w:r>
      <w:r>
        <w:tab/>
      </w:r>
      <w:r>
        <w:rPr>
          <w:noProof/>
        </w:rPr>
        <w:t>Mise en œuvre de la directive</w:t>
      </w:r>
    </w:p>
    <w:p>
      <w:pPr>
        <w:pStyle w:val="Heading2"/>
        <w:rPr>
          <w:noProof/>
        </w:rPr>
      </w:pPr>
      <w:r>
        <w:rPr>
          <w:noProof/>
        </w:rPr>
        <w:t>État de la transposition</w:t>
      </w:r>
    </w:p>
    <w:p>
      <w:pPr>
        <w:pStyle w:val="Text1"/>
        <w:ind w:left="0"/>
        <w:rPr>
          <w:noProof/>
        </w:rPr>
      </w:pPr>
      <w:r>
        <w:rPr>
          <w:noProof/>
        </w:rPr>
        <w:t>Sept États membres ont adopté une nouvelle législation de transposition depuis le dernier rapport</w:t>
      </w:r>
      <w:r>
        <w:rPr>
          <w:rStyle w:val="FootnoteReference"/>
          <w:noProof/>
        </w:rPr>
        <w:footnoteReference w:id="15"/>
      </w:r>
      <w:r>
        <w:rPr>
          <w:noProof/>
        </w:rPr>
        <w:t>. Le niveau de transposition de la directive dans tous les États membres semble satisfaisant dans l’ensemble. Presque tous les problèmes liés à la transposition de la directive ont été résolus avec succès, bien que certains soucis de transposition incorrecte ou incomplète, qui risqueraient de représenter un obstacle au plein exercice des droits électoraux, fassent encore l’objet de discussions avec certains États membres.</w:t>
      </w:r>
    </w:p>
    <w:p>
      <w:pPr>
        <w:pStyle w:val="Text1"/>
        <w:ind w:left="0"/>
        <w:rPr>
          <w:b/>
          <w:i/>
          <w:noProof/>
        </w:rPr>
      </w:pPr>
      <w:r>
        <w:rPr>
          <w:b/>
          <w:i/>
          <w:noProof/>
        </w:rPr>
        <w:t>Définitions et principes communs</w:t>
      </w:r>
    </w:p>
    <w:p>
      <w:pPr>
        <w:pStyle w:val="Text1"/>
        <w:ind w:left="0"/>
        <w:rPr>
          <w:b/>
          <w:i/>
          <w:noProof/>
        </w:rPr>
      </w:pPr>
      <w:r>
        <w:rPr>
          <w:noProof/>
        </w:rPr>
        <w:t>Les États membres ont effectivement transposé les définitions des termes de l’article 2</w:t>
      </w:r>
      <w:r>
        <w:rPr>
          <w:rStyle w:val="FootnoteReference"/>
          <w:noProof/>
        </w:rPr>
        <w:footnoteReference w:id="16"/>
      </w:r>
      <w:r>
        <w:rPr>
          <w:noProof/>
        </w:rPr>
        <w:t xml:space="preserve"> de la directive. Différentes pratiques ont été adoptées au niveau national, principalement concernant la définition du terme «liste électorale». La législation de certains États membres prévoit une liste distincte (Chypre) ou une partie de la liste (Bulgarie, Pologne, France, Italie, République tchèque et Roumanie) destinée aux citoyens mobiles de l’UE.</w:t>
      </w:r>
    </w:p>
    <w:p>
      <w:pPr>
        <w:pStyle w:val="Text1"/>
        <w:ind w:left="0"/>
        <w:rPr>
          <w:b/>
          <w:i/>
          <w:noProof/>
        </w:rPr>
      </w:pPr>
      <w:r>
        <w:rPr>
          <w:b/>
          <w:i/>
          <w:noProof/>
        </w:rPr>
        <w:t>Bénéficiaires du droit de vote</w:t>
      </w:r>
    </w:p>
    <w:p>
      <w:pPr>
        <w:pStyle w:val="Text1"/>
        <w:ind w:left="0"/>
        <w:rPr>
          <w:noProof/>
        </w:rPr>
      </w:pPr>
      <w:r>
        <w:rPr>
          <w:noProof/>
        </w:rPr>
        <w:t>Certains États membres avaient mal transposé l’article 3 de la directive et exigeaient que les citoyens mobiles de l’UE résident de façon permanente dans le pays depuis cinq ans pour exercer leur droit de vote ou d’éligibilité aux élections municipales. Depuis lors, tous les États membres ont modifié leur législation nationale et supprimé ces exigences</w:t>
      </w:r>
      <w:r>
        <w:rPr>
          <w:rStyle w:val="FootnoteReference"/>
          <w:noProof/>
        </w:rPr>
        <w:footnoteReference w:id="17"/>
      </w:r>
      <w:r>
        <w:rPr>
          <w:noProof/>
        </w:rPr>
        <w:t>. Dans un État membre, les citoyens mobiles de l’UE sans résidence fixe ne pouvaient pas être inscrits afin d’exercer leur droit de vote, alors que les ressortissants de cet État membre en avaient le droit. La législation nationale a été modifiée et la question résolue.</w:t>
      </w:r>
    </w:p>
    <w:p>
      <w:pPr>
        <w:pStyle w:val="Text1"/>
        <w:ind w:left="0"/>
        <w:rPr>
          <w:b/>
          <w:i/>
          <w:noProof/>
        </w:rPr>
      </w:pPr>
      <w:r>
        <w:rPr>
          <w:b/>
          <w:i/>
          <w:noProof/>
        </w:rPr>
        <w:t>Conditions de résidence</w:t>
      </w:r>
    </w:p>
    <w:p>
      <w:pPr>
        <w:pStyle w:val="Text1"/>
        <w:ind w:left="0"/>
        <w:rPr>
          <w:noProof/>
        </w:rPr>
      </w:pPr>
      <w:r>
        <w:rPr>
          <w:noProof/>
        </w:rPr>
        <w:t>L’article 4 de la directive prévoit que lorsque les ressortissants d’un État membre doivent résider depuis une période minimale sur le territoire de cet État pour être électeurs ou éligibles, ils sont réputés remplir cette condition s’ils ont résidé dans d’autres États membres pendant une durée équivalente. La Commission étudie toujours la façon dont cette disposition est mise en œuvre par un État membre.</w:t>
      </w:r>
    </w:p>
    <w:p>
      <w:pPr>
        <w:pStyle w:val="Text1"/>
        <w:ind w:left="0"/>
        <w:rPr>
          <w:b/>
          <w:i/>
          <w:noProof/>
        </w:rPr>
      </w:pPr>
      <w:r>
        <w:rPr>
          <w:b/>
          <w:i/>
          <w:noProof/>
        </w:rPr>
        <w:t>Exclusions spécifiques</w:t>
      </w:r>
    </w:p>
    <w:p>
      <w:pPr>
        <w:pStyle w:val="Text1"/>
        <w:ind w:left="0"/>
        <w:rPr>
          <w:b/>
          <w:i/>
          <w:noProof/>
        </w:rPr>
      </w:pPr>
      <w:r>
        <w:rPr>
          <w:noProof/>
        </w:rPr>
        <w:t>La directive autorise les États membres à déchoir un citoyen de son droit d’éligibilité aux élections municipales si, par l’effet d’une décision individuelle, il a été déchu de son droit d’éligibilité en vertu du droit de son État membre d’origine.</w:t>
      </w:r>
    </w:p>
    <w:p>
      <w:pPr>
        <w:pStyle w:val="Text1"/>
        <w:ind w:left="0"/>
        <w:rPr>
          <w:b/>
          <w:i/>
          <w:noProof/>
        </w:rPr>
      </w:pPr>
      <w:r>
        <w:rPr>
          <w:b/>
          <w:i/>
          <w:noProof/>
        </w:rPr>
        <w:t>Incompatibilité de mandats</w:t>
      </w:r>
    </w:p>
    <w:p>
      <w:pPr>
        <w:pStyle w:val="Text1"/>
        <w:ind w:left="0"/>
        <w:rPr>
          <w:b/>
          <w:i/>
          <w:noProof/>
        </w:rPr>
      </w:pPr>
      <w:r>
        <w:rPr>
          <w:noProof/>
        </w:rPr>
        <w:t>Les personnes exerçant leur droit d’éligibilité sont soumises aux conditions d’incompatibilité qui s’appliquent aux ressortissants de l’État membre de résidence. Cette disposition semble avoir été correctement transposée dans l’ensemble des États membres.</w:t>
      </w:r>
    </w:p>
    <w:p>
      <w:pPr>
        <w:pStyle w:val="Text1"/>
        <w:ind w:left="0"/>
        <w:rPr>
          <w:b/>
          <w:i/>
          <w:noProof/>
        </w:rPr>
      </w:pPr>
      <w:r>
        <w:rPr>
          <w:b/>
          <w:i/>
          <w:noProof/>
        </w:rPr>
        <w:t>Conditions générales applicables à l’exercice du droit de vote</w:t>
      </w:r>
    </w:p>
    <w:p>
      <w:pPr>
        <w:pStyle w:val="Text1"/>
        <w:ind w:left="0"/>
        <w:rPr>
          <w:noProof/>
        </w:rPr>
      </w:pPr>
      <w:r>
        <w:rPr>
          <w:noProof/>
        </w:rPr>
        <w:t>L’article 7 indique que les citoyens de l’Union peuvent exercer leur droit de vote aux élections municipales dans leur État membre de résidence s’ils le demandent. La plupart des États membres adoptent un système avantageux d’inscription d’office sur la liste électorale</w:t>
      </w:r>
      <w:r>
        <w:rPr>
          <w:rStyle w:val="FootnoteReference"/>
          <w:noProof/>
        </w:rPr>
        <w:footnoteReference w:id="18"/>
      </w:r>
      <w:r>
        <w:rPr>
          <w:noProof/>
        </w:rPr>
        <w:t>.</w:t>
      </w:r>
    </w:p>
    <w:p>
      <w:pPr>
        <w:pStyle w:val="Text1"/>
        <w:ind w:left="0"/>
        <w:rPr>
          <w:b/>
          <w:i/>
          <w:noProof/>
        </w:rPr>
      </w:pPr>
      <w:r>
        <w:rPr>
          <w:b/>
          <w:i/>
          <w:noProof/>
        </w:rPr>
        <w:t>Inscription sur la liste électorale</w:t>
      </w:r>
    </w:p>
    <w:p>
      <w:pPr>
        <w:pStyle w:val="Text1"/>
        <w:ind w:left="0"/>
        <w:rPr>
          <w:noProof/>
        </w:rPr>
      </w:pPr>
      <w:r>
        <w:rPr>
          <w:noProof/>
        </w:rPr>
        <w:t>La directive impose certaines obligations aux États membres afin de faciliter l’inscription des citoyens mobiles de l’UE sur les listes électorales.</w:t>
      </w:r>
    </w:p>
    <w:p>
      <w:pPr>
        <w:pStyle w:val="Text1"/>
        <w:ind w:left="0"/>
        <w:rPr>
          <w:noProof/>
        </w:rPr>
      </w:pPr>
      <w:r>
        <w:rPr>
          <w:noProof/>
        </w:rPr>
        <w:t>Les États membres doivent notamment prendre les mesures nécessaires pour permettre à l’électeur d’être inscrit sur la liste électorale en temps utile avant le scrutin. Par ailleurs, les ressortissants étrangers demandant une inscription sur la liste électorale devraient uniquement être obligés d’apporter les mêmes preuves qu’un électeur national. Toutefois, les États membres peuvent exiger que les citoyens n’ayant pas la nationalité du pays présentent un document d’identité en cours de validité ainsi qu’une déclaration formelle précisant leur nationalité et leurs adresses dans l’État membre de résidence.</w:t>
      </w:r>
    </w:p>
    <w:p>
      <w:pPr>
        <w:pStyle w:val="Text1"/>
        <w:ind w:left="0"/>
        <w:rPr>
          <w:noProof/>
          <w:highlight w:val="yellow"/>
        </w:rPr>
      </w:pPr>
      <w:r>
        <w:rPr>
          <w:b/>
          <w:i/>
          <w:noProof/>
        </w:rPr>
        <w:t>Preuves à fournir pour l’exercice du droit d’éligibilité</w:t>
      </w:r>
    </w:p>
    <w:p>
      <w:pPr>
        <w:pStyle w:val="Text1"/>
        <w:ind w:left="0"/>
        <w:rPr>
          <w:noProof/>
        </w:rPr>
      </w:pPr>
      <w:r>
        <w:rPr>
          <w:noProof/>
        </w:rPr>
        <w:t>Les citoyens de l’UE éligibles devraient uniquement être obligés d’apporter les mêmes preuves qu’un candidat national. Les États membres peuvent réclamer un certain nombre de documents facultatifs en plus d’une déclaration formelle précisant la nationalité et l’adresse dans l’État membre de résidence.</w:t>
      </w:r>
    </w:p>
    <w:p>
      <w:pPr>
        <w:autoSpaceDE w:val="0"/>
        <w:autoSpaceDN w:val="0"/>
        <w:adjustRightInd w:val="0"/>
        <w:spacing w:before="0" w:after="0"/>
        <w:rPr>
          <w:rFonts w:eastAsiaTheme="minorHAnsi"/>
          <w:noProof/>
          <w:szCs w:val="24"/>
        </w:rPr>
      </w:pPr>
      <w:r>
        <w:rPr>
          <w:noProof/>
        </w:rPr>
        <w:t>Une législation nationale exigeant la présentation d’une attestation de l’État membre d’origine certifiant que le citoyen n’a pas été déchu du droit d’éligibilité ne serait pas conforme à la directive. Une telle attestation peut uniquement être demandée si l’authenticité de la déclaration est remise en cause. Autrement, cela imposerait aux citoyens mobiles de l’UE une charge supplémentaire. Demander le numéro de référence d’un certificat de résidence serait également contraire à la directive. La Commission a entamé une procédure d’infraction à l’encontre d’un État membre qui a imposé ces exigences supplémentaires, à la suite de laquelle la législation nationale a été modifiée et mise en conformité avec la directive.</w:t>
      </w:r>
    </w:p>
    <w:p>
      <w:pPr>
        <w:pStyle w:val="Text1"/>
        <w:ind w:left="0"/>
        <w:rPr>
          <w:b/>
          <w:noProof/>
        </w:rPr>
      </w:pPr>
      <w:r>
        <w:rPr>
          <w:b/>
          <w:i/>
          <w:noProof/>
        </w:rPr>
        <w:t>Exigences d’information applicables aux États membres</w:t>
      </w:r>
    </w:p>
    <w:p>
      <w:pPr>
        <w:pStyle w:val="Text1"/>
        <w:ind w:left="0"/>
        <w:rPr>
          <w:noProof/>
        </w:rPr>
      </w:pPr>
      <w:r>
        <w:rPr>
          <w:noProof/>
        </w:rPr>
        <w:t>La directive oblige l’État membre de résidence à informer les citoyens mobiles de l’UE «en temps utile et dans les formes appropriées» des conditions et modalités d’exercice de leurs droits électoraux aux élections municipales. Les Pays-Bas, en tant que membre du groupe d’experts de la Commission sur les questions électorales, ont proposé un formulaire multilingue permettant de faciliter l’échange d’informations. Les experts des autres États membres examinent actuellement le formulaire.</w:t>
      </w:r>
    </w:p>
    <w:p>
      <w:pPr>
        <w:pStyle w:val="Text1"/>
        <w:ind w:left="0"/>
        <w:rPr>
          <w:noProof/>
        </w:rPr>
      </w:pPr>
      <w:r>
        <w:rPr>
          <w:noProof/>
        </w:rPr>
        <w:t>Plus précisément, les citoyens mobiles ont le droit d’être informés de la suite réservée à leur demande d’inscription sur la liste électorale ou à leur candidature. En cas de rejet d’une demande d’inscription sur la liste électorale ou d’une candidature par l’État membre de résidence, la directive prévoit que les citoyens mobiles bénéficient des mêmes recours que les ressortissants de l’État membre.</w:t>
      </w:r>
    </w:p>
    <w:p>
      <w:pPr>
        <w:pStyle w:val="Text1"/>
        <w:ind w:left="0"/>
        <w:rPr>
          <w:b/>
          <w:i/>
          <w:noProof/>
        </w:rPr>
      </w:pPr>
      <w:r>
        <w:rPr>
          <w:noProof/>
        </w:rPr>
        <w:t>Tous les États membres ont communiqué des mesures et des initiatives institutionnelles visant à informer les citoyens de leurs droits électoraux, mettant par conséquent en œuvre ces dispositions de la directive.</w:t>
      </w:r>
    </w:p>
    <w:p>
      <w:pPr>
        <w:pStyle w:val="Text1"/>
        <w:ind w:left="0"/>
        <w:rPr>
          <w:b/>
          <w:i/>
          <w:noProof/>
        </w:rPr>
      </w:pPr>
      <w:r>
        <w:rPr>
          <w:b/>
          <w:i/>
          <w:noProof/>
        </w:rPr>
        <w:t>Possibilité de dispositions dérogatoires si elles sont justifiées par une situation spécifique à un État membre</w:t>
      </w:r>
    </w:p>
    <w:p>
      <w:pPr>
        <w:pStyle w:val="Text1"/>
        <w:ind w:left="0"/>
        <w:rPr>
          <w:noProof/>
        </w:rPr>
      </w:pPr>
      <w:r>
        <w:rPr>
          <w:noProof/>
        </w:rPr>
        <w:t>L’article 12 de la directive autorise l’introduction de dérogations au principe d’égalité de traitement lorsque des problèmes spécifiques à un État membre les justifient. Un État membre dans lequel la proportion de citoyens mobiles de l’UE en âge de voter dépasse 20 % de l’ensemble des électeurs peut exiger une période minimale de résidence, tant des électeurs que des candidats. Il peut également prendre des mesures visant la modification de la composition des listes de candidats, en vue de faciliter l’intégration des ressortissants étrangers et d’éviter une polarisation entre des listes de candidats ayant la nationalité du pays et des listes de candidats ne l’ayant pas.</w:t>
      </w:r>
    </w:p>
    <w:p>
      <w:pPr>
        <w:autoSpaceDE w:val="0"/>
        <w:autoSpaceDN w:val="0"/>
        <w:adjustRightInd w:val="0"/>
        <w:rPr>
          <w:noProof/>
        </w:rPr>
      </w:pPr>
      <w:r>
        <w:rPr>
          <w:noProof/>
        </w:rPr>
        <w:t>Le Luxembourg est le seul État membre à appliquer cette dérogation. Il n’octroie le droit de vote aux citoyens mobiles de l’UE que s’ils ont eu leur domicile légal et ont résidé sur son territoire pendant les cinq années précédant l’inscription. Le Luxembourg exige également que les citoyens mobiles de l’UE aient résidé sur son territoire pendant au moins cinq ans avant de pouvoir exercer leur droit d’éligibilité. Conformément à la procédure indiquée dans la directive, le Luxembourg a fait part à la Commission de son souhait de continuer à appliquer cette dérogation. Selon les données communiquées par les autorités luxembourgeoises, 159 485 citoyens de l’Union en âge de voter n’ayant pas la nationalité luxembourgeoise résident au Luxembourg. Le nombre total de citoyens de l’Union en âge de voter y résidant est de 481 358. Il en résulte que les premiers représentent 33,1 % des seconds, soit une proportion supérieure au seuil de 20 % fixé par la directive. Aussi l’octroi d’une dérogation au Luxembourg reste-t-il justifié.</w:t>
      </w:r>
    </w:p>
    <w:p>
      <w:pPr>
        <w:pStyle w:val="Heading2"/>
        <w:rPr>
          <w:b w:val="0"/>
          <w:noProof/>
        </w:rPr>
      </w:pPr>
      <w:r>
        <w:rPr>
          <w:rStyle w:val="Heading2Char"/>
          <w:b/>
          <w:noProof/>
        </w:rPr>
        <w:t>Accès à certaines fonctions réservé aux citoyens ayant la nationalité de l’État membre</w:t>
      </w:r>
    </w:p>
    <w:p>
      <w:pPr>
        <w:autoSpaceDE w:val="0"/>
        <w:autoSpaceDN w:val="0"/>
        <w:adjustRightInd w:val="0"/>
        <w:rPr>
          <w:noProof/>
        </w:rPr>
      </w:pPr>
      <w:r>
        <w:rPr>
          <w:noProof/>
        </w:rPr>
        <w:t>La directive donne aux États membres la possibilité de réserver à leurs propres ressortissants un certain nombre de fonctions de l’administration locale, à savoir celles de chef, d’adjoint ou de suppléant ou encore de membre du collège directeur de l’exécutif d’une collectivité locale de base. Cette possibilité s’applique qu’un ressortissant de l’État membre soit élu pour exercer ces fonctions pendant toute la durée du mandat ou pour les exercer à titre provisoire et intérimaire.</w:t>
      </w:r>
    </w:p>
    <w:p>
      <w:pPr>
        <w:pStyle w:val="Text1"/>
        <w:ind w:left="0"/>
        <w:rPr>
          <w:noProof/>
        </w:rPr>
      </w:pPr>
      <w:r>
        <w:rPr>
          <w:noProof/>
        </w:rPr>
        <w:t>Lors de la publication du dernier rapport, en 2012, 14 États membres</w:t>
      </w:r>
      <w:r>
        <w:rPr>
          <w:rStyle w:val="FootnoteReference"/>
          <w:noProof/>
          <w:sz w:val="20"/>
        </w:rPr>
        <w:footnoteReference w:id="19"/>
      </w:r>
      <w:r>
        <w:rPr>
          <w:noProof/>
        </w:rPr>
        <w:t xml:space="preserve"> ne réservaient aucune fonction de l’administration locale à leurs propres ressortissants et trois États membres</w:t>
      </w:r>
      <w:r>
        <w:rPr>
          <w:rStyle w:val="FootnoteReference"/>
          <w:noProof/>
          <w:sz w:val="20"/>
        </w:rPr>
        <w:footnoteReference w:id="20"/>
      </w:r>
      <w:r>
        <w:rPr>
          <w:noProof/>
        </w:rPr>
        <w:t xml:space="preserve"> leur réservaient seulement la fonction de chef de l’administration locale. Six États membres leur réservaient l’ensemble des fonctions d’un niveau supérieur à celui de membre de l’exécutif</w:t>
      </w:r>
      <w:r>
        <w:rPr>
          <w:rStyle w:val="FootnoteReference"/>
          <w:noProof/>
        </w:rPr>
        <w:footnoteReference w:id="21"/>
      </w:r>
      <w:r>
        <w:rPr>
          <w:noProof/>
        </w:rPr>
        <w:t xml:space="preserve"> et deux États membres avaient adopté toutes les restrictions autorisées</w:t>
      </w:r>
      <w:r>
        <w:rPr>
          <w:rStyle w:val="FootnoteReference"/>
          <w:noProof/>
        </w:rPr>
        <w:footnoteReference w:id="22"/>
      </w:r>
      <w:r>
        <w:rPr>
          <w:noProof/>
        </w:rPr>
        <w:t>. À la suite de ce rapport, la Hongrie et la Roumanie ont communiqué à la Commission une modification de leur législation d’exécution prévoyant le retrait des restrictions antérieures.</w:t>
      </w:r>
    </w:p>
    <w:p>
      <w:pPr>
        <w:autoSpaceDE w:val="0"/>
        <w:autoSpaceDN w:val="0"/>
        <w:adjustRightInd w:val="0"/>
        <w:rPr>
          <w:noProof/>
        </w:rPr>
      </w:pPr>
      <w:r>
        <w:rPr>
          <w:noProof/>
        </w:rPr>
        <w:t>La Commission a évalué les réactions des citoyens à cet égard. Elle les a interrogés pour connaître leur opinion au moyen d’une enquête Eurobaromètre et d’une consultation publique menées en 2015</w:t>
      </w:r>
      <w:r>
        <w:rPr>
          <w:rStyle w:val="FootnoteReference"/>
          <w:noProof/>
        </w:rPr>
        <w:footnoteReference w:id="23"/>
      </w:r>
      <w:r>
        <w:rPr>
          <w:noProof/>
        </w:rPr>
        <w:t>. Les chiffres de l’enquête Eurobaromètre indiquent que les avis se répartissent de façon homogène quant à la question de savoir s’il convient d’octroyer aux citoyens mobiles de l’UE le droit d’éligibilité à certaines fonctions liées à l’exécutif dans leur pays: 47 % y sont favorables et 48 % y sont opposés.</w:t>
      </w:r>
    </w:p>
    <w:p>
      <w:pPr>
        <w:autoSpaceDE w:val="0"/>
        <w:autoSpaceDN w:val="0"/>
        <w:adjustRightInd w:val="0"/>
        <w:rPr>
          <w:b/>
          <w:noProof/>
        </w:rPr>
      </w:pPr>
      <w:r>
        <w:rPr>
          <w:b/>
          <w:noProof/>
        </w:rPr>
        <w:t>Graphique 6: Fonctions pouvant être occupées par des citoyens de l’UE au sein des collectivités locales de base</w:t>
      </w:r>
    </w:p>
    <w:p>
      <w:pPr>
        <w:autoSpaceDE w:val="0"/>
        <w:autoSpaceDN w:val="0"/>
        <w:adjustRightInd w:val="0"/>
        <w:spacing w:before="0" w:after="0"/>
        <w:ind w:left="360"/>
        <w:jc w:val="left"/>
        <w:rPr>
          <w:i/>
          <w:noProof/>
          <w:sz w:val="20"/>
        </w:rPr>
      </w:pPr>
      <w:r>
        <w:rPr>
          <w:rFonts w:ascii="Arial" w:hAnsi="Arial" w:cs="Arial"/>
          <w:noProof/>
          <w:color w:val="0000FF"/>
          <w:sz w:val="22"/>
          <w:szCs w:val="22"/>
          <w:lang w:val="en-US" w:eastAsia="en-US" w:bidi="ar-SA"/>
        </w:rPr>
        <w:drawing>
          <wp:inline distT="0" distB="0" distL="0" distR="0">
            <wp:extent cx="5517746" cy="2682815"/>
            <wp:effectExtent l="0" t="0" r="698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519204" cy="2683524"/>
                    </a:xfrm>
                    <a:prstGeom prst="rect">
                      <a:avLst/>
                    </a:prstGeom>
                    <a:noFill/>
                    <a:ln>
                      <a:noFill/>
                    </a:ln>
                  </pic:spPr>
                </pic:pic>
              </a:graphicData>
            </a:graphic>
          </wp:inline>
        </w:drawing>
      </w:r>
    </w:p>
    <w:p>
      <w:pPr>
        <w:autoSpaceDE w:val="0"/>
        <w:autoSpaceDN w:val="0"/>
        <w:adjustRightInd w:val="0"/>
        <w:spacing w:before="0" w:after="0"/>
        <w:ind w:left="360"/>
        <w:jc w:val="left"/>
        <w:rPr>
          <w:rFonts w:ascii="Arial" w:hAnsi="Arial" w:cs="Arial"/>
          <w:noProof/>
          <w:color w:val="0000FF"/>
          <w:sz w:val="22"/>
          <w:szCs w:val="22"/>
        </w:rPr>
      </w:pPr>
      <w:r>
        <w:rPr>
          <w:i/>
          <w:noProof/>
          <w:sz w:val="20"/>
        </w:rPr>
        <w:t>* L’Autriche et l’Allemagne sont des républiques fédérales; les dispositions sont propres à chaque</w:t>
      </w:r>
      <w:r>
        <w:rPr>
          <w:noProof/>
          <w:sz w:val="20"/>
        </w:rPr>
        <w:t xml:space="preserve"> </w:t>
      </w:r>
      <w:r>
        <w:rPr>
          <w:i/>
          <w:noProof/>
          <w:sz w:val="20"/>
        </w:rPr>
        <w:t>État fédéré.</w:t>
      </w:r>
    </w:p>
    <w:p>
      <w:pPr>
        <w:autoSpaceDE w:val="0"/>
        <w:autoSpaceDN w:val="0"/>
        <w:adjustRightInd w:val="0"/>
        <w:rPr>
          <w:b/>
          <w:noProof/>
        </w:rPr>
      </w:pPr>
      <w:r>
        <w:rPr>
          <w:noProof/>
        </w:rPr>
        <w:t>Toutefois, plus de huit personnes sur dix (83 %) interrogées lors de la consultation publique lancée par la Commission en 2015 concernant la citoyenneté européenne estimaient que les citoyens de l’UE vivant dans un autre pays de l’UE devraient pouvoir occuper une fonction dans les organes exécutifs d’une commune.</w:t>
      </w:r>
    </w:p>
    <w:p>
      <w:pPr>
        <w:autoSpaceDE w:val="0"/>
        <w:autoSpaceDN w:val="0"/>
        <w:adjustRightInd w:val="0"/>
        <w:rPr>
          <w:b/>
          <w:noProof/>
        </w:rPr>
      </w:pPr>
      <w:r>
        <w:rPr>
          <w:b/>
          <w:noProof/>
        </w:rPr>
        <w:t>Graphique 7: Opinion des citoyens: les citoyens mobiles de l’UE devraient pouvoir occuper une fonction dans les organes exécutifs d’une commune de leur État membre d’accueil</w:t>
      </w:r>
    </w:p>
    <w:p>
      <w:pPr>
        <w:autoSpaceDE w:val="0"/>
        <w:autoSpaceDN w:val="0"/>
        <w:adjustRightInd w:val="0"/>
        <w:rPr>
          <w:b/>
          <w:noProof/>
        </w:rPr>
      </w:pPr>
      <w:r>
        <w:rPr>
          <w:noProof/>
          <w:lang w:val="en-US" w:eastAsia="en-US" w:bidi="ar-SA"/>
        </w:rPr>
        <w:drawing>
          <wp:inline distT="0" distB="0" distL="0" distR="0">
            <wp:extent cx="5847906" cy="2721935"/>
            <wp:effectExtent l="0" t="0" r="635"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847906" cy="2721935"/>
                    </a:xfrm>
                    <a:prstGeom prst="rect">
                      <a:avLst/>
                    </a:prstGeom>
                    <a:noFill/>
                    <a:ln>
                      <a:noFill/>
                    </a:ln>
                  </pic:spPr>
                </pic:pic>
              </a:graphicData>
            </a:graphic>
          </wp:inline>
        </w:drawing>
      </w:r>
    </w:p>
    <w:p>
      <w:pPr>
        <w:pStyle w:val="Heading2"/>
        <w:rPr>
          <w:noProof/>
        </w:rPr>
      </w:pPr>
      <w:r>
        <w:rPr>
          <w:noProof/>
        </w:rPr>
        <w:t>Droit d’adhérer à un parti politique ou d’en fonder un dans l’État de résidence</w:t>
      </w:r>
    </w:p>
    <w:p>
      <w:pPr>
        <w:pStyle w:val="Text1"/>
        <w:ind w:left="0"/>
        <w:rPr>
          <w:noProof/>
        </w:rPr>
      </w:pPr>
      <w:r>
        <w:rPr>
          <w:noProof/>
        </w:rPr>
        <w:t>En vertu du principe de non-discrimination, les citoyens de l’Union doivent jouir des droits électoraux dans les mêmes conditions que les ressortissants de l’État membre où ils résident. Ainsi, il est impératif qu’ils aient accès aux mêmes procédures de recours en cas d’omissions ou d’erreurs dans la liste électorale ou la déclaration de candidature; si le vote est obligatoire, il faut qu’il le soit aussi pour les ressortissants étrangers. Le principe de non-discrimination implique également que les citoyens de l’Union doivent pouvoir participer à la vie politique de l’État membre de résidence et adhérer à des partis politiques dans leur pays de résidence.</w:t>
      </w:r>
    </w:p>
    <w:p>
      <w:pPr>
        <w:pStyle w:val="Text1"/>
        <w:ind w:left="0"/>
        <w:rPr>
          <w:noProof/>
        </w:rPr>
      </w:pPr>
      <w:r>
        <w:rPr>
          <w:noProof/>
        </w:rPr>
        <w:t>La Commission est entrée en contact avec les États membres et poursuit le dialogue avec certains d’entre eux dont la législation nationale n’autorise pas les citoyens mobiles de l’UE à jouir des mêmes droits en ce qui concerne les partis politiques. Un certain nombre d’États membres ont déjà modifié leur législation. Les discussions se poursuivent avec les autres.</w:t>
      </w:r>
    </w:p>
    <w:p>
      <w:pPr>
        <w:pStyle w:val="Heading2"/>
        <w:rPr>
          <w:noProof/>
        </w:rPr>
      </w:pPr>
      <w:r>
        <w:rPr>
          <w:noProof/>
        </w:rPr>
        <w:t>«Collectivités locales de base»: définition du champ d’application de la directive</w:t>
      </w:r>
    </w:p>
    <w:p>
      <w:pPr>
        <w:pStyle w:val="Text1"/>
        <w:ind w:left="0"/>
        <w:rPr>
          <w:noProof/>
        </w:rPr>
      </w:pPr>
      <w:r>
        <w:rPr>
          <w:noProof/>
        </w:rPr>
        <w:t>La directive contient une annexe comprenant une liste des définitions nationales du terme «collectivité locale de base»</w:t>
      </w:r>
      <w:r>
        <w:rPr>
          <w:rStyle w:val="FootnoteReference"/>
          <w:noProof/>
        </w:rPr>
        <w:footnoteReference w:id="24"/>
      </w:r>
      <w:r>
        <w:rPr>
          <w:noProof/>
        </w:rPr>
        <w:t>; c’est ainsi qu’elle définit ce que recouvrent les élections municipales relevant de son champ d’application. La Commission a été informée par le Danemark, la Hongrie, l’Irlande, le Royaume-Uni et les Pays-Bas</w:t>
      </w:r>
      <w:r>
        <w:rPr>
          <w:rStyle w:val="FootnoteReference"/>
          <w:noProof/>
        </w:rPr>
        <w:footnoteReference w:id="25"/>
      </w:r>
      <w:r>
        <w:rPr>
          <w:noProof/>
        </w:rPr>
        <w:t xml:space="preserve"> de la nécessité d’apporter des modifications; elle prépare actuellement la mesure qui s’impose.</w:t>
      </w:r>
    </w:p>
    <w:p>
      <w:pPr>
        <w:pStyle w:val="ManualHeading1"/>
        <w:rPr>
          <w:noProof/>
        </w:rPr>
      </w:pPr>
      <w:r>
        <w:t>4.</w:t>
      </w:r>
      <w:r>
        <w:tab/>
      </w:r>
      <w:r>
        <w:rPr>
          <w:noProof/>
        </w:rPr>
        <w:t>Appui à l’exercice des droits de vote</w:t>
      </w:r>
    </w:p>
    <w:p>
      <w:pPr>
        <w:pStyle w:val="Text1"/>
        <w:ind w:left="0"/>
        <w:rPr>
          <w:noProof/>
        </w:rPr>
      </w:pPr>
      <w:r>
        <w:rPr>
          <w:noProof/>
        </w:rPr>
        <w:t>De nombreux États membres mènent des activités visant à informer les citoyens mobiles de l’UE de leurs droits électoraux dans le cadre des élections municipales, bien qu’ils le fassent de différentes manières</w:t>
      </w:r>
      <w:r>
        <w:rPr>
          <w:rStyle w:val="FootnoteReference"/>
          <w:noProof/>
        </w:rPr>
        <w:footnoteReference w:id="26"/>
      </w:r>
      <w:r>
        <w:rPr>
          <w:noProof/>
        </w:rPr>
        <w:t>. À titre d’exemple, dix États membres ont choisi l’envoi de cartes d’électeur ou de courriers individuels pour informer les citoyens mobiles de l’UE de la procédure électorale. Dix États membres communiquent des informations électorales sur un site internet officiel. Le Luxembourg, l’Espagne et Malte organisent des campagnes qui ciblent spécifiquement les étrangers afin de les sensibiliser aux élections. La Lettonie et le Royaume-Uni ont mis en place des «lignes d’assistance». Cinq États fournissent des informations au moyen de brochures ou dans la presse locale.</w:t>
      </w:r>
    </w:p>
    <w:p>
      <w:pPr>
        <w:pStyle w:val="Text1"/>
        <w:pBdr>
          <w:top w:val="single" w:sz="4" w:space="1" w:color="auto"/>
          <w:left w:val="single" w:sz="4" w:space="4" w:color="auto"/>
          <w:bottom w:val="single" w:sz="4" w:space="1" w:color="auto"/>
          <w:right w:val="single" w:sz="4" w:space="4" w:color="auto"/>
        </w:pBdr>
        <w:shd w:val="clear" w:color="auto" w:fill="F2F2F2" w:themeFill="background1" w:themeFillShade="F2"/>
        <w:ind w:left="0"/>
        <w:rPr>
          <w:noProof/>
        </w:rPr>
      </w:pPr>
      <w:r>
        <w:rPr>
          <w:noProof/>
        </w:rPr>
        <w:t>À titre d’exemple, en Irlande, les autorités locales de Dublin ont prêté assistance aux citoyens mobiles de l’UE afin qu’ils votent aux élections municipales de 2014. Il s’agissait d’élections à la fois municipales et au Parlement européen. Elles ont utilisé diverses formes de publicité hors domicile et d’informations en ligne. Une campagne en ligne a ciblé l’ensemble des résidents (Irlandais et non Irlandais) afin d’inciter les jeunes à s’inscrire sur la liste électorale. Des dépliants ont également été publiés dans 17 langues pour expliquer le fonctionnement de la liste électorale et des systèmes d’inscription dans le pays.</w:t>
      </w:r>
    </w:p>
    <w:p>
      <w:pPr>
        <w:pStyle w:val="Text1"/>
        <w:ind w:left="0"/>
        <w:rPr>
          <w:noProof/>
        </w:rPr>
      </w:pPr>
      <w:r>
        <w:rPr>
          <w:noProof/>
        </w:rPr>
        <w:t>Certains États membres ont adopté des pratiques spécifiques afin de favoriser la participation de groupes particuliers. À Malte, il existe des services qui permettent aux électeurs souffrant d’un handicap, y compris aux citoyens mobiles de l’UE, de voter plus facilement (modèles de bulletin de vote en braille, magnétophones dans l’isoloir et instructions de vote écrites et lues en maltais et en anglais). La loi sur les conseils locaux a été modifiée afin de permettre aux citoyens nationaux et aux citoyens mobiles de l’UE résidant en maison de retraite de voter depuis leur établissement et aux patients hospitalisés de voter depuis l’hôpital. Par ailleurs, dans les cas où cela se justifie, les citoyens de l’Union peuvent communiquer leur vote une semaine avant le scrutin</w:t>
      </w:r>
      <w:r>
        <w:rPr>
          <w:rStyle w:val="FootnoteReference"/>
          <w:noProof/>
        </w:rPr>
        <w:footnoteReference w:id="27"/>
      </w:r>
      <w:r>
        <w:rPr>
          <w:noProof/>
        </w:rPr>
        <w:t>.</w:t>
      </w:r>
    </w:p>
    <w:p>
      <w:pPr>
        <w:pStyle w:val="Text1"/>
        <w:ind w:left="0"/>
        <w:rPr>
          <w:noProof/>
        </w:rPr>
      </w:pPr>
      <w:r>
        <w:rPr>
          <w:noProof/>
        </w:rPr>
        <w:t xml:space="preserve">La Commission a également pris des initiatives spécifiques afin de sensibiliser davantage les citoyens aux droits électoraux. Des informations sont notamment fournies aux citoyens de l’Union via le portail </w:t>
      </w:r>
      <w:r>
        <w:rPr>
          <w:i/>
          <w:noProof/>
        </w:rPr>
        <w:t>L’Europe est à vous</w:t>
      </w:r>
      <w:r>
        <w:rPr>
          <w:noProof/>
        </w:rPr>
        <w:t>, qui comptabilise actuellement plus de 1,4 million de visites par mois</w:t>
      </w:r>
      <w:r>
        <w:rPr>
          <w:rStyle w:val="FootnoteReference"/>
          <w:noProof/>
        </w:rPr>
        <w:footnoteReference w:id="28"/>
      </w:r>
      <w:r>
        <w:rPr>
          <w:noProof/>
        </w:rPr>
        <w:t>.</w:t>
      </w:r>
    </w:p>
    <w:p>
      <w:pPr>
        <w:pStyle w:val="Text1"/>
        <w:ind w:left="0"/>
        <w:rPr>
          <w:noProof/>
        </w:rPr>
      </w:pPr>
      <w:r>
        <w:rPr>
          <w:noProof/>
        </w:rPr>
        <w:t xml:space="preserve">Dans le cadre du </w:t>
      </w:r>
      <w:r>
        <w:rPr>
          <w:i/>
          <w:noProof/>
        </w:rPr>
        <w:t>programme Droits, égalité et citoyenneté</w:t>
      </w:r>
      <w:r>
        <w:rPr>
          <w:noProof/>
        </w:rPr>
        <w:t>, la Commission a alloué un total de 3,5 millions d’euros sous la forme de subventions à l’action destinées à des projets réalisés en 2014, en 2016 et en 2017 dans le but d’encourager l’intégration réussie et la participation des citoyens mobiles de l’UE dans leur pays d’accueil, notamment leur participation aux élections municipales. Ces projets ont été réalisés par des organisations de toute l’Union et ont touché plusieurs milliers de citoyens mobiles de l’UE.</w:t>
      </w:r>
    </w:p>
    <w:p>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jc w:val="both"/>
        <w:rPr>
          <w:rStyle w:val="A5"/>
          <w:rFonts w:ascii="Times New Roman" w:hAnsi="Times New Roman" w:cs="Times New Roman"/>
          <w:noProof/>
          <w:sz w:val="24"/>
          <w:szCs w:val="24"/>
        </w:rPr>
      </w:pPr>
      <w:r>
        <w:rPr>
          <w:rFonts w:ascii="Times New Roman" w:hAnsi="Times New Roman"/>
          <w:noProof/>
        </w:rPr>
        <w:t>Par exemple, le projet «Welcome Europe» a rassemblé les villes d’Amsterdam, de Bruxelles, de Copenhague, de Dublin, de Göteborg et de Hambourg ainsi que les universités et le secteur non gouvernemental. Mené de janvier 2015 à décembre 2016, il avait pour objectif d’encourager les échanges de bonnes pratiques en matière de création de «politiques d’accueil» pour les citoyens mobiles de l’UE. Les conclusions du projet ont été diffusées au moyen d’une boîte à outils et d’une série de conférences transnationales</w:t>
      </w:r>
      <w:r>
        <w:rPr>
          <w:rStyle w:val="FootnoteReference"/>
          <w:rFonts w:ascii="Times New Roman" w:hAnsi="Times New Roman"/>
          <w:noProof/>
        </w:rPr>
        <w:footnoteReference w:id="29"/>
      </w:r>
      <w:r>
        <w:rPr>
          <w:rFonts w:ascii="Times New Roman" w:hAnsi="Times New Roman"/>
          <w:noProof/>
        </w:rPr>
        <w:t>.</w:t>
      </w:r>
    </w:p>
    <w:p>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cs="Times New Roman"/>
          <w:noProof/>
        </w:rPr>
      </w:pPr>
      <w:r>
        <w:rPr>
          <w:rStyle w:val="A5"/>
          <w:rFonts w:ascii="Times New Roman" w:hAnsi="Times New Roman"/>
          <w:noProof/>
          <w:sz w:val="24"/>
        </w:rPr>
        <w:t xml:space="preserve">Le projet a révélé l’importance pour les </w:t>
      </w:r>
      <w:r>
        <w:rPr>
          <w:rFonts w:ascii="Times New Roman" w:hAnsi="Times New Roman"/>
          <w:noProof/>
        </w:rPr>
        <w:t xml:space="preserve">autorités municipales d’informer activement les citoyens mobiles de l’UE de leurs droits et devoirs, ainsi que des modalités pratiques de la vie dans leur nouvelle communauté. Cette information active peut par exemple prendre la forme d’un guichet unique et de dépliants. Les canaux de communication des autorités municipales doivent être accessibles aux personnes qui ne maîtrisent pas parfaitement la langue locale. Les autorités municipales doivent également essayer d’intégrer des </w:t>
      </w:r>
      <w:r>
        <w:rPr>
          <w:rStyle w:val="A5"/>
          <w:rFonts w:ascii="Times New Roman" w:hAnsi="Times New Roman"/>
          <w:noProof/>
          <w:sz w:val="24"/>
        </w:rPr>
        <w:t xml:space="preserve">représentants de groupes de citoyens mobiles de l’UE dans les organes consultatifs et les groupes de discussion locaux. </w:t>
      </w:r>
      <w:r>
        <w:rPr>
          <w:rFonts w:ascii="Times New Roman" w:hAnsi="Times New Roman"/>
          <w:noProof/>
        </w:rPr>
        <w:t>Enfin, la population locale doit être encouragée à échanger avec les citoyens mobiles de l’UE vivant dans sa ville.</w:t>
      </w:r>
    </w:p>
    <w:p>
      <w:pPr>
        <w:pStyle w:val="ManualHeading1"/>
        <w:rPr>
          <w:noProof/>
        </w:rPr>
      </w:pPr>
      <w:r>
        <w:t>5.</w:t>
      </w:r>
      <w:r>
        <w:tab/>
      </w:r>
      <w:r>
        <w:rPr>
          <w:noProof/>
        </w:rPr>
        <w:t>Conclusions</w:t>
      </w:r>
    </w:p>
    <w:p>
      <w:pPr>
        <w:pStyle w:val="Text1"/>
        <w:ind w:left="0"/>
        <w:rPr>
          <w:noProof/>
        </w:rPr>
      </w:pPr>
      <w:r>
        <w:rPr>
          <w:noProof/>
        </w:rPr>
        <w:t>Des élections libres et universelles constituent la base d’une gouvernance démocratique légitime; favoriser la participation électorale à tous les niveaux de pouvoir figure ainsi parmi les priorités. Dans son rapport de 2017 sur la citoyenneté de l’Union, la Commission a demandé aux États membres de promouvoir la participation à la vie démocratique en informant mieux les citoyens de leurs droits électoraux et en supprimant les obstacles à leur participation. Dans ses conclusions du 11 mai 2017, le Conseil de l’Union européenne est allé dans le même sens</w:t>
      </w:r>
      <w:r>
        <w:rPr>
          <w:rStyle w:val="FootnoteReference"/>
          <w:noProof/>
        </w:rPr>
        <w:footnoteReference w:id="30"/>
      </w:r>
      <w:r>
        <w:rPr>
          <w:noProof/>
        </w:rPr>
        <w:t>. Le Parlement européen et le Comité des régions devraient se prononcer sur le rapport sur la citoyenneté à la fin de l’année 2017.</w:t>
      </w:r>
    </w:p>
    <w:p>
      <w:pPr>
        <w:rPr>
          <w:noProof/>
        </w:rPr>
      </w:pPr>
      <w:r>
        <w:rPr>
          <w:noProof/>
        </w:rPr>
        <w:t>De plus en plus de citoyens de l’Union se déplacent et résident dans d’autres États membres. Depuis les deux derniers rapports, la population de citoyens mobiles de l’UE a doublé; elle comprenait quelque 14 millions de personnes en âge de voter en 2016. Toutefois, les niveaux d’inscription des citoyens mobiles de l’UE sur les listes électorales pour les élections municipales restent faibles. La participation électorale représente un défi permanent pour l’ensemble des démocraties. Le très faible taux de participation des citoyens mobiles est préoccupant étant donné le risque réel qu’ils n’exercent leurs droits électoraux ni dans leur pays d’origine, ni dans leur pays d’accueil. Ils s’en trouvent alors complètement exclus de toute participation démocratique. Voter est une habitude qui doit être encouragée</w:t>
      </w:r>
      <w:r>
        <w:rPr>
          <w:rStyle w:val="FootnoteReference"/>
          <w:noProof/>
        </w:rPr>
        <w:footnoteReference w:id="31"/>
      </w:r>
      <w:r>
        <w:rPr>
          <w:noProof/>
        </w:rPr>
        <w:t>.</w:t>
      </w:r>
    </w:p>
    <w:p>
      <w:pPr>
        <w:rPr>
          <w:noProof/>
        </w:rPr>
      </w:pPr>
      <w:r>
        <w:rPr>
          <w:noProof/>
        </w:rPr>
        <w:t>Il semble nécessaire d’améliorer la collecte de données. Disposer de davantage de données quantitatives et qualitatives sur la connaissance et l’exercice des droits politiques par les citoyens mobiles de l’UE, ainsi que sur les difficultés qu’ils rencontrent pour participer à la vie de leur communauté locale, aiderait à remédier au faible taux de participation électorale des citoyens mobiles de l’UE. Les données sur le nombre de citoyens mobiles sont souvent collectées au niveau national uniquement, mais pas au niveau régional ou local. Or des données régionales et locales sont nécessaires pour contribuer à l’élaboration de politiques de l’UE ciblées et accroître la visibilité des citoyens mobiles de l’UE parmi les parties prenantes locales.</w:t>
      </w:r>
    </w:p>
    <w:p>
      <w:pPr>
        <w:autoSpaceDE w:val="0"/>
        <w:autoSpaceDN w:val="0"/>
        <w:adjustRightInd w:val="0"/>
        <w:rPr>
          <w:noProof/>
        </w:rPr>
      </w:pPr>
      <w:r>
        <w:rPr>
          <w:noProof/>
        </w:rPr>
        <w:t>Même si de nombreux problèmes ont été réglés, la Commission continue de surveiller la mise en œuvre de la directive et poursuit les discussions avec quelques États membres.</w:t>
      </w:r>
    </w:p>
    <w:p>
      <w:pPr>
        <w:autoSpaceDE w:val="0"/>
        <w:autoSpaceDN w:val="0"/>
        <w:adjustRightInd w:val="0"/>
        <w:rPr>
          <w:noProof/>
        </w:rPr>
      </w:pPr>
      <w:r>
        <w:rPr>
          <w:noProof/>
        </w:rPr>
        <w:t>Les accès réservés restreignant l’occupation de fonctions de l’exécutif par des citoyens mobiles de l’UE dans leurs administrations locales diminuent progressivement dans les États membres.</w:t>
      </w:r>
    </w:p>
    <w:p>
      <w:pPr>
        <w:autoSpaceDE w:val="0"/>
        <w:autoSpaceDN w:val="0"/>
        <w:adjustRightInd w:val="0"/>
        <w:rPr>
          <w:noProof/>
        </w:rPr>
      </w:pPr>
      <w:r>
        <w:rPr>
          <w:noProof/>
        </w:rPr>
        <w:t>La Commission considère que la demande du Luxembourg de maintenir sa dérogation au titre de la directive reste justifiée. Elle prendra également les mesures nécessaires pour modifier l’annexe de la directive, en mettant à jour la liste des définitions nationales de la collectivité locale de base compte tenu des changements intervenus récemment dans certains États membres.</w:t>
      </w:r>
    </w:p>
    <w:p>
      <w:pPr>
        <w:rPr>
          <w:noProof/>
        </w:rPr>
      </w:pPr>
      <w:r>
        <w:rPr>
          <w:noProof/>
        </w:rPr>
        <w:t>Faire en sorte que les citoyens mobiles de l’UE participent davantage aux élections municipales et plus généralement à la vie politique européenne est un défi qui exige un effort conjoint de la part des États membres, notamment de leurs autorités locales et régionales, des institutions de l’Union, de la société civile et des partis politiques. Il s’agit là d’une démarche essentielle pour garantir l’intégration des citoyens mobiles de l’UE dans la vie socio-politique de leur communauté d’accueil.</w:t>
      </w:r>
    </w:p>
    <w:p>
      <w:pPr>
        <w:rPr>
          <w:noProof/>
        </w:rPr>
      </w:pPr>
    </w:p>
    <w:p>
      <w:pPr>
        <w:rPr>
          <w:noProof/>
        </w:rPr>
      </w:pPr>
      <w:r>
        <w:rPr>
          <w:noProof/>
        </w:rPr>
        <w:t>La Commission prendra les mesures suivantes:</w:t>
      </w:r>
    </w:p>
    <w:p>
      <w:pPr>
        <w:rPr>
          <w:b/>
          <w:noProof/>
        </w:rPr>
      </w:pPr>
    </w:p>
    <w:p>
      <w:pPr>
        <w:rPr>
          <w:b/>
          <w:noProof/>
        </w:rPr>
      </w:pPr>
      <w:r>
        <w:rPr>
          <w:b/>
          <w:noProof/>
        </w:rPr>
        <w:t>Améliorer les connaissances</w:t>
      </w:r>
    </w:p>
    <w:p>
      <w:pPr>
        <w:rPr>
          <w:noProof/>
        </w:rPr>
      </w:pPr>
      <w:r>
        <w:rPr>
          <w:noProof/>
        </w:rPr>
        <w:t>Dans l’optique de la participation des citoyens de l’Union aux élections municipales dans les États membres ainsi qu’aux élections européennes de 2019, la Commission procédera à une enquête Eurobaromètre spéciale sur la participation démocratique des citoyens mobiles de l’UE en 2018. Cette enquête aura pour but d’améliorer l’exercice des droits électoraux et les normes démocratiques dans l’Union. La Commission cherchera par ailleurs à améliorer la collecte de données démographiques au niveau régional concernant les citoyens mobiles de l’UE. Elle chargera aussi le réseau d’universitaires spécialisés dans les droits liés à la citoyenneté européenne de rassembler davantage de données qualitatives sur ce dont ont besoin les citoyens mobiles pour participer politiquement aux élections municipales et européennes ainsi que sur le contexte démocratique et les pratiques permettant d’encourager leur participation.</w:t>
      </w:r>
    </w:p>
    <w:p>
      <w:pPr>
        <w:rPr>
          <w:b/>
          <w:noProof/>
        </w:rPr>
      </w:pPr>
    </w:p>
    <w:p>
      <w:pPr>
        <w:rPr>
          <w:b/>
          <w:noProof/>
        </w:rPr>
      </w:pPr>
      <w:r>
        <w:rPr>
          <w:b/>
          <w:noProof/>
        </w:rPr>
        <w:t>Informer et sensibiliser</w:t>
      </w:r>
    </w:p>
    <w:p>
      <w:pPr>
        <w:pStyle w:val="Text1"/>
        <w:ind w:left="0"/>
        <w:rPr>
          <w:noProof/>
        </w:rPr>
      </w:pPr>
      <w:r>
        <w:rPr>
          <w:noProof/>
        </w:rPr>
        <w:t>En préparation des prochaines élections européennes, la Commission intégrera des informations sur les droits liés à la citoyenneté européenne, y compris les droits électoraux, dans ses campagnes d’information. Par ailleurs, des activités de sensibilisation seront menées pour encourager l’inscription et la participation électorales des citoyens mobiles dans les États membres où se tiendront des élections municipales</w:t>
      </w:r>
      <w:r>
        <w:rPr>
          <w:rStyle w:val="FootnoteReference"/>
          <w:noProof/>
        </w:rPr>
        <w:footnoteReference w:id="32"/>
      </w:r>
      <w:r>
        <w:rPr>
          <w:noProof/>
        </w:rPr>
        <w:t>.</w:t>
      </w:r>
    </w:p>
    <w:p>
      <w:pPr>
        <w:rPr>
          <w:noProof/>
        </w:rPr>
      </w:pPr>
      <w:r>
        <w:rPr>
          <w:noProof/>
        </w:rPr>
        <w:t>La Commission promouvra activement le portail «L’Europe est à vous» sur lequel les citoyens de l’Union trouveront des informations facilement accessibles sur les formalités électorales dans leur État membre de résidence.</w:t>
      </w:r>
    </w:p>
    <w:p>
      <w:pPr>
        <w:pStyle w:val="Text1"/>
        <w:ind w:left="0"/>
        <w:rPr>
          <w:noProof/>
        </w:rPr>
      </w:pPr>
    </w:p>
    <w:p>
      <w:pPr>
        <w:rPr>
          <w:noProof/>
        </w:rPr>
      </w:pPr>
      <w:r>
        <w:rPr>
          <w:b/>
          <w:noProof/>
        </w:rPr>
        <w:t>Simplifier la procédure de vote</w:t>
      </w:r>
    </w:p>
    <w:p>
      <w:pPr>
        <w:pStyle w:val="Text1"/>
        <w:ind w:left="0"/>
        <w:rPr>
          <w:noProof/>
        </w:rPr>
      </w:pPr>
      <w:r>
        <w:rPr>
          <w:noProof/>
        </w:rPr>
        <w:t>Il est particulièrement important de simplifier l’inscription et le vote pour les électeurs. Des études révèlent que les citoyens de l’Union eux-mêmes, en particulier ceux qui votent dans un pays autre que celui dont ils ont la nationalité, apprécieraient des pratiques visant à faciliter leur participation aux élections en tant que ressortissants étrangers (lettres individuelles, inscription en ligne sur les listes électorales, etc.)</w:t>
      </w:r>
      <w:r>
        <w:rPr>
          <w:rStyle w:val="FootnoteReference"/>
          <w:noProof/>
        </w:rPr>
        <w:footnoteReference w:id="33"/>
      </w:r>
      <w:r>
        <w:rPr>
          <w:noProof/>
        </w:rPr>
        <w:t>.</w:t>
      </w:r>
    </w:p>
    <w:p>
      <w:pPr>
        <w:rPr>
          <w:noProof/>
        </w:rPr>
      </w:pPr>
      <w:r>
        <w:rPr>
          <w:noProof/>
        </w:rPr>
        <w:t>L’inscription d’office des électeurs sera encouragée, y compris par l’intermédiaire du réseau d’experts des États membres en matière de questions électorales.</w:t>
      </w:r>
    </w:p>
    <w:p>
      <w:pPr>
        <w:rPr>
          <w:noProof/>
        </w:rPr>
      </w:pPr>
      <w:r>
        <w:rPr>
          <w:noProof/>
        </w:rPr>
        <w:t>Une enquête sur le vote à distance (notamment par voie postale ou électronique) sera réalisée en 2018. Dans ce contexte, d’autres manières de simplifier l’inscription sur les listes électorales ainsi que le vote seront examinées, pour tous les types d’élections.</w:t>
      </w:r>
    </w:p>
    <w:p>
      <w:pPr>
        <w:pStyle w:val="Text1"/>
        <w:ind w:left="0"/>
        <w:rPr>
          <w:noProof/>
        </w:rPr>
      </w:pPr>
      <w:r>
        <w:rPr>
          <w:noProof/>
        </w:rPr>
        <w:t>Enfin, une manifestation à haut niveau sur la participation démocratique sera organisée en 2018; elle visera tout particulièrement à encourager les bonnes pratiques en vue d’accroître la participation des jeunes et des groupes vulnérables et sous-représentés.</w:t>
      </w:r>
    </w:p>
    <w:p>
      <w:pPr>
        <w:spacing w:before="0" w:after="200" w:line="276" w:lineRule="auto"/>
        <w:jc w:val="left"/>
        <w:rPr>
          <w:noProof/>
        </w:rPr>
      </w:pPr>
    </w:p>
    <w:p>
      <w:pPr>
        <w:rPr>
          <w:b/>
          <w:noProof/>
        </w:rPr>
      </w:pPr>
      <w:r>
        <w:rPr>
          <w:b/>
          <w:noProof/>
        </w:rPr>
        <w:t>Associer les parties prenantes</w:t>
      </w:r>
    </w:p>
    <w:p>
      <w:pPr>
        <w:rPr>
          <w:noProof/>
        </w:rPr>
      </w:pPr>
      <w:r>
        <w:rPr>
          <w:noProof/>
        </w:rPr>
        <w:t>La Commission envisage de coopérer avec le Comité des régions (par l’intermédiaire de sa Commission CIVEX</w:t>
      </w:r>
      <w:r>
        <w:rPr>
          <w:rStyle w:val="FootnoteReference"/>
          <w:noProof/>
        </w:rPr>
        <w:footnoteReference w:id="34"/>
      </w:r>
      <w:r>
        <w:rPr>
          <w:noProof/>
        </w:rPr>
        <w:t>) et son réseau d’autorités régionales et locales. L’objectif est d’encourager les activités qui augmentent la participation à la vie politique en rassemblant des informations sur l’expérience des autorités locales et en favorisant les bonnes pratiques au niveau local. La Commission coordonnera cette tâche en collaboration avec son réseau d’experts des États membres en matière de questions électorales.</w:t>
      </w:r>
    </w:p>
    <w:p>
      <w:pPr>
        <w:rPr>
          <w:noProof/>
        </w:rPr>
      </w:pPr>
      <w:r>
        <w:rPr>
          <w:noProof/>
        </w:rPr>
        <w:t>La Commission abordera la question de la participation politique des citoyens mobiles de l’UE, notamment ceux souffrant d’un handicap ou appartenant à des minorités, dans le cadre de sa manifestation à haut niveau sur les questions démocratiques en 2018. Elle a également organisé un atelier sur le thème «Intégrer la dimension de genre dans nos démocraties» à l’occasion de son colloque annuel sur les droits fondamentaux en novembre 2017. L’objectif était de contribuer aux pratiques visant à encourager la participation politique des femmes et une mobilisation en faveur de l’amélioration de l’égalité des sexes et de l’autonomisation des femmes dans le cadre des élections européennes.</w:t>
      </w:r>
    </w:p>
    <w:p>
      <w:pPr>
        <w:rPr>
          <w:noProof/>
        </w:rPr>
      </w:pPr>
      <w:r>
        <w:rPr>
          <w:noProof/>
        </w:rPr>
        <w:t xml:space="preserve">La Commission continuera d’utiliser le </w:t>
      </w:r>
      <w:r>
        <w:rPr>
          <w:i/>
          <w:noProof/>
        </w:rPr>
        <w:t xml:space="preserve">programme Droits, égalité et citoyenneté </w:t>
      </w:r>
      <w:r>
        <w:rPr>
          <w:noProof/>
        </w:rPr>
        <w:t>pour financer des projets favorisant l’intégration réussie et la participation des citoyens mobiles de l’UE dans leur pays d’accueil, notamment la participation aux élections municipales. Ces projets sont réalisés par des organisations de toute l’Union et touchent de nombreux citoyens mobiles de l’UE.</w:t>
      </w:r>
    </w:p>
    <w:p>
      <w:pPr>
        <w:spacing w:before="0" w:after="200" w:line="276" w:lineRule="auto"/>
        <w:jc w:val="left"/>
        <w:rPr>
          <w:noProof/>
        </w:rPr>
      </w:pPr>
      <w:r>
        <w:rPr>
          <w:noProof/>
        </w:rPr>
        <w:br w:type="page"/>
      </w:r>
    </w:p>
    <w:p>
      <w:pPr>
        <w:pStyle w:val="Text1"/>
        <w:ind w:left="0"/>
        <w:rPr>
          <w:b/>
          <w:noProof/>
        </w:rPr>
      </w:pPr>
      <w:r>
        <w:rPr>
          <w:b/>
          <w:noProof/>
        </w:rPr>
        <w:t>ANNEXE</w:t>
      </w:r>
    </w:p>
    <w:p>
      <w:pPr>
        <w:pStyle w:val="Text1"/>
        <w:ind w:left="0"/>
        <w:rPr>
          <w:b/>
          <w:noProof/>
        </w:rPr>
      </w:pPr>
      <w:r>
        <w:rPr>
          <w:b/>
          <w:noProof/>
        </w:rPr>
        <w:t>Tableaux de données</w:t>
      </w:r>
    </w:p>
    <w:p>
      <w:pPr>
        <w:pStyle w:val="Text1"/>
        <w:ind w:left="0"/>
        <w:rPr>
          <w:b/>
          <w:noProof/>
        </w:rPr>
      </w:pPr>
      <w:r>
        <w:rPr>
          <w:b/>
          <w:noProof/>
        </w:rPr>
        <w:t>Tableau 1.1. Inscription des citoyens de l’UE sur les listes électorales pour les élections municipales*</w:t>
      </w:r>
    </w:p>
    <w:p>
      <w:pPr>
        <w:pStyle w:val="Text1"/>
        <w:ind w:left="0"/>
        <w:rPr>
          <w:noProof/>
        </w:rPr>
      </w:pPr>
    </w:p>
    <w:tbl>
      <w:tblPr>
        <w:tblW w:w="9979" w:type="dxa"/>
        <w:tblInd w:w="108" w:type="dxa"/>
        <w:tblLook w:val="04A0" w:firstRow="1" w:lastRow="0" w:firstColumn="1" w:lastColumn="0" w:noHBand="0" w:noVBand="1"/>
      </w:tblPr>
      <w:tblGrid>
        <w:gridCol w:w="1328"/>
        <w:gridCol w:w="1061"/>
        <w:gridCol w:w="1217"/>
        <w:gridCol w:w="1017"/>
        <w:gridCol w:w="1061"/>
        <w:gridCol w:w="1061"/>
        <w:gridCol w:w="1150"/>
        <w:gridCol w:w="1124"/>
        <w:gridCol w:w="960"/>
      </w:tblGrid>
      <w:tr>
        <w:trPr>
          <w:trHeight w:val="2025"/>
        </w:trPr>
        <w:tc>
          <w:tcPr>
            <w:tcW w:w="1328"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pPr>
              <w:spacing w:before="0" w:after="0"/>
              <w:jc w:val="left"/>
              <w:rPr>
                <w:rFonts w:ascii="Calibri" w:hAnsi="Calibri"/>
                <w:noProof/>
                <w:color w:val="000000"/>
                <w:sz w:val="22"/>
                <w:szCs w:val="22"/>
              </w:rPr>
            </w:pPr>
            <w:r>
              <w:rPr>
                <w:rFonts w:ascii="Calibri" w:hAnsi="Calibri"/>
                <w:noProof/>
                <w:color w:val="000000"/>
                <w:sz w:val="22"/>
              </w:rPr>
              <w:t> </w:t>
            </w:r>
          </w:p>
        </w:tc>
        <w:tc>
          <w:tcPr>
            <w:tcW w:w="1061" w:type="dxa"/>
            <w:tcBorders>
              <w:top w:val="single" w:sz="4" w:space="0" w:color="auto"/>
              <w:left w:val="nil"/>
              <w:bottom w:val="single" w:sz="4" w:space="0" w:color="auto"/>
              <w:right w:val="single" w:sz="4" w:space="0" w:color="auto"/>
            </w:tcBorders>
            <w:shd w:val="clear" w:color="000000" w:fill="BFBFBF"/>
            <w:vAlign w:val="center"/>
            <w:hideMark/>
          </w:tcPr>
          <w:p>
            <w:pPr>
              <w:spacing w:before="0" w:after="0"/>
              <w:jc w:val="center"/>
              <w:rPr>
                <w:rFonts w:ascii="Arial" w:hAnsi="Arial" w:cs="Arial"/>
                <w:noProof/>
                <w:color w:val="000000"/>
                <w:sz w:val="16"/>
                <w:szCs w:val="16"/>
              </w:rPr>
            </w:pPr>
            <w:r>
              <w:rPr>
                <w:rFonts w:ascii="Arial" w:hAnsi="Arial"/>
                <w:noProof/>
                <w:color w:val="000000"/>
                <w:sz w:val="16"/>
              </w:rPr>
              <w:t xml:space="preserve">État membre ayant signalé appliquer l’inscription d’office pour les élections municipales </w:t>
            </w:r>
            <w:r>
              <w:rPr>
                <w:rFonts w:ascii="Arial" w:hAnsi="Arial"/>
                <w:b/>
                <w:noProof/>
                <w:color w:val="000000"/>
                <w:sz w:val="16"/>
              </w:rPr>
              <w:t>(Données État membre)</w:t>
            </w:r>
          </w:p>
        </w:tc>
        <w:tc>
          <w:tcPr>
            <w:tcW w:w="1217" w:type="dxa"/>
            <w:tcBorders>
              <w:top w:val="single" w:sz="4" w:space="0" w:color="auto"/>
              <w:left w:val="nil"/>
              <w:bottom w:val="single" w:sz="4" w:space="0" w:color="auto"/>
              <w:right w:val="single" w:sz="4" w:space="0" w:color="auto"/>
            </w:tcBorders>
            <w:shd w:val="clear" w:color="000000" w:fill="C0C0C0"/>
            <w:vAlign w:val="center"/>
            <w:hideMark/>
          </w:tcPr>
          <w:p>
            <w:pPr>
              <w:spacing w:before="0" w:after="0"/>
              <w:jc w:val="center"/>
              <w:rPr>
                <w:rFonts w:ascii="Arial" w:hAnsi="Arial" w:cs="Arial"/>
                <w:noProof/>
                <w:color w:val="000000"/>
                <w:sz w:val="16"/>
                <w:szCs w:val="16"/>
              </w:rPr>
            </w:pPr>
            <w:r>
              <w:rPr>
                <w:rFonts w:ascii="Arial" w:hAnsi="Arial"/>
                <w:noProof/>
                <w:color w:val="000000"/>
                <w:sz w:val="16"/>
              </w:rPr>
              <w:t xml:space="preserve">Population de l’État membre en âge de voter (âgée de 15 ans et plus) au 1.1.2016 </w:t>
            </w:r>
            <w:r>
              <w:rPr>
                <w:rFonts w:ascii="Arial" w:hAnsi="Arial"/>
                <w:b/>
                <w:noProof/>
                <w:color w:val="000000"/>
                <w:sz w:val="16"/>
              </w:rPr>
              <w:t>(Données Eurostat de 2016)</w:t>
            </w:r>
          </w:p>
        </w:tc>
        <w:tc>
          <w:tcPr>
            <w:tcW w:w="1017" w:type="dxa"/>
            <w:tcBorders>
              <w:top w:val="single" w:sz="4" w:space="0" w:color="auto"/>
              <w:left w:val="nil"/>
              <w:bottom w:val="single" w:sz="4" w:space="0" w:color="auto"/>
              <w:right w:val="single" w:sz="4" w:space="0" w:color="auto"/>
            </w:tcBorders>
            <w:shd w:val="clear" w:color="000000" w:fill="C0C0C0"/>
            <w:vAlign w:val="center"/>
            <w:hideMark/>
          </w:tcPr>
          <w:p>
            <w:pPr>
              <w:spacing w:before="0" w:after="0"/>
              <w:jc w:val="center"/>
              <w:rPr>
                <w:rFonts w:ascii="Arial" w:hAnsi="Arial" w:cs="Arial"/>
                <w:noProof/>
                <w:color w:val="000000"/>
                <w:sz w:val="16"/>
                <w:szCs w:val="16"/>
              </w:rPr>
            </w:pPr>
            <w:r>
              <w:rPr>
                <w:rFonts w:ascii="Arial" w:hAnsi="Arial"/>
                <w:noProof/>
                <w:color w:val="000000"/>
                <w:sz w:val="16"/>
              </w:rPr>
              <w:t xml:space="preserve">Nombre de citoyens de l’UE (âgés de 15 ans et plus) résidant dans l’État membre au 1.1.2016 </w:t>
            </w:r>
            <w:r>
              <w:rPr>
                <w:rFonts w:ascii="Arial" w:hAnsi="Arial"/>
                <w:b/>
                <w:noProof/>
                <w:color w:val="000000"/>
                <w:sz w:val="16"/>
              </w:rPr>
              <w:t>(Données Eurostat de 2016)</w:t>
            </w:r>
          </w:p>
        </w:tc>
        <w:tc>
          <w:tcPr>
            <w:tcW w:w="1061" w:type="dxa"/>
            <w:tcBorders>
              <w:top w:val="single" w:sz="4" w:space="0" w:color="auto"/>
              <w:left w:val="nil"/>
              <w:bottom w:val="single" w:sz="4" w:space="0" w:color="auto"/>
              <w:right w:val="single" w:sz="4" w:space="0" w:color="auto"/>
            </w:tcBorders>
            <w:shd w:val="clear" w:color="000000" w:fill="C0C0C0"/>
            <w:vAlign w:val="center"/>
            <w:hideMark/>
          </w:tcPr>
          <w:p>
            <w:pPr>
              <w:spacing w:before="0" w:after="0"/>
              <w:jc w:val="center"/>
              <w:rPr>
                <w:rFonts w:ascii="Arial" w:hAnsi="Arial" w:cs="Arial"/>
                <w:noProof/>
                <w:color w:val="000000"/>
                <w:sz w:val="16"/>
                <w:szCs w:val="16"/>
              </w:rPr>
            </w:pPr>
            <w:r>
              <w:rPr>
                <w:rFonts w:ascii="Arial" w:hAnsi="Arial"/>
                <w:noProof/>
                <w:color w:val="000000"/>
                <w:sz w:val="16"/>
              </w:rPr>
              <w:t xml:space="preserve">Nombre de citoyens de l’UE signalés comme jouissant du droit de vote aux élections municipales </w:t>
            </w:r>
            <w:r>
              <w:rPr>
                <w:rFonts w:ascii="Arial" w:hAnsi="Arial"/>
                <w:b/>
                <w:noProof/>
                <w:color w:val="000000"/>
                <w:sz w:val="16"/>
              </w:rPr>
              <w:t>(Données État membre)</w:t>
            </w:r>
          </w:p>
        </w:tc>
        <w:tc>
          <w:tcPr>
            <w:tcW w:w="1061" w:type="dxa"/>
            <w:tcBorders>
              <w:top w:val="single" w:sz="4" w:space="0" w:color="auto"/>
              <w:left w:val="nil"/>
              <w:bottom w:val="single" w:sz="4" w:space="0" w:color="auto"/>
              <w:right w:val="single" w:sz="4" w:space="0" w:color="auto"/>
            </w:tcBorders>
            <w:shd w:val="clear" w:color="000000" w:fill="C0C0C0"/>
            <w:vAlign w:val="center"/>
            <w:hideMark/>
          </w:tcPr>
          <w:p>
            <w:pPr>
              <w:spacing w:before="0" w:after="0"/>
              <w:jc w:val="center"/>
              <w:rPr>
                <w:rFonts w:ascii="Arial" w:hAnsi="Arial" w:cs="Arial"/>
                <w:noProof/>
                <w:color w:val="000000"/>
                <w:sz w:val="16"/>
                <w:szCs w:val="16"/>
              </w:rPr>
            </w:pPr>
            <w:r>
              <w:rPr>
                <w:rFonts w:ascii="Arial" w:hAnsi="Arial"/>
                <w:noProof/>
                <w:color w:val="000000"/>
                <w:sz w:val="16"/>
              </w:rPr>
              <w:t xml:space="preserve">Nombre de citoyens de l’UE inscrits sur les listes électorales pour les élections municipales </w:t>
            </w:r>
            <w:r>
              <w:rPr>
                <w:rFonts w:ascii="Arial" w:hAnsi="Arial"/>
                <w:b/>
                <w:noProof/>
                <w:color w:val="000000"/>
                <w:sz w:val="16"/>
              </w:rPr>
              <w:t>(Données État membre)</w:t>
            </w:r>
          </w:p>
        </w:tc>
        <w:tc>
          <w:tcPr>
            <w:tcW w:w="1150" w:type="dxa"/>
            <w:tcBorders>
              <w:top w:val="single" w:sz="4" w:space="0" w:color="auto"/>
              <w:left w:val="nil"/>
              <w:bottom w:val="single" w:sz="4" w:space="0" w:color="auto"/>
              <w:right w:val="single" w:sz="4" w:space="0" w:color="auto"/>
            </w:tcBorders>
            <w:shd w:val="clear" w:color="000000" w:fill="C0C0C0"/>
            <w:vAlign w:val="center"/>
            <w:hideMark/>
          </w:tcPr>
          <w:p>
            <w:pPr>
              <w:spacing w:before="0" w:after="0"/>
              <w:jc w:val="center"/>
              <w:rPr>
                <w:rFonts w:ascii="Arial" w:hAnsi="Arial" w:cs="Arial"/>
                <w:noProof/>
                <w:color w:val="000000"/>
                <w:sz w:val="16"/>
                <w:szCs w:val="16"/>
              </w:rPr>
            </w:pPr>
            <w:r>
              <w:rPr>
                <w:rFonts w:ascii="Arial" w:hAnsi="Arial"/>
                <w:noProof/>
                <w:color w:val="000000"/>
                <w:sz w:val="16"/>
              </w:rPr>
              <w:t xml:space="preserve">Pourcentage de citoyens de l’UE (âgés de 15 ans et plus) inscrits sur les listes électorales pour les élections municipales au 1.1.2016 </w:t>
            </w:r>
            <w:r>
              <w:rPr>
                <w:rFonts w:ascii="Arial" w:hAnsi="Arial"/>
                <w:b/>
                <w:noProof/>
                <w:color w:val="000000"/>
                <w:sz w:val="16"/>
              </w:rPr>
              <w:t>(Données Eurostat et État membre)</w:t>
            </w:r>
          </w:p>
        </w:tc>
        <w:tc>
          <w:tcPr>
            <w:tcW w:w="1124" w:type="dxa"/>
            <w:tcBorders>
              <w:top w:val="single" w:sz="4" w:space="0" w:color="auto"/>
              <w:left w:val="nil"/>
              <w:bottom w:val="single" w:sz="4" w:space="0" w:color="auto"/>
              <w:right w:val="single" w:sz="4" w:space="0" w:color="auto"/>
            </w:tcBorders>
            <w:shd w:val="clear" w:color="000000" w:fill="C0C0C0"/>
            <w:vAlign w:val="center"/>
            <w:hideMark/>
          </w:tcPr>
          <w:p>
            <w:pPr>
              <w:spacing w:before="0" w:after="0"/>
              <w:jc w:val="center"/>
              <w:rPr>
                <w:rFonts w:ascii="Arial" w:hAnsi="Arial" w:cs="Arial"/>
                <w:noProof/>
                <w:color w:val="000000"/>
                <w:sz w:val="16"/>
                <w:szCs w:val="16"/>
              </w:rPr>
            </w:pPr>
            <w:r>
              <w:rPr>
                <w:rFonts w:ascii="Arial" w:hAnsi="Arial"/>
                <w:noProof/>
                <w:color w:val="000000"/>
                <w:sz w:val="16"/>
              </w:rPr>
              <w:t xml:space="preserve">Pourcentage de citoyens de l’UE inscrits sur les listes électorales pour les élections municipales </w:t>
            </w:r>
            <w:r>
              <w:rPr>
                <w:rFonts w:ascii="Arial" w:hAnsi="Arial"/>
                <w:b/>
                <w:noProof/>
                <w:color w:val="000000"/>
                <w:sz w:val="16"/>
              </w:rPr>
              <w:t>(Données État membre)</w:t>
            </w:r>
          </w:p>
        </w:tc>
        <w:tc>
          <w:tcPr>
            <w:tcW w:w="960" w:type="dxa"/>
            <w:tcBorders>
              <w:top w:val="single" w:sz="4" w:space="0" w:color="auto"/>
              <w:left w:val="nil"/>
              <w:bottom w:val="single" w:sz="4" w:space="0" w:color="auto"/>
              <w:right w:val="single" w:sz="4" w:space="0" w:color="auto"/>
            </w:tcBorders>
            <w:shd w:val="clear" w:color="000000" w:fill="C0C0C0"/>
            <w:noWrap/>
            <w:vAlign w:val="center"/>
            <w:hideMark/>
          </w:tcPr>
          <w:p>
            <w:pPr>
              <w:spacing w:before="0" w:after="0"/>
              <w:rPr>
                <w:rFonts w:ascii="Arial" w:hAnsi="Arial" w:cs="Arial"/>
                <w:noProof/>
                <w:color w:val="000000"/>
                <w:sz w:val="16"/>
                <w:szCs w:val="16"/>
              </w:rPr>
            </w:pPr>
            <w:r>
              <w:rPr>
                <w:rFonts w:ascii="Arial" w:hAnsi="Arial"/>
                <w:noProof/>
                <w:color w:val="000000"/>
                <w:sz w:val="16"/>
              </w:rPr>
              <w:t>Part des citoyens de l’UE en âge de voter dans l’électorat de l’État membre (%)</w:t>
            </w:r>
          </w:p>
        </w:tc>
      </w:tr>
      <w:tr>
        <w:trPr>
          <w:trHeight w:val="360"/>
        </w:trPr>
        <w:tc>
          <w:tcPr>
            <w:tcW w:w="1328" w:type="dxa"/>
            <w:tcBorders>
              <w:top w:val="nil"/>
              <w:left w:val="single" w:sz="4" w:space="0" w:color="auto"/>
              <w:bottom w:val="single" w:sz="4" w:space="0" w:color="auto"/>
              <w:right w:val="single" w:sz="4" w:space="0" w:color="auto"/>
            </w:tcBorders>
            <w:shd w:val="clear" w:color="000000" w:fill="F2F2F2"/>
            <w:vAlign w:val="center"/>
            <w:hideMark/>
          </w:tcPr>
          <w:p>
            <w:pPr>
              <w:spacing w:before="0" w:after="0"/>
              <w:jc w:val="left"/>
              <w:rPr>
                <w:rFonts w:ascii="Arial" w:hAnsi="Arial" w:cs="Arial"/>
                <w:noProof/>
                <w:color w:val="000000"/>
                <w:sz w:val="18"/>
                <w:szCs w:val="18"/>
              </w:rPr>
            </w:pPr>
            <w:r>
              <w:rPr>
                <w:rFonts w:ascii="Arial" w:hAnsi="Arial"/>
                <w:noProof/>
                <w:color w:val="000000"/>
                <w:sz w:val="18"/>
              </w:rPr>
              <w:t xml:space="preserve">Finlande          </w:t>
            </w:r>
          </w:p>
        </w:tc>
        <w:tc>
          <w:tcPr>
            <w:tcW w:w="1061" w:type="dxa"/>
            <w:tcBorders>
              <w:top w:val="nil"/>
              <w:left w:val="nil"/>
              <w:bottom w:val="single" w:sz="4" w:space="0" w:color="auto"/>
              <w:right w:val="single" w:sz="4" w:space="0" w:color="auto"/>
            </w:tcBorders>
            <w:shd w:val="clear" w:color="000000" w:fill="F2F2F2"/>
            <w:vAlign w:val="center"/>
            <w:hideMark/>
          </w:tcPr>
          <w:p>
            <w:pPr>
              <w:spacing w:before="0" w:after="0"/>
              <w:rPr>
                <w:rFonts w:ascii="Arial" w:hAnsi="Arial" w:cs="Arial"/>
                <w:noProof/>
                <w:color w:val="000000"/>
                <w:sz w:val="18"/>
                <w:szCs w:val="18"/>
              </w:rPr>
            </w:pPr>
            <w:r>
              <w:rPr>
                <w:rFonts w:ascii="Arial" w:hAnsi="Arial"/>
                <w:noProof/>
                <w:color w:val="000000"/>
                <w:sz w:val="18"/>
              </w:rPr>
              <w:t>x</w:t>
            </w:r>
          </w:p>
        </w:tc>
        <w:tc>
          <w:tcPr>
            <w:tcW w:w="1217"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color w:val="000000"/>
                <w:sz w:val="18"/>
                <w:szCs w:val="18"/>
              </w:rPr>
            </w:pPr>
            <w:r>
              <w:rPr>
                <w:rFonts w:ascii="Arial" w:hAnsi="Arial"/>
                <w:noProof/>
                <w:color w:val="000000"/>
                <w:sz w:val="18"/>
              </w:rPr>
              <w:t>4 591 285</w:t>
            </w:r>
          </w:p>
        </w:tc>
        <w:tc>
          <w:tcPr>
            <w:tcW w:w="1017" w:type="dxa"/>
            <w:tcBorders>
              <w:top w:val="nil"/>
              <w:left w:val="nil"/>
              <w:bottom w:val="single" w:sz="4" w:space="0" w:color="auto"/>
              <w:right w:val="single" w:sz="4" w:space="0" w:color="auto"/>
            </w:tcBorders>
            <w:shd w:val="clear" w:color="auto" w:fill="auto"/>
            <w:vAlign w:val="center"/>
            <w:hideMark/>
          </w:tcPr>
          <w:p>
            <w:pPr>
              <w:spacing w:before="0" w:after="0"/>
              <w:rPr>
                <w:rFonts w:ascii="Arial" w:hAnsi="Arial" w:cs="Arial"/>
                <w:noProof/>
                <w:color w:val="000000"/>
                <w:sz w:val="18"/>
                <w:szCs w:val="18"/>
              </w:rPr>
            </w:pPr>
            <w:r>
              <w:rPr>
                <w:rFonts w:ascii="Arial" w:hAnsi="Arial"/>
                <w:noProof/>
                <w:color w:val="000000"/>
                <w:sz w:val="18"/>
              </w:rPr>
              <w:t>80 608</w:t>
            </w:r>
          </w:p>
        </w:tc>
        <w:tc>
          <w:tcPr>
            <w:tcW w:w="1061" w:type="dxa"/>
            <w:tcBorders>
              <w:top w:val="nil"/>
              <w:left w:val="nil"/>
              <w:bottom w:val="single" w:sz="4" w:space="0" w:color="auto"/>
              <w:right w:val="single" w:sz="4" w:space="0" w:color="auto"/>
            </w:tcBorders>
            <w:shd w:val="clear" w:color="auto" w:fill="auto"/>
            <w:vAlign w:val="center"/>
            <w:hideMark/>
          </w:tcPr>
          <w:p>
            <w:pPr>
              <w:spacing w:before="0" w:after="0"/>
              <w:rPr>
                <w:rFonts w:ascii="Arial" w:hAnsi="Arial" w:cs="Arial"/>
                <w:noProof/>
                <w:color w:val="000000"/>
                <w:sz w:val="18"/>
                <w:szCs w:val="18"/>
              </w:rPr>
            </w:pPr>
            <w:r>
              <w:rPr>
                <w:rFonts w:ascii="Arial" w:hAnsi="Arial"/>
                <w:noProof/>
                <w:color w:val="000000"/>
                <w:sz w:val="18"/>
              </w:rPr>
              <w:t>81 062</w:t>
            </w:r>
          </w:p>
        </w:tc>
        <w:tc>
          <w:tcPr>
            <w:tcW w:w="1061" w:type="dxa"/>
            <w:tcBorders>
              <w:top w:val="nil"/>
              <w:left w:val="nil"/>
              <w:bottom w:val="single" w:sz="4" w:space="0" w:color="auto"/>
              <w:right w:val="single" w:sz="4" w:space="0" w:color="auto"/>
            </w:tcBorders>
            <w:shd w:val="clear" w:color="auto" w:fill="auto"/>
            <w:vAlign w:val="center"/>
            <w:hideMark/>
          </w:tcPr>
          <w:p>
            <w:pPr>
              <w:spacing w:before="0" w:after="0"/>
              <w:rPr>
                <w:rFonts w:ascii="Arial" w:hAnsi="Arial" w:cs="Arial"/>
                <w:noProof/>
                <w:color w:val="000000"/>
                <w:sz w:val="18"/>
                <w:szCs w:val="18"/>
              </w:rPr>
            </w:pPr>
            <w:r>
              <w:rPr>
                <w:rFonts w:ascii="Arial" w:hAnsi="Arial"/>
                <w:noProof/>
                <w:color w:val="000000"/>
                <w:sz w:val="18"/>
              </w:rPr>
              <w:t>81 062</w:t>
            </w:r>
          </w:p>
        </w:tc>
        <w:tc>
          <w:tcPr>
            <w:tcW w:w="1150" w:type="dxa"/>
            <w:tcBorders>
              <w:top w:val="nil"/>
              <w:left w:val="nil"/>
              <w:bottom w:val="single" w:sz="4" w:space="0" w:color="auto"/>
              <w:right w:val="single" w:sz="4" w:space="0" w:color="auto"/>
            </w:tcBorders>
            <w:shd w:val="clear" w:color="000000" w:fill="F2F2F2"/>
            <w:noWrap/>
            <w:vAlign w:val="bottom"/>
            <w:hideMark/>
          </w:tcPr>
          <w:p>
            <w:pPr>
              <w:spacing w:before="0" w:after="0"/>
              <w:jc w:val="left"/>
              <w:rPr>
                <w:rFonts w:ascii="Arial" w:hAnsi="Arial" w:cs="Arial"/>
                <w:noProof/>
                <w:color w:val="000000"/>
                <w:sz w:val="18"/>
                <w:szCs w:val="18"/>
              </w:rPr>
            </w:pPr>
            <w:r>
              <w:rPr>
                <w:rFonts w:ascii="Arial" w:hAnsi="Arial"/>
                <w:noProof/>
                <w:color w:val="000000"/>
                <w:sz w:val="18"/>
              </w:rPr>
              <w:t>-</w:t>
            </w:r>
          </w:p>
        </w:tc>
        <w:tc>
          <w:tcPr>
            <w:tcW w:w="1124" w:type="dxa"/>
            <w:tcBorders>
              <w:top w:val="nil"/>
              <w:left w:val="nil"/>
              <w:bottom w:val="single" w:sz="4" w:space="0" w:color="auto"/>
              <w:right w:val="single" w:sz="4" w:space="0" w:color="auto"/>
            </w:tcBorders>
            <w:shd w:val="clear" w:color="000000" w:fill="F2F2F2"/>
            <w:noWrap/>
            <w:vAlign w:val="bottom"/>
            <w:hideMark/>
          </w:tcPr>
          <w:p>
            <w:pPr>
              <w:spacing w:before="0" w:after="0"/>
              <w:jc w:val="right"/>
              <w:rPr>
                <w:rFonts w:ascii="Arial" w:hAnsi="Arial" w:cs="Arial"/>
                <w:noProof/>
                <w:color w:val="000000"/>
                <w:sz w:val="18"/>
                <w:szCs w:val="18"/>
              </w:rPr>
            </w:pPr>
            <w:r>
              <w:rPr>
                <w:rFonts w:ascii="Arial" w:hAnsi="Arial"/>
                <w:noProof/>
                <w:color w:val="000000"/>
                <w:sz w:val="18"/>
              </w:rPr>
              <w:t>100,0</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Arial" w:hAnsi="Arial" w:cs="Arial"/>
                <w:noProof/>
                <w:color w:val="000000"/>
                <w:sz w:val="18"/>
                <w:szCs w:val="18"/>
              </w:rPr>
            </w:pPr>
            <w:r>
              <w:rPr>
                <w:rFonts w:ascii="Arial" w:hAnsi="Arial"/>
                <w:noProof/>
                <w:color w:val="000000"/>
                <w:sz w:val="18"/>
              </w:rPr>
              <w:t>1,76</w:t>
            </w:r>
          </w:p>
        </w:tc>
      </w:tr>
      <w:tr>
        <w:trPr>
          <w:trHeight w:val="300"/>
        </w:trPr>
        <w:tc>
          <w:tcPr>
            <w:tcW w:w="1328" w:type="dxa"/>
            <w:tcBorders>
              <w:top w:val="nil"/>
              <w:left w:val="single" w:sz="4" w:space="0" w:color="auto"/>
              <w:bottom w:val="single" w:sz="4" w:space="0" w:color="auto"/>
              <w:right w:val="single" w:sz="4" w:space="0" w:color="auto"/>
            </w:tcBorders>
            <w:shd w:val="clear" w:color="000000" w:fill="F2F2F2"/>
            <w:vAlign w:val="center"/>
            <w:hideMark/>
          </w:tcPr>
          <w:p>
            <w:pPr>
              <w:spacing w:before="0" w:after="0"/>
              <w:jc w:val="left"/>
              <w:rPr>
                <w:rFonts w:ascii="Arial" w:hAnsi="Arial" w:cs="Arial"/>
                <w:noProof/>
                <w:color w:val="000000"/>
                <w:sz w:val="18"/>
                <w:szCs w:val="18"/>
              </w:rPr>
            </w:pPr>
            <w:r>
              <w:rPr>
                <w:rFonts w:ascii="Arial" w:hAnsi="Arial"/>
                <w:noProof/>
                <w:color w:val="000000"/>
                <w:sz w:val="18"/>
              </w:rPr>
              <w:t xml:space="preserve">Lettonie          </w:t>
            </w:r>
          </w:p>
        </w:tc>
        <w:tc>
          <w:tcPr>
            <w:tcW w:w="1061" w:type="dxa"/>
            <w:tcBorders>
              <w:top w:val="nil"/>
              <w:left w:val="nil"/>
              <w:bottom w:val="single" w:sz="4" w:space="0" w:color="auto"/>
              <w:right w:val="single" w:sz="4" w:space="0" w:color="auto"/>
            </w:tcBorders>
            <w:shd w:val="clear" w:color="000000" w:fill="F2F2F2"/>
            <w:vAlign w:val="center"/>
            <w:hideMark/>
          </w:tcPr>
          <w:p>
            <w:pPr>
              <w:spacing w:before="0" w:after="0"/>
              <w:rPr>
                <w:rFonts w:ascii="Arial" w:hAnsi="Arial" w:cs="Arial"/>
                <w:noProof/>
                <w:color w:val="000000"/>
                <w:sz w:val="18"/>
                <w:szCs w:val="18"/>
              </w:rPr>
            </w:pPr>
            <w:r>
              <w:rPr>
                <w:rFonts w:ascii="Arial" w:hAnsi="Arial"/>
                <w:noProof/>
                <w:color w:val="000000"/>
                <w:sz w:val="18"/>
              </w:rPr>
              <w:t>x</w:t>
            </w:r>
          </w:p>
        </w:tc>
        <w:tc>
          <w:tcPr>
            <w:tcW w:w="1217"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color w:val="000000"/>
                <w:sz w:val="18"/>
                <w:szCs w:val="18"/>
              </w:rPr>
            </w:pPr>
            <w:r>
              <w:rPr>
                <w:rFonts w:ascii="Arial" w:hAnsi="Arial"/>
                <w:noProof/>
                <w:color w:val="000000"/>
                <w:sz w:val="18"/>
              </w:rPr>
              <w:t>1 668 697</w:t>
            </w:r>
          </w:p>
        </w:tc>
        <w:tc>
          <w:tcPr>
            <w:tcW w:w="1017" w:type="dxa"/>
            <w:tcBorders>
              <w:top w:val="nil"/>
              <w:left w:val="nil"/>
              <w:bottom w:val="single" w:sz="4" w:space="0" w:color="auto"/>
              <w:right w:val="single" w:sz="4" w:space="0" w:color="auto"/>
            </w:tcBorders>
            <w:shd w:val="clear" w:color="auto" w:fill="auto"/>
            <w:vAlign w:val="center"/>
            <w:hideMark/>
          </w:tcPr>
          <w:p>
            <w:pPr>
              <w:spacing w:before="0" w:after="0"/>
              <w:rPr>
                <w:rFonts w:ascii="Arial" w:hAnsi="Arial" w:cs="Arial"/>
                <w:noProof/>
                <w:color w:val="000000"/>
                <w:sz w:val="18"/>
                <w:szCs w:val="18"/>
              </w:rPr>
            </w:pPr>
            <w:r>
              <w:rPr>
                <w:rFonts w:ascii="Arial" w:hAnsi="Arial"/>
                <w:noProof/>
                <w:color w:val="000000"/>
                <w:sz w:val="18"/>
              </w:rPr>
              <w:t>5 523</w:t>
            </w:r>
          </w:p>
        </w:tc>
        <w:tc>
          <w:tcPr>
            <w:tcW w:w="1061" w:type="dxa"/>
            <w:tcBorders>
              <w:top w:val="nil"/>
              <w:left w:val="nil"/>
              <w:bottom w:val="single" w:sz="4" w:space="0" w:color="auto"/>
              <w:right w:val="single" w:sz="4" w:space="0" w:color="auto"/>
            </w:tcBorders>
            <w:shd w:val="clear" w:color="auto" w:fill="auto"/>
            <w:vAlign w:val="center"/>
            <w:hideMark/>
          </w:tcPr>
          <w:p>
            <w:pPr>
              <w:spacing w:before="0" w:after="0"/>
              <w:rPr>
                <w:rFonts w:ascii="Arial" w:hAnsi="Arial" w:cs="Arial"/>
                <w:noProof/>
                <w:color w:val="000000"/>
                <w:sz w:val="18"/>
                <w:szCs w:val="18"/>
              </w:rPr>
            </w:pPr>
            <w:r>
              <w:rPr>
                <w:rFonts w:ascii="Arial" w:hAnsi="Arial"/>
                <w:noProof/>
                <w:color w:val="000000"/>
                <w:sz w:val="18"/>
              </w:rPr>
              <w:t>15 452</w:t>
            </w:r>
          </w:p>
        </w:tc>
        <w:tc>
          <w:tcPr>
            <w:tcW w:w="1061" w:type="dxa"/>
            <w:tcBorders>
              <w:top w:val="nil"/>
              <w:left w:val="nil"/>
              <w:bottom w:val="single" w:sz="4" w:space="0" w:color="auto"/>
              <w:right w:val="single" w:sz="4" w:space="0" w:color="auto"/>
            </w:tcBorders>
            <w:shd w:val="clear" w:color="auto" w:fill="auto"/>
            <w:vAlign w:val="center"/>
            <w:hideMark/>
          </w:tcPr>
          <w:p>
            <w:pPr>
              <w:spacing w:before="0" w:after="0"/>
              <w:rPr>
                <w:rFonts w:ascii="Arial" w:hAnsi="Arial" w:cs="Arial"/>
                <w:noProof/>
                <w:color w:val="000000"/>
                <w:sz w:val="18"/>
                <w:szCs w:val="18"/>
              </w:rPr>
            </w:pPr>
            <w:r>
              <w:rPr>
                <w:rFonts w:ascii="Arial" w:hAnsi="Arial"/>
                <w:noProof/>
                <w:color w:val="000000"/>
                <w:sz w:val="18"/>
              </w:rPr>
              <w:t>15 452</w:t>
            </w:r>
          </w:p>
        </w:tc>
        <w:tc>
          <w:tcPr>
            <w:tcW w:w="1150" w:type="dxa"/>
            <w:tcBorders>
              <w:top w:val="nil"/>
              <w:left w:val="nil"/>
              <w:bottom w:val="single" w:sz="4" w:space="0" w:color="auto"/>
              <w:right w:val="single" w:sz="4" w:space="0" w:color="auto"/>
            </w:tcBorders>
            <w:shd w:val="clear" w:color="000000" w:fill="F2F2F2"/>
            <w:noWrap/>
            <w:vAlign w:val="bottom"/>
            <w:hideMark/>
          </w:tcPr>
          <w:p>
            <w:pPr>
              <w:spacing w:before="0" w:after="0"/>
              <w:jc w:val="left"/>
              <w:rPr>
                <w:rFonts w:ascii="Arial" w:hAnsi="Arial" w:cs="Arial"/>
                <w:noProof/>
                <w:color w:val="000000"/>
                <w:sz w:val="18"/>
                <w:szCs w:val="18"/>
              </w:rPr>
            </w:pPr>
            <w:r>
              <w:rPr>
                <w:rFonts w:ascii="Arial" w:hAnsi="Arial"/>
                <w:noProof/>
                <w:color w:val="000000"/>
                <w:sz w:val="18"/>
              </w:rPr>
              <w:t>-</w:t>
            </w:r>
          </w:p>
        </w:tc>
        <w:tc>
          <w:tcPr>
            <w:tcW w:w="1124" w:type="dxa"/>
            <w:tcBorders>
              <w:top w:val="nil"/>
              <w:left w:val="nil"/>
              <w:bottom w:val="single" w:sz="4" w:space="0" w:color="auto"/>
              <w:right w:val="single" w:sz="4" w:space="0" w:color="auto"/>
            </w:tcBorders>
            <w:shd w:val="clear" w:color="000000" w:fill="F2F2F2"/>
            <w:noWrap/>
            <w:vAlign w:val="bottom"/>
            <w:hideMark/>
          </w:tcPr>
          <w:p>
            <w:pPr>
              <w:spacing w:before="0" w:after="0"/>
              <w:jc w:val="right"/>
              <w:rPr>
                <w:rFonts w:ascii="Arial" w:hAnsi="Arial" w:cs="Arial"/>
                <w:noProof/>
                <w:color w:val="000000"/>
                <w:sz w:val="18"/>
                <w:szCs w:val="18"/>
              </w:rPr>
            </w:pPr>
            <w:r>
              <w:rPr>
                <w:rFonts w:ascii="Arial" w:hAnsi="Arial"/>
                <w:noProof/>
                <w:color w:val="000000"/>
                <w:sz w:val="18"/>
              </w:rPr>
              <w:t>100,0</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Arial" w:hAnsi="Arial" w:cs="Arial"/>
                <w:noProof/>
                <w:color w:val="000000"/>
                <w:sz w:val="18"/>
                <w:szCs w:val="18"/>
              </w:rPr>
            </w:pPr>
            <w:r>
              <w:rPr>
                <w:rFonts w:ascii="Arial" w:hAnsi="Arial"/>
                <w:noProof/>
                <w:color w:val="000000"/>
                <w:sz w:val="18"/>
              </w:rPr>
              <w:t>0,33</w:t>
            </w:r>
          </w:p>
        </w:tc>
      </w:tr>
      <w:tr>
        <w:trPr>
          <w:trHeight w:val="300"/>
        </w:trPr>
        <w:tc>
          <w:tcPr>
            <w:tcW w:w="1328" w:type="dxa"/>
            <w:tcBorders>
              <w:top w:val="nil"/>
              <w:left w:val="single" w:sz="4" w:space="0" w:color="auto"/>
              <w:bottom w:val="single" w:sz="4" w:space="0" w:color="auto"/>
              <w:right w:val="single" w:sz="4" w:space="0" w:color="auto"/>
            </w:tcBorders>
            <w:shd w:val="clear" w:color="000000" w:fill="F2F2F2"/>
            <w:vAlign w:val="center"/>
            <w:hideMark/>
          </w:tcPr>
          <w:p>
            <w:pPr>
              <w:spacing w:before="0" w:after="0"/>
              <w:jc w:val="left"/>
              <w:rPr>
                <w:rFonts w:ascii="Arial" w:hAnsi="Arial" w:cs="Arial"/>
                <w:noProof/>
                <w:color w:val="000000"/>
                <w:sz w:val="18"/>
                <w:szCs w:val="18"/>
              </w:rPr>
            </w:pPr>
            <w:r>
              <w:rPr>
                <w:rFonts w:ascii="Arial" w:hAnsi="Arial"/>
                <w:noProof/>
                <w:color w:val="000000"/>
                <w:sz w:val="18"/>
              </w:rPr>
              <w:t>Pays-Bas</w:t>
            </w:r>
          </w:p>
        </w:tc>
        <w:tc>
          <w:tcPr>
            <w:tcW w:w="1061" w:type="dxa"/>
            <w:tcBorders>
              <w:top w:val="nil"/>
              <w:left w:val="nil"/>
              <w:bottom w:val="single" w:sz="4" w:space="0" w:color="auto"/>
              <w:right w:val="single" w:sz="4" w:space="0" w:color="auto"/>
            </w:tcBorders>
            <w:shd w:val="clear" w:color="000000" w:fill="F2F2F2"/>
            <w:vAlign w:val="center"/>
            <w:hideMark/>
          </w:tcPr>
          <w:p>
            <w:pPr>
              <w:spacing w:before="0" w:after="0"/>
              <w:rPr>
                <w:rFonts w:ascii="Arial" w:hAnsi="Arial" w:cs="Arial"/>
                <w:noProof/>
                <w:color w:val="000000"/>
                <w:sz w:val="18"/>
                <w:szCs w:val="18"/>
              </w:rPr>
            </w:pPr>
            <w:r>
              <w:rPr>
                <w:rFonts w:ascii="Arial" w:hAnsi="Arial"/>
                <w:noProof/>
                <w:color w:val="000000"/>
                <w:sz w:val="18"/>
              </w:rPr>
              <w:t>x</w:t>
            </w:r>
          </w:p>
        </w:tc>
        <w:tc>
          <w:tcPr>
            <w:tcW w:w="1217"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color w:val="000000"/>
                <w:sz w:val="18"/>
                <w:szCs w:val="18"/>
              </w:rPr>
            </w:pPr>
            <w:r>
              <w:rPr>
                <w:rFonts w:ascii="Arial" w:hAnsi="Arial"/>
                <w:noProof/>
                <w:color w:val="000000"/>
                <w:sz w:val="18"/>
              </w:rPr>
              <w:t>14 179 348</w:t>
            </w:r>
          </w:p>
        </w:tc>
        <w:tc>
          <w:tcPr>
            <w:tcW w:w="1017" w:type="dxa"/>
            <w:tcBorders>
              <w:top w:val="nil"/>
              <w:left w:val="nil"/>
              <w:bottom w:val="single" w:sz="4" w:space="0" w:color="auto"/>
              <w:right w:val="single" w:sz="4" w:space="0" w:color="auto"/>
            </w:tcBorders>
            <w:shd w:val="clear" w:color="auto" w:fill="auto"/>
            <w:vAlign w:val="center"/>
            <w:hideMark/>
          </w:tcPr>
          <w:p>
            <w:pPr>
              <w:spacing w:before="0" w:after="0"/>
              <w:rPr>
                <w:rFonts w:ascii="Arial" w:hAnsi="Arial" w:cs="Arial"/>
                <w:noProof/>
                <w:color w:val="000000"/>
                <w:sz w:val="18"/>
                <w:szCs w:val="18"/>
              </w:rPr>
            </w:pPr>
            <w:r>
              <w:rPr>
                <w:rFonts w:ascii="Arial" w:hAnsi="Arial"/>
                <w:noProof/>
                <w:color w:val="000000"/>
                <w:sz w:val="18"/>
              </w:rPr>
              <w:t>405 499</w:t>
            </w:r>
          </w:p>
        </w:tc>
        <w:tc>
          <w:tcPr>
            <w:tcW w:w="1061" w:type="dxa"/>
            <w:tcBorders>
              <w:top w:val="nil"/>
              <w:left w:val="nil"/>
              <w:bottom w:val="single" w:sz="4" w:space="0" w:color="auto"/>
              <w:right w:val="single" w:sz="4" w:space="0" w:color="auto"/>
            </w:tcBorders>
            <w:shd w:val="clear" w:color="auto" w:fill="auto"/>
            <w:vAlign w:val="center"/>
            <w:hideMark/>
          </w:tcPr>
          <w:p>
            <w:pPr>
              <w:spacing w:before="0" w:after="0"/>
              <w:rPr>
                <w:rFonts w:ascii="Arial" w:hAnsi="Arial" w:cs="Arial"/>
                <w:noProof/>
                <w:color w:val="000000"/>
                <w:sz w:val="18"/>
                <w:szCs w:val="18"/>
              </w:rPr>
            </w:pPr>
            <w:r>
              <w:rPr>
                <w:rFonts w:ascii="Arial" w:hAnsi="Arial"/>
                <w:noProof/>
                <w:color w:val="000000"/>
                <w:sz w:val="18"/>
              </w:rPr>
              <w:t>430 985</w:t>
            </w:r>
          </w:p>
        </w:tc>
        <w:tc>
          <w:tcPr>
            <w:tcW w:w="1061" w:type="dxa"/>
            <w:tcBorders>
              <w:top w:val="nil"/>
              <w:left w:val="nil"/>
              <w:bottom w:val="single" w:sz="4" w:space="0" w:color="auto"/>
              <w:right w:val="single" w:sz="4" w:space="0" w:color="auto"/>
            </w:tcBorders>
            <w:shd w:val="clear" w:color="auto" w:fill="auto"/>
            <w:vAlign w:val="center"/>
            <w:hideMark/>
          </w:tcPr>
          <w:p>
            <w:pPr>
              <w:spacing w:before="0" w:after="0"/>
              <w:rPr>
                <w:rFonts w:ascii="Arial" w:hAnsi="Arial" w:cs="Arial"/>
                <w:noProof/>
                <w:color w:val="000000"/>
                <w:sz w:val="18"/>
                <w:szCs w:val="18"/>
              </w:rPr>
            </w:pPr>
            <w:r>
              <w:rPr>
                <w:rFonts w:ascii="Arial" w:hAnsi="Arial"/>
                <w:noProof/>
                <w:color w:val="000000"/>
                <w:sz w:val="18"/>
              </w:rPr>
              <w:t>430 985</w:t>
            </w:r>
          </w:p>
        </w:tc>
        <w:tc>
          <w:tcPr>
            <w:tcW w:w="1150" w:type="dxa"/>
            <w:tcBorders>
              <w:top w:val="nil"/>
              <w:left w:val="nil"/>
              <w:bottom w:val="single" w:sz="4" w:space="0" w:color="auto"/>
              <w:right w:val="single" w:sz="4" w:space="0" w:color="auto"/>
            </w:tcBorders>
            <w:shd w:val="clear" w:color="000000" w:fill="F2F2F2"/>
            <w:noWrap/>
            <w:vAlign w:val="bottom"/>
            <w:hideMark/>
          </w:tcPr>
          <w:p>
            <w:pPr>
              <w:spacing w:before="0" w:after="0"/>
              <w:jc w:val="left"/>
              <w:rPr>
                <w:rFonts w:ascii="Arial" w:hAnsi="Arial" w:cs="Arial"/>
                <w:noProof/>
                <w:color w:val="000000"/>
                <w:sz w:val="18"/>
                <w:szCs w:val="18"/>
              </w:rPr>
            </w:pPr>
            <w:r>
              <w:rPr>
                <w:rFonts w:ascii="Arial" w:hAnsi="Arial"/>
                <w:noProof/>
                <w:color w:val="000000"/>
                <w:sz w:val="18"/>
              </w:rPr>
              <w:t>-</w:t>
            </w:r>
          </w:p>
        </w:tc>
        <w:tc>
          <w:tcPr>
            <w:tcW w:w="1124" w:type="dxa"/>
            <w:tcBorders>
              <w:top w:val="nil"/>
              <w:left w:val="nil"/>
              <w:bottom w:val="single" w:sz="4" w:space="0" w:color="auto"/>
              <w:right w:val="single" w:sz="4" w:space="0" w:color="auto"/>
            </w:tcBorders>
            <w:shd w:val="clear" w:color="000000" w:fill="F2F2F2"/>
            <w:noWrap/>
            <w:vAlign w:val="bottom"/>
            <w:hideMark/>
          </w:tcPr>
          <w:p>
            <w:pPr>
              <w:spacing w:before="0" w:after="0"/>
              <w:jc w:val="right"/>
              <w:rPr>
                <w:rFonts w:ascii="Arial" w:hAnsi="Arial" w:cs="Arial"/>
                <w:noProof/>
                <w:color w:val="000000"/>
                <w:sz w:val="18"/>
                <w:szCs w:val="18"/>
              </w:rPr>
            </w:pPr>
            <w:r>
              <w:rPr>
                <w:rFonts w:ascii="Arial" w:hAnsi="Arial"/>
                <w:noProof/>
                <w:color w:val="000000"/>
                <w:sz w:val="18"/>
              </w:rPr>
              <w:t>100,0</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Arial" w:hAnsi="Arial" w:cs="Arial"/>
                <w:noProof/>
                <w:color w:val="000000"/>
                <w:sz w:val="18"/>
                <w:szCs w:val="18"/>
              </w:rPr>
            </w:pPr>
            <w:r>
              <w:rPr>
                <w:rFonts w:ascii="Arial" w:hAnsi="Arial"/>
                <w:noProof/>
                <w:color w:val="000000"/>
                <w:sz w:val="18"/>
              </w:rPr>
              <w:t>2,86</w:t>
            </w:r>
          </w:p>
        </w:tc>
      </w:tr>
      <w:tr>
        <w:trPr>
          <w:trHeight w:val="300"/>
        </w:trPr>
        <w:tc>
          <w:tcPr>
            <w:tcW w:w="1328" w:type="dxa"/>
            <w:tcBorders>
              <w:top w:val="nil"/>
              <w:left w:val="single" w:sz="4" w:space="0" w:color="auto"/>
              <w:bottom w:val="single" w:sz="4" w:space="0" w:color="auto"/>
              <w:right w:val="single" w:sz="4" w:space="0" w:color="auto"/>
            </w:tcBorders>
            <w:shd w:val="clear" w:color="000000" w:fill="F2F2F2"/>
            <w:vAlign w:val="center"/>
            <w:hideMark/>
          </w:tcPr>
          <w:p>
            <w:pPr>
              <w:spacing w:before="0" w:after="0"/>
              <w:jc w:val="left"/>
              <w:rPr>
                <w:rFonts w:ascii="Arial" w:hAnsi="Arial" w:cs="Arial"/>
                <w:noProof/>
                <w:color w:val="000000"/>
                <w:sz w:val="18"/>
                <w:szCs w:val="18"/>
              </w:rPr>
            </w:pPr>
            <w:r>
              <w:rPr>
                <w:rFonts w:ascii="Arial" w:hAnsi="Arial"/>
                <w:noProof/>
                <w:color w:val="000000"/>
                <w:sz w:val="18"/>
              </w:rPr>
              <w:t xml:space="preserve">Hongrie          </w:t>
            </w:r>
          </w:p>
        </w:tc>
        <w:tc>
          <w:tcPr>
            <w:tcW w:w="1061" w:type="dxa"/>
            <w:tcBorders>
              <w:top w:val="nil"/>
              <w:left w:val="nil"/>
              <w:bottom w:val="single" w:sz="4" w:space="0" w:color="auto"/>
              <w:right w:val="single" w:sz="4" w:space="0" w:color="auto"/>
            </w:tcBorders>
            <w:shd w:val="clear" w:color="000000" w:fill="F2F2F2"/>
            <w:vAlign w:val="center"/>
            <w:hideMark/>
          </w:tcPr>
          <w:p>
            <w:pPr>
              <w:spacing w:before="0" w:after="0"/>
              <w:rPr>
                <w:rFonts w:ascii="Arial" w:hAnsi="Arial" w:cs="Arial"/>
                <w:noProof/>
                <w:color w:val="000000"/>
                <w:sz w:val="18"/>
                <w:szCs w:val="18"/>
              </w:rPr>
            </w:pPr>
            <w:r>
              <w:rPr>
                <w:rFonts w:ascii="Arial" w:hAnsi="Arial"/>
                <w:noProof/>
                <w:color w:val="000000"/>
                <w:sz w:val="18"/>
              </w:rPr>
              <w:t>(x)</w:t>
            </w:r>
          </w:p>
        </w:tc>
        <w:tc>
          <w:tcPr>
            <w:tcW w:w="1217"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color w:val="000000"/>
                <w:sz w:val="18"/>
                <w:szCs w:val="18"/>
              </w:rPr>
            </w:pPr>
            <w:r>
              <w:rPr>
                <w:rFonts w:ascii="Arial" w:hAnsi="Arial"/>
                <w:noProof/>
                <w:color w:val="000000"/>
                <w:sz w:val="18"/>
              </w:rPr>
              <w:t>8 406 037</w:t>
            </w:r>
          </w:p>
        </w:tc>
        <w:tc>
          <w:tcPr>
            <w:tcW w:w="1017" w:type="dxa"/>
            <w:tcBorders>
              <w:top w:val="nil"/>
              <w:left w:val="nil"/>
              <w:bottom w:val="single" w:sz="4" w:space="0" w:color="auto"/>
              <w:right w:val="single" w:sz="4" w:space="0" w:color="auto"/>
            </w:tcBorders>
            <w:shd w:val="clear" w:color="auto" w:fill="auto"/>
            <w:vAlign w:val="center"/>
            <w:hideMark/>
          </w:tcPr>
          <w:p>
            <w:pPr>
              <w:spacing w:before="0" w:after="0"/>
              <w:rPr>
                <w:rFonts w:ascii="Arial" w:hAnsi="Arial" w:cs="Arial"/>
                <w:noProof/>
                <w:color w:val="000000"/>
                <w:sz w:val="18"/>
                <w:szCs w:val="18"/>
              </w:rPr>
            </w:pPr>
            <w:r>
              <w:rPr>
                <w:rFonts w:ascii="Arial" w:hAnsi="Arial"/>
                <w:noProof/>
                <w:color w:val="000000"/>
                <w:sz w:val="18"/>
              </w:rPr>
              <w:t>79 865</w:t>
            </w:r>
          </w:p>
        </w:tc>
        <w:tc>
          <w:tcPr>
            <w:tcW w:w="1061" w:type="dxa"/>
            <w:tcBorders>
              <w:top w:val="nil"/>
              <w:left w:val="nil"/>
              <w:bottom w:val="single" w:sz="4" w:space="0" w:color="auto"/>
              <w:right w:val="single" w:sz="4" w:space="0" w:color="auto"/>
            </w:tcBorders>
            <w:shd w:val="clear" w:color="auto" w:fill="auto"/>
            <w:vAlign w:val="center"/>
            <w:hideMark/>
          </w:tcPr>
          <w:p>
            <w:pPr>
              <w:spacing w:before="0" w:after="0"/>
              <w:rPr>
                <w:rFonts w:ascii="Arial" w:hAnsi="Arial" w:cs="Arial"/>
                <w:noProof/>
                <w:color w:val="000000"/>
                <w:sz w:val="18"/>
                <w:szCs w:val="18"/>
              </w:rPr>
            </w:pPr>
            <w:r>
              <w:rPr>
                <w:rFonts w:ascii="Arial" w:hAnsi="Arial"/>
                <w:noProof/>
                <w:color w:val="000000"/>
                <w:sz w:val="18"/>
              </w:rPr>
              <w:t>105 061</w:t>
            </w:r>
          </w:p>
        </w:tc>
        <w:tc>
          <w:tcPr>
            <w:tcW w:w="1061" w:type="dxa"/>
            <w:tcBorders>
              <w:top w:val="nil"/>
              <w:left w:val="nil"/>
              <w:bottom w:val="single" w:sz="4" w:space="0" w:color="auto"/>
              <w:right w:val="single" w:sz="4" w:space="0" w:color="auto"/>
            </w:tcBorders>
            <w:shd w:val="clear" w:color="auto" w:fill="auto"/>
            <w:vAlign w:val="center"/>
            <w:hideMark/>
          </w:tcPr>
          <w:p>
            <w:pPr>
              <w:spacing w:before="0" w:after="0"/>
              <w:rPr>
                <w:rFonts w:ascii="Arial" w:hAnsi="Arial" w:cs="Arial"/>
                <w:noProof/>
                <w:color w:val="000000"/>
                <w:sz w:val="18"/>
                <w:szCs w:val="18"/>
              </w:rPr>
            </w:pPr>
            <w:r>
              <w:rPr>
                <w:rFonts w:ascii="Arial" w:hAnsi="Arial"/>
                <w:noProof/>
                <w:color w:val="000000"/>
                <w:sz w:val="18"/>
              </w:rPr>
              <w:t>104 805</w:t>
            </w:r>
          </w:p>
        </w:tc>
        <w:tc>
          <w:tcPr>
            <w:tcW w:w="1150" w:type="dxa"/>
            <w:tcBorders>
              <w:top w:val="nil"/>
              <w:left w:val="nil"/>
              <w:bottom w:val="single" w:sz="4" w:space="0" w:color="auto"/>
              <w:right w:val="single" w:sz="4" w:space="0" w:color="auto"/>
            </w:tcBorders>
            <w:shd w:val="clear" w:color="000000" w:fill="F2F2F2"/>
            <w:noWrap/>
            <w:vAlign w:val="bottom"/>
            <w:hideMark/>
          </w:tcPr>
          <w:p>
            <w:pPr>
              <w:spacing w:before="0" w:after="0"/>
              <w:jc w:val="left"/>
              <w:rPr>
                <w:rFonts w:ascii="Arial" w:hAnsi="Arial" w:cs="Arial"/>
                <w:noProof/>
                <w:color w:val="000000"/>
                <w:sz w:val="18"/>
                <w:szCs w:val="18"/>
              </w:rPr>
            </w:pPr>
            <w:r>
              <w:rPr>
                <w:rFonts w:ascii="Arial" w:hAnsi="Arial"/>
                <w:noProof/>
                <w:color w:val="000000"/>
                <w:sz w:val="18"/>
              </w:rPr>
              <w:t>-</w:t>
            </w:r>
          </w:p>
        </w:tc>
        <w:tc>
          <w:tcPr>
            <w:tcW w:w="1124" w:type="dxa"/>
            <w:tcBorders>
              <w:top w:val="nil"/>
              <w:left w:val="nil"/>
              <w:bottom w:val="single" w:sz="4" w:space="0" w:color="auto"/>
              <w:right w:val="single" w:sz="4" w:space="0" w:color="auto"/>
            </w:tcBorders>
            <w:shd w:val="clear" w:color="000000" w:fill="F2F2F2"/>
            <w:noWrap/>
            <w:vAlign w:val="bottom"/>
            <w:hideMark/>
          </w:tcPr>
          <w:p>
            <w:pPr>
              <w:spacing w:before="0" w:after="0"/>
              <w:jc w:val="right"/>
              <w:rPr>
                <w:rFonts w:ascii="Arial" w:hAnsi="Arial" w:cs="Arial"/>
                <w:noProof/>
                <w:color w:val="000000"/>
                <w:sz w:val="18"/>
                <w:szCs w:val="18"/>
              </w:rPr>
            </w:pPr>
            <w:r>
              <w:rPr>
                <w:rFonts w:ascii="Arial" w:hAnsi="Arial"/>
                <w:noProof/>
                <w:color w:val="000000"/>
                <w:sz w:val="18"/>
              </w:rPr>
              <w:t>99,8</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Arial" w:hAnsi="Arial" w:cs="Arial"/>
                <w:noProof/>
                <w:color w:val="000000"/>
                <w:sz w:val="18"/>
                <w:szCs w:val="18"/>
              </w:rPr>
            </w:pPr>
            <w:r>
              <w:rPr>
                <w:rFonts w:ascii="Arial" w:hAnsi="Arial"/>
                <w:noProof/>
                <w:color w:val="000000"/>
                <w:sz w:val="18"/>
              </w:rPr>
              <w:t>0,95</w:t>
            </w:r>
          </w:p>
        </w:tc>
      </w:tr>
      <w:tr>
        <w:trPr>
          <w:trHeight w:val="300"/>
        </w:trPr>
        <w:tc>
          <w:tcPr>
            <w:tcW w:w="1328" w:type="dxa"/>
            <w:tcBorders>
              <w:top w:val="nil"/>
              <w:left w:val="single" w:sz="4" w:space="0" w:color="auto"/>
              <w:bottom w:val="single" w:sz="4" w:space="0" w:color="auto"/>
              <w:right w:val="single" w:sz="4" w:space="0" w:color="auto"/>
            </w:tcBorders>
            <w:shd w:val="clear" w:color="000000" w:fill="F2F2F2"/>
            <w:vAlign w:val="center"/>
            <w:hideMark/>
          </w:tcPr>
          <w:p>
            <w:pPr>
              <w:spacing w:before="0" w:after="0"/>
              <w:jc w:val="left"/>
              <w:rPr>
                <w:rFonts w:ascii="Arial" w:hAnsi="Arial" w:cs="Arial"/>
                <w:noProof/>
                <w:color w:val="000000"/>
                <w:sz w:val="18"/>
                <w:szCs w:val="18"/>
              </w:rPr>
            </w:pPr>
            <w:r>
              <w:rPr>
                <w:rFonts w:ascii="Arial" w:hAnsi="Arial"/>
                <w:noProof/>
                <w:color w:val="000000"/>
                <w:sz w:val="18"/>
              </w:rPr>
              <w:t xml:space="preserve">Malte               </w:t>
            </w:r>
          </w:p>
        </w:tc>
        <w:tc>
          <w:tcPr>
            <w:tcW w:w="1061" w:type="dxa"/>
            <w:tcBorders>
              <w:top w:val="nil"/>
              <w:left w:val="nil"/>
              <w:bottom w:val="single" w:sz="4" w:space="0" w:color="auto"/>
              <w:right w:val="single" w:sz="4" w:space="0" w:color="auto"/>
            </w:tcBorders>
            <w:shd w:val="clear" w:color="000000" w:fill="F2F2F2"/>
            <w:vAlign w:val="center"/>
            <w:hideMark/>
          </w:tcPr>
          <w:p>
            <w:pPr>
              <w:spacing w:before="0" w:after="0"/>
              <w:rPr>
                <w:rFonts w:ascii="Arial" w:hAnsi="Arial" w:cs="Arial"/>
                <w:noProof/>
                <w:color w:val="000000"/>
                <w:sz w:val="18"/>
                <w:szCs w:val="18"/>
              </w:rPr>
            </w:pPr>
            <w:r>
              <w:rPr>
                <w:rFonts w:ascii="Arial" w:hAnsi="Arial"/>
                <w:noProof/>
                <w:color w:val="000000"/>
                <w:sz w:val="18"/>
              </w:rPr>
              <w:t>x</w:t>
            </w:r>
          </w:p>
        </w:tc>
        <w:tc>
          <w:tcPr>
            <w:tcW w:w="1217"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color w:val="000000"/>
                <w:sz w:val="18"/>
                <w:szCs w:val="18"/>
              </w:rPr>
            </w:pPr>
            <w:r>
              <w:rPr>
                <w:rFonts w:ascii="Arial" w:hAnsi="Arial"/>
                <w:noProof/>
                <w:color w:val="000000"/>
                <w:sz w:val="18"/>
              </w:rPr>
              <w:t>372 514</w:t>
            </w:r>
          </w:p>
        </w:tc>
        <w:tc>
          <w:tcPr>
            <w:tcW w:w="1017" w:type="dxa"/>
            <w:tcBorders>
              <w:top w:val="nil"/>
              <w:left w:val="nil"/>
              <w:bottom w:val="single" w:sz="4" w:space="0" w:color="auto"/>
              <w:right w:val="single" w:sz="4" w:space="0" w:color="auto"/>
            </w:tcBorders>
            <w:shd w:val="clear" w:color="auto" w:fill="auto"/>
            <w:vAlign w:val="center"/>
            <w:hideMark/>
          </w:tcPr>
          <w:p>
            <w:pPr>
              <w:spacing w:before="0" w:after="0"/>
              <w:rPr>
                <w:rFonts w:ascii="Arial" w:hAnsi="Arial" w:cs="Arial"/>
                <w:noProof/>
                <w:color w:val="000000"/>
                <w:sz w:val="18"/>
                <w:szCs w:val="18"/>
              </w:rPr>
            </w:pPr>
            <w:r>
              <w:rPr>
                <w:rFonts w:ascii="Arial" w:hAnsi="Arial"/>
                <w:noProof/>
                <w:color w:val="000000"/>
                <w:sz w:val="18"/>
              </w:rPr>
              <w:t>14 021</w:t>
            </w:r>
          </w:p>
        </w:tc>
        <w:tc>
          <w:tcPr>
            <w:tcW w:w="1061" w:type="dxa"/>
            <w:tcBorders>
              <w:top w:val="nil"/>
              <w:left w:val="nil"/>
              <w:bottom w:val="single" w:sz="4" w:space="0" w:color="auto"/>
              <w:right w:val="single" w:sz="4" w:space="0" w:color="auto"/>
            </w:tcBorders>
            <w:shd w:val="clear" w:color="auto" w:fill="auto"/>
            <w:vAlign w:val="center"/>
            <w:hideMark/>
          </w:tcPr>
          <w:p>
            <w:pPr>
              <w:spacing w:before="0" w:after="0"/>
              <w:rPr>
                <w:rFonts w:ascii="Arial" w:hAnsi="Arial" w:cs="Arial"/>
                <w:noProof/>
                <w:color w:val="000000"/>
                <w:sz w:val="18"/>
                <w:szCs w:val="18"/>
              </w:rPr>
            </w:pPr>
            <w:r>
              <w:rPr>
                <w:rFonts w:ascii="Arial" w:hAnsi="Arial"/>
                <w:noProof/>
                <w:color w:val="000000"/>
                <w:sz w:val="18"/>
              </w:rPr>
              <w:t>14 021</w:t>
            </w:r>
          </w:p>
        </w:tc>
        <w:tc>
          <w:tcPr>
            <w:tcW w:w="1061" w:type="dxa"/>
            <w:tcBorders>
              <w:top w:val="nil"/>
              <w:left w:val="nil"/>
              <w:bottom w:val="single" w:sz="4" w:space="0" w:color="auto"/>
              <w:right w:val="single" w:sz="4" w:space="0" w:color="auto"/>
            </w:tcBorders>
            <w:shd w:val="clear" w:color="auto" w:fill="auto"/>
            <w:vAlign w:val="center"/>
            <w:hideMark/>
          </w:tcPr>
          <w:p>
            <w:pPr>
              <w:spacing w:before="0" w:after="0"/>
              <w:rPr>
                <w:rFonts w:ascii="Arial" w:hAnsi="Arial" w:cs="Arial"/>
                <w:noProof/>
                <w:color w:val="000000"/>
                <w:sz w:val="18"/>
                <w:szCs w:val="18"/>
              </w:rPr>
            </w:pPr>
            <w:r>
              <w:rPr>
                <w:rFonts w:ascii="Arial" w:hAnsi="Arial"/>
                <w:noProof/>
                <w:color w:val="000000"/>
                <w:sz w:val="18"/>
              </w:rPr>
              <w:t>14 021</w:t>
            </w:r>
          </w:p>
        </w:tc>
        <w:tc>
          <w:tcPr>
            <w:tcW w:w="1150" w:type="dxa"/>
            <w:tcBorders>
              <w:top w:val="nil"/>
              <w:left w:val="nil"/>
              <w:bottom w:val="single" w:sz="4" w:space="0" w:color="auto"/>
              <w:right w:val="single" w:sz="4" w:space="0" w:color="auto"/>
            </w:tcBorders>
            <w:shd w:val="clear" w:color="000000" w:fill="F2F2F2"/>
            <w:noWrap/>
            <w:vAlign w:val="bottom"/>
            <w:hideMark/>
          </w:tcPr>
          <w:p>
            <w:pPr>
              <w:spacing w:before="0" w:after="0"/>
              <w:jc w:val="right"/>
              <w:rPr>
                <w:rFonts w:ascii="Arial" w:hAnsi="Arial" w:cs="Arial"/>
                <w:noProof/>
                <w:color w:val="000000"/>
                <w:sz w:val="18"/>
                <w:szCs w:val="18"/>
              </w:rPr>
            </w:pPr>
            <w:r>
              <w:rPr>
                <w:rFonts w:ascii="Arial" w:hAnsi="Arial"/>
                <w:noProof/>
                <w:color w:val="000000"/>
                <w:sz w:val="18"/>
              </w:rPr>
              <w:t>100,0</w:t>
            </w:r>
          </w:p>
        </w:tc>
        <w:tc>
          <w:tcPr>
            <w:tcW w:w="1124" w:type="dxa"/>
            <w:tcBorders>
              <w:top w:val="nil"/>
              <w:left w:val="nil"/>
              <w:bottom w:val="single" w:sz="4" w:space="0" w:color="auto"/>
              <w:right w:val="single" w:sz="4" w:space="0" w:color="auto"/>
            </w:tcBorders>
            <w:shd w:val="clear" w:color="000000" w:fill="F2F2F2"/>
            <w:noWrap/>
            <w:vAlign w:val="bottom"/>
            <w:hideMark/>
          </w:tcPr>
          <w:p>
            <w:pPr>
              <w:spacing w:before="0" w:after="0"/>
              <w:jc w:val="right"/>
              <w:rPr>
                <w:rFonts w:ascii="Arial" w:hAnsi="Arial" w:cs="Arial"/>
                <w:noProof/>
                <w:color w:val="000000"/>
                <w:sz w:val="18"/>
                <w:szCs w:val="18"/>
              </w:rPr>
            </w:pPr>
            <w:r>
              <w:rPr>
                <w:rFonts w:ascii="Arial" w:hAnsi="Arial"/>
                <w:noProof/>
                <w:color w:val="000000"/>
                <w:sz w:val="18"/>
              </w:rPr>
              <w:t>100,0</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Arial" w:hAnsi="Arial" w:cs="Arial"/>
                <w:noProof/>
                <w:color w:val="000000"/>
                <w:sz w:val="18"/>
                <w:szCs w:val="18"/>
              </w:rPr>
            </w:pPr>
            <w:r>
              <w:rPr>
                <w:rFonts w:ascii="Arial" w:hAnsi="Arial"/>
                <w:noProof/>
                <w:color w:val="000000"/>
                <w:sz w:val="18"/>
              </w:rPr>
              <w:t>3,76</w:t>
            </w:r>
          </w:p>
        </w:tc>
      </w:tr>
      <w:tr>
        <w:trPr>
          <w:trHeight w:val="300"/>
        </w:trPr>
        <w:tc>
          <w:tcPr>
            <w:tcW w:w="1328" w:type="dxa"/>
            <w:tcBorders>
              <w:top w:val="nil"/>
              <w:left w:val="single" w:sz="4" w:space="0" w:color="auto"/>
              <w:bottom w:val="single" w:sz="4" w:space="0" w:color="auto"/>
              <w:right w:val="single" w:sz="4" w:space="0" w:color="auto"/>
            </w:tcBorders>
            <w:shd w:val="clear" w:color="000000" w:fill="F2F2F2"/>
            <w:vAlign w:val="center"/>
            <w:hideMark/>
          </w:tcPr>
          <w:p>
            <w:pPr>
              <w:spacing w:before="0" w:after="0"/>
              <w:jc w:val="left"/>
              <w:rPr>
                <w:rFonts w:ascii="Arial" w:hAnsi="Arial" w:cs="Arial"/>
                <w:noProof/>
                <w:color w:val="000000"/>
                <w:sz w:val="18"/>
                <w:szCs w:val="18"/>
              </w:rPr>
            </w:pPr>
            <w:r>
              <w:rPr>
                <w:rFonts w:ascii="Arial" w:hAnsi="Arial"/>
                <w:noProof/>
                <w:color w:val="000000"/>
                <w:sz w:val="18"/>
              </w:rPr>
              <w:t xml:space="preserve">Lituanie          </w:t>
            </w:r>
          </w:p>
        </w:tc>
        <w:tc>
          <w:tcPr>
            <w:tcW w:w="1061" w:type="dxa"/>
            <w:tcBorders>
              <w:top w:val="nil"/>
              <w:left w:val="nil"/>
              <w:bottom w:val="single" w:sz="4" w:space="0" w:color="auto"/>
              <w:right w:val="single" w:sz="4" w:space="0" w:color="auto"/>
            </w:tcBorders>
            <w:shd w:val="clear" w:color="000000" w:fill="F2F2F2"/>
            <w:vAlign w:val="center"/>
            <w:hideMark/>
          </w:tcPr>
          <w:p>
            <w:pPr>
              <w:spacing w:before="0" w:after="0"/>
              <w:rPr>
                <w:rFonts w:ascii="Arial" w:hAnsi="Arial" w:cs="Arial"/>
                <w:noProof/>
                <w:color w:val="000000"/>
                <w:sz w:val="18"/>
                <w:szCs w:val="18"/>
              </w:rPr>
            </w:pPr>
            <w:r>
              <w:rPr>
                <w:rFonts w:ascii="Arial" w:hAnsi="Arial"/>
                <w:noProof/>
                <w:color w:val="000000"/>
                <w:sz w:val="18"/>
              </w:rPr>
              <w:t>x</w:t>
            </w:r>
          </w:p>
        </w:tc>
        <w:tc>
          <w:tcPr>
            <w:tcW w:w="1217"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color w:val="000000"/>
                <w:sz w:val="18"/>
                <w:szCs w:val="18"/>
              </w:rPr>
            </w:pPr>
            <w:r>
              <w:rPr>
                <w:rFonts w:ascii="Arial" w:hAnsi="Arial"/>
                <w:noProof/>
                <w:color w:val="000000"/>
                <w:sz w:val="18"/>
              </w:rPr>
              <w:t>2 464 811</w:t>
            </w:r>
          </w:p>
        </w:tc>
        <w:tc>
          <w:tcPr>
            <w:tcW w:w="1017" w:type="dxa"/>
            <w:tcBorders>
              <w:top w:val="nil"/>
              <w:left w:val="nil"/>
              <w:bottom w:val="single" w:sz="4" w:space="0" w:color="auto"/>
              <w:right w:val="single" w:sz="4" w:space="0" w:color="auto"/>
            </w:tcBorders>
            <w:shd w:val="clear" w:color="auto" w:fill="auto"/>
            <w:vAlign w:val="center"/>
            <w:hideMark/>
          </w:tcPr>
          <w:p>
            <w:pPr>
              <w:spacing w:before="0" w:after="0"/>
              <w:rPr>
                <w:rFonts w:ascii="Arial" w:hAnsi="Arial" w:cs="Arial"/>
                <w:noProof/>
                <w:color w:val="000000"/>
                <w:sz w:val="18"/>
                <w:szCs w:val="18"/>
              </w:rPr>
            </w:pPr>
            <w:r>
              <w:rPr>
                <w:rFonts w:ascii="Arial" w:hAnsi="Arial"/>
                <w:noProof/>
                <w:color w:val="000000"/>
                <w:sz w:val="18"/>
              </w:rPr>
              <w:t>4 528</w:t>
            </w:r>
          </w:p>
        </w:tc>
        <w:tc>
          <w:tcPr>
            <w:tcW w:w="1061" w:type="dxa"/>
            <w:tcBorders>
              <w:top w:val="nil"/>
              <w:left w:val="nil"/>
              <w:bottom w:val="single" w:sz="4" w:space="0" w:color="auto"/>
              <w:right w:val="single" w:sz="4" w:space="0" w:color="auto"/>
            </w:tcBorders>
            <w:shd w:val="clear" w:color="auto" w:fill="auto"/>
            <w:vAlign w:val="center"/>
            <w:hideMark/>
          </w:tcPr>
          <w:p>
            <w:pPr>
              <w:spacing w:before="0" w:after="0"/>
              <w:rPr>
                <w:rFonts w:ascii="Arial" w:hAnsi="Arial" w:cs="Arial"/>
                <w:noProof/>
                <w:color w:val="000000"/>
                <w:sz w:val="18"/>
                <w:szCs w:val="18"/>
              </w:rPr>
            </w:pPr>
            <w:r>
              <w:rPr>
                <w:rFonts w:ascii="Arial" w:hAnsi="Arial"/>
                <w:noProof/>
                <w:color w:val="000000"/>
                <w:sz w:val="18"/>
              </w:rPr>
              <w:t>4 870</w:t>
            </w:r>
          </w:p>
        </w:tc>
        <w:tc>
          <w:tcPr>
            <w:tcW w:w="1061" w:type="dxa"/>
            <w:tcBorders>
              <w:top w:val="nil"/>
              <w:left w:val="nil"/>
              <w:bottom w:val="single" w:sz="4" w:space="0" w:color="auto"/>
              <w:right w:val="single" w:sz="4" w:space="0" w:color="auto"/>
            </w:tcBorders>
            <w:shd w:val="clear" w:color="auto" w:fill="auto"/>
            <w:vAlign w:val="center"/>
            <w:hideMark/>
          </w:tcPr>
          <w:p>
            <w:pPr>
              <w:spacing w:before="0" w:after="0"/>
              <w:rPr>
                <w:rFonts w:ascii="Arial" w:hAnsi="Arial" w:cs="Arial"/>
                <w:noProof/>
                <w:color w:val="000000"/>
                <w:sz w:val="18"/>
                <w:szCs w:val="18"/>
              </w:rPr>
            </w:pPr>
            <w:r>
              <w:rPr>
                <w:rFonts w:ascii="Arial" w:hAnsi="Arial"/>
                <w:noProof/>
                <w:color w:val="000000"/>
                <w:sz w:val="18"/>
              </w:rPr>
              <w:t>4 524</w:t>
            </w:r>
          </w:p>
        </w:tc>
        <w:tc>
          <w:tcPr>
            <w:tcW w:w="1150" w:type="dxa"/>
            <w:tcBorders>
              <w:top w:val="nil"/>
              <w:left w:val="nil"/>
              <w:bottom w:val="single" w:sz="4" w:space="0" w:color="auto"/>
              <w:right w:val="single" w:sz="4" w:space="0" w:color="auto"/>
            </w:tcBorders>
            <w:shd w:val="clear" w:color="000000" w:fill="F2F2F2"/>
            <w:noWrap/>
            <w:vAlign w:val="bottom"/>
            <w:hideMark/>
          </w:tcPr>
          <w:p>
            <w:pPr>
              <w:spacing w:before="0" w:after="0"/>
              <w:jc w:val="right"/>
              <w:rPr>
                <w:rFonts w:ascii="Arial" w:hAnsi="Arial" w:cs="Arial"/>
                <w:noProof/>
                <w:color w:val="000000"/>
                <w:sz w:val="18"/>
                <w:szCs w:val="18"/>
              </w:rPr>
            </w:pPr>
            <w:r>
              <w:rPr>
                <w:rFonts w:ascii="Arial" w:hAnsi="Arial"/>
                <w:noProof/>
                <w:color w:val="000000"/>
                <w:sz w:val="18"/>
              </w:rPr>
              <w:t>99,9</w:t>
            </w:r>
          </w:p>
        </w:tc>
        <w:tc>
          <w:tcPr>
            <w:tcW w:w="1124" w:type="dxa"/>
            <w:tcBorders>
              <w:top w:val="nil"/>
              <w:left w:val="nil"/>
              <w:bottom w:val="single" w:sz="4" w:space="0" w:color="auto"/>
              <w:right w:val="single" w:sz="4" w:space="0" w:color="auto"/>
            </w:tcBorders>
            <w:shd w:val="clear" w:color="000000" w:fill="F2F2F2"/>
            <w:noWrap/>
            <w:vAlign w:val="bottom"/>
            <w:hideMark/>
          </w:tcPr>
          <w:p>
            <w:pPr>
              <w:spacing w:before="0" w:after="0"/>
              <w:jc w:val="right"/>
              <w:rPr>
                <w:rFonts w:ascii="Arial" w:hAnsi="Arial" w:cs="Arial"/>
                <w:noProof/>
                <w:color w:val="000000"/>
                <w:sz w:val="18"/>
                <w:szCs w:val="18"/>
              </w:rPr>
            </w:pPr>
            <w:r>
              <w:rPr>
                <w:rFonts w:ascii="Arial" w:hAnsi="Arial"/>
                <w:noProof/>
                <w:color w:val="000000"/>
                <w:sz w:val="18"/>
              </w:rPr>
              <w:t>92,9</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Arial" w:hAnsi="Arial" w:cs="Arial"/>
                <w:noProof/>
                <w:color w:val="000000"/>
                <w:sz w:val="18"/>
                <w:szCs w:val="18"/>
              </w:rPr>
            </w:pPr>
            <w:r>
              <w:rPr>
                <w:rFonts w:ascii="Arial" w:hAnsi="Arial"/>
                <w:noProof/>
                <w:color w:val="000000"/>
                <w:sz w:val="18"/>
              </w:rPr>
              <w:t>0,18</w:t>
            </w:r>
          </w:p>
        </w:tc>
      </w:tr>
      <w:tr>
        <w:trPr>
          <w:trHeight w:val="300"/>
        </w:trPr>
        <w:tc>
          <w:tcPr>
            <w:tcW w:w="1328" w:type="dxa"/>
            <w:tcBorders>
              <w:top w:val="nil"/>
              <w:left w:val="single" w:sz="4" w:space="0" w:color="auto"/>
              <w:bottom w:val="single" w:sz="4" w:space="0" w:color="auto"/>
              <w:right w:val="single" w:sz="4" w:space="0" w:color="auto"/>
            </w:tcBorders>
            <w:shd w:val="clear" w:color="000000" w:fill="F2F2F2"/>
            <w:vAlign w:val="center"/>
            <w:hideMark/>
          </w:tcPr>
          <w:p>
            <w:pPr>
              <w:spacing w:before="0" w:after="0"/>
              <w:jc w:val="left"/>
              <w:rPr>
                <w:rFonts w:ascii="Arial" w:hAnsi="Arial" w:cs="Arial"/>
                <w:noProof/>
                <w:color w:val="000000"/>
                <w:sz w:val="18"/>
                <w:szCs w:val="18"/>
              </w:rPr>
            </w:pPr>
            <w:r>
              <w:rPr>
                <w:rFonts w:ascii="Arial" w:hAnsi="Arial"/>
                <w:noProof/>
                <w:color w:val="000000"/>
                <w:sz w:val="18"/>
              </w:rPr>
              <w:t xml:space="preserve">Danemark              </w:t>
            </w:r>
          </w:p>
        </w:tc>
        <w:tc>
          <w:tcPr>
            <w:tcW w:w="1061" w:type="dxa"/>
            <w:tcBorders>
              <w:top w:val="nil"/>
              <w:left w:val="nil"/>
              <w:bottom w:val="single" w:sz="4" w:space="0" w:color="auto"/>
              <w:right w:val="single" w:sz="4" w:space="0" w:color="auto"/>
            </w:tcBorders>
            <w:shd w:val="clear" w:color="000000" w:fill="F2F2F2"/>
            <w:vAlign w:val="center"/>
            <w:hideMark/>
          </w:tcPr>
          <w:p>
            <w:pPr>
              <w:spacing w:before="0" w:after="0"/>
              <w:rPr>
                <w:rFonts w:ascii="Arial" w:hAnsi="Arial" w:cs="Arial"/>
                <w:noProof/>
                <w:color w:val="000000"/>
                <w:sz w:val="18"/>
                <w:szCs w:val="18"/>
              </w:rPr>
            </w:pPr>
            <w:r>
              <w:rPr>
                <w:rFonts w:ascii="Arial" w:hAnsi="Arial"/>
                <w:noProof/>
                <w:color w:val="000000"/>
                <w:sz w:val="18"/>
              </w:rPr>
              <w:t>x</w:t>
            </w:r>
          </w:p>
        </w:tc>
        <w:tc>
          <w:tcPr>
            <w:tcW w:w="1217"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color w:val="000000"/>
                <w:sz w:val="18"/>
                <w:szCs w:val="18"/>
              </w:rPr>
            </w:pPr>
            <w:r>
              <w:rPr>
                <w:rFonts w:ascii="Arial" w:hAnsi="Arial"/>
                <w:noProof/>
                <w:color w:val="000000"/>
                <w:sz w:val="18"/>
              </w:rPr>
              <w:t>4 746 977</w:t>
            </w:r>
          </w:p>
        </w:tc>
        <w:tc>
          <w:tcPr>
            <w:tcW w:w="1017" w:type="dxa"/>
            <w:tcBorders>
              <w:top w:val="nil"/>
              <w:left w:val="nil"/>
              <w:bottom w:val="single" w:sz="4" w:space="0" w:color="auto"/>
              <w:right w:val="single" w:sz="4" w:space="0" w:color="auto"/>
            </w:tcBorders>
            <w:shd w:val="clear" w:color="auto" w:fill="auto"/>
            <w:vAlign w:val="center"/>
            <w:hideMark/>
          </w:tcPr>
          <w:p>
            <w:pPr>
              <w:spacing w:before="0" w:after="0"/>
              <w:rPr>
                <w:rFonts w:ascii="Arial" w:hAnsi="Arial" w:cs="Arial"/>
                <w:noProof/>
                <w:color w:val="000000"/>
                <w:sz w:val="18"/>
                <w:szCs w:val="18"/>
              </w:rPr>
            </w:pPr>
            <w:r>
              <w:rPr>
                <w:rFonts w:ascii="Arial" w:hAnsi="Arial"/>
                <w:noProof/>
                <w:color w:val="000000"/>
                <w:sz w:val="18"/>
              </w:rPr>
              <w:t>168 754</w:t>
            </w:r>
          </w:p>
        </w:tc>
        <w:tc>
          <w:tcPr>
            <w:tcW w:w="1061" w:type="dxa"/>
            <w:tcBorders>
              <w:top w:val="nil"/>
              <w:left w:val="nil"/>
              <w:bottom w:val="single" w:sz="4" w:space="0" w:color="auto"/>
              <w:right w:val="single" w:sz="4" w:space="0" w:color="auto"/>
            </w:tcBorders>
            <w:shd w:val="clear" w:color="auto" w:fill="auto"/>
            <w:vAlign w:val="center"/>
            <w:hideMark/>
          </w:tcPr>
          <w:p>
            <w:pPr>
              <w:spacing w:before="0" w:after="0"/>
              <w:rPr>
                <w:rFonts w:ascii="Arial" w:hAnsi="Arial" w:cs="Arial"/>
                <w:noProof/>
                <w:color w:val="000000"/>
                <w:sz w:val="18"/>
                <w:szCs w:val="18"/>
              </w:rPr>
            </w:pPr>
            <w:r>
              <w:rPr>
                <w:rFonts w:ascii="Arial" w:hAnsi="Arial"/>
                <w:noProof/>
                <w:color w:val="000000"/>
                <w:sz w:val="18"/>
              </w:rPr>
              <w:t>178 909</w:t>
            </w:r>
          </w:p>
        </w:tc>
        <w:tc>
          <w:tcPr>
            <w:tcW w:w="1061" w:type="dxa"/>
            <w:tcBorders>
              <w:top w:val="nil"/>
              <w:left w:val="nil"/>
              <w:bottom w:val="single" w:sz="4" w:space="0" w:color="auto"/>
              <w:right w:val="single" w:sz="4" w:space="0" w:color="auto"/>
            </w:tcBorders>
            <w:shd w:val="clear" w:color="auto" w:fill="auto"/>
            <w:vAlign w:val="center"/>
            <w:hideMark/>
          </w:tcPr>
          <w:p>
            <w:pPr>
              <w:spacing w:before="0" w:after="0"/>
              <w:rPr>
                <w:rFonts w:ascii="Arial" w:hAnsi="Arial" w:cs="Arial"/>
                <w:noProof/>
                <w:color w:val="000000"/>
                <w:sz w:val="18"/>
                <w:szCs w:val="18"/>
              </w:rPr>
            </w:pPr>
            <w:r>
              <w:rPr>
                <w:rFonts w:ascii="Arial" w:hAnsi="Arial"/>
                <w:noProof/>
                <w:color w:val="000000"/>
                <w:sz w:val="18"/>
              </w:rPr>
              <w:t>113 773</w:t>
            </w:r>
          </w:p>
        </w:tc>
        <w:tc>
          <w:tcPr>
            <w:tcW w:w="1150" w:type="dxa"/>
            <w:tcBorders>
              <w:top w:val="nil"/>
              <w:left w:val="nil"/>
              <w:bottom w:val="single" w:sz="4" w:space="0" w:color="auto"/>
              <w:right w:val="single" w:sz="4" w:space="0" w:color="auto"/>
            </w:tcBorders>
            <w:shd w:val="clear" w:color="000000" w:fill="F2F2F2"/>
            <w:noWrap/>
            <w:vAlign w:val="bottom"/>
            <w:hideMark/>
          </w:tcPr>
          <w:p>
            <w:pPr>
              <w:spacing w:before="0" w:after="0"/>
              <w:jc w:val="right"/>
              <w:rPr>
                <w:rFonts w:ascii="Arial" w:hAnsi="Arial" w:cs="Arial"/>
                <w:noProof/>
                <w:color w:val="000000"/>
                <w:sz w:val="18"/>
                <w:szCs w:val="18"/>
              </w:rPr>
            </w:pPr>
            <w:r>
              <w:rPr>
                <w:rFonts w:ascii="Arial" w:hAnsi="Arial"/>
                <w:noProof/>
                <w:color w:val="000000"/>
                <w:sz w:val="18"/>
              </w:rPr>
              <w:t>67,4</w:t>
            </w:r>
          </w:p>
        </w:tc>
        <w:tc>
          <w:tcPr>
            <w:tcW w:w="1124" w:type="dxa"/>
            <w:tcBorders>
              <w:top w:val="nil"/>
              <w:left w:val="nil"/>
              <w:bottom w:val="single" w:sz="4" w:space="0" w:color="auto"/>
              <w:right w:val="single" w:sz="4" w:space="0" w:color="auto"/>
            </w:tcBorders>
            <w:shd w:val="clear" w:color="000000" w:fill="F2F2F2"/>
            <w:noWrap/>
            <w:vAlign w:val="bottom"/>
            <w:hideMark/>
          </w:tcPr>
          <w:p>
            <w:pPr>
              <w:spacing w:before="0" w:after="0"/>
              <w:jc w:val="right"/>
              <w:rPr>
                <w:rFonts w:ascii="Arial" w:hAnsi="Arial" w:cs="Arial"/>
                <w:noProof/>
                <w:color w:val="000000"/>
                <w:sz w:val="18"/>
                <w:szCs w:val="18"/>
              </w:rPr>
            </w:pPr>
            <w:r>
              <w:rPr>
                <w:rFonts w:ascii="Arial" w:hAnsi="Arial"/>
                <w:noProof/>
                <w:color w:val="000000"/>
                <w:sz w:val="18"/>
              </w:rPr>
              <w:t>63,6</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Arial" w:hAnsi="Arial" w:cs="Arial"/>
                <w:noProof/>
                <w:color w:val="000000"/>
                <w:sz w:val="18"/>
                <w:szCs w:val="18"/>
              </w:rPr>
            </w:pPr>
            <w:r>
              <w:rPr>
                <w:rFonts w:ascii="Arial" w:hAnsi="Arial"/>
                <w:noProof/>
                <w:color w:val="000000"/>
                <w:sz w:val="18"/>
              </w:rPr>
              <w:t>3,55</w:t>
            </w:r>
          </w:p>
        </w:tc>
      </w:tr>
      <w:tr>
        <w:trPr>
          <w:trHeight w:val="300"/>
        </w:trPr>
        <w:tc>
          <w:tcPr>
            <w:tcW w:w="1328" w:type="dxa"/>
            <w:tcBorders>
              <w:top w:val="nil"/>
              <w:left w:val="single" w:sz="4" w:space="0" w:color="auto"/>
              <w:bottom w:val="single" w:sz="4" w:space="0" w:color="auto"/>
              <w:right w:val="single" w:sz="4" w:space="0" w:color="auto"/>
            </w:tcBorders>
            <w:shd w:val="clear" w:color="000000" w:fill="F2F2F2"/>
            <w:vAlign w:val="center"/>
            <w:hideMark/>
          </w:tcPr>
          <w:p>
            <w:pPr>
              <w:spacing w:before="0" w:after="0"/>
              <w:jc w:val="left"/>
              <w:rPr>
                <w:rFonts w:ascii="Arial" w:hAnsi="Arial" w:cs="Arial"/>
                <w:noProof/>
                <w:color w:val="000000"/>
                <w:sz w:val="18"/>
                <w:szCs w:val="18"/>
              </w:rPr>
            </w:pPr>
            <w:r>
              <w:rPr>
                <w:rFonts w:ascii="Arial" w:hAnsi="Arial"/>
                <w:noProof/>
                <w:color w:val="000000"/>
                <w:sz w:val="18"/>
              </w:rPr>
              <w:t xml:space="preserve">Irlande           </w:t>
            </w:r>
          </w:p>
        </w:tc>
        <w:tc>
          <w:tcPr>
            <w:tcW w:w="1061" w:type="dxa"/>
            <w:tcBorders>
              <w:top w:val="nil"/>
              <w:left w:val="nil"/>
              <w:bottom w:val="single" w:sz="4" w:space="0" w:color="auto"/>
              <w:right w:val="single" w:sz="4" w:space="0" w:color="auto"/>
            </w:tcBorders>
            <w:shd w:val="clear" w:color="000000" w:fill="F2F2F2"/>
            <w:vAlign w:val="center"/>
            <w:hideMark/>
          </w:tcPr>
          <w:p>
            <w:pPr>
              <w:spacing w:before="0" w:after="0"/>
              <w:rPr>
                <w:rFonts w:ascii="Arial" w:hAnsi="Arial" w:cs="Arial"/>
                <w:noProof/>
                <w:color w:val="000000"/>
                <w:sz w:val="18"/>
                <w:szCs w:val="18"/>
              </w:rPr>
            </w:pPr>
            <w:r>
              <w:rPr>
                <w:rFonts w:ascii="Arial" w:hAnsi="Arial"/>
                <w:noProof/>
                <w:color w:val="000000"/>
                <w:sz w:val="18"/>
              </w:rPr>
              <w:t> </w:t>
            </w:r>
          </w:p>
        </w:tc>
        <w:tc>
          <w:tcPr>
            <w:tcW w:w="1217"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color w:val="000000"/>
                <w:sz w:val="18"/>
                <w:szCs w:val="18"/>
              </w:rPr>
            </w:pPr>
            <w:r>
              <w:rPr>
                <w:rFonts w:ascii="Arial" w:hAnsi="Arial"/>
                <w:noProof/>
                <w:color w:val="000000"/>
                <w:sz w:val="18"/>
              </w:rPr>
              <w:t>3 687 782</w:t>
            </w:r>
          </w:p>
        </w:tc>
        <w:tc>
          <w:tcPr>
            <w:tcW w:w="1017" w:type="dxa"/>
            <w:tcBorders>
              <w:top w:val="nil"/>
              <w:left w:val="nil"/>
              <w:bottom w:val="single" w:sz="4" w:space="0" w:color="auto"/>
              <w:right w:val="single" w:sz="4" w:space="0" w:color="auto"/>
            </w:tcBorders>
            <w:shd w:val="clear" w:color="auto" w:fill="auto"/>
            <w:vAlign w:val="center"/>
            <w:hideMark/>
          </w:tcPr>
          <w:p>
            <w:pPr>
              <w:spacing w:before="0" w:after="0"/>
              <w:rPr>
                <w:rFonts w:ascii="Arial" w:hAnsi="Arial" w:cs="Arial"/>
                <w:noProof/>
                <w:color w:val="000000"/>
                <w:sz w:val="18"/>
                <w:szCs w:val="18"/>
              </w:rPr>
            </w:pPr>
            <w:r>
              <w:rPr>
                <w:rFonts w:ascii="Arial" w:hAnsi="Arial"/>
                <w:noProof/>
                <w:color w:val="000000"/>
                <w:sz w:val="18"/>
              </w:rPr>
              <w:t>318 565</w:t>
            </w:r>
          </w:p>
        </w:tc>
        <w:tc>
          <w:tcPr>
            <w:tcW w:w="1061" w:type="dxa"/>
            <w:tcBorders>
              <w:top w:val="nil"/>
              <w:left w:val="nil"/>
              <w:bottom w:val="single" w:sz="4" w:space="0" w:color="auto"/>
              <w:right w:val="single" w:sz="4" w:space="0" w:color="auto"/>
            </w:tcBorders>
            <w:shd w:val="clear" w:color="auto" w:fill="auto"/>
            <w:vAlign w:val="center"/>
            <w:hideMark/>
          </w:tcPr>
          <w:p>
            <w:pPr>
              <w:spacing w:before="0" w:after="0"/>
              <w:rPr>
                <w:rFonts w:ascii="Arial" w:hAnsi="Arial" w:cs="Arial"/>
                <w:noProof/>
                <w:color w:val="000000"/>
                <w:sz w:val="18"/>
                <w:szCs w:val="18"/>
              </w:rPr>
            </w:pPr>
            <w:r>
              <w:rPr>
                <w:rFonts w:ascii="Arial" w:hAnsi="Arial"/>
                <w:noProof/>
                <w:color w:val="000000"/>
                <w:sz w:val="18"/>
              </w:rPr>
              <w:t>323 460</w:t>
            </w:r>
          </w:p>
        </w:tc>
        <w:tc>
          <w:tcPr>
            <w:tcW w:w="1061" w:type="dxa"/>
            <w:tcBorders>
              <w:top w:val="nil"/>
              <w:left w:val="nil"/>
              <w:bottom w:val="single" w:sz="4" w:space="0" w:color="auto"/>
              <w:right w:val="single" w:sz="4" w:space="0" w:color="auto"/>
            </w:tcBorders>
            <w:shd w:val="clear" w:color="auto" w:fill="auto"/>
            <w:vAlign w:val="center"/>
            <w:hideMark/>
          </w:tcPr>
          <w:p>
            <w:pPr>
              <w:spacing w:before="0" w:after="0"/>
              <w:rPr>
                <w:rFonts w:ascii="Arial" w:hAnsi="Arial" w:cs="Arial"/>
                <w:noProof/>
                <w:color w:val="000000"/>
                <w:sz w:val="18"/>
                <w:szCs w:val="18"/>
              </w:rPr>
            </w:pPr>
            <w:r>
              <w:rPr>
                <w:rFonts w:ascii="Arial" w:hAnsi="Arial"/>
                <w:noProof/>
                <w:color w:val="000000"/>
                <w:sz w:val="18"/>
              </w:rPr>
              <w:t>78 648</w:t>
            </w:r>
          </w:p>
        </w:tc>
        <w:tc>
          <w:tcPr>
            <w:tcW w:w="1150" w:type="dxa"/>
            <w:tcBorders>
              <w:top w:val="nil"/>
              <w:left w:val="nil"/>
              <w:bottom w:val="single" w:sz="4" w:space="0" w:color="auto"/>
              <w:right w:val="single" w:sz="4" w:space="0" w:color="auto"/>
            </w:tcBorders>
            <w:shd w:val="clear" w:color="000000" w:fill="F2F2F2"/>
            <w:noWrap/>
            <w:vAlign w:val="bottom"/>
            <w:hideMark/>
          </w:tcPr>
          <w:p>
            <w:pPr>
              <w:spacing w:before="0" w:after="0"/>
              <w:jc w:val="right"/>
              <w:rPr>
                <w:rFonts w:ascii="Arial" w:hAnsi="Arial" w:cs="Arial"/>
                <w:noProof/>
                <w:color w:val="000000"/>
                <w:sz w:val="18"/>
                <w:szCs w:val="18"/>
              </w:rPr>
            </w:pPr>
            <w:r>
              <w:rPr>
                <w:rFonts w:ascii="Arial" w:hAnsi="Arial"/>
                <w:noProof/>
                <w:color w:val="000000"/>
                <w:sz w:val="18"/>
              </w:rPr>
              <w:t>24,7</w:t>
            </w:r>
          </w:p>
        </w:tc>
        <w:tc>
          <w:tcPr>
            <w:tcW w:w="1124" w:type="dxa"/>
            <w:tcBorders>
              <w:top w:val="nil"/>
              <w:left w:val="nil"/>
              <w:bottom w:val="single" w:sz="4" w:space="0" w:color="auto"/>
              <w:right w:val="single" w:sz="4" w:space="0" w:color="auto"/>
            </w:tcBorders>
            <w:shd w:val="clear" w:color="000000" w:fill="F2F2F2"/>
            <w:noWrap/>
            <w:vAlign w:val="bottom"/>
            <w:hideMark/>
          </w:tcPr>
          <w:p>
            <w:pPr>
              <w:spacing w:before="0" w:after="0"/>
              <w:jc w:val="right"/>
              <w:rPr>
                <w:rFonts w:ascii="Arial" w:hAnsi="Arial" w:cs="Arial"/>
                <w:noProof/>
                <w:color w:val="000000"/>
                <w:sz w:val="18"/>
                <w:szCs w:val="18"/>
              </w:rPr>
            </w:pPr>
            <w:r>
              <w:rPr>
                <w:rFonts w:ascii="Arial" w:hAnsi="Arial"/>
                <w:noProof/>
                <w:color w:val="000000"/>
                <w:sz w:val="18"/>
              </w:rPr>
              <w:t>24,3</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Arial" w:hAnsi="Arial" w:cs="Arial"/>
                <w:noProof/>
                <w:color w:val="000000"/>
                <w:sz w:val="18"/>
                <w:szCs w:val="18"/>
              </w:rPr>
            </w:pPr>
            <w:r>
              <w:rPr>
                <w:rFonts w:ascii="Arial" w:hAnsi="Arial"/>
                <w:noProof/>
                <w:color w:val="000000"/>
                <w:sz w:val="18"/>
              </w:rPr>
              <w:t>8,64</w:t>
            </w:r>
          </w:p>
        </w:tc>
      </w:tr>
      <w:tr>
        <w:trPr>
          <w:trHeight w:val="300"/>
        </w:trPr>
        <w:tc>
          <w:tcPr>
            <w:tcW w:w="1328" w:type="dxa"/>
            <w:tcBorders>
              <w:top w:val="nil"/>
              <w:left w:val="single" w:sz="4" w:space="0" w:color="auto"/>
              <w:bottom w:val="single" w:sz="4" w:space="0" w:color="auto"/>
              <w:right w:val="single" w:sz="4" w:space="0" w:color="auto"/>
            </w:tcBorders>
            <w:shd w:val="clear" w:color="000000" w:fill="F2F2F2"/>
            <w:vAlign w:val="center"/>
            <w:hideMark/>
          </w:tcPr>
          <w:p>
            <w:pPr>
              <w:spacing w:before="0" w:after="0"/>
              <w:jc w:val="left"/>
              <w:rPr>
                <w:rFonts w:ascii="Arial" w:hAnsi="Arial" w:cs="Arial"/>
                <w:noProof/>
                <w:color w:val="000000"/>
                <w:sz w:val="18"/>
                <w:szCs w:val="18"/>
              </w:rPr>
            </w:pPr>
            <w:r>
              <w:rPr>
                <w:rFonts w:ascii="Arial" w:hAnsi="Arial"/>
                <w:noProof/>
                <w:color w:val="000000"/>
                <w:sz w:val="18"/>
              </w:rPr>
              <w:t xml:space="preserve">France          </w:t>
            </w:r>
          </w:p>
        </w:tc>
        <w:tc>
          <w:tcPr>
            <w:tcW w:w="1061" w:type="dxa"/>
            <w:tcBorders>
              <w:top w:val="nil"/>
              <w:left w:val="nil"/>
              <w:bottom w:val="single" w:sz="4" w:space="0" w:color="auto"/>
              <w:right w:val="single" w:sz="4" w:space="0" w:color="auto"/>
            </w:tcBorders>
            <w:shd w:val="clear" w:color="000000" w:fill="F2F2F2"/>
            <w:vAlign w:val="center"/>
            <w:hideMark/>
          </w:tcPr>
          <w:p>
            <w:pPr>
              <w:spacing w:before="0" w:after="0"/>
              <w:rPr>
                <w:rFonts w:ascii="Arial" w:hAnsi="Arial" w:cs="Arial"/>
                <w:noProof/>
                <w:color w:val="000000"/>
                <w:sz w:val="18"/>
                <w:szCs w:val="18"/>
              </w:rPr>
            </w:pPr>
            <w:r>
              <w:rPr>
                <w:rFonts w:ascii="Arial" w:hAnsi="Arial"/>
                <w:noProof/>
                <w:color w:val="000000"/>
                <w:sz w:val="18"/>
              </w:rPr>
              <w:t> </w:t>
            </w:r>
          </w:p>
        </w:tc>
        <w:tc>
          <w:tcPr>
            <w:tcW w:w="1217"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color w:val="000000"/>
                <w:sz w:val="18"/>
                <w:szCs w:val="18"/>
              </w:rPr>
            </w:pPr>
            <w:r>
              <w:rPr>
                <w:rFonts w:ascii="Arial" w:hAnsi="Arial"/>
                <w:noProof/>
                <w:color w:val="000000"/>
                <w:sz w:val="18"/>
              </w:rPr>
              <w:t>54 431 181</w:t>
            </w:r>
          </w:p>
        </w:tc>
        <w:tc>
          <w:tcPr>
            <w:tcW w:w="1017" w:type="dxa"/>
            <w:tcBorders>
              <w:top w:val="nil"/>
              <w:left w:val="nil"/>
              <w:bottom w:val="single" w:sz="4" w:space="0" w:color="auto"/>
              <w:right w:val="single" w:sz="4" w:space="0" w:color="auto"/>
            </w:tcBorders>
            <w:shd w:val="clear" w:color="auto" w:fill="auto"/>
            <w:vAlign w:val="center"/>
            <w:hideMark/>
          </w:tcPr>
          <w:p>
            <w:pPr>
              <w:spacing w:before="0" w:after="0"/>
              <w:rPr>
                <w:rFonts w:ascii="Arial" w:hAnsi="Arial" w:cs="Arial"/>
                <w:noProof/>
                <w:color w:val="000000"/>
                <w:sz w:val="18"/>
                <w:szCs w:val="18"/>
              </w:rPr>
            </w:pPr>
            <w:r>
              <w:rPr>
                <w:rFonts w:ascii="Arial" w:hAnsi="Arial"/>
                <w:noProof/>
                <w:color w:val="000000"/>
                <w:sz w:val="18"/>
              </w:rPr>
              <w:t>1 328 334</w:t>
            </w:r>
          </w:p>
        </w:tc>
        <w:tc>
          <w:tcPr>
            <w:tcW w:w="1061" w:type="dxa"/>
            <w:tcBorders>
              <w:top w:val="nil"/>
              <w:left w:val="nil"/>
              <w:bottom w:val="single" w:sz="4" w:space="0" w:color="auto"/>
              <w:right w:val="single" w:sz="4" w:space="0" w:color="auto"/>
            </w:tcBorders>
            <w:shd w:val="clear" w:color="auto" w:fill="auto"/>
            <w:vAlign w:val="center"/>
            <w:hideMark/>
          </w:tcPr>
          <w:p>
            <w:pPr>
              <w:spacing w:before="0" w:after="0"/>
              <w:rPr>
                <w:rFonts w:ascii="Arial" w:hAnsi="Arial" w:cs="Arial"/>
                <w:noProof/>
                <w:color w:val="000000"/>
                <w:sz w:val="18"/>
                <w:szCs w:val="18"/>
              </w:rPr>
            </w:pPr>
            <w:r>
              <w:rPr>
                <w:rFonts w:ascii="Arial" w:hAnsi="Arial"/>
                <w:noProof/>
                <w:color w:val="000000"/>
                <w:sz w:val="18"/>
              </w:rPr>
              <w:t>1 248 807</w:t>
            </w:r>
          </w:p>
        </w:tc>
        <w:tc>
          <w:tcPr>
            <w:tcW w:w="1061"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Arial" w:hAnsi="Arial" w:cs="Arial"/>
                <w:noProof/>
                <w:color w:val="000000"/>
                <w:sz w:val="18"/>
                <w:szCs w:val="18"/>
              </w:rPr>
            </w:pPr>
            <w:r>
              <w:rPr>
                <w:rFonts w:ascii="Arial" w:hAnsi="Arial"/>
                <w:noProof/>
                <w:color w:val="000000"/>
                <w:sz w:val="18"/>
              </w:rPr>
              <w:t>279 488</w:t>
            </w:r>
          </w:p>
        </w:tc>
        <w:tc>
          <w:tcPr>
            <w:tcW w:w="1150" w:type="dxa"/>
            <w:tcBorders>
              <w:top w:val="nil"/>
              <w:left w:val="nil"/>
              <w:bottom w:val="single" w:sz="4" w:space="0" w:color="auto"/>
              <w:right w:val="single" w:sz="4" w:space="0" w:color="auto"/>
            </w:tcBorders>
            <w:shd w:val="clear" w:color="000000" w:fill="F2F2F2"/>
            <w:noWrap/>
            <w:vAlign w:val="bottom"/>
            <w:hideMark/>
          </w:tcPr>
          <w:p>
            <w:pPr>
              <w:spacing w:before="0" w:after="0"/>
              <w:jc w:val="right"/>
              <w:rPr>
                <w:rFonts w:ascii="Arial" w:hAnsi="Arial" w:cs="Arial"/>
                <w:noProof/>
                <w:color w:val="000000"/>
                <w:sz w:val="18"/>
                <w:szCs w:val="18"/>
              </w:rPr>
            </w:pPr>
            <w:r>
              <w:rPr>
                <w:rFonts w:ascii="Arial" w:hAnsi="Arial"/>
                <w:noProof/>
                <w:color w:val="000000"/>
                <w:sz w:val="18"/>
              </w:rPr>
              <w:t>21,0</w:t>
            </w:r>
          </w:p>
        </w:tc>
        <w:tc>
          <w:tcPr>
            <w:tcW w:w="1124" w:type="dxa"/>
            <w:tcBorders>
              <w:top w:val="nil"/>
              <w:left w:val="nil"/>
              <w:bottom w:val="single" w:sz="4" w:space="0" w:color="auto"/>
              <w:right w:val="single" w:sz="4" w:space="0" w:color="auto"/>
            </w:tcBorders>
            <w:shd w:val="clear" w:color="000000" w:fill="F2F2F2"/>
            <w:noWrap/>
            <w:vAlign w:val="bottom"/>
            <w:hideMark/>
          </w:tcPr>
          <w:p>
            <w:pPr>
              <w:spacing w:before="0" w:after="0"/>
              <w:jc w:val="right"/>
              <w:rPr>
                <w:rFonts w:ascii="Arial" w:hAnsi="Arial" w:cs="Arial"/>
                <w:noProof/>
                <w:color w:val="000000"/>
                <w:sz w:val="18"/>
                <w:szCs w:val="18"/>
              </w:rPr>
            </w:pPr>
            <w:r>
              <w:rPr>
                <w:rFonts w:ascii="Arial" w:hAnsi="Arial"/>
                <w:noProof/>
                <w:color w:val="000000"/>
                <w:sz w:val="18"/>
              </w:rPr>
              <w:t>22,4</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Arial" w:hAnsi="Arial" w:cs="Arial"/>
                <w:noProof/>
                <w:color w:val="000000"/>
                <w:sz w:val="18"/>
                <w:szCs w:val="18"/>
              </w:rPr>
            </w:pPr>
            <w:r>
              <w:rPr>
                <w:rFonts w:ascii="Arial" w:hAnsi="Arial"/>
                <w:noProof/>
                <w:color w:val="000000"/>
                <w:sz w:val="18"/>
              </w:rPr>
              <w:t>2,44</w:t>
            </w:r>
          </w:p>
        </w:tc>
      </w:tr>
      <w:tr>
        <w:trPr>
          <w:trHeight w:val="300"/>
        </w:trPr>
        <w:tc>
          <w:tcPr>
            <w:tcW w:w="1328" w:type="dxa"/>
            <w:tcBorders>
              <w:top w:val="nil"/>
              <w:left w:val="single" w:sz="4" w:space="0" w:color="auto"/>
              <w:bottom w:val="single" w:sz="4" w:space="0" w:color="auto"/>
              <w:right w:val="single" w:sz="4" w:space="0" w:color="auto"/>
            </w:tcBorders>
            <w:shd w:val="clear" w:color="000000" w:fill="F2F2F2"/>
            <w:vAlign w:val="center"/>
            <w:hideMark/>
          </w:tcPr>
          <w:p>
            <w:pPr>
              <w:spacing w:before="0" w:after="0"/>
              <w:jc w:val="left"/>
              <w:rPr>
                <w:rFonts w:ascii="Arial" w:hAnsi="Arial" w:cs="Arial"/>
                <w:noProof/>
                <w:color w:val="000000"/>
                <w:sz w:val="18"/>
                <w:szCs w:val="18"/>
              </w:rPr>
            </w:pPr>
            <w:r>
              <w:rPr>
                <w:rFonts w:ascii="Arial" w:hAnsi="Arial"/>
                <w:noProof/>
                <w:color w:val="000000"/>
                <w:sz w:val="18"/>
              </w:rPr>
              <w:t xml:space="preserve">Luxembourg   </w:t>
            </w:r>
          </w:p>
        </w:tc>
        <w:tc>
          <w:tcPr>
            <w:tcW w:w="1061" w:type="dxa"/>
            <w:tcBorders>
              <w:top w:val="nil"/>
              <w:left w:val="nil"/>
              <w:bottom w:val="single" w:sz="4" w:space="0" w:color="auto"/>
              <w:right w:val="single" w:sz="4" w:space="0" w:color="auto"/>
            </w:tcBorders>
            <w:shd w:val="clear" w:color="000000" w:fill="F2F2F2"/>
            <w:vAlign w:val="center"/>
            <w:hideMark/>
          </w:tcPr>
          <w:p>
            <w:pPr>
              <w:spacing w:before="0" w:after="0"/>
              <w:rPr>
                <w:rFonts w:ascii="Arial" w:hAnsi="Arial" w:cs="Arial"/>
                <w:noProof/>
                <w:color w:val="000000"/>
                <w:sz w:val="18"/>
                <w:szCs w:val="18"/>
              </w:rPr>
            </w:pPr>
            <w:r>
              <w:rPr>
                <w:rFonts w:ascii="Arial" w:hAnsi="Arial"/>
                <w:noProof/>
                <w:color w:val="000000"/>
                <w:sz w:val="18"/>
              </w:rPr>
              <w:t> </w:t>
            </w:r>
          </w:p>
        </w:tc>
        <w:tc>
          <w:tcPr>
            <w:tcW w:w="1217"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color w:val="000000"/>
                <w:sz w:val="18"/>
                <w:szCs w:val="18"/>
              </w:rPr>
            </w:pPr>
            <w:r>
              <w:rPr>
                <w:rFonts w:ascii="Arial" w:hAnsi="Arial"/>
                <w:noProof/>
                <w:color w:val="000000"/>
                <w:sz w:val="18"/>
              </w:rPr>
              <w:t>481 358</w:t>
            </w:r>
          </w:p>
        </w:tc>
        <w:tc>
          <w:tcPr>
            <w:tcW w:w="1017" w:type="dxa"/>
            <w:tcBorders>
              <w:top w:val="nil"/>
              <w:left w:val="nil"/>
              <w:bottom w:val="single" w:sz="4" w:space="0" w:color="auto"/>
              <w:right w:val="single" w:sz="4" w:space="0" w:color="auto"/>
            </w:tcBorders>
            <w:shd w:val="clear" w:color="auto" w:fill="auto"/>
            <w:vAlign w:val="center"/>
            <w:hideMark/>
          </w:tcPr>
          <w:p>
            <w:pPr>
              <w:spacing w:before="0" w:after="0"/>
              <w:rPr>
                <w:rFonts w:ascii="Arial" w:hAnsi="Arial" w:cs="Arial"/>
                <w:noProof/>
                <w:color w:val="000000"/>
                <w:sz w:val="18"/>
                <w:szCs w:val="18"/>
              </w:rPr>
            </w:pPr>
            <w:r>
              <w:rPr>
                <w:rFonts w:ascii="Arial" w:hAnsi="Arial"/>
                <w:noProof/>
                <w:color w:val="000000"/>
                <w:sz w:val="18"/>
              </w:rPr>
              <w:t>189 921</w:t>
            </w:r>
          </w:p>
        </w:tc>
        <w:tc>
          <w:tcPr>
            <w:tcW w:w="1061" w:type="dxa"/>
            <w:tcBorders>
              <w:top w:val="nil"/>
              <w:left w:val="nil"/>
              <w:bottom w:val="single" w:sz="4" w:space="0" w:color="auto"/>
              <w:right w:val="single" w:sz="4" w:space="0" w:color="auto"/>
            </w:tcBorders>
            <w:shd w:val="clear" w:color="auto" w:fill="auto"/>
            <w:vAlign w:val="center"/>
            <w:hideMark/>
          </w:tcPr>
          <w:p>
            <w:pPr>
              <w:spacing w:before="0" w:after="0"/>
              <w:rPr>
                <w:rFonts w:ascii="Arial" w:hAnsi="Arial" w:cs="Arial"/>
                <w:noProof/>
                <w:color w:val="000000"/>
                <w:sz w:val="18"/>
                <w:szCs w:val="18"/>
              </w:rPr>
            </w:pPr>
            <w:r>
              <w:rPr>
                <w:rFonts w:ascii="Arial" w:hAnsi="Arial"/>
                <w:noProof/>
                <w:color w:val="000000"/>
                <w:sz w:val="18"/>
              </w:rPr>
              <w:t>159 485</w:t>
            </w:r>
          </w:p>
        </w:tc>
        <w:tc>
          <w:tcPr>
            <w:tcW w:w="1061" w:type="dxa"/>
            <w:tcBorders>
              <w:top w:val="nil"/>
              <w:left w:val="nil"/>
              <w:bottom w:val="single" w:sz="4" w:space="0" w:color="auto"/>
              <w:right w:val="single" w:sz="4" w:space="0" w:color="auto"/>
            </w:tcBorders>
            <w:shd w:val="clear" w:color="auto" w:fill="auto"/>
            <w:vAlign w:val="center"/>
            <w:hideMark/>
          </w:tcPr>
          <w:p>
            <w:pPr>
              <w:spacing w:before="0" w:after="0"/>
              <w:rPr>
                <w:rFonts w:ascii="Arial" w:hAnsi="Arial" w:cs="Arial"/>
                <w:noProof/>
                <w:color w:val="000000"/>
                <w:sz w:val="18"/>
                <w:szCs w:val="18"/>
              </w:rPr>
            </w:pPr>
            <w:r>
              <w:rPr>
                <w:rFonts w:ascii="Arial" w:hAnsi="Arial"/>
                <w:noProof/>
                <w:color w:val="000000"/>
                <w:sz w:val="18"/>
              </w:rPr>
              <w:t>28 342</w:t>
            </w:r>
          </w:p>
        </w:tc>
        <w:tc>
          <w:tcPr>
            <w:tcW w:w="1150" w:type="dxa"/>
            <w:tcBorders>
              <w:top w:val="nil"/>
              <w:left w:val="nil"/>
              <w:bottom w:val="single" w:sz="4" w:space="0" w:color="auto"/>
              <w:right w:val="single" w:sz="4" w:space="0" w:color="auto"/>
            </w:tcBorders>
            <w:shd w:val="clear" w:color="000000" w:fill="F2F2F2"/>
            <w:noWrap/>
            <w:vAlign w:val="bottom"/>
            <w:hideMark/>
          </w:tcPr>
          <w:p>
            <w:pPr>
              <w:spacing w:before="0" w:after="0"/>
              <w:jc w:val="right"/>
              <w:rPr>
                <w:rFonts w:ascii="Arial" w:hAnsi="Arial" w:cs="Arial"/>
                <w:noProof/>
                <w:color w:val="000000"/>
                <w:sz w:val="18"/>
                <w:szCs w:val="18"/>
              </w:rPr>
            </w:pPr>
            <w:r>
              <w:rPr>
                <w:rFonts w:ascii="Arial" w:hAnsi="Arial"/>
                <w:noProof/>
                <w:color w:val="000000"/>
                <w:sz w:val="18"/>
              </w:rPr>
              <w:t>14,9</w:t>
            </w:r>
          </w:p>
        </w:tc>
        <w:tc>
          <w:tcPr>
            <w:tcW w:w="1124" w:type="dxa"/>
            <w:tcBorders>
              <w:top w:val="nil"/>
              <w:left w:val="nil"/>
              <w:bottom w:val="single" w:sz="4" w:space="0" w:color="auto"/>
              <w:right w:val="single" w:sz="4" w:space="0" w:color="auto"/>
            </w:tcBorders>
            <w:shd w:val="clear" w:color="000000" w:fill="F2F2F2"/>
            <w:noWrap/>
            <w:vAlign w:val="bottom"/>
            <w:hideMark/>
          </w:tcPr>
          <w:p>
            <w:pPr>
              <w:spacing w:before="0" w:after="0"/>
              <w:jc w:val="right"/>
              <w:rPr>
                <w:rFonts w:ascii="Arial" w:hAnsi="Arial" w:cs="Arial"/>
                <w:noProof/>
                <w:color w:val="000000"/>
                <w:sz w:val="18"/>
                <w:szCs w:val="18"/>
              </w:rPr>
            </w:pPr>
            <w:r>
              <w:rPr>
                <w:rFonts w:ascii="Arial" w:hAnsi="Arial"/>
                <w:noProof/>
                <w:color w:val="000000"/>
                <w:sz w:val="18"/>
              </w:rPr>
              <w:t>17,8</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Arial" w:hAnsi="Arial" w:cs="Arial"/>
                <w:noProof/>
                <w:color w:val="000000"/>
                <w:sz w:val="18"/>
                <w:szCs w:val="18"/>
              </w:rPr>
            </w:pPr>
            <w:r>
              <w:rPr>
                <w:rFonts w:ascii="Arial" w:hAnsi="Arial"/>
                <w:noProof/>
                <w:color w:val="000000"/>
                <w:sz w:val="18"/>
              </w:rPr>
              <w:t>39,46</w:t>
            </w:r>
          </w:p>
        </w:tc>
      </w:tr>
      <w:tr>
        <w:trPr>
          <w:trHeight w:val="300"/>
        </w:trPr>
        <w:tc>
          <w:tcPr>
            <w:tcW w:w="1328" w:type="dxa"/>
            <w:tcBorders>
              <w:top w:val="nil"/>
              <w:left w:val="single" w:sz="4" w:space="0" w:color="auto"/>
              <w:bottom w:val="single" w:sz="4" w:space="0" w:color="auto"/>
              <w:right w:val="single" w:sz="4" w:space="0" w:color="auto"/>
            </w:tcBorders>
            <w:shd w:val="clear" w:color="000000" w:fill="F2F2F2"/>
            <w:vAlign w:val="center"/>
            <w:hideMark/>
          </w:tcPr>
          <w:p>
            <w:pPr>
              <w:spacing w:before="0" w:after="0"/>
              <w:jc w:val="left"/>
              <w:rPr>
                <w:rFonts w:ascii="Arial" w:hAnsi="Arial" w:cs="Arial"/>
                <w:noProof/>
                <w:color w:val="000000"/>
                <w:sz w:val="18"/>
                <w:szCs w:val="18"/>
              </w:rPr>
            </w:pPr>
            <w:r>
              <w:rPr>
                <w:rFonts w:ascii="Arial" w:hAnsi="Arial"/>
                <w:noProof/>
                <w:color w:val="000000"/>
                <w:sz w:val="18"/>
              </w:rPr>
              <w:t xml:space="preserve">Belgique            </w:t>
            </w:r>
          </w:p>
        </w:tc>
        <w:tc>
          <w:tcPr>
            <w:tcW w:w="1061" w:type="dxa"/>
            <w:tcBorders>
              <w:top w:val="nil"/>
              <w:left w:val="nil"/>
              <w:bottom w:val="single" w:sz="4" w:space="0" w:color="auto"/>
              <w:right w:val="single" w:sz="4" w:space="0" w:color="auto"/>
            </w:tcBorders>
            <w:shd w:val="clear" w:color="000000" w:fill="F2F2F2"/>
            <w:vAlign w:val="center"/>
            <w:hideMark/>
          </w:tcPr>
          <w:p>
            <w:pPr>
              <w:spacing w:before="0" w:after="0"/>
              <w:rPr>
                <w:rFonts w:ascii="Arial" w:hAnsi="Arial" w:cs="Arial"/>
                <w:noProof/>
                <w:color w:val="000000"/>
                <w:sz w:val="18"/>
                <w:szCs w:val="18"/>
              </w:rPr>
            </w:pPr>
            <w:r>
              <w:rPr>
                <w:rFonts w:ascii="Arial" w:hAnsi="Arial"/>
                <w:noProof/>
                <w:color w:val="000000"/>
                <w:sz w:val="18"/>
              </w:rPr>
              <w:t> </w:t>
            </w:r>
          </w:p>
        </w:tc>
        <w:tc>
          <w:tcPr>
            <w:tcW w:w="1217"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color w:val="000000"/>
                <w:sz w:val="18"/>
                <w:szCs w:val="18"/>
              </w:rPr>
            </w:pPr>
            <w:r>
              <w:rPr>
                <w:rFonts w:ascii="Arial" w:hAnsi="Arial"/>
                <w:noProof/>
                <w:color w:val="000000"/>
                <w:sz w:val="18"/>
              </w:rPr>
              <w:t>9 389 775</w:t>
            </w:r>
          </w:p>
        </w:tc>
        <w:tc>
          <w:tcPr>
            <w:tcW w:w="1017" w:type="dxa"/>
            <w:tcBorders>
              <w:top w:val="nil"/>
              <w:left w:val="nil"/>
              <w:bottom w:val="single" w:sz="4" w:space="0" w:color="auto"/>
              <w:right w:val="single" w:sz="4" w:space="0" w:color="auto"/>
            </w:tcBorders>
            <w:shd w:val="clear" w:color="auto" w:fill="auto"/>
            <w:vAlign w:val="center"/>
            <w:hideMark/>
          </w:tcPr>
          <w:p>
            <w:pPr>
              <w:spacing w:before="0" w:after="0"/>
              <w:rPr>
                <w:rFonts w:ascii="Arial" w:hAnsi="Arial" w:cs="Arial"/>
                <w:noProof/>
                <w:color w:val="000000"/>
                <w:sz w:val="18"/>
                <w:szCs w:val="18"/>
              </w:rPr>
            </w:pPr>
            <w:r>
              <w:rPr>
                <w:rFonts w:ascii="Arial" w:hAnsi="Arial"/>
                <w:noProof/>
                <w:color w:val="000000"/>
                <w:sz w:val="18"/>
              </w:rPr>
              <w:t>744 658</w:t>
            </w:r>
          </w:p>
        </w:tc>
        <w:tc>
          <w:tcPr>
            <w:tcW w:w="1061" w:type="dxa"/>
            <w:tcBorders>
              <w:top w:val="nil"/>
              <w:left w:val="nil"/>
              <w:bottom w:val="single" w:sz="4" w:space="0" w:color="auto"/>
              <w:right w:val="single" w:sz="4" w:space="0" w:color="auto"/>
            </w:tcBorders>
            <w:shd w:val="clear" w:color="auto" w:fill="auto"/>
            <w:vAlign w:val="center"/>
            <w:hideMark/>
          </w:tcPr>
          <w:p>
            <w:pPr>
              <w:spacing w:before="0" w:after="0"/>
              <w:rPr>
                <w:rFonts w:ascii="Arial" w:hAnsi="Arial" w:cs="Arial"/>
                <w:noProof/>
                <w:color w:val="000000"/>
                <w:sz w:val="18"/>
                <w:szCs w:val="18"/>
              </w:rPr>
            </w:pPr>
            <w:r>
              <w:rPr>
                <w:rFonts w:ascii="Arial" w:hAnsi="Arial"/>
                <w:noProof/>
                <w:color w:val="000000"/>
                <w:sz w:val="18"/>
              </w:rPr>
              <w:t>765 490</w:t>
            </w:r>
          </w:p>
        </w:tc>
        <w:tc>
          <w:tcPr>
            <w:tcW w:w="1061" w:type="dxa"/>
            <w:tcBorders>
              <w:top w:val="nil"/>
              <w:left w:val="nil"/>
              <w:bottom w:val="single" w:sz="4" w:space="0" w:color="auto"/>
              <w:right w:val="single" w:sz="4" w:space="0" w:color="auto"/>
            </w:tcBorders>
            <w:shd w:val="clear" w:color="auto" w:fill="auto"/>
            <w:vAlign w:val="center"/>
            <w:hideMark/>
          </w:tcPr>
          <w:p>
            <w:pPr>
              <w:spacing w:before="0" w:after="0"/>
              <w:rPr>
                <w:rFonts w:ascii="Arial" w:hAnsi="Arial" w:cs="Arial"/>
                <w:noProof/>
                <w:color w:val="000000"/>
                <w:sz w:val="18"/>
                <w:szCs w:val="18"/>
              </w:rPr>
            </w:pPr>
            <w:r>
              <w:rPr>
                <w:rFonts w:ascii="Arial" w:hAnsi="Arial"/>
                <w:noProof/>
                <w:color w:val="000000"/>
                <w:sz w:val="18"/>
              </w:rPr>
              <w:t>104 683</w:t>
            </w:r>
          </w:p>
        </w:tc>
        <w:tc>
          <w:tcPr>
            <w:tcW w:w="1150" w:type="dxa"/>
            <w:tcBorders>
              <w:top w:val="nil"/>
              <w:left w:val="nil"/>
              <w:bottom w:val="single" w:sz="4" w:space="0" w:color="auto"/>
              <w:right w:val="single" w:sz="4" w:space="0" w:color="auto"/>
            </w:tcBorders>
            <w:shd w:val="clear" w:color="000000" w:fill="F2F2F2"/>
            <w:noWrap/>
            <w:vAlign w:val="bottom"/>
            <w:hideMark/>
          </w:tcPr>
          <w:p>
            <w:pPr>
              <w:spacing w:before="0" w:after="0"/>
              <w:jc w:val="right"/>
              <w:rPr>
                <w:rFonts w:ascii="Arial" w:hAnsi="Arial" w:cs="Arial"/>
                <w:noProof/>
                <w:color w:val="000000"/>
                <w:sz w:val="18"/>
                <w:szCs w:val="18"/>
              </w:rPr>
            </w:pPr>
            <w:r>
              <w:rPr>
                <w:rFonts w:ascii="Arial" w:hAnsi="Arial"/>
                <w:noProof/>
                <w:color w:val="000000"/>
                <w:sz w:val="18"/>
              </w:rPr>
              <w:t>14,1</w:t>
            </w:r>
          </w:p>
        </w:tc>
        <w:tc>
          <w:tcPr>
            <w:tcW w:w="1124" w:type="dxa"/>
            <w:tcBorders>
              <w:top w:val="nil"/>
              <w:left w:val="nil"/>
              <w:bottom w:val="single" w:sz="4" w:space="0" w:color="auto"/>
              <w:right w:val="single" w:sz="4" w:space="0" w:color="auto"/>
            </w:tcBorders>
            <w:shd w:val="clear" w:color="000000" w:fill="F2F2F2"/>
            <w:noWrap/>
            <w:vAlign w:val="bottom"/>
            <w:hideMark/>
          </w:tcPr>
          <w:p>
            <w:pPr>
              <w:spacing w:before="0" w:after="0"/>
              <w:jc w:val="right"/>
              <w:rPr>
                <w:rFonts w:ascii="Arial" w:hAnsi="Arial" w:cs="Arial"/>
                <w:noProof/>
                <w:color w:val="000000"/>
                <w:sz w:val="18"/>
                <w:szCs w:val="18"/>
              </w:rPr>
            </w:pPr>
            <w:r>
              <w:rPr>
                <w:rFonts w:ascii="Arial" w:hAnsi="Arial"/>
                <w:noProof/>
                <w:color w:val="000000"/>
                <w:sz w:val="18"/>
              </w:rPr>
              <w:t>13,7</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Arial" w:hAnsi="Arial" w:cs="Arial"/>
                <w:noProof/>
                <w:color w:val="000000"/>
                <w:sz w:val="18"/>
                <w:szCs w:val="18"/>
              </w:rPr>
            </w:pPr>
            <w:r>
              <w:rPr>
                <w:rFonts w:ascii="Arial" w:hAnsi="Arial"/>
                <w:noProof/>
                <w:color w:val="000000"/>
                <w:sz w:val="18"/>
              </w:rPr>
              <w:t>7,93</w:t>
            </w:r>
          </w:p>
        </w:tc>
      </w:tr>
      <w:tr>
        <w:trPr>
          <w:trHeight w:val="300"/>
        </w:trPr>
        <w:tc>
          <w:tcPr>
            <w:tcW w:w="1328" w:type="dxa"/>
            <w:tcBorders>
              <w:top w:val="nil"/>
              <w:left w:val="single" w:sz="4" w:space="0" w:color="auto"/>
              <w:bottom w:val="single" w:sz="4" w:space="0" w:color="auto"/>
              <w:right w:val="single" w:sz="4" w:space="0" w:color="auto"/>
            </w:tcBorders>
            <w:shd w:val="clear" w:color="000000" w:fill="F2F2F2"/>
            <w:vAlign w:val="center"/>
            <w:hideMark/>
          </w:tcPr>
          <w:p>
            <w:pPr>
              <w:spacing w:before="0" w:after="0"/>
              <w:jc w:val="left"/>
              <w:rPr>
                <w:rFonts w:ascii="Arial" w:hAnsi="Arial" w:cs="Arial"/>
                <w:noProof/>
                <w:color w:val="000000"/>
                <w:sz w:val="18"/>
                <w:szCs w:val="18"/>
              </w:rPr>
            </w:pPr>
            <w:r>
              <w:rPr>
                <w:rFonts w:ascii="Arial" w:hAnsi="Arial"/>
                <w:noProof/>
                <w:color w:val="000000"/>
                <w:sz w:val="18"/>
              </w:rPr>
              <w:t xml:space="preserve">Portugal         </w:t>
            </w:r>
          </w:p>
        </w:tc>
        <w:tc>
          <w:tcPr>
            <w:tcW w:w="1061" w:type="dxa"/>
            <w:tcBorders>
              <w:top w:val="nil"/>
              <w:left w:val="nil"/>
              <w:bottom w:val="single" w:sz="4" w:space="0" w:color="auto"/>
              <w:right w:val="single" w:sz="4" w:space="0" w:color="auto"/>
            </w:tcBorders>
            <w:shd w:val="clear" w:color="000000" w:fill="F2F2F2"/>
            <w:vAlign w:val="center"/>
            <w:hideMark/>
          </w:tcPr>
          <w:p>
            <w:pPr>
              <w:spacing w:before="0" w:after="0"/>
              <w:rPr>
                <w:rFonts w:ascii="Arial" w:hAnsi="Arial" w:cs="Arial"/>
                <w:noProof/>
                <w:color w:val="000000"/>
                <w:sz w:val="18"/>
                <w:szCs w:val="18"/>
              </w:rPr>
            </w:pPr>
            <w:r>
              <w:rPr>
                <w:rFonts w:ascii="Arial" w:hAnsi="Arial"/>
                <w:noProof/>
                <w:color w:val="000000"/>
                <w:sz w:val="18"/>
              </w:rPr>
              <w:t xml:space="preserve">x </w:t>
            </w:r>
          </w:p>
        </w:tc>
        <w:tc>
          <w:tcPr>
            <w:tcW w:w="1217"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color w:val="000000"/>
                <w:sz w:val="18"/>
                <w:szCs w:val="18"/>
              </w:rPr>
            </w:pPr>
            <w:r>
              <w:rPr>
                <w:rFonts w:ascii="Arial" w:hAnsi="Arial"/>
                <w:noProof/>
                <w:color w:val="000000"/>
                <w:sz w:val="18"/>
              </w:rPr>
              <w:t>8 880 498</w:t>
            </w:r>
          </w:p>
        </w:tc>
        <w:tc>
          <w:tcPr>
            <w:tcW w:w="1017" w:type="dxa"/>
            <w:tcBorders>
              <w:top w:val="nil"/>
              <w:left w:val="nil"/>
              <w:bottom w:val="single" w:sz="4" w:space="0" w:color="auto"/>
              <w:right w:val="single" w:sz="4" w:space="0" w:color="auto"/>
            </w:tcBorders>
            <w:shd w:val="clear" w:color="auto" w:fill="auto"/>
            <w:vAlign w:val="center"/>
            <w:hideMark/>
          </w:tcPr>
          <w:p>
            <w:pPr>
              <w:spacing w:before="0" w:after="0"/>
              <w:rPr>
                <w:rFonts w:ascii="Arial" w:hAnsi="Arial" w:cs="Arial"/>
                <w:noProof/>
                <w:color w:val="000000"/>
                <w:sz w:val="18"/>
                <w:szCs w:val="18"/>
              </w:rPr>
            </w:pPr>
            <w:r>
              <w:rPr>
                <w:rFonts w:ascii="Arial" w:hAnsi="Arial"/>
                <w:noProof/>
                <w:color w:val="000000"/>
                <w:sz w:val="18"/>
              </w:rPr>
              <w:t>96 391</w:t>
            </w:r>
          </w:p>
        </w:tc>
        <w:tc>
          <w:tcPr>
            <w:tcW w:w="1061" w:type="dxa"/>
            <w:tcBorders>
              <w:top w:val="nil"/>
              <w:left w:val="nil"/>
              <w:bottom w:val="single" w:sz="4" w:space="0" w:color="auto"/>
              <w:right w:val="single" w:sz="4" w:space="0" w:color="auto"/>
            </w:tcBorders>
            <w:shd w:val="clear" w:color="auto" w:fill="auto"/>
            <w:vAlign w:val="center"/>
            <w:hideMark/>
          </w:tcPr>
          <w:p>
            <w:pPr>
              <w:spacing w:before="0" w:after="0"/>
              <w:rPr>
                <w:rFonts w:ascii="Arial" w:hAnsi="Arial" w:cs="Arial"/>
                <w:noProof/>
                <w:color w:val="000000"/>
                <w:sz w:val="18"/>
                <w:szCs w:val="18"/>
              </w:rPr>
            </w:pPr>
            <w:r>
              <w:rPr>
                <w:rFonts w:ascii="Arial" w:hAnsi="Arial"/>
                <w:noProof/>
                <w:color w:val="000000"/>
                <w:sz w:val="18"/>
              </w:rPr>
              <w:t> </w:t>
            </w:r>
          </w:p>
        </w:tc>
        <w:tc>
          <w:tcPr>
            <w:tcW w:w="1061" w:type="dxa"/>
            <w:tcBorders>
              <w:top w:val="nil"/>
              <w:left w:val="nil"/>
              <w:bottom w:val="single" w:sz="4" w:space="0" w:color="auto"/>
              <w:right w:val="single" w:sz="4" w:space="0" w:color="auto"/>
            </w:tcBorders>
            <w:shd w:val="clear" w:color="auto" w:fill="auto"/>
            <w:vAlign w:val="center"/>
            <w:hideMark/>
          </w:tcPr>
          <w:p>
            <w:pPr>
              <w:spacing w:before="0" w:after="0"/>
              <w:rPr>
                <w:rFonts w:ascii="Arial" w:hAnsi="Arial" w:cs="Arial"/>
                <w:noProof/>
                <w:color w:val="000000"/>
                <w:sz w:val="18"/>
                <w:szCs w:val="18"/>
              </w:rPr>
            </w:pPr>
            <w:r>
              <w:rPr>
                <w:rFonts w:ascii="Arial" w:hAnsi="Arial"/>
                <w:noProof/>
                <w:color w:val="000000"/>
                <w:sz w:val="18"/>
              </w:rPr>
              <w:t>12 992</w:t>
            </w:r>
          </w:p>
        </w:tc>
        <w:tc>
          <w:tcPr>
            <w:tcW w:w="1150" w:type="dxa"/>
            <w:tcBorders>
              <w:top w:val="nil"/>
              <w:left w:val="nil"/>
              <w:bottom w:val="single" w:sz="4" w:space="0" w:color="auto"/>
              <w:right w:val="single" w:sz="4" w:space="0" w:color="auto"/>
            </w:tcBorders>
            <w:shd w:val="clear" w:color="000000" w:fill="F2F2F2"/>
            <w:noWrap/>
            <w:vAlign w:val="bottom"/>
            <w:hideMark/>
          </w:tcPr>
          <w:p>
            <w:pPr>
              <w:spacing w:before="0" w:after="0"/>
              <w:jc w:val="right"/>
              <w:rPr>
                <w:rFonts w:ascii="Arial" w:hAnsi="Arial" w:cs="Arial"/>
                <w:noProof/>
                <w:color w:val="000000"/>
                <w:sz w:val="18"/>
                <w:szCs w:val="18"/>
              </w:rPr>
            </w:pPr>
            <w:r>
              <w:rPr>
                <w:rFonts w:ascii="Arial" w:hAnsi="Arial"/>
                <w:noProof/>
                <w:color w:val="000000"/>
                <w:sz w:val="18"/>
              </w:rPr>
              <w:t>13,5</w:t>
            </w:r>
          </w:p>
        </w:tc>
        <w:tc>
          <w:tcPr>
            <w:tcW w:w="1124" w:type="dxa"/>
            <w:tcBorders>
              <w:top w:val="nil"/>
              <w:left w:val="nil"/>
              <w:bottom w:val="single" w:sz="4" w:space="0" w:color="auto"/>
              <w:right w:val="single" w:sz="4" w:space="0" w:color="auto"/>
            </w:tcBorders>
            <w:shd w:val="clear" w:color="000000" w:fill="F2F2F2"/>
            <w:noWrap/>
            <w:vAlign w:val="bottom"/>
            <w:hideMark/>
          </w:tcPr>
          <w:p>
            <w:pPr>
              <w:spacing w:before="0" w:after="0"/>
              <w:jc w:val="left"/>
              <w:rPr>
                <w:rFonts w:ascii="Arial" w:hAnsi="Arial" w:cs="Arial"/>
                <w:noProof/>
                <w:color w:val="000000"/>
                <w:sz w:val="18"/>
                <w:szCs w:val="18"/>
              </w:rPr>
            </w:pPr>
            <w:r>
              <w:rPr>
                <w:rFonts w:ascii="Arial" w:hAnsi="Arial"/>
                <w:noProof/>
                <w:color w:val="000000"/>
                <w:sz w:val="18"/>
              </w:rPr>
              <w:t>-</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Arial" w:hAnsi="Arial" w:cs="Arial"/>
                <w:noProof/>
                <w:color w:val="000000"/>
                <w:sz w:val="18"/>
                <w:szCs w:val="18"/>
              </w:rPr>
            </w:pPr>
            <w:r>
              <w:rPr>
                <w:rFonts w:ascii="Arial" w:hAnsi="Arial"/>
                <w:noProof/>
                <w:color w:val="000000"/>
                <w:sz w:val="18"/>
              </w:rPr>
              <w:t>1,09</w:t>
            </w:r>
          </w:p>
        </w:tc>
      </w:tr>
      <w:tr>
        <w:trPr>
          <w:trHeight w:val="300"/>
        </w:trPr>
        <w:tc>
          <w:tcPr>
            <w:tcW w:w="1328" w:type="dxa"/>
            <w:tcBorders>
              <w:top w:val="nil"/>
              <w:left w:val="single" w:sz="4" w:space="0" w:color="auto"/>
              <w:bottom w:val="single" w:sz="4" w:space="0" w:color="auto"/>
              <w:right w:val="single" w:sz="4" w:space="0" w:color="auto"/>
            </w:tcBorders>
            <w:shd w:val="clear" w:color="000000" w:fill="F2F2F2"/>
            <w:vAlign w:val="center"/>
            <w:hideMark/>
          </w:tcPr>
          <w:p>
            <w:pPr>
              <w:spacing w:before="0" w:after="0"/>
              <w:jc w:val="left"/>
              <w:rPr>
                <w:rFonts w:ascii="Arial" w:hAnsi="Arial" w:cs="Arial"/>
                <w:noProof/>
                <w:color w:val="000000"/>
                <w:sz w:val="18"/>
                <w:szCs w:val="18"/>
              </w:rPr>
            </w:pPr>
            <w:r>
              <w:rPr>
                <w:rFonts w:ascii="Arial" w:hAnsi="Arial"/>
                <w:noProof/>
                <w:color w:val="000000"/>
                <w:sz w:val="18"/>
              </w:rPr>
              <w:t>Grèce</w:t>
            </w:r>
          </w:p>
        </w:tc>
        <w:tc>
          <w:tcPr>
            <w:tcW w:w="1061" w:type="dxa"/>
            <w:tcBorders>
              <w:top w:val="nil"/>
              <w:left w:val="nil"/>
              <w:bottom w:val="single" w:sz="4" w:space="0" w:color="auto"/>
              <w:right w:val="single" w:sz="4" w:space="0" w:color="auto"/>
            </w:tcBorders>
            <w:shd w:val="clear" w:color="000000" w:fill="F2F2F2"/>
            <w:vAlign w:val="center"/>
            <w:hideMark/>
          </w:tcPr>
          <w:p>
            <w:pPr>
              <w:spacing w:before="0" w:after="0"/>
              <w:rPr>
                <w:rFonts w:ascii="Arial" w:hAnsi="Arial" w:cs="Arial"/>
                <w:noProof/>
                <w:color w:val="000000"/>
                <w:sz w:val="18"/>
                <w:szCs w:val="18"/>
              </w:rPr>
            </w:pPr>
            <w:r>
              <w:rPr>
                <w:rFonts w:ascii="Arial" w:hAnsi="Arial"/>
                <w:noProof/>
                <w:color w:val="000000"/>
                <w:sz w:val="18"/>
              </w:rPr>
              <w:t> </w:t>
            </w:r>
          </w:p>
        </w:tc>
        <w:tc>
          <w:tcPr>
            <w:tcW w:w="1217"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color w:val="000000"/>
                <w:sz w:val="18"/>
                <w:szCs w:val="18"/>
              </w:rPr>
            </w:pPr>
            <w:r>
              <w:rPr>
                <w:rFonts w:ascii="Arial" w:hAnsi="Arial"/>
                <w:noProof/>
                <w:color w:val="000000"/>
                <w:sz w:val="18"/>
              </w:rPr>
              <w:t>9 226 985</w:t>
            </w:r>
          </w:p>
        </w:tc>
        <w:tc>
          <w:tcPr>
            <w:tcW w:w="1017" w:type="dxa"/>
            <w:tcBorders>
              <w:top w:val="nil"/>
              <w:left w:val="nil"/>
              <w:bottom w:val="single" w:sz="4" w:space="0" w:color="auto"/>
              <w:right w:val="single" w:sz="4" w:space="0" w:color="auto"/>
            </w:tcBorders>
            <w:shd w:val="clear" w:color="auto" w:fill="auto"/>
            <w:vAlign w:val="center"/>
            <w:hideMark/>
          </w:tcPr>
          <w:p>
            <w:pPr>
              <w:spacing w:before="0" w:after="0"/>
              <w:rPr>
                <w:rFonts w:ascii="Arial" w:hAnsi="Arial" w:cs="Arial"/>
                <w:noProof/>
                <w:color w:val="000000"/>
                <w:sz w:val="18"/>
                <w:szCs w:val="18"/>
              </w:rPr>
            </w:pPr>
            <w:r>
              <w:rPr>
                <w:rFonts w:ascii="Arial" w:hAnsi="Arial"/>
                <w:noProof/>
                <w:color w:val="000000"/>
                <w:sz w:val="18"/>
              </w:rPr>
              <w:t>180 025</w:t>
            </w:r>
          </w:p>
        </w:tc>
        <w:tc>
          <w:tcPr>
            <w:tcW w:w="1061" w:type="dxa"/>
            <w:tcBorders>
              <w:top w:val="nil"/>
              <w:left w:val="nil"/>
              <w:bottom w:val="single" w:sz="4" w:space="0" w:color="auto"/>
              <w:right w:val="single" w:sz="4" w:space="0" w:color="auto"/>
            </w:tcBorders>
            <w:shd w:val="clear" w:color="auto" w:fill="auto"/>
            <w:vAlign w:val="center"/>
            <w:hideMark/>
          </w:tcPr>
          <w:p>
            <w:pPr>
              <w:spacing w:before="0" w:after="0"/>
              <w:rPr>
                <w:rFonts w:ascii="Arial" w:hAnsi="Arial" w:cs="Arial"/>
                <w:noProof/>
                <w:color w:val="000000"/>
                <w:sz w:val="18"/>
                <w:szCs w:val="18"/>
              </w:rPr>
            </w:pPr>
            <w:r>
              <w:rPr>
                <w:rFonts w:ascii="Arial" w:hAnsi="Arial"/>
                <w:noProof/>
                <w:color w:val="000000"/>
                <w:sz w:val="18"/>
              </w:rPr>
              <w:t>19 413</w:t>
            </w:r>
          </w:p>
        </w:tc>
        <w:tc>
          <w:tcPr>
            <w:tcW w:w="1061" w:type="dxa"/>
            <w:tcBorders>
              <w:top w:val="nil"/>
              <w:left w:val="nil"/>
              <w:bottom w:val="single" w:sz="4" w:space="0" w:color="auto"/>
              <w:right w:val="single" w:sz="4" w:space="0" w:color="auto"/>
            </w:tcBorders>
            <w:shd w:val="clear" w:color="auto" w:fill="auto"/>
            <w:vAlign w:val="center"/>
            <w:hideMark/>
          </w:tcPr>
          <w:p>
            <w:pPr>
              <w:spacing w:before="0" w:after="0"/>
              <w:rPr>
                <w:rFonts w:ascii="Arial" w:hAnsi="Arial" w:cs="Arial"/>
                <w:noProof/>
                <w:color w:val="000000"/>
                <w:sz w:val="18"/>
                <w:szCs w:val="18"/>
              </w:rPr>
            </w:pPr>
            <w:r>
              <w:rPr>
                <w:rFonts w:ascii="Arial" w:hAnsi="Arial"/>
                <w:noProof/>
                <w:color w:val="000000"/>
                <w:sz w:val="18"/>
              </w:rPr>
              <w:t>19 413</w:t>
            </w:r>
          </w:p>
        </w:tc>
        <w:tc>
          <w:tcPr>
            <w:tcW w:w="1150" w:type="dxa"/>
            <w:tcBorders>
              <w:top w:val="nil"/>
              <w:left w:val="nil"/>
              <w:bottom w:val="single" w:sz="4" w:space="0" w:color="auto"/>
              <w:right w:val="single" w:sz="4" w:space="0" w:color="auto"/>
            </w:tcBorders>
            <w:shd w:val="clear" w:color="000000" w:fill="F2F2F2"/>
            <w:noWrap/>
            <w:vAlign w:val="bottom"/>
            <w:hideMark/>
          </w:tcPr>
          <w:p>
            <w:pPr>
              <w:spacing w:before="0" w:after="0"/>
              <w:jc w:val="right"/>
              <w:rPr>
                <w:rFonts w:ascii="Arial" w:hAnsi="Arial" w:cs="Arial"/>
                <w:noProof/>
                <w:color w:val="000000"/>
                <w:sz w:val="18"/>
                <w:szCs w:val="18"/>
              </w:rPr>
            </w:pPr>
            <w:r>
              <w:rPr>
                <w:rFonts w:ascii="Arial" w:hAnsi="Arial"/>
                <w:noProof/>
                <w:color w:val="000000"/>
                <w:sz w:val="18"/>
              </w:rPr>
              <w:t>10,8</w:t>
            </w:r>
          </w:p>
        </w:tc>
        <w:tc>
          <w:tcPr>
            <w:tcW w:w="1124" w:type="dxa"/>
            <w:tcBorders>
              <w:top w:val="nil"/>
              <w:left w:val="nil"/>
              <w:bottom w:val="single" w:sz="4" w:space="0" w:color="auto"/>
              <w:right w:val="single" w:sz="4" w:space="0" w:color="auto"/>
            </w:tcBorders>
            <w:shd w:val="clear" w:color="000000" w:fill="F2F2F2"/>
            <w:noWrap/>
            <w:vAlign w:val="bottom"/>
            <w:hideMark/>
          </w:tcPr>
          <w:p>
            <w:pPr>
              <w:spacing w:before="0" w:after="0"/>
              <w:jc w:val="right"/>
              <w:rPr>
                <w:rFonts w:ascii="Arial" w:hAnsi="Arial" w:cs="Arial"/>
                <w:noProof/>
                <w:color w:val="000000"/>
                <w:sz w:val="18"/>
                <w:szCs w:val="18"/>
              </w:rPr>
            </w:pPr>
            <w:r>
              <w:rPr>
                <w:rFonts w:ascii="Arial" w:hAnsi="Arial"/>
                <w:noProof/>
                <w:color w:val="000000"/>
                <w:sz w:val="18"/>
              </w:rPr>
              <w:t>100,0</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Arial" w:hAnsi="Arial" w:cs="Arial"/>
                <w:noProof/>
                <w:color w:val="000000"/>
                <w:sz w:val="18"/>
                <w:szCs w:val="18"/>
              </w:rPr>
            </w:pPr>
            <w:r>
              <w:rPr>
                <w:rFonts w:ascii="Arial" w:hAnsi="Arial"/>
                <w:noProof/>
                <w:color w:val="000000"/>
                <w:sz w:val="18"/>
              </w:rPr>
              <w:t>1,95</w:t>
            </w:r>
          </w:p>
        </w:tc>
      </w:tr>
    </w:tbl>
    <w:p>
      <w:pPr>
        <w:pStyle w:val="Text1"/>
        <w:ind w:left="0"/>
        <w:rPr>
          <w:i/>
          <w:noProof/>
          <w:sz w:val="20"/>
        </w:rPr>
      </w:pPr>
      <w:r>
        <w:rPr>
          <w:noProof/>
        </w:rPr>
        <w:t>*</w:t>
      </w:r>
      <w:r>
        <w:rPr>
          <w:i/>
          <w:noProof/>
          <w:sz w:val="20"/>
        </w:rPr>
        <w:t xml:space="preserve"> Sur la base des données d’Eurostat pour 2016 relatives à la population par classe d’âge, sexe et nationalité [migr_pop1ctz], extraites le 31.10.2017, et des données fournies par les États membres.</w:t>
      </w:r>
    </w:p>
    <w:p>
      <w:pPr>
        <w:rPr>
          <w:noProof/>
        </w:rPr>
      </w:pPr>
    </w:p>
    <w:p>
      <w:pPr>
        <w:rPr>
          <w:noProof/>
        </w:rPr>
      </w:pPr>
    </w:p>
    <w:p>
      <w:pPr>
        <w:spacing w:before="0" w:after="200" w:line="276" w:lineRule="auto"/>
        <w:jc w:val="left"/>
        <w:rPr>
          <w:noProof/>
        </w:rPr>
      </w:pPr>
      <w:r>
        <w:rPr>
          <w:noProof/>
        </w:rPr>
        <w:br w:type="page"/>
      </w:r>
    </w:p>
    <w:p>
      <w:pPr>
        <w:rPr>
          <w:b/>
          <w:noProof/>
        </w:rPr>
      </w:pPr>
      <w:r>
        <w:rPr>
          <w:b/>
          <w:noProof/>
        </w:rPr>
        <w:t>Tableau 1.2. Vue d’ensemble des données concernant les citoyens mobiles de l’UE**</w:t>
      </w:r>
    </w:p>
    <w:p>
      <w:pPr>
        <w:rPr>
          <w:rFonts w:asciiTheme="minorHAnsi" w:eastAsiaTheme="minorHAnsi" w:hAnsiTheme="minorHAnsi" w:cstheme="minorBidi"/>
          <w:noProof/>
          <w:sz w:val="22"/>
          <w:szCs w:val="22"/>
        </w:rPr>
      </w:pPr>
      <w:r>
        <w:rPr>
          <w:noProof/>
        </w:rPr>
        <w:fldChar w:fldCharType="begin"/>
      </w:r>
      <w:r>
        <w:rPr>
          <w:noProof/>
        </w:rPr>
        <w:instrText xml:space="preserve"> LINK Excel.Sheet.12 "\\\\net1.cec.eu.int\\JUST\\D\\3\\ELECTIONS\\MUNICIPAL elections\\2017 report on local elections\\26102017 Table MS replies.xlsx" Sheet2!R3C3:R34C11 \a \f 4 \h  \* MERGEFORMAT </w:instrText>
      </w:r>
      <w:r>
        <w:rPr>
          <w:noProof/>
        </w:rPr>
        <w:fldChar w:fldCharType="separate"/>
      </w:r>
    </w:p>
    <w:tbl>
      <w:tblPr>
        <w:tblW w:w="10206" w:type="dxa"/>
        <w:tblInd w:w="108" w:type="dxa"/>
        <w:tblLayout w:type="fixed"/>
        <w:tblLook w:val="04A0" w:firstRow="1" w:lastRow="0" w:firstColumn="1" w:lastColumn="0" w:noHBand="0" w:noVBand="1"/>
      </w:tblPr>
      <w:tblGrid>
        <w:gridCol w:w="1276"/>
        <w:gridCol w:w="1158"/>
        <w:gridCol w:w="1110"/>
        <w:gridCol w:w="1134"/>
        <w:gridCol w:w="1134"/>
        <w:gridCol w:w="1134"/>
        <w:gridCol w:w="992"/>
        <w:gridCol w:w="1134"/>
        <w:gridCol w:w="1134"/>
      </w:tblGrid>
      <w:tr>
        <w:trPr>
          <w:trHeight w:val="1800"/>
        </w:trPr>
        <w:tc>
          <w:tcPr>
            <w:tcW w:w="1276"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pPr>
              <w:spacing w:before="0" w:after="0"/>
              <w:jc w:val="left"/>
              <w:rPr>
                <w:rFonts w:ascii="Calibri" w:hAnsi="Calibri"/>
                <w:noProof/>
                <w:color w:val="000000"/>
                <w:sz w:val="22"/>
                <w:szCs w:val="22"/>
              </w:rPr>
            </w:pPr>
            <w:r>
              <w:rPr>
                <w:rFonts w:ascii="Calibri" w:hAnsi="Calibri"/>
                <w:noProof/>
                <w:color w:val="000000"/>
                <w:sz w:val="22"/>
                <w:szCs w:val="22"/>
              </w:rPr>
              <w:t> </w:t>
            </w:r>
          </w:p>
        </w:tc>
        <w:tc>
          <w:tcPr>
            <w:tcW w:w="1158" w:type="dxa"/>
            <w:tcBorders>
              <w:top w:val="single" w:sz="4" w:space="0" w:color="auto"/>
              <w:left w:val="nil"/>
              <w:bottom w:val="single" w:sz="4" w:space="0" w:color="auto"/>
              <w:right w:val="single" w:sz="4" w:space="0" w:color="auto"/>
            </w:tcBorders>
            <w:shd w:val="clear" w:color="000000" w:fill="C0C0C0"/>
            <w:vAlign w:val="center"/>
            <w:hideMark/>
          </w:tcPr>
          <w:p>
            <w:pPr>
              <w:spacing w:before="0" w:after="0"/>
              <w:jc w:val="center"/>
              <w:rPr>
                <w:rFonts w:ascii="Arial" w:hAnsi="Arial" w:cs="Arial"/>
                <w:noProof/>
                <w:color w:val="000000"/>
                <w:sz w:val="16"/>
                <w:szCs w:val="16"/>
              </w:rPr>
            </w:pPr>
            <w:r>
              <w:rPr>
                <w:rFonts w:ascii="Arial" w:hAnsi="Arial" w:cs="Arial"/>
                <w:noProof/>
                <w:color w:val="000000"/>
                <w:sz w:val="16"/>
                <w:szCs w:val="16"/>
              </w:rPr>
              <w:t xml:space="preserve">Nombre de citoyens de l'UE (âgés de 15 ans et plus) résidant dans l'État membre au 1.1.2016 </w:t>
            </w:r>
            <w:r>
              <w:rPr>
                <w:rFonts w:ascii="Arial" w:hAnsi="Arial" w:cs="Arial"/>
                <w:b/>
                <w:noProof/>
                <w:color w:val="000000"/>
                <w:sz w:val="16"/>
                <w:szCs w:val="16"/>
              </w:rPr>
              <w:t>(Données Eurostat de 2016)</w:t>
            </w:r>
          </w:p>
        </w:tc>
        <w:tc>
          <w:tcPr>
            <w:tcW w:w="1110" w:type="dxa"/>
            <w:tcBorders>
              <w:top w:val="single" w:sz="4" w:space="0" w:color="auto"/>
              <w:left w:val="nil"/>
              <w:bottom w:val="single" w:sz="4" w:space="0" w:color="auto"/>
              <w:right w:val="single" w:sz="4" w:space="0" w:color="auto"/>
            </w:tcBorders>
            <w:shd w:val="clear" w:color="000000" w:fill="C0C0C0"/>
            <w:vAlign w:val="center"/>
            <w:hideMark/>
          </w:tcPr>
          <w:p>
            <w:pPr>
              <w:spacing w:before="0" w:after="0"/>
              <w:jc w:val="center"/>
              <w:rPr>
                <w:rFonts w:ascii="Arial" w:hAnsi="Arial" w:cs="Arial"/>
                <w:noProof/>
                <w:color w:val="000000"/>
                <w:sz w:val="16"/>
                <w:szCs w:val="16"/>
              </w:rPr>
            </w:pPr>
            <w:r>
              <w:rPr>
                <w:rFonts w:ascii="Arial" w:hAnsi="Arial" w:cs="Arial"/>
                <w:noProof/>
                <w:color w:val="000000"/>
                <w:sz w:val="16"/>
                <w:szCs w:val="16"/>
              </w:rPr>
              <w:t xml:space="preserve">Nombre de citoyens de l'UE signalés comme jouissant du droit de vote aux élections municipales </w:t>
            </w:r>
            <w:r>
              <w:rPr>
                <w:rFonts w:ascii="Arial" w:hAnsi="Arial" w:cs="Arial"/>
                <w:b/>
                <w:noProof/>
                <w:color w:val="000000"/>
                <w:sz w:val="16"/>
                <w:szCs w:val="16"/>
              </w:rPr>
              <w:t>(Données État membre)</w:t>
            </w:r>
          </w:p>
        </w:tc>
        <w:tc>
          <w:tcPr>
            <w:tcW w:w="1134" w:type="dxa"/>
            <w:tcBorders>
              <w:top w:val="single" w:sz="4" w:space="0" w:color="auto"/>
              <w:left w:val="nil"/>
              <w:bottom w:val="single" w:sz="4" w:space="0" w:color="auto"/>
              <w:right w:val="single" w:sz="4" w:space="0" w:color="auto"/>
            </w:tcBorders>
            <w:shd w:val="clear" w:color="000000" w:fill="C0C0C0"/>
            <w:vAlign w:val="center"/>
            <w:hideMark/>
          </w:tcPr>
          <w:p>
            <w:pPr>
              <w:spacing w:before="0" w:after="0"/>
              <w:jc w:val="center"/>
              <w:rPr>
                <w:rFonts w:ascii="Arial" w:hAnsi="Arial" w:cs="Arial"/>
                <w:noProof/>
                <w:color w:val="000000"/>
                <w:sz w:val="16"/>
                <w:szCs w:val="16"/>
              </w:rPr>
            </w:pPr>
            <w:r>
              <w:rPr>
                <w:rFonts w:ascii="Arial" w:hAnsi="Arial" w:cs="Arial"/>
                <w:noProof/>
                <w:color w:val="000000"/>
                <w:sz w:val="16"/>
                <w:szCs w:val="16"/>
              </w:rPr>
              <w:t xml:space="preserve">Nombre de citoyens de l'UE inscrits sur les listes électorales pour les élections municipales </w:t>
            </w:r>
            <w:r>
              <w:rPr>
                <w:rFonts w:ascii="Arial" w:hAnsi="Arial" w:cs="Arial"/>
                <w:b/>
                <w:noProof/>
                <w:color w:val="000000"/>
                <w:sz w:val="16"/>
                <w:szCs w:val="16"/>
              </w:rPr>
              <w:t>(Données État membre)</w:t>
            </w:r>
          </w:p>
        </w:tc>
        <w:tc>
          <w:tcPr>
            <w:tcW w:w="1134" w:type="dxa"/>
            <w:tcBorders>
              <w:top w:val="single" w:sz="4" w:space="0" w:color="auto"/>
              <w:left w:val="nil"/>
              <w:bottom w:val="single" w:sz="4" w:space="0" w:color="auto"/>
              <w:right w:val="single" w:sz="4" w:space="0" w:color="auto"/>
            </w:tcBorders>
            <w:shd w:val="clear" w:color="000000" w:fill="C0C0C0"/>
            <w:vAlign w:val="center"/>
            <w:hideMark/>
          </w:tcPr>
          <w:p>
            <w:pPr>
              <w:spacing w:before="0" w:after="0"/>
              <w:jc w:val="center"/>
              <w:rPr>
                <w:rFonts w:ascii="Arial" w:hAnsi="Arial" w:cs="Arial"/>
                <w:noProof/>
                <w:color w:val="000000"/>
                <w:sz w:val="16"/>
                <w:szCs w:val="16"/>
              </w:rPr>
            </w:pPr>
            <w:r>
              <w:rPr>
                <w:rFonts w:ascii="Arial" w:hAnsi="Arial" w:cs="Arial"/>
                <w:noProof/>
                <w:color w:val="000000"/>
                <w:sz w:val="16"/>
                <w:szCs w:val="16"/>
              </w:rPr>
              <w:t xml:space="preserve">Pourcentage de citoyens de l'UE inscrits sur les listes électorales pour les élections municipales </w:t>
            </w:r>
            <w:r>
              <w:rPr>
                <w:rFonts w:ascii="Arial" w:hAnsi="Arial" w:cs="Arial"/>
                <w:b/>
                <w:noProof/>
                <w:color w:val="000000"/>
                <w:sz w:val="16"/>
                <w:szCs w:val="16"/>
              </w:rPr>
              <w:t>(Données État membre)</w:t>
            </w:r>
          </w:p>
        </w:tc>
        <w:tc>
          <w:tcPr>
            <w:tcW w:w="1134" w:type="dxa"/>
            <w:tcBorders>
              <w:top w:val="single" w:sz="4" w:space="0" w:color="auto"/>
              <w:left w:val="nil"/>
              <w:bottom w:val="single" w:sz="4" w:space="0" w:color="auto"/>
              <w:right w:val="single" w:sz="4" w:space="0" w:color="auto"/>
            </w:tcBorders>
            <w:shd w:val="clear" w:color="000000" w:fill="C0C0C0"/>
            <w:vAlign w:val="center"/>
            <w:hideMark/>
          </w:tcPr>
          <w:p>
            <w:pPr>
              <w:spacing w:before="0" w:after="0"/>
              <w:jc w:val="center"/>
              <w:rPr>
                <w:rFonts w:ascii="Arial" w:hAnsi="Arial" w:cs="Arial"/>
                <w:noProof/>
                <w:color w:val="000000"/>
                <w:sz w:val="16"/>
                <w:szCs w:val="16"/>
              </w:rPr>
            </w:pPr>
            <w:r>
              <w:rPr>
                <w:rFonts w:ascii="Arial" w:hAnsi="Arial" w:cs="Arial"/>
                <w:noProof/>
                <w:color w:val="000000"/>
                <w:sz w:val="16"/>
                <w:szCs w:val="16"/>
              </w:rPr>
              <w:t xml:space="preserve">Population de l'État membre en âge de voter (âgée de 15 ans et plus) au 1.1.2016 </w:t>
            </w:r>
            <w:r>
              <w:rPr>
                <w:rFonts w:ascii="Arial" w:hAnsi="Arial" w:cs="Arial"/>
                <w:b/>
                <w:noProof/>
                <w:color w:val="000000"/>
                <w:sz w:val="16"/>
                <w:szCs w:val="16"/>
              </w:rPr>
              <w:t>(Données Eurostat de 2016)</w:t>
            </w:r>
          </w:p>
        </w:tc>
        <w:tc>
          <w:tcPr>
            <w:tcW w:w="992" w:type="dxa"/>
            <w:tcBorders>
              <w:top w:val="single" w:sz="4" w:space="0" w:color="auto"/>
              <w:left w:val="nil"/>
              <w:bottom w:val="single" w:sz="4" w:space="0" w:color="auto"/>
              <w:right w:val="single" w:sz="4" w:space="0" w:color="auto"/>
            </w:tcBorders>
            <w:shd w:val="clear" w:color="000000" w:fill="C0C0C0"/>
            <w:vAlign w:val="center"/>
            <w:hideMark/>
          </w:tcPr>
          <w:p>
            <w:pPr>
              <w:spacing w:before="0" w:after="0"/>
              <w:jc w:val="center"/>
              <w:rPr>
                <w:rFonts w:ascii="Arial" w:hAnsi="Arial" w:cs="Arial"/>
                <w:noProof/>
                <w:color w:val="000000"/>
                <w:sz w:val="16"/>
                <w:szCs w:val="16"/>
              </w:rPr>
            </w:pPr>
            <w:r>
              <w:rPr>
                <w:rFonts w:ascii="Arial" w:hAnsi="Arial" w:cs="Arial"/>
                <w:noProof/>
                <w:color w:val="000000"/>
                <w:sz w:val="16"/>
                <w:szCs w:val="16"/>
              </w:rPr>
              <w:t xml:space="preserve">Part des citoyens de l'UE en âge de voter dans l'électorat de l'État membre (%) </w:t>
            </w:r>
          </w:p>
        </w:tc>
        <w:tc>
          <w:tcPr>
            <w:tcW w:w="1134" w:type="dxa"/>
            <w:tcBorders>
              <w:top w:val="single" w:sz="4" w:space="0" w:color="auto"/>
              <w:left w:val="nil"/>
              <w:bottom w:val="single" w:sz="4" w:space="0" w:color="auto"/>
              <w:right w:val="single" w:sz="4" w:space="0" w:color="auto"/>
            </w:tcBorders>
            <w:shd w:val="clear" w:color="000000" w:fill="C0C0C0"/>
            <w:vAlign w:val="center"/>
            <w:hideMark/>
          </w:tcPr>
          <w:p>
            <w:pPr>
              <w:spacing w:before="0" w:after="0"/>
              <w:jc w:val="center"/>
              <w:rPr>
                <w:rFonts w:ascii="Arial" w:hAnsi="Arial" w:cs="Arial"/>
                <w:noProof/>
                <w:color w:val="000000"/>
                <w:sz w:val="16"/>
                <w:szCs w:val="16"/>
              </w:rPr>
            </w:pPr>
            <w:r>
              <w:rPr>
                <w:rFonts w:ascii="Arial" w:hAnsi="Arial" w:cs="Arial"/>
                <w:noProof/>
                <w:color w:val="000000"/>
                <w:sz w:val="16"/>
                <w:szCs w:val="16"/>
              </w:rPr>
              <w:t xml:space="preserve">Nombre de citoyens de l'UE inscrits en vue de se présenter comme candidats aux élections municipales </w:t>
            </w:r>
            <w:r>
              <w:rPr>
                <w:rFonts w:ascii="Arial" w:hAnsi="Arial" w:cs="Arial"/>
                <w:b/>
                <w:noProof/>
                <w:color w:val="000000"/>
                <w:sz w:val="16"/>
                <w:szCs w:val="16"/>
              </w:rPr>
              <w:t>(Données État membre)</w:t>
            </w:r>
          </w:p>
        </w:tc>
        <w:tc>
          <w:tcPr>
            <w:tcW w:w="1134" w:type="dxa"/>
            <w:tcBorders>
              <w:top w:val="single" w:sz="4" w:space="0" w:color="auto"/>
              <w:left w:val="nil"/>
              <w:bottom w:val="single" w:sz="4" w:space="0" w:color="auto"/>
              <w:right w:val="single" w:sz="4" w:space="0" w:color="auto"/>
            </w:tcBorders>
            <w:shd w:val="clear" w:color="000000" w:fill="C0C0C0"/>
            <w:vAlign w:val="center"/>
            <w:hideMark/>
          </w:tcPr>
          <w:p>
            <w:pPr>
              <w:spacing w:before="0" w:after="0"/>
              <w:jc w:val="center"/>
              <w:rPr>
                <w:rFonts w:ascii="Arial" w:hAnsi="Arial" w:cs="Arial"/>
                <w:noProof/>
                <w:color w:val="000000"/>
                <w:sz w:val="16"/>
                <w:szCs w:val="16"/>
              </w:rPr>
            </w:pPr>
            <w:r>
              <w:rPr>
                <w:rFonts w:ascii="Arial" w:hAnsi="Arial" w:cs="Arial"/>
                <w:noProof/>
                <w:color w:val="000000"/>
                <w:sz w:val="16"/>
                <w:szCs w:val="16"/>
              </w:rPr>
              <w:t>Pourcentage de citoyens de l'UE s'étant présentés comme candidats élus aux élections municipales</w:t>
            </w:r>
          </w:p>
        </w:tc>
      </w:tr>
      <w:tr>
        <w:trPr>
          <w:trHeight w:val="300"/>
        </w:trPr>
        <w:tc>
          <w:tcPr>
            <w:tcW w:w="1276" w:type="dxa"/>
            <w:tcBorders>
              <w:top w:val="nil"/>
              <w:left w:val="single" w:sz="4" w:space="0" w:color="auto"/>
              <w:bottom w:val="single" w:sz="4" w:space="0" w:color="auto"/>
              <w:right w:val="single" w:sz="4" w:space="0" w:color="auto"/>
            </w:tcBorders>
            <w:shd w:val="clear" w:color="000000" w:fill="C0C0C0"/>
            <w:noWrap/>
            <w:vAlign w:val="center"/>
            <w:hideMark/>
          </w:tcPr>
          <w:p>
            <w:pPr>
              <w:spacing w:before="0" w:after="0"/>
              <w:rPr>
                <w:rFonts w:ascii="Arial" w:hAnsi="Arial" w:cs="Arial"/>
                <w:noProof/>
                <w:color w:val="000000"/>
                <w:sz w:val="18"/>
                <w:szCs w:val="18"/>
              </w:rPr>
            </w:pPr>
            <w:r>
              <w:rPr>
                <w:rFonts w:ascii="Arial" w:hAnsi="Arial" w:cs="Arial"/>
                <w:noProof/>
                <w:color w:val="000000"/>
                <w:sz w:val="18"/>
                <w:szCs w:val="18"/>
              </w:rPr>
              <w:t>Pays</w:t>
            </w:r>
          </w:p>
        </w:tc>
        <w:tc>
          <w:tcPr>
            <w:tcW w:w="1158" w:type="dxa"/>
            <w:tcBorders>
              <w:top w:val="nil"/>
              <w:left w:val="nil"/>
              <w:bottom w:val="single" w:sz="4" w:space="0" w:color="auto"/>
              <w:right w:val="single" w:sz="4" w:space="0" w:color="auto"/>
            </w:tcBorders>
            <w:shd w:val="clear" w:color="000000" w:fill="C0C0C0"/>
            <w:noWrap/>
            <w:vAlign w:val="center"/>
            <w:hideMark/>
          </w:tcPr>
          <w:p>
            <w:pPr>
              <w:spacing w:before="0" w:after="0"/>
              <w:rPr>
                <w:rFonts w:ascii="Arial" w:hAnsi="Arial" w:cs="Arial"/>
                <w:noProof/>
                <w:color w:val="000000"/>
                <w:sz w:val="18"/>
                <w:szCs w:val="18"/>
              </w:rPr>
            </w:pPr>
            <w:r>
              <w:rPr>
                <w:rFonts w:ascii="Arial" w:hAnsi="Arial" w:cs="Arial"/>
                <w:noProof/>
                <w:color w:val="000000"/>
                <w:sz w:val="18"/>
                <w:szCs w:val="18"/>
              </w:rPr>
              <w:t> </w:t>
            </w:r>
          </w:p>
        </w:tc>
        <w:tc>
          <w:tcPr>
            <w:tcW w:w="1110" w:type="dxa"/>
            <w:tcBorders>
              <w:top w:val="nil"/>
              <w:left w:val="nil"/>
              <w:bottom w:val="single" w:sz="4" w:space="0" w:color="auto"/>
              <w:right w:val="single" w:sz="4" w:space="0" w:color="auto"/>
            </w:tcBorders>
            <w:shd w:val="clear" w:color="000000" w:fill="C0C0C0"/>
            <w:noWrap/>
            <w:vAlign w:val="center"/>
            <w:hideMark/>
          </w:tcPr>
          <w:p>
            <w:pPr>
              <w:spacing w:before="0" w:after="0"/>
              <w:rPr>
                <w:rFonts w:ascii="Arial" w:hAnsi="Arial" w:cs="Arial"/>
                <w:noProof/>
                <w:color w:val="000000"/>
                <w:sz w:val="18"/>
                <w:szCs w:val="18"/>
              </w:rPr>
            </w:pPr>
            <w:r>
              <w:rPr>
                <w:rFonts w:ascii="Arial" w:hAnsi="Arial" w:cs="Arial"/>
                <w:noProof/>
                <w:color w:val="000000"/>
                <w:sz w:val="18"/>
                <w:szCs w:val="18"/>
              </w:rPr>
              <w:t> </w:t>
            </w:r>
          </w:p>
        </w:tc>
        <w:tc>
          <w:tcPr>
            <w:tcW w:w="1134" w:type="dxa"/>
            <w:tcBorders>
              <w:top w:val="nil"/>
              <w:left w:val="nil"/>
              <w:bottom w:val="single" w:sz="4" w:space="0" w:color="auto"/>
              <w:right w:val="single" w:sz="4" w:space="0" w:color="auto"/>
            </w:tcBorders>
            <w:shd w:val="clear" w:color="000000" w:fill="C0C0C0"/>
            <w:noWrap/>
            <w:vAlign w:val="center"/>
            <w:hideMark/>
          </w:tcPr>
          <w:p>
            <w:pPr>
              <w:spacing w:before="0" w:after="0"/>
              <w:rPr>
                <w:rFonts w:ascii="Arial" w:hAnsi="Arial" w:cs="Arial"/>
                <w:noProof/>
                <w:color w:val="000000"/>
                <w:sz w:val="18"/>
                <w:szCs w:val="18"/>
              </w:rPr>
            </w:pPr>
            <w:r>
              <w:rPr>
                <w:rFonts w:ascii="Arial" w:hAnsi="Arial" w:cs="Arial"/>
                <w:noProof/>
                <w:color w:val="000000"/>
                <w:sz w:val="18"/>
                <w:szCs w:val="18"/>
              </w:rPr>
              <w:t> </w:t>
            </w:r>
          </w:p>
        </w:tc>
        <w:tc>
          <w:tcPr>
            <w:tcW w:w="1134" w:type="dxa"/>
            <w:tcBorders>
              <w:top w:val="nil"/>
              <w:left w:val="nil"/>
              <w:bottom w:val="single" w:sz="4" w:space="0" w:color="auto"/>
              <w:right w:val="single" w:sz="4" w:space="0" w:color="auto"/>
            </w:tcBorders>
            <w:shd w:val="clear" w:color="000000" w:fill="BFBFBF"/>
            <w:noWrap/>
            <w:vAlign w:val="bottom"/>
            <w:hideMark/>
          </w:tcPr>
          <w:p>
            <w:pPr>
              <w:spacing w:before="0" w:after="0"/>
              <w:jc w:val="left"/>
              <w:rPr>
                <w:rFonts w:ascii="Calibri" w:hAnsi="Calibri"/>
                <w:noProof/>
                <w:color w:val="000000"/>
                <w:sz w:val="18"/>
                <w:szCs w:val="18"/>
              </w:rPr>
            </w:pPr>
            <w:r>
              <w:rPr>
                <w:rFonts w:ascii="Calibri" w:hAnsi="Calibri"/>
                <w:noProof/>
                <w:color w:val="000000"/>
                <w:sz w:val="18"/>
                <w:szCs w:val="18"/>
              </w:rPr>
              <w:t> </w:t>
            </w:r>
          </w:p>
        </w:tc>
        <w:tc>
          <w:tcPr>
            <w:tcW w:w="1134" w:type="dxa"/>
            <w:tcBorders>
              <w:top w:val="nil"/>
              <w:left w:val="nil"/>
              <w:bottom w:val="single" w:sz="4" w:space="0" w:color="auto"/>
              <w:right w:val="single" w:sz="4" w:space="0" w:color="auto"/>
            </w:tcBorders>
            <w:shd w:val="clear" w:color="000000" w:fill="C0C0C0"/>
            <w:noWrap/>
            <w:vAlign w:val="center"/>
            <w:hideMark/>
          </w:tcPr>
          <w:p>
            <w:pPr>
              <w:spacing w:before="0" w:after="0"/>
              <w:rPr>
                <w:rFonts w:ascii="Arial" w:hAnsi="Arial" w:cs="Arial"/>
                <w:noProof/>
                <w:color w:val="000000"/>
                <w:sz w:val="18"/>
                <w:szCs w:val="18"/>
              </w:rPr>
            </w:pPr>
            <w:r>
              <w:rPr>
                <w:rFonts w:ascii="Arial" w:hAnsi="Arial" w:cs="Arial"/>
                <w:noProof/>
                <w:color w:val="000000"/>
                <w:sz w:val="18"/>
                <w:szCs w:val="18"/>
              </w:rPr>
              <w:t> </w:t>
            </w:r>
          </w:p>
        </w:tc>
        <w:tc>
          <w:tcPr>
            <w:tcW w:w="992" w:type="dxa"/>
            <w:tcBorders>
              <w:top w:val="nil"/>
              <w:left w:val="nil"/>
              <w:bottom w:val="single" w:sz="4" w:space="0" w:color="auto"/>
              <w:right w:val="single" w:sz="4" w:space="0" w:color="auto"/>
            </w:tcBorders>
            <w:shd w:val="clear" w:color="000000" w:fill="C0C0C0"/>
            <w:noWrap/>
            <w:vAlign w:val="center"/>
            <w:hideMark/>
          </w:tcPr>
          <w:p>
            <w:pPr>
              <w:spacing w:before="0" w:after="0"/>
              <w:rPr>
                <w:rFonts w:ascii="Arial" w:hAnsi="Arial" w:cs="Arial"/>
                <w:noProof/>
                <w:color w:val="000000"/>
                <w:sz w:val="18"/>
                <w:szCs w:val="18"/>
              </w:rPr>
            </w:pPr>
            <w:r>
              <w:rPr>
                <w:rFonts w:ascii="Arial" w:hAnsi="Arial" w:cs="Arial"/>
                <w:noProof/>
                <w:color w:val="000000"/>
                <w:sz w:val="18"/>
                <w:szCs w:val="18"/>
              </w:rPr>
              <w:t> </w:t>
            </w:r>
          </w:p>
        </w:tc>
        <w:tc>
          <w:tcPr>
            <w:tcW w:w="1134" w:type="dxa"/>
            <w:tcBorders>
              <w:top w:val="nil"/>
              <w:left w:val="nil"/>
              <w:bottom w:val="single" w:sz="4" w:space="0" w:color="auto"/>
              <w:right w:val="single" w:sz="4" w:space="0" w:color="auto"/>
            </w:tcBorders>
            <w:shd w:val="clear" w:color="000000" w:fill="BFBFBF"/>
            <w:noWrap/>
            <w:vAlign w:val="bottom"/>
            <w:hideMark/>
          </w:tcPr>
          <w:p>
            <w:pPr>
              <w:spacing w:before="0" w:after="0"/>
              <w:jc w:val="left"/>
              <w:rPr>
                <w:rFonts w:ascii="Calibri" w:hAnsi="Calibri"/>
                <w:noProof/>
                <w:color w:val="000000"/>
                <w:sz w:val="18"/>
                <w:szCs w:val="18"/>
              </w:rPr>
            </w:pPr>
            <w:r>
              <w:rPr>
                <w:rFonts w:ascii="Calibri" w:hAnsi="Calibri"/>
                <w:noProof/>
                <w:color w:val="000000"/>
                <w:sz w:val="18"/>
                <w:szCs w:val="18"/>
              </w:rPr>
              <w:t> </w:t>
            </w:r>
          </w:p>
        </w:tc>
        <w:tc>
          <w:tcPr>
            <w:tcW w:w="1134" w:type="dxa"/>
            <w:tcBorders>
              <w:top w:val="nil"/>
              <w:left w:val="nil"/>
              <w:bottom w:val="single" w:sz="4" w:space="0" w:color="auto"/>
              <w:right w:val="single" w:sz="4" w:space="0" w:color="auto"/>
            </w:tcBorders>
            <w:shd w:val="clear" w:color="000000" w:fill="BFBFBF"/>
            <w:noWrap/>
            <w:vAlign w:val="bottom"/>
            <w:hideMark/>
          </w:tcPr>
          <w:p>
            <w:pPr>
              <w:spacing w:before="0" w:after="0"/>
              <w:jc w:val="left"/>
              <w:rPr>
                <w:rFonts w:ascii="Calibri" w:hAnsi="Calibri"/>
                <w:noProof/>
                <w:color w:val="000000"/>
                <w:sz w:val="18"/>
                <w:szCs w:val="18"/>
              </w:rPr>
            </w:pPr>
            <w:r>
              <w:rPr>
                <w:rFonts w:ascii="Calibri" w:hAnsi="Calibri"/>
                <w:noProof/>
                <w:color w:val="000000"/>
                <w:sz w:val="18"/>
                <w:szCs w:val="18"/>
              </w:rPr>
              <w:t> </w:t>
            </w:r>
          </w:p>
        </w:tc>
      </w:tr>
      <w:tr>
        <w:trPr>
          <w:trHeight w:val="300"/>
        </w:trPr>
        <w:tc>
          <w:tcPr>
            <w:tcW w:w="1276" w:type="dxa"/>
            <w:tcBorders>
              <w:top w:val="nil"/>
              <w:left w:val="single" w:sz="4" w:space="0" w:color="auto"/>
              <w:bottom w:val="single" w:sz="4" w:space="0" w:color="auto"/>
              <w:right w:val="single" w:sz="4" w:space="0" w:color="auto"/>
            </w:tcBorders>
            <w:shd w:val="clear" w:color="000000" w:fill="F2F2F2"/>
            <w:vAlign w:val="center"/>
          </w:tcPr>
          <w:p>
            <w:pPr>
              <w:spacing w:before="0" w:after="0"/>
              <w:rPr>
                <w:rFonts w:ascii="Arial" w:hAnsi="Arial" w:cs="Arial"/>
                <w:noProof/>
                <w:color w:val="000000"/>
                <w:sz w:val="18"/>
                <w:szCs w:val="18"/>
              </w:rPr>
            </w:pPr>
            <w:r>
              <w:rPr>
                <w:rFonts w:ascii="Arial" w:hAnsi="Arial" w:cs="Arial"/>
                <w:noProof/>
                <w:color w:val="000000"/>
                <w:sz w:val="18"/>
                <w:szCs w:val="18"/>
              </w:rPr>
              <w:t xml:space="preserve">Belgique           </w:t>
            </w:r>
          </w:p>
        </w:tc>
        <w:tc>
          <w:tcPr>
            <w:tcW w:w="1158"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color w:val="000000"/>
                <w:sz w:val="18"/>
                <w:szCs w:val="18"/>
              </w:rPr>
            </w:pPr>
            <w:r>
              <w:rPr>
                <w:rFonts w:ascii="Arial" w:hAnsi="Arial" w:cs="Arial"/>
                <w:noProof/>
                <w:color w:val="000000"/>
                <w:sz w:val="18"/>
                <w:szCs w:val="18"/>
              </w:rPr>
              <w:t>744 658</w:t>
            </w:r>
          </w:p>
        </w:tc>
        <w:tc>
          <w:tcPr>
            <w:tcW w:w="1110"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color w:val="000000"/>
                <w:sz w:val="18"/>
                <w:szCs w:val="18"/>
              </w:rPr>
            </w:pPr>
            <w:r>
              <w:rPr>
                <w:rFonts w:ascii="Arial" w:hAnsi="Arial" w:cs="Arial"/>
                <w:noProof/>
                <w:color w:val="000000"/>
                <w:sz w:val="18"/>
                <w:szCs w:val="18"/>
              </w:rPr>
              <w:t>765 490</w:t>
            </w:r>
          </w:p>
        </w:tc>
        <w:tc>
          <w:tcPr>
            <w:tcW w:w="1134"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color w:val="000000"/>
                <w:sz w:val="18"/>
                <w:szCs w:val="18"/>
              </w:rPr>
            </w:pPr>
            <w:r>
              <w:rPr>
                <w:rFonts w:ascii="Arial" w:hAnsi="Arial" w:cs="Arial"/>
                <w:noProof/>
                <w:color w:val="000000"/>
                <w:sz w:val="18"/>
                <w:szCs w:val="18"/>
              </w:rPr>
              <w:t>104 683</w:t>
            </w:r>
          </w:p>
        </w:tc>
        <w:tc>
          <w:tcPr>
            <w:tcW w:w="1134" w:type="dxa"/>
            <w:tcBorders>
              <w:top w:val="nil"/>
              <w:left w:val="nil"/>
              <w:bottom w:val="single" w:sz="4" w:space="0" w:color="auto"/>
              <w:right w:val="single" w:sz="4" w:space="0" w:color="auto"/>
            </w:tcBorders>
            <w:shd w:val="clear" w:color="000000" w:fill="F2F2F2"/>
            <w:noWrap/>
          </w:tcPr>
          <w:p>
            <w:pPr>
              <w:spacing w:before="0" w:after="0"/>
              <w:jc w:val="right"/>
              <w:rPr>
                <w:rFonts w:ascii="Arial" w:hAnsi="Arial" w:cs="Arial"/>
                <w:noProof/>
                <w:color w:val="000000"/>
                <w:sz w:val="18"/>
                <w:szCs w:val="18"/>
              </w:rPr>
            </w:pPr>
            <w:r>
              <w:rPr>
                <w:rFonts w:ascii="Arial" w:hAnsi="Arial" w:cs="Arial"/>
                <w:noProof/>
                <w:color w:val="000000"/>
                <w:sz w:val="18"/>
                <w:szCs w:val="18"/>
              </w:rPr>
              <w:t>14,1</w:t>
            </w:r>
          </w:p>
        </w:tc>
        <w:tc>
          <w:tcPr>
            <w:tcW w:w="1134"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color w:val="000000"/>
                <w:sz w:val="18"/>
                <w:szCs w:val="18"/>
              </w:rPr>
            </w:pPr>
            <w:r>
              <w:rPr>
                <w:rFonts w:ascii="Arial" w:hAnsi="Arial" w:cs="Arial"/>
                <w:noProof/>
                <w:color w:val="000000"/>
                <w:sz w:val="18"/>
                <w:szCs w:val="18"/>
              </w:rPr>
              <w:t>9 389 775</w:t>
            </w:r>
          </w:p>
        </w:tc>
        <w:tc>
          <w:tcPr>
            <w:tcW w:w="992"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color w:val="000000"/>
                <w:sz w:val="18"/>
                <w:szCs w:val="18"/>
              </w:rPr>
            </w:pPr>
            <w:r>
              <w:rPr>
                <w:rFonts w:ascii="Arial" w:hAnsi="Arial" w:cs="Arial"/>
                <w:noProof/>
                <w:color w:val="000000"/>
                <w:sz w:val="18"/>
                <w:szCs w:val="18"/>
              </w:rPr>
              <w:t>7,93</w:t>
            </w:r>
          </w:p>
        </w:tc>
        <w:tc>
          <w:tcPr>
            <w:tcW w:w="1134"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c>
          <w:tcPr>
            <w:tcW w:w="1134" w:type="dxa"/>
            <w:tcBorders>
              <w:top w:val="nil"/>
              <w:left w:val="nil"/>
              <w:bottom w:val="single" w:sz="4" w:space="0" w:color="auto"/>
              <w:right w:val="single" w:sz="4" w:space="0" w:color="auto"/>
            </w:tcBorders>
            <w:shd w:val="clear" w:color="000000" w:fill="F2F2F2"/>
            <w:noWrap/>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r>
      <w:tr>
        <w:trPr>
          <w:trHeight w:val="300"/>
        </w:trPr>
        <w:tc>
          <w:tcPr>
            <w:tcW w:w="1276" w:type="dxa"/>
            <w:tcBorders>
              <w:top w:val="nil"/>
              <w:left w:val="single" w:sz="4" w:space="0" w:color="auto"/>
              <w:bottom w:val="single" w:sz="4" w:space="0" w:color="auto"/>
              <w:right w:val="single" w:sz="4" w:space="0" w:color="auto"/>
            </w:tcBorders>
            <w:shd w:val="clear" w:color="000000" w:fill="F2F2F2"/>
            <w:vAlign w:val="center"/>
            <w:hideMark/>
          </w:tcPr>
          <w:p>
            <w:pPr>
              <w:spacing w:before="0" w:after="0"/>
              <w:rPr>
                <w:rFonts w:ascii="Arial" w:hAnsi="Arial" w:cs="Arial"/>
                <w:noProof/>
                <w:color w:val="000000"/>
                <w:sz w:val="18"/>
                <w:szCs w:val="18"/>
              </w:rPr>
            </w:pPr>
            <w:r>
              <w:rPr>
                <w:rFonts w:ascii="Arial" w:hAnsi="Arial" w:cs="Arial"/>
                <w:noProof/>
                <w:color w:val="000000"/>
                <w:sz w:val="18"/>
                <w:szCs w:val="18"/>
              </w:rPr>
              <w:t>Bulgarie</w:t>
            </w:r>
          </w:p>
        </w:tc>
        <w:tc>
          <w:tcPr>
            <w:tcW w:w="1158"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color w:val="000000"/>
                <w:sz w:val="18"/>
                <w:szCs w:val="18"/>
              </w:rPr>
            </w:pPr>
            <w:r>
              <w:rPr>
                <w:rFonts w:ascii="Arial" w:hAnsi="Arial" w:cs="Arial"/>
                <w:noProof/>
                <w:color w:val="000000"/>
                <w:sz w:val="18"/>
                <w:szCs w:val="18"/>
              </w:rPr>
              <w:t>12 544</w:t>
            </w:r>
          </w:p>
        </w:tc>
        <w:tc>
          <w:tcPr>
            <w:tcW w:w="1110"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c>
          <w:tcPr>
            <w:tcW w:w="1134"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c>
          <w:tcPr>
            <w:tcW w:w="1134" w:type="dxa"/>
            <w:tcBorders>
              <w:top w:val="nil"/>
              <w:left w:val="nil"/>
              <w:bottom w:val="single" w:sz="4" w:space="0" w:color="auto"/>
              <w:right w:val="single" w:sz="4" w:space="0" w:color="auto"/>
            </w:tcBorders>
            <w:shd w:val="clear" w:color="000000" w:fill="F2F2F2"/>
            <w:noWrap/>
            <w:hideMark/>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c>
          <w:tcPr>
            <w:tcW w:w="1134"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color w:val="000000"/>
                <w:sz w:val="18"/>
                <w:szCs w:val="18"/>
              </w:rPr>
            </w:pPr>
            <w:r>
              <w:rPr>
                <w:rFonts w:ascii="Arial" w:hAnsi="Arial" w:cs="Arial"/>
                <w:noProof/>
                <w:color w:val="000000"/>
                <w:sz w:val="18"/>
                <w:szCs w:val="18"/>
              </w:rPr>
              <w:t>6 155 578</w:t>
            </w:r>
          </w:p>
        </w:tc>
        <w:tc>
          <w:tcPr>
            <w:tcW w:w="992" w:type="dxa"/>
            <w:tcBorders>
              <w:top w:val="nil"/>
              <w:left w:val="nil"/>
              <w:bottom w:val="single" w:sz="4" w:space="0" w:color="auto"/>
              <w:right w:val="single" w:sz="4" w:space="0" w:color="auto"/>
            </w:tcBorders>
            <w:shd w:val="clear" w:color="auto" w:fill="auto"/>
            <w:noWrap/>
            <w:hideMark/>
          </w:tcPr>
          <w:p>
            <w:pPr>
              <w:spacing w:before="0" w:after="0"/>
              <w:jc w:val="right"/>
              <w:rPr>
                <w:rFonts w:ascii="Arial" w:hAnsi="Arial" w:cs="Arial"/>
                <w:noProof/>
                <w:color w:val="000000"/>
                <w:sz w:val="18"/>
                <w:szCs w:val="18"/>
              </w:rPr>
            </w:pPr>
            <w:r>
              <w:rPr>
                <w:rFonts w:ascii="Arial" w:hAnsi="Arial" w:cs="Arial"/>
                <w:noProof/>
                <w:color w:val="000000"/>
                <w:sz w:val="18"/>
                <w:szCs w:val="18"/>
              </w:rPr>
              <w:t>0,20</w:t>
            </w:r>
          </w:p>
        </w:tc>
        <w:tc>
          <w:tcPr>
            <w:tcW w:w="1134" w:type="dxa"/>
            <w:tcBorders>
              <w:top w:val="nil"/>
              <w:left w:val="nil"/>
              <w:bottom w:val="single" w:sz="4" w:space="0" w:color="auto"/>
              <w:right w:val="single" w:sz="4" w:space="0" w:color="auto"/>
            </w:tcBorders>
            <w:shd w:val="clear" w:color="auto" w:fill="auto"/>
            <w:noWrap/>
            <w:hideMark/>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c>
          <w:tcPr>
            <w:tcW w:w="1134" w:type="dxa"/>
            <w:tcBorders>
              <w:top w:val="nil"/>
              <w:left w:val="nil"/>
              <w:bottom w:val="single" w:sz="4" w:space="0" w:color="auto"/>
              <w:right w:val="single" w:sz="4" w:space="0" w:color="auto"/>
            </w:tcBorders>
            <w:shd w:val="clear" w:color="000000" w:fill="F2F2F2"/>
            <w:noWrap/>
            <w:hideMark/>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r>
      <w:tr>
        <w:trPr>
          <w:trHeight w:val="510"/>
        </w:trPr>
        <w:tc>
          <w:tcPr>
            <w:tcW w:w="1276" w:type="dxa"/>
            <w:tcBorders>
              <w:top w:val="nil"/>
              <w:left w:val="single" w:sz="4" w:space="0" w:color="auto"/>
              <w:bottom w:val="single" w:sz="4" w:space="0" w:color="auto"/>
              <w:right w:val="single" w:sz="4" w:space="0" w:color="auto"/>
            </w:tcBorders>
            <w:shd w:val="clear" w:color="000000" w:fill="F2F2F2"/>
            <w:vAlign w:val="center"/>
            <w:hideMark/>
          </w:tcPr>
          <w:p>
            <w:pPr>
              <w:spacing w:before="0" w:after="0"/>
              <w:rPr>
                <w:rFonts w:ascii="Arial" w:hAnsi="Arial" w:cs="Arial"/>
                <w:noProof/>
                <w:color w:val="000000"/>
                <w:sz w:val="18"/>
                <w:szCs w:val="18"/>
              </w:rPr>
            </w:pPr>
            <w:r>
              <w:rPr>
                <w:rFonts w:ascii="Arial" w:hAnsi="Arial" w:cs="Arial"/>
                <w:noProof/>
                <w:color w:val="000000"/>
                <w:sz w:val="18"/>
                <w:szCs w:val="18"/>
              </w:rPr>
              <w:t>République tchèque</w:t>
            </w:r>
          </w:p>
        </w:tc>
        <w:tc>
          <w:tcPr>
            <w:tcW w:w="1158"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color w:val="000000"/>
                <w:sz w:val="18"/>
                <w:szCs w:val="18"/>
              </w:rPr>
            </w:pPr>
            <w:r>
              <w:rPr>
                <w:rFonts w:ascii="Arial" w:hAnsi="Arial" w:cs="Arial"/>
                <w:noProof/>
                <w:color w:val="000000"/>
                <w:sz w:val="18"/>
                <w:szCs w:val="18"/>
              </w:rPr>
              <w:t>183 497</w:t>
            </w:r>
          </w:p>
        </w:tc>
        <w:tc>
          <w:tcPr>
            <w:tcW w:w="1110"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c>
          <w:tcPr>
            <w:tcW w:w="1134"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c>
          <w:tcPr>
            <w:tcW w:w="1134" w:type="dxa"/>
            <w:tcBorders>
              <w:top w:val="nil"/>
              <w:left w:val="nil"/>
              <w:bottom w:val="single" w:sz="4" w:space="0" w:color="auto"/>
              <w:right w:val="single" w:sz="4" w:space="0" w:color="auto"/>
            </w:tcBorders>
            <w:shd w:val="clear" w:color="000000" w:fill="F2F2F2"/>
            <w:noWrap/>
            <w:hideMark/>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c>
          <w:tcPr>
            <w:tcW w:w="1134"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color w:val="000000"/>
                <w:sz w:val="18"/>
                <w:szCs w:val="18"/>
              </w:rPr>
            </w:pPr>
            <w:r>
              <w:rPr>
                <w:rFonts w:ascii="Arial" w:hAnsi="Arial" w:cs="Arial"/>
                <w:noProof/>
                <w:color w:val="000000"/>
                <w:sz w:val="18"/>
                <w:szCs w:val="18"/>
              </w:rPr>
              <w:t>8 930 127</w:t>
            </w:r>
          </w:p>
        </w:tc>
        <w:tc>
          <w:tcPr>
            <w:tcW w:w="992" w:type="dxa"/>
            <w:tcBorders>
              <w:top w:val="nil"/>
              <w:left w:val="nil"/>
              <w:bottom w:val="single" w:sz="4" w:space="0" w:color="auto"/>
              <w:right w:val="single" w:sz="4" w:space="0" w:color="auto"/>
            </w:tcBorders>
            <w:shd w:val="clear" w:color="auto" w:fill="auto"/>
            <w:noWrap/>
            <w:hideMark/>
          </w:tcPr>
          <w:p>
            <w:pPr>
              <w:spacing w:before="0" w:after="0"/>
              <w:jc w:val="right"/>
              <w:rPr>
                <w:rFonts w:ascii="Arial" w:hAnsi="Arial" w:cs="Arial"/>
                <w:noProof/>
                <w:color w:val="000000"/>
                <w:sz w:val="18"/>
                <w:szCs w:val="18"/>
              </w:rPr>
            </w:pPr>
            <w:r>
              <w:rPr>
                <w:rFonts w:ascii="Arial" w:hAnsi="Arial" w:cs="Arial"/>
                <w:noProof/>
                <w:color w:val="000000"/>
                <w:sz w:val="18"/>
                <w:szCs w:val="18"/>
              </w:rPr>
              <w:t>2,05</w:t>
            </w:r>
          </w:p>
        </w:tc>
        <w:tc>
          <w:tcPr>
            <w:tcW w:w="1134" w:type="dxa"/>
            <w:tcBorders>
              <w:top w:val="nil"/>
              <w:left w:val="nil"/>
              <w:bottom w:val="single" w:sz="4" w:space="0" w:color="auto"/>
              <w:right w:val="single" w:sz="4" w:space="0" w:color="auto"/>
            </w:tcBorders>
            <w:shd w:val="clear" w:color="auto" w:fill="auto"/>
            <w:noWrap/>
            <w:hideMark/>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c>
          <w:tcPr>
            <w:tcW w:w="1134" w:type="dxa"/>
            <w:tcBorders>
              <w:top w:val="nil"/>
              <w:left w:val="nil"/>
              <w:bottom w:val="single" w:sz="4" w:space="0" w:color="auto"/>
              <w:right w:val="single" w:sz="4" w:space="0" w:color="auto"/>
            </w:tcBorders>
            <w:shd w:val="clear" w:color="000000" w:fill="F2F2F2"/>
            <w:noWrap/>
            <w:hideMark/>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r>
      <w:tr>
        <w:trPr>
          <w:trHeight w:val="300"/>
        </w:trPr>
        <w:tc>
          <w:tcPr>
            <w:tcW w:w="1276" w:type="dxa"/>
            <w:tcBorders>
              <w:top w:val="nil"/>
              <w:left w:val="single" w:sz="4" w:space="0" w:color="auto"/>
              <w:bottom w:val="single" w:sz="4" w:space="0" w:color="auto"/>
              <w:right w:val="single" w:sz="4" w:space="0" w:color="auto"/>
            </w:tcBorders>
            <w:shd w:val="clear" w:color="000000" w:fill="F2F2F2"/>
            <w:vAlign w:val="center"/>
          </w:tcPr>
          <w:p>
            <w:pPr>
              <w:spacing w:before="0" w:after="0"/>
              <w:rPr>
                <w:rFonts w:ascii="Arial" w:hAnsi="Arial" w:cs="Arial"/>
                <w:noProof/>
                <w:color w:val="000000"/>
                <w:sz w:val="18"/>
                <w:szCs w:val="18"/>
              </w:rPr>
            </w:pPr>
            <w:r>
              <w:rPr>
                <w:rFonts w:ascii="Arial" w:hAnsi="Arial" w:cs="Arial"/>
                <w:noProof/>
                <w:color w:val="000000"/>
                <w:sz w:val="18"/>
                <w:szCs w:val="18"/>
              </w:rPr>
              <w:t xml:space="preserve">Danemark              </w:t>
            </w:r>
          </w:p>
        </w:tc>
        <w:tc>
          <w:tcPr>
            <w:tcW w:w="1158"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color w:val="000000"/>
                <w:sz w:val="18"/>
                <w:szCs w:val="18"/>
              </w:rPr>
            </w:pPr>
            <w:r>
              <w:rPr>
                <w:rFonts w:ascii="Arial" w:hAnsi="Arial" w:cs="Arial"/>
                <w:noProof/>
                <w:color w:val="000000"/>
                <w:sz w:val="18"/>
                <w:szCs w:val="18"/>
              </w:rPr>
              <w:t>168 754</w:t>
            </w:r>
          </w:p>
        </w:tc>
        <w:tc>
          <w:tcPr>
            <w:tcW w:w="1110"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color w:val="000000"/>
                <w:sz w:val="18"/>
                <w:szCs w:val="18"/>
              </w:rPr>
            </w:pPr>
            <w:r>
              <w:rPr>
                <w:rFonts w:ascii="Arial" w:hAnsi="Arial" w:cs="Arial"/>
                <w:noProof/>
                <w:color w:val="000000"/>
                <w:sz w:val="18"/>
                <w:szCs w:val="18"/>
              </w:rPr>
              <w:t>178 909</w:t>
            </w:r>
          </w:p>
        </w:tc>
        <w:tc>
          <w:tcPr>
            <w:tcW w:w="1134"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color w:val="000000"/>
                <w:sz w:val="18"/>
                <w:szCs w:val="18"/>
              </w:rPr>
            </w:pPr>
            <w:r>
              <w:rPr>
                <w:rFonts w:ascii="Arial" w:hAnsi="Arial" w:cs="Arial"/>
                <w:noProof/>
                <w:color w:val="000000"/>
                <w:sz w:val="18"/>
                <w:szCs w:val="18"/>
              </w:rPr>
              <w:t>113 773</w:t>
            </w:r>
          </w:p>
        </w:tc>
        <w:tc>
          <w:tcPr>
            <w:tcW w:w="1134" w:type="dxa"/>
            <w:tcBorders>
              <w:top w:val="nil"/>
              <w:left w:val="nil"/>
              <w:bottom w:val="single" w:sz="4" w:space="0" w:color="auto"/>
              <w:right w:val="single" w:sz="4" w:space="0" w:color="auto"/>
            </w:tcBorders>
            <w:shd w:val="clear" w:color="000000" w:fill="F2F2F2"/>
            <w:noWrap/>
          </w:tcPr>
          <w:p>
            <w:pPr>
              <w:spacing w:before="0" w:after="0"/>
              <w:jc w:val="right"/>
              <w:rPr>
                <w:rFonts w:ascii="Arial" w:hAnsi="Arial" w:cs="Arial"/>
                <w:noProof/>
                <w:color w:val="000000"/>
                <w:sz w:val="18"/>
                <w:szCs w:val="18"/>
              </w:rPr>
            </w:pPr>
            <w:r>
              <w:rPr>
                <w:rFonts w:ascii="Arial" w:hAnsi="Arial" w:cs="Arial"/>
                <w:noProof/>
                <w:color w:val="000000"/>
                <w:sz w:val="18"/>
                <w:szCs w:val="18"/>
              </w:rPr>
              <w:t>67,4</w:t>
            </w:r>
          </w:p>
        </w:tc>
        <w:tc>
          <w:tcPr>
            <w:tcW w:w="1134"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color w:val="000000"/>
                <w:sz w:val="18"/>
                <w:szCs w:val="18"/>
              </w:rPr>
            </w:pPr>
            <w:r>
              <w:rPr>
                <w:rFonts w:ascii="Arial" w:hAnsi="Arial" w:cs="Arial"/>
                <w:noProof/>
                <w:color w:val="000000"/>
                <w:sz w:val="18"/>
                <w:szCs w:val="18"/>
              </w:rPr>
              <w:t>4 746 977</w:t>
            </w:r>
          </w:p>
        </w:tc>
        <w:tc>
          <w:tcPr>
            <w:tcW w:w="992"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color w:val="000000"/>
                <w:sz w:val="18"/>
                <w:szCs w:val="18"/>
              </w:rPr>
            </w:pPr>
            <w:r>
              <w:rPr>
                <w:rFonts w:ascii="Arial" w:hAnsi="Arial" w:cs="Arial"/>
                <w:noProof/>
                <w:color w:val="000000"/>
                <w:sz w:val="18"/>
                <w:szCs w:val="18"/>
              </w:rPr>
              <w:t>3,55</w:t>
            </w:r>
          </w:p>
        </w:tc>
        <w:tc>
          <w:tcPr>
            <w:tcW w:w="1134"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color w:val="000000"/>
                <w:sz w:val="18"/>
                <w:szCs w:val="18"/>
              </w:rPr>
            </w:pPr>
            <w:r>
              <w:rPr>
                <w:rFonts w:ascii="Arial" w:hAnsi="Arial" w:cs="Arial"/>
                <w:noProof/>
                <w:color w:val="000000"/>
                <w:sz w:val="18"/>
                <w:szCs w:val="18"/>
              </w:rPr>
              <w:t>65</w:t>
            </w:r>
          </w:p>
        </w:tc>
        <w:tc>
          <w:tcPr>
            <w:tcW w:w="1134" w:type="dxa"/>
            <w:tcBorders>
              <w:top w:val="nil"/>
              <w:left w:val="nil"/>
              <w:bottom w:val="single" w:sz="4" w:space="0" w:color="auto"/>
              <w:right w:val="single" w:sz="4" w:space="0" w:color="auto"/>
            </w:tcBorders>
            <w:shd w:val="clear" w:color="000000" w:fill="F2F2F2"/>
            <w:noWrap/>
          </w:tcPr>
          <w:p>
            <w:pPr>
              <w:spacing w:before="0" w:after="0"/>
              <w:jc w:val="right"/>
              <w:rPr>
                <w:rFonts w:ascii="Arial" w:hAnsi="Arial" w:cs="Arial"/>
                <w:noProof/>
                <w:color w:val="000000"/>
                <w:sz w:val="18"/>
                <w:szCs w:val="18"/>
              </w:rPr>
            </w:pPr>
            <w:r>
              <w:rPr>
                <w:rFonts w:ascii="Arial" w:hAnsi="Arial" w:cs="Arial"/>
                <w:noProof/>
                <w:color w:val="000000"/>
                <w:sz w:val="18"/>
                <w:szCs w:val="18"/>
              </w:rPr>
              <w:t>9,2</w:t>
            </w:r>
          </w:p>
        </w:tc>
      </w:tr>
      <w:tr>
        <w:trPr>
          <w:trHeight w:val="300"/>
        </w:trPr>
        <w:tc>
          <w:tcPr>
            <w:tcW w:w="1276" w:type="dxa"/>
            <w:tcBorders>
              <w:top w:val="nil"/>
              <w:left w:val="single" w:sz="4" w:space="0" w:color="auto"/>
              <w:bottom w:val="single" w:sz="4" w:space="0" w:color="auto"/>
              <w:right w:val="single" w:sz="4" w:space="0" w:color="auto"/>
            </w:tcBorders>
            <w:shd w:val="clear" w:color="000000" w:fill="F2F2F2"/>
            <w:vAlign w:val="center"/>
            <w:hideMark/>
          </w:tcPr>
          <w:p>
            <w:pPr>
              <w:spacing w:before="0" w:after="0"/>
              <w:rPr>
                <w:rFonts w:ascii="Arial" w:hAnsi="Arial" w:cs="Arial"/>
                <w:noProof/>
                <w:color w:val="000000"/>
                <w:sz w:val="18"/>
                <w:szCs w:val="18"/>
              </w:rPr>
            </w:pPr>
            <w:r>
              <w:rPr>
                <w:rFonts w:ascii="Arial" w:hAnsi="Arial" w:cs="Arial"/>
                <w:noProof/>
                <w:color w:val="000000"/>
                <w:sz w:val="18"/>
                <w:szCs w:val="18"/>
              </w:rPr>
              <w:t xml:space="preserve">Allemagne          </w:t>
            </w:r>
          </w:p>
        </w:tc>
        <w:tc>
          <w:tcPr>
            <w:tcW w:w="1158"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color w:val="000000"/>
                <w:sz w:val="18"/>
                <w:szCs w:val="18"/>
              </w:rPr>
            </w:pPr>
            <w:r>
              <w:rPr>
                <w:rFonts w:ascii="Arial" w:hAnsi="Arial" w:cs="Arial"/>
                <w:noProof/>
                <w:color w:val="000000"/>
                <w:sz w:val="18"/>
                <w:szCs w:val="18"/>
              </w:rPr>
              <w:t>3 437 834</w:t>
            </w:r>
          </w:p>
        </w:tc>
        <w:tc>
          <w:tcPr>
            <w:tcW w:w="1110"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color w:val="000000"/>
                <w:sz w:val="18"/>
                <w:szCs w:val="18"/>
              </w:rPr>
            </w:pPr>
            <w:r>
              <w:rPr>
                <w:rFonts w:ascii="Arial" w:hAnsi="Arial" w:cs="Arial"/>
                <w:noProof/>
                <w:color w:val="000000"/>
                <w:sz w:val="18"/>
                <w:szCs w:val="18"/>
              </w:rPr>
              <w:t>1 885 464*</w:t>
            </w:r>
          </w:p>
        </w:tc>
        <w:tc>
          <w:tcPr>
            <w:tcW w:w="1134"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c>
          <w:tcPr>
            <w:tcW w:w="1134" w:type="dxa"/>
            <w:tcBorders>
              <w:top w:val="nil"/>
              <w:left w:val="nil"/>
              <w:bottom w:val="single" w:sz="4" w:space="0" w:color="auto"/>
              <w:right w:val="single" w:sz="4" w:space="0" w:color="auto"/>
            </w:tcBorders>
            <w:shd w:val="clear" w:color="000000" w:fill="F2F2F2"/>
            <w:noWrap/>
            <w:hideMark/>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c>
          <w:tcPr>
            <w:tcW w:w="1134"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color w:val="000000"/>
                <w:sz w:val="18"/>
                <w:szCs w:val="18"/>
              </w:rPr>
            </w:pPr>
            <w:r>
              <w:rPr>
                <w:rFonts w:ascii="Arial" w:hAnsi="Arial" w:cs="Arial"/>
                <w:noProof/>
                <w:color w:val="000000"/>
                <w:sz w:val="18"/>
                <w:szCs w:val="18"/>
              </w:rPr>
              <w:t>71 294 558</w:t>
            </w:r>
          </w:p>
        </w:tc>
        <w:tc>
          <w:tcPr>
            <w:tcW w:w="992" w:type="dxa"/>
            <w:tcBorders>
              <w:top w:val="nil"/>
              <w:left w:val="nil"/>
              <w:bottom w:val="single" w:sz="4" w:space="0" w:color="auto"/>
              <w:right w:val="single" w:sz="4" w:space="0" w:color="auto"/>
            </w:tcBorders>
            <w:shd w:val="clear" w:color="auto" w:fill="auto"/>
            <w:noWrap/>
            <w:hideMark/>
          </w:tcPr>
          <w:p>
            <w:pPr>
              <w:spacing w:before="0" w:after="0"/>
              <w:jc w:val="right"/>
              <w:rPr>
                <w:rFonts w:ascii="Arial" w:hAnsi="Arial" w:cs="Arial"/>
                <w:noProof/>
                <w:color w:val="000000"/>
                <w:sz w:val="18"/>
                <w:szCs w:val="18"/>
              </w:rPr>
            </w:pPr>
            <w:r>
              <w:rPr>
                <w:rFonts w:ascii="Arial" w:hAnsi="Arial" w:cs="Arial"/>
                <w:noProof/>
                <w:color w:val="000000"/>
                <w:sz w:val="18"/>
                <w:szCs w:val="18"/>
              </w:rPr>
              <w:t>5,33</w:t>
            </w:r>
          </w:p>
        </w:tc>
        <w:tc>
          <w:tcPr>
            <w:tcW w:w="1134" w:type="dxa"/>
            <w:tcBorders>
              <w:top w:val="nil"/>
              <w:left w:val="nil"/>
              <w:bottom w:val="single" w:sz="4" w:space="0" w:color="auto"/>
              <w:right w:val="single" w:sz="4" w:space="0" w:color="auto"/>
            </w:tcBorders>
            <w:shd w:val="clear" w:color="auto" w:fill="auto"/>
            <w:noWrap/>
            <w:hideMark/>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c>
          <w:tcPr>
            <w:tcW w:w="1134" w:type="dxa"/>
            <w:tcBorders>
              <w:top w:val="nil"/>
              <w:left w:val="nil"/>
              <w:bottom w:val="single" w:sz="4" w:space="0" w:color="auto"/>
              <w:right w:val="single" w:sz="4" w:space="0" w:color="auto"/>
            </w:tcBorders>
            <w:shd w:val="clear" w:color="000000" w:fill="F2F2F2"/>
            <w:noWrap/>
            <w:hideMark/>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r>
      <w:tr>
        <w:trPr>
          <w:trHeight w:val="300"/>
        </w:trPr>
        <w:tc>
          <w:tcPr>
            <w:tcW w:w="1276" w:type="dxa"/>
            <w:tcBorders>
              <w:top w:val="nil"/>
              <w:left w:val="single" w:sz="4" w:space="0" w:color="auto"/>
              <w:bottom w:val="single" w:sz="4" w:space="0" w:color="auto"/>
              <w:right w:val="single" w:sz="4" w:space="0" w:color="auto"/>
            </w:tcBorders>
            <w:shd w:val="clear" w:color="000000" w:fill="F2F2F2"/>
            <w:vAlign w:val="center"/>
            <w:hideMark/>
          </w:tcPr>
          <w:p>
            <w:pPr>
              <w:spacing w:before="0" w:after="0"/>
              <w:rPr>
                <w:rFonts w:ascii="Arial" w:hAnsi="Arial" w:cs="Arial"/>
                <w:noProof/>
                <w:color w:val="000000"/>
                <w:sz w:val="18"/>
                <w:szCs w:val="18"/>
              </w:rPr>
            </w:pPr>
            <w:r>
              <w:rPr>
                <w:rFonts w:ascii="Arial" w:hAnsi="Arial" w:cs="Arial"/>
                <w:noProof/>
                <w:color w:val="000000"/>
                <w:sz w:val="18"/>
                <w:szCs w:val="18"/>
              </w:rPr>
              <w:t xml:space="preserve">Estonie           </w:t>
            </w:r>
          </w:p>
        </w:tc>
        <w:tc>
          <w:tcPr>
            <w:tcW w:w="1158"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color w:val="000000"/>
                <w:sz w:val="18"/>
                <w:szCs w:val="18"/>
              </w:rPr>
            </w:pPr>
            <w:r>
              <w:rPr>
                <w:rFonts w:ascii="Arial" w:hAnsi="Arial" w:cs="Arial"/>
                <w:noProof/>
                <w:color w:val="000000"/>
                <w:sz w:val="18"/>
                <w:szCs w:val="18"/>
              </w:rPr>
              <w:t>14 188</w:t>
            </w:r>
          </w:p>
        </w:tc>
        <w:tc>
          <w:tcPr>
            <w:tcW w:w="1110"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c>
          <w:tcPr>
            <w:tcW w:w="1134"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c>
          <w:tcPr>
            <w:tcW w:w="1134" w:type="dxa"/>
            <w:tcBorders>
              <w:top w:val="nil"/>
              <w:left w:val="nil"/>
              <w:bottom w:val="single" w:sz="4" w:space="0" w:color="auto"/>
              <w:right w:val="single" w:sz="4" w:space="0" w:color="auto"/>
            </w:tcBorders>
            <w:shd w:val="clear" w:color="000000" w:fill="F2F2F2"/>
            <w:noWrap/>
            <w:hideMark/>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c>
          <w:tcPr>
            <w:tcW w:w="1134"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color w:val="000000"/>
                <w:sz w:val="18"/>
                <w:szCs w:val="18"/>
              </w:rPr>
            </w:pPr>
            <w:r>
              <w:rPr>
                <w:rFonts w:ascii="Arial" w:hAnsi="Arial" w:cs="Arial"/>
                <w:noProof/>
                <w:color w:val="000000"/>
                <w:sz w:val="18"/>
                <w:szCs w:val="18"/>
              </w:rPr>
              <w:t>1 104 499</w:t>
            </w:r>
          </w:p>
        </w:tc>
        <w:tc>
          <w:tcPr>
            <w:tcW w:w="992" w:type="dxa"/>
            <w:tcBorders>
              <w:top w:val="nil"/>
              <w:left w:val="nil"/>
              <w:bottom w:val="single" w:sz="4" w:space="0" w:color="auto"/>
              <w:right w:val="single" w:sz="4" w:space="0" w:color="auto"/>
            </w:tcBorders>
            <w:shd w:val="clear" w:color="auto" w:fill="auto"/>
            <w:noWrap/>
            <w:hideMark/>
          </w:tcPr>
          <w:p>
            <w:pPr>
              <w:spacing w:before="0" w:after="0"/>
              <w:jc w:val="right"/>
              <w:rPr>
                <w:rFonts w:ascii="Arial" w:hAnsi="Arial" w:cs="Arial"/>
                <w:noProof/>
                <w:color w:val="000000"/>
                <w:sz w:val="18"/>
                <w:szCs w:val="18"/>
              </w:rPr>
            </w:pPr>
            <w:r>
              <w:rPr>
                <w:rFonts w:ascii="Arial" w:hAnsi="Arial" w:cs="Arial"/>
                <w:noProof/>
                <w:color w:val="000000"/>
                <w:sz w:val="18"/>
                <w:szCs w:val="18"/>
              </w:rPr>
              <w:t>1,28</w:t>
            </w:r>
          </w:p>
        </w:tc>
        <w:tc>
          <w:tcPr>
            <w:tcW w:w="1134" w:type="dxa"/>
            <w:tcBorders>
              <w:top w:val="nil"/>
              <w:left w:val="nil"/>
              <w:bottom w:val="single" w:sz="4" w:space="0" w:color="auto"/>
              <w:right w:val="single" w:sz="4" w:space="0" w:color="auto"/>
            </w:tcBorders>
            <w:shd w:val="clear" w:color="auto" w:fill="auto"/>
            <w:noWrap/>
            <w:hideMark/>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c>
          <w:tcPr>
            <w:tcW w:w="1134" w:type="dxa"/>
            <w:tcBorders>
              <w:top w:val="nil"/>
              <w:left w:val="nil"/>
              <w:bottom w:val="single" w:sz="4" w:space="0" w:color="auto"/>
              <w:right w:val="single" w:sz="4" w:space="0" w:color="auto"/>
            </w:tcBorders>
            <w:shd w:val="clear" w:color="000000" w:fill="F2F2F2"/>
            <w:noWrap/>
            <w:hideMark/>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r>
      <w:tr>
        <w:trPr>
          <w:trHeight w:val="300"/>
        </w:trPr>
        <w:tc>
          <w:tcPr>
            <w:tcW w:w="1276" w:type="dxa"/>
            <w:tcBorders>
              <w:top w:val="nil"/>
              <w:left w:val="single" w:sz="4" w:space="0" w:color="auto"/>
              <w:bottom w:val="single" w:sz="4" w:space="0" w:color="auto"/>
              <w:right w:val="single" w:sz="4" w:space="0" w:color="auto"/>
            </w:tcBorders>
            <w:shd w:val="clear" w:color="000000" w:fill="F2F2F2"/>
            <w:vAlign w:val="center"/>
          </w:tcPr>
          <w:p>
            <w:pPr>
              <w:spacing w:before="0" w:after="0"/>
              <w:rPr>
                <w:rFonts w:ascii="Arial" w:hAnsi="Arial" w:cs="Arial"/>
                <w:noProof/>
                <w:color w:val="000000"/>
                <w:sz w:val="18"/>
                <w:szCs w:val="18"/>
              </w:rPr>
            </w:pPr>
            <w:r>
              <w:rPr>
                <w:rFonts w:ascii="Arial" w:hAnsi="Arial" w:cs="Arial"/>
                <w:noProof/>
                <w:color w:val="000000"/>
                <w:sz w:val="18"/>
                <w:szCs w:val="18"/>
              </w:rPr>
              <w:t xml:space="preserve">Irlande           </w:t>
            </w:r>
          </w:p>
        </w:tc>
        <w:tc>
          <w:tcPr>
            <w:tcW w:w="1158"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color w:val="000000"/>
                <w:sz w:val="18"/>
                <w:szCs w:val="18"/>
              </w:rPr>
            </w:pPr>
            <w:r>
              <w:rPr>
                <w:rFonts w:ascii="Arial" w:hAnsi="Arial" w:cs="Arial"/>
                <w:noProof/>
                <w:color w:val="000000"/>
                <w:sz w:val="18"/>
                <w:szCs w:val="18"/>
              </w:rPr>
              <w:t>318 565</w:t>
            </w:r>
          </w:p>
        </w:tc>
        <w:tc>
          <w:tcPr>
            <w:tcW w:w="1110"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color w:val="000000"/>
                <w:sz w:val="18"/>
                <w:szCs w:val="18"/>
              </w:rPr>
            </w:pPr>
            <w:r>
              <w:rPr>
                <w:rFonts w:ascii="Arial" w:hAnsi="Arial" w:cs="Arial"/>
                <w:noProof/>
                <w:color w:val="000000"/>
                <w:sz w:val="18"/>
                <w:szCs w:val="18"/>
              </w:rPr>
              <w:t>323 460</w:t>
            </w:r>
          </w:p>
        </w:tc>
        <w:tc>
          <w:tcPr>
            <w:tcW w:w="1134"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color w:val="000000"/>
                <w:sz w:val="18"/>
                <w:szCs w:val="18"/>
              </w:rPr>
            </w:pPr>
            <w:r>
              <w:rPr>
                <w:rFonts w:ascii="Arial" w:hAnsi="Arial" w:cs="Arial"/>
                <w:noProof/>
                <w:color w:val="000000"/>
                <w:sz w:val="18"/>
                <w:szCs w:val="18"/>
              </w:rPr>
              <w:t>78 648</w:t>
            </w:r>
          </w:p>
        </w:tc>
        <w:tc>
          <w:tcPr>
            <w:tcW w:w="1134" w:type="dxa"/>
            <w:tcBorders>
              <w:top w:val="nil"/>
              <w:left w:val="nil"/>
              <w:bottom w:val="single" w:sz="4" w:space="0" w:color="auto"/>
              <w:right w:val="single" w:sz="4" w:space="0" w:color="auto"/>
            </w:tcBorders>
            <w:shd w:val="clear" w:color="000000" w:fill="F2F2F2"/>
            <w:noWrap/>
          </w:tcPr>
          <w:p>
            <w:pPr>
              <w:spacing w:before="0" w:after="0"/>
              <w:jc w:val="right"/>
              <w:rPr>
                <w:rFonts w:ascii="Arial" w:hAnsi="Arial" w:cs="Arial"/>
                <w:noProof/>
                <w:color w:val="000000"/>
                <w:sz w:val="18"/>
                <w:szCs w:val="18"/>
              </w:rPr>
            </w:pPr>
            <w:r>
              <w:rPr>
                <w:rFonts w:ascii="Arial" w:hAnsi="Arial" w:cs="Arial"/>
                <w:noProof/>
                <w:color w:val="000000"/>
                <w:sz w:val="18"/>
                <w:szCs w:val="18"/>
              </w:rPr>
              <w:t>24,7</w:t>
            </w:r>
          </w:p>
        </w:tc>
        <w:tc>
          <w:tcPr>
            <w:tcW w:w="1134"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color w:val="000000"/>
                <w:sz w:val="18"/>
                <w:szCs w:val="18"/>
              </w:rPr>
            </w:pPr>
            <w:r>
              <w:rPr>
                <w:rFonts w:ascii="Arial" w:hAnsi="Arial" w:cs="Arial"/>
                <w:noProof/>
                <w:color w:val="000000"/>
                <w:sz w:val="18"/>
                <w:szCs w:val="18"/>
              </w:rPr>
              <w:t>3 687 782</w:t>
            </w:r>
          </w:p>
        </w:tc>
        <w:tc>
          <w:tcPr>
            <w:tcW w:w="992"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color w:val="000000"/>
                <w:sz w:val="18"/>
                <w:szCs w:val="18"/>
              </w:rPr>
            </w:pPr>
            <w:r>
              <w:rPr>
                <w:rFonts w:ascii="Arial" w:hAnsi="Arial" w:cs="Arial"/>
                <w:noProof/>
                <w:color w:val="000000"/>
                <w:sz w:val="18"/>
                <w:szCs w:val="18"/>
              </w:rPr>
              <w:t>8,64</w:t>
            </w:r>
          </w:p>
        </w:tc>
        <w:tc>
          <w:tcPr>
            <w:tcW w:w="1134"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c>
          <w:tcPr>
            <w:tcW w:w="1134" w:type="dxa"/>
            <w:tcBorders>
              <w:top w:val="nil"/>
              <w:left w:val="nil"/>
              <w:bottom w:val="single" w:sz="4" w:space="0" w:color="auto"/>
              <w:right w:val="single" w:sz="4" w:space="0" w:color="auto"/>
            </w:tcBorders>
            <w:shd w:val="clear" w:color="000000" w:fill="F2F2F2"/>
            <w:noWrap/>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r>
      <w:tr>
        <w:trPr>
          <w:trHeight w:val="300"/>
        </w:trPr>
        <w:tc>
          <w:tcPr>
            <w:tcW w:w="1276" w:type="dxa"/>
            <w:tcBorders>
              <w:top w:val="nil"/>
              <w:left w:val="single" w:sz="4" w:space="0" w:color="auto"/>
              <w:bottom w:val="single" w:sz="4" w:space="0" w:color="auto"/>
              <w:right w:val="single" w:sz="4" w:space="0" w:color="auto"/>
            </w:tcBorders>
            <w:shd w:val="clear" w:color="000000" w:fill="F2F2F2"/>
            <w:vAlign w:val="center"/>
            <w:hideMark/>
          </w:tcPr>
          <w:p>
            <w:pPr>
              <w:spacing w:before="0" w:after="0"/>
              <w:rPr>
                <w:rFonts w:ascii="Arial" w:hAnsi="Arial" w:cs="Arial"/>
                <w:noProof/>
                <w:color w:val="000000"/>
                <w:sz w:val="18"/>
                <w:szCs w:val="18"/>
              </w:rPr>
            </w:pPr>
            <w:r>
              <w:rPr>
                <w:rFonts w:ascii="Arial" w:hAnsi="Arial" w:cs="Arial"/>
                <w:noProof/>
                <w:color w:val="000000"/>
                <w:sz w:val="18"/>
                <w:szCs w:val="18"/>
              </w:rPr>
              <w:t>Grèce</w:t>
            </w:r>
          </w:p>
        </w:tc>
        <w:tc>
          <w:tcPr>
            <w:tcW w:w="1158"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color w:val="000000"/>
                <w:sz w:val="18"/>
                <w:szCs w:val="18"/>
              </w:rPr>
            </w:pPr>
            <w:r>
              <w:rPr>
                <w:rFonts w:ascii="Arial" w:hAnsi="Arial" w:cs="Arial"/>
                <w:noProof/>
                <w:color w:val="000000"/>
                <w:sz w:val="18"/>
                <w:szCs w:val="18"/>
              </w:rPr>
              <w:t>180 025</w:t>
            </w:r>
          </w:p>
        </w:tc>
        <w:tc>
          <w:tcPr>
            <w:tcW w:w="1110"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color w:val="000000"/>
                <w:sz w:val="18"/>
                <w:szCs w:val="18"/>
              </w:rPr>
            </w:pPr>
            <w:r>
              <w:rPr>
                <w:rFonts w:ascii="Arial" w:hAnsi="Arial" w:cs="Arial"/>
                <w:noProof/>
                <w:color w:val="000000"/>
                <w:sz w:val="18"/>
                <w:szCs w:val="18"/>
              </w:rPr>
              <w:t>19 413</w:t>
            </w:r>
          </w:p>
        </w:tc>
        <w:tc>
          <w:tcPr>
            <w:tcW w:w="1134"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color w:val="000000"/>
                <w:sz w:val="18"/>
                <w:szCs w:val="18"/>
              </w:rPr>
            </w:pPr>
            <w:r>
              <w:rPr>
                <w:rFonts w:ascii="Arial" w:hAnsi="Arial" w:cs="Arial"/>
                <w:noProof/>
                <w:color w:val="000000"/>
                <w:sz w:val="18"/>
                <w:szCs w:val="18"/>
              </w:rPr>
              <w:t>19 413</w:t>
            </w:r>
          </w:p>
        </w:tc>
        <w:tc>
          <w:tcPr>
            <w:tcW w:w="1134" w:type="dxa"/>
            <w:tcBorders>
              <w:top w:val="nil"/>
              <w:left w:val="nil"/>
              <w:bottom w:val="single" w:sz="4" w:space="0" w:color="auto"/>
              <w:right w:val="single" w:sz="4" w:space="0" w:color="auto"/>
            </w:tcBorders>
            <w:shd w:val="clear" w:color="000000" w:fill="F2F2F2"/>
            <w:noWrap/>
            <w:hideMark/>
          </w:tcPr>
          <w:p>
            <w:pPr>
              <w:spacing w:before="0" w:after="0"/>
              <w:jc w:val="right"/>
              <w:rPr>
                <w:rFonts w:ascii="Arial" w:hAnsi="Arial" w:cs="Arial"/>
                <w:noProof/>
                <w:color w:val="000000"/>
                <w:sz w:val="18"/>
                <w:szCs w:val="18"/>
              </w:rPr>
            </w:pPr>
            <w:r>
              <w:rPr>
                <w:rFonts w:ascii="Arial" w:hAnsi="Arial" w:cs="Arial"/>
                <w:noProof/>
                <w:color w:val="000000"/>
                <w:sz w:val="18"/>
                <w:szCs w:val="18"/>
              </w:rPr>
              <w:t>10,8</w:t>
            </w:r>
          </w:p>
        </w:tc>
        <w:tc>
          <w:tcPr>
            <w:tcW w:w="1134"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color w:val="000000"/>
                <w:sz w:val="18"/>
                <w:szCs w:val="18"/>
              </w:rPr>
            </w:pPr>
            <w:r>
              <w:rPr>
                <w:rFonts w:ascii="Arial" w:hAnsi="Arial" w:cs="Arial"/>
                <w:noProof/>
                <w:color w:val="000000"/>
                <w:sz w:val="18"/>
                <w:szCs w:val="18"/>
              </w:rPr>
              <w:t>9 226 985</w:t>
            </w:r>
          </w:p>
        </w:tc>
        <w:tc>
          <w:tcPr>
            <w:tcW w:w="992" w:type="dxa"/>
            <w:tcBorders>
              <w:top w:val="nil"/>
              <w:left w:val="nil"/>
              <w:bottom w:val="single" w:sz="4" w:space="0" w:color="auto"/>
              <w:right w:val="single" w:sz="4" w:space="0" w:color="auto"/>
            </w:tcBorders>
            <w:shd w:val="clear" w:color="auto" w:fill="auto"/>
            <w:noWrap/>
            <w:hideMark/>
          </w:tcPr>
          <w:p>
            <w:pPr>
              <w:spacing w:before="0" w:after="0"/>
              <w:jc w:val="right"/>
              <w:rPr>
                <w:rFonts w:ascii="Arial" w:hAnsi="Arial" w:cs="Arial"/>
                <w:noProof/>
                <w:color w:val="000000"/>
                <w:sz w:val="18"/>
                <w:szCs w:val="18"/>
              </w:rPr>
            </w:pPr>
            <w:r>
              <w:rPr>
                <w:rFonts w:ascii="Arial" w:hAnsi="Arial" w:cs="Arial"/>
                <w:noProof/>
                <w:color w:val="000000"/>
                <w:sz w:val="18"/>
                <w:szCs w:val="18"/>
              </w:rPr>
              <w:t>1,95</w:t>
            </w:r>
          </w:p>
        </w:tc>
        <w:tc>
          <w:tcPr>
            <w:tcW w:w="1134" w:type="dxa"/>
            <w:tcBorders>
              <w:top w:val="nil"/>
              <w:left w:val="nil"/>
              <w:bottom w:val="single" w:sz="4" w:space="0" w:color="auto"/>
              <w:right w:val="single" w:sz="4" w:space="0" w:color="auto"/>
            </w:tcBorders>
            <w:shd w:val="clear" w:color="auto" w:fill="auto"/>
            <w:noWrap/>
            <w:hideMark/>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c>
          <w:tcPr>
            <w:tcW w:w="1134" w:type="dxa"/>
            <w:tcBorders>
              <w:top w:val="nil"/>
              <w:left w:val="nil"/>
              <w:bottom w:val="single" w:sz="4" w:space="0" w:color="auto"/>
              <w:right w:val="single" w:sz="4" w:space="0" w:color="auto"/>
            </w:tcBorders>
            <w:shd w:val="clear" w:color="000000" w:fill="F2F2F2"/>
            <w:noWrap/>
            <w:hideMark/>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r>
      <w:tr>
        <w:trPr>
          <w:trHeight w:val="300"/>
        </w:trPr>
        <w:tc>
          <w:tcPr>
            <w:tcW w:w="1276" w:type="dxa"/>
            <w:tcBorders>
              <w:top w:val="nil"/>
              <w:left w:val="single" w:sz="4" w:space="0" w:color="auto"/>
              <w:bottom w:val="single" w:sz="4" w:space="0" w:color="auto"/>
              <w:right w:val="single" w:sz="4" w:space="0" w:color="auto"/>
            </w:tcBorders>
            <w:shd w:val="clear" w:color="000000" w:fill="F2F2F2"/>
            <w:vAlign w:val="center"/>
            <w:hideMark/>
          </w:tcPr>
          <w:p>
            <w:pPr>
              <w:spacing w:before="0" w:after="0"/>
              <w:rPr>
                <w:rFonts w:ascii="Arial" w:hAnsi="Arial" w:cs="Arial"/>
                <w:noProof/>
                <w:color w:val="000000"/>
                <w:sz w:val="18"/>
                <w:szCs w:val="18"/>
              </w:rPr>
            </w:pPr>
            <w:r>
              <w:rPr>
                <w:rFonts w:ascii="Arial" w:hAnsi="Arial" w:cs="Arial"/>
                <w:noProof/>
                <w:color w:val="000000"/>
                <w:sz w:val="18"/>
                <w:szCs w:val="18"/>
              </w:rPr>
              <w:t xml:space="preserve">Espagne            </w:t>
            </w:r>
          </w:p>
        </w:tc>
        <w:tc>
          <w:tcPr>
            <w:tcW w:w="1158"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color w:val="000000"/>
                <w:sz w:val="18"/>
                <w:szCs w:val="18"/>
              </w:rPr>
            </w:pPr>
            <w:r>
              <w:rPr>
                <w:rFonts w:ascii="Arial" w:hAnsi="Arial" w:cs="Arial"/>
                <w:noProof/>
                <w:color w:val="000000"/>
                <w:sz w:val="18"/>
                <w:szCs w:val="18"/>
              </w:rPr>
              <w:t>1 731 468</w:t>
            </w:r>
          </w:p>
        </w:tc>
        <w:tc>
          <w:tcPr>
            <w:tcW w:w="1110"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color w:val="000000"/>
                <w:sz w:val="18"/>
                <w:szCs w:val="18"/>
              </w:rPr>
            </w:pPr>
            <w:r>
              <w:rPr>
                <w:rFonts w:ascii="Arial" w:hAnsi="Arial" w:cs="Arial"/>
                <w:noProof/>
                <w:color w:val="000000"/>
                <w:sz w:val="18"/>
                <w:szCs w:val="18"/>
              </w:rPr>
              <w:t>2 074 248</w:t>
            </w:r>
          </w:p>
        </w:tc>
        <w:tc>
          <w:tcPr>
            <w:tcW w:w="1134"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c>
          <w:tcPr>
            <w:tcW w:w="1134" w:type="dxa"/>
            <w:tcBorders>
              <w:top w:val="nil"/>
              <w:left w:val="nil"/>
              <w:bottom w:val="single" w:sz="4" w:space="0" w:color="auto"/>
              <w:right w:val="single" w:sz="4" w:space="0" w:color="auto"/>
            </w:tcBorders>
            <w:shd w:val="clear" w:color="000000" w:fill="F2F2F2"/>
            <w:noWrap/>
            <w:hideMark/>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c>
          <w:tcPr>
            <w:tcW w:w="1134"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color w:val="000000"/>
                <w:sz w:val="18"/>
                <w:szCs w:val="18"/>
              </w:rPr>
            </w:pPr>
            <w:r>
              <w:rPr>
                <w:rFonts w:ascii="Arial" w:hAnsi="Arial" w:cs="Arial"/>
                <w:noProof/>
                <w:color w:val="000000"/>
                <w:sz w:val="18"/>
                <w:szCs w:val="18"/>
              </w:rPr>
              <w:t>39 414 699</w:t>
            </w:r>
          </w:p>
        </w:tc>
        <w:tc>
          <w:tcPr>
            <w:tcW w:w="992" w:type="dxa"/>
            <w:tcBorders>
              <w:top w:val="nil"/>
              <w:left w:val="nil"/>
              <w:bottom w:val="single" w:sz="4" w:space="0" w:color="auto"/>
              <w:right w:val="single" w:sz="4" w:space="0" w:color="auto"/>
            </w:tcBorders>
            <w:shd w:val="clear" w:color="auto" w:fill="auto"/>
            <w:noWrap/>
            <w:hideMark/>
          </w:tcPr>
          <w:p>
            <w:pPr>
              <w:spacing w:before="0" w:after="0"/>
              <w:jc w:val="right"/>
              <w:rPr>
                <w:rFonts w:ascii="Arial" w:hAnsi="Arial" w:cs="Arial"/>
                <w:noProof/>
                <w:color w:val="000000"/>
                <w:sz w:val="18"/>
                <w:szCs w:val="18"/>
              </w:rPr>
            </w:pPr>
            <w:r>
              <w:rPr>
                <w:rFonts w:ascii="Arial" w:hAnsi="Arial" w:cs="Arial"/>
                <w:noProof/>
                <w:color w:val="000000"/>
                <w:sz w:val="18"/>
                <w:szCs w:val="18"/>
              </w:rPr>
              <w:t>4,39</w:t>
            </w:r>
          </w:p>
        </w:tc>
        <w:tc>
          <w:tcPr>
            <w:tcW w:w="1134" w:type="dxa"/>
            <w:tcBorders>
              <w:top w:val="nil"/>
              <w:left w:val="nil"/>
              <w:bottom w:val="single" w:sz="4" w:space="0" w:color="auto"/>
              <w:right w:val="single" w:sz="4" w:space="0" w:color="auto"/>
            </w:tcBorders>
            <w:shd w:val="clear" w:color="auto" w:fill="auto"/>
            <w:noWrap/>
            <w:hideMark/>
          </w:tcPr>
          <w:p>
            <w:pPr>
              <w:spacing w:before="0" w:after="0"/>
              <w:jc w:val="right"/>
              <w:rPr>
                <w:rFonts w:ascii="Arial" w:hAnsi="Arial" w:cs="Arial"/>
                <w:noProof/>
                <w:color w:val="000000"/>
                <w:sz w:val="18"/>
                <w:szCs w:val="18"/>
              </w:rPr>
            </w:pPr>
            <w:r>
              <w:rPr>
                <w:rFonts w:ascii="Arial" w:hAnsi="Arial" w:cs="Arial"/>
                <w:noProof/>
                <w:color w:val="000000"/>
                <w:sz w:val="18"/>
                <w:szCs w:val="18"/>
              </w:rPr>
              <w:t>1 913</w:t>
            </w:r>
          </w:p>
        </w:tc>
        <w:tc>
          <w:tcPr>
            <w:tcW w:w="1134" w:type="dxa"/>
            <w:tcBorders>
              <w:top w:val="nil"/>
              <w:left w:val="nil"/>
              <w:bottom w:val="single" w:sz="4" w:space="0" w:color="auto"/>
              <w:right w:val="single" w:sz="4" w:space="0" w:color="auto"/>
            </w:tcBorders>
            <w:shd w:val="clear" w:color="000000" w:fill="F2F2F2"/>
            <w:noWrap/>
            <w:hideMark/>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r>
      <w:tr>
        <w:trPr>
          <w:trHeight w:val="300"/>
        </w:trPr>
        <w:tc>
          <w:tcPr>
            <w:tcW w:w="1276" w:type="dxa"/>
            <w:tcBorders>
              <w:top w:val="nil"/>
              <w:left w:val="single" w:sz="4" w:space="0" w:color="auto"/>
              <w:bottom w:val="single" w:sz="4" w:space="0" w:color="auto"/>
              <w:right w:val="single" w:sz="4" w:space="0" w:color="auto"/>
            </w:tcBorders>
            <w:shd w:val="clear" w:color="000000" w:fill="F2F2F2"/>
            <w:vAlign w:val="center"/>
            <w:hideMark/>
          </w:tcPr>
          <w:p>
            <w:pPr>
              <w:spacing w:before="0" w:after="0"/>
              <w:rPr>
                <w:rFonts w:ascii="Arial" w:hAnsi="Arial" w:cs="Arial"/>
                <w:noProof/>
                <w:color w:val="000000"/>
                <w:sz w:val="18"/>
                <w:szCs w:val="18"/>
              </w:rPr>
            </w:pPr>
            <w:r>
              <w:rPr>
                <w:rFonts w:ascii="Arial" w:hAnsi="Arial" w:cs="Arial"/>
                <w:noProof/>
                <w:color w:val="000000"/>
                <w:sz w:val="18"/>
                <w:szCs w:val="18"/>
              </w:rPr>
              <w:t xml:space="preserve">France           </w:t>
            </w:r>
          </w:p>
        </w:tc>
        <w:tc>
          <w:tcPr>
            <w:tcW w:w="1158"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color w:val="000000"/>
                <w:sz w:val="18"/>
                <w:szCs w:val="18"/>
              </w:rPr>
            </w:pPr>
            <w:r>
              <w:rPr>
                <w:rFonts w:ascii="Arial" w:hAnsi="Arial" w:cs="Arial"/>
                <w:noProof/>
                <w:color w:val="000000"/>
                <w:sz w:val="18"/>
                <w:szCs w:val="18"/>
              </w:rPr>
              <w:t>1 328 334</w:t>
            </w:r>
          </w:p>
        </w:tc>
        <w:tc>
          <w:tcPr>
            <w:tcW w:w="1110"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color w:val="000000"/>
                <w:sz w:val="18"/>
                <w:szCs w:val="18"/>
              </w:rPr>
            </w:pPr>
            <w:r>
              <w:rPr>
                <w:rFonts w:ascii="Arial" w:hAnsi="Arial" w:cs="Arial"/>
                <w:noProof/>
                <w:color w:val="000000"/>
                <w:sz w:val="18"/>
                <w:szCs w:val="18"/>
              </w:rPr>
              <w:t>1 248 807</w:t>
            </w:r>
          </w:p>
        </w:tc>
        <w:tc>
          <w:tcPr>
            <w:tcW w:w="1134" w:type="dxa"/>
            <w:tcBorders>
              <w:top w:val="nil"/>
              <w:left w:val="nil"/>
              <w:bottom w:val="single" w:sz="4" w:space="0" w:color="auto"/>
              <w:right w:val="single" w:sz="4" w:space="0" w:color="auto"/>
            </w:tcBorders>
            <w:shd w:val="clear" w:color="auto" w:fill="auto"/>
            <w:noWrap/>
            <w:hideMark/>
          </w:tcPr>
          <w:p>
            <w:pPr>
              <w:spacing w:before="0" w:after="0"/>
              <w:jc w:val="right"/>
              <w:rPr>
                <w:rFonts w:ascii="Arial" w:hAnsi="Arial" w:cs="Arial"/>
                <w:noProof/>
                <w:color w:val="000000"/>
                <w:sz w:val="18"/>
                <w:szCs w:val="18"/>
              </w:rPr>
            </w:pPr>
            <w:r>
              <w:rPr>
                <w:rFonts w:ascii="Arial" w:hAnsi="Arial" w:cs="Arial"/>
                <w:noProof/>
                <w:color w:val="000000"/>
                <w:sz w:val="18"/>
                <w:szCs w:val="18"/>
              </w:rPr>
              <w:t>279 488</w:t>
            </w:r>
          </w:p>
        </w:tc>
        <w:tc>
          <w:tcPr>
            <w:tcW w:w="1134" w:type="dxa"/>
            <w:tcBorders>
              <w:top w:val="nil"/>
              <w:left w:val="nil"/>
              <w:bottom w:val="single" w:sz="4" w:space="0" w:color="auto"/>
              <w:right w:val="single" w:sz="4" w:space="0" w:color="auto"/>
            </w:tcBorders>
            <w:shd w:val="clear" w:color="000000" w:fill="F2F2F2"/>
            <w:noWrap/>
            <w:hideMark/>
          </w:tcPr>
          <w:p>
            <w:pPr>
              <w:spacing w:before="0" w:after="0"/>
              <w:jc w:val="right"/>
              <w:rPr>
                <w:rFonts w:ascii="Arial" w:hAnsi="Arial" w:cs="Arial"/>
                <w:noProof/>
                <w:color w:val="000000"/>
                <w:sz w:val="18"/>
                <w:szCs w:val="18"/>
              </w:rPr>
            </w:pPr>
            <w:r>
              <w:rPr>
                <w:rFonts w:ascii="Arial" w:hAnsi="Arial" w:cs="Arial"/>
                <w:noProof/>
                <w:color w:val="000000"/>
                <w:sz w:val="18"/>
                <w:szCs w:val="18"/>
              </w:rPr>
              <w:t>21,0</w:t>
            </w:r>
          </w:p>
        </w:tc>
        <w:tc>
          <w:tcPr>
            <w:tcW w:w="1134"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color w:val="000000"/>
                <w:sz w:val="18"/>
                <w:szCs w:val="18"/>
              </w:rPr>
            </w:pPr>
            <w:r>
              <w:rPr>
                <w:rFonts w:ascii="Arial" w:hAnsi="Arial" w:cs="Arial"/>
                <w:noProof/>
                <w:color w:val="000000"/>
                <w:sz w:val="18"/>
                <w:szCs w:val="18"/>
              </w:rPr>
              <w:t>54 431 181</w:t>
            </w:r>
          </w:p>
        </w:tc>
        <w:tc>
          <w:tcPr>
            <w:tcW w:w="992" w:type="dxa"/>
            <w:tcBorders>
              <w:top w:val="nil"/>
              <w:left w:val="nil"/>
              <w:bottom w:val="single" w:sz="4" w:space="0" w:color="auto"/>
              <w:right w:val="single" w:sz="4" w:space="0" w:color="auto"/>
            </w:tcBorders>
            <w:shd w:val="clear" w:color="auto" w:fill="auto"/>
            <w:noWrap/>
            <w:hideMark/>
          </w:tcPr>
          <w:p>
            <w:pPr>
              <w:spacing w:before="0" w:after="0"/>
              <w:jc w:val="right"/>
              <w:rPr>
                <w:rFonts w:ascii="Arial" w:hAnsi="Arial" w:cs="Arial"/>
                <w:noProof/>
                <w:color w:val="000000"/>
                <w:sz w:val="18"/>
                <w:szCs w:val="18"/>
              </w:rPr>
            </w:pPr>
            <w:r>
              <w:rPr>
                <w:rFonts w:ascii="Arial" w:hAnsi="Arial" w:cs="Arial"/>
                <w:noProof/>
                <w:color w:val="000000"/>
                <w:sz w:val="18"/>
                <w:szCs w:val="18"/>
              </w:rPr>
              <w:t>2,44</w:t>
            </w:r>
          </w:p>
        </w:tc>
        <w:tc>
          <w:tcPr>
            <w:tcW w:w="1134" w:type="dxa"/>
            <w:tcBorders>
              <w:top w:val="nil"/>
              <w:left w:val="nil"/>
              <w:bottom w:val="single" w:sz="4" w:space="0" w:color="auto"/>
              <w:right w:val="single" w:sz="4" w:space="0" w:color="auto"/>
            </w:tcBorders>
            <w:shd w:val="clear" w:color="auto" w:fill="auto"/>
            <w:noWrap/>
            <w:hideMark/>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c>
          <w:tcPr>
            <w:tcW w:w="1134" w:type="dxa"/>
            <w:tcBorders>
              <w:top w:val="nil"/>
              <w:left w:val="nil"/>
              <w:bottom w:val="single" w:sz="4" w:space="0" w:color="auto"/>
              <w:right w:val="single" w:sz="4" w:space="0" w:color="auto"/>
            </w:tcBorders>
            <w:shd w:val="clear" w:color="000000" w:fill="F2F2F2"/>
            <w:noWrap/>
            <w:hideMark/>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r>
      <w:tr>
        <w:trPr>
          <w:trHeight w:val="300"/>
        </w:trPr>
        <w:tc>
          <w:tcPr>
            <w:tcW w:w="1276" w:type="dxa"/>
            <w:tcBorders>
              <w:top w:val="nil"/>
              <w:left w:val="single" w:sz="4" w:space="0" w:color="auto"/>
              <w:bottom w:val="single" w:sz="4" w:space="0" w:color="auto"/>
              <w:right w:val="single" w:sz="4" w:space="0" w:color="auto"/>
            </w:tcBorders>
            <w:shd w:val="clear" w:color="000000" w:fill="F2F2F2"/>
            <w:vAlign w:val="center"/>
            <w:hideMark/>
          </w:tcPr>
          <w:p>
            <w:pPr>
              <w:spacing w:before="0" w:after="0"/>
              <w:rPr>
                <w:rFonts w:ascii="Arial" w:hAnsi="Arial" w:cs="Arial"/>
                <w:noProof/>
                <w:color w:val="000000"/>
                <w:sz w:val="18"/>
                <w:szCs w:val="18"/>
              </w:rPr>
            </w:pPr>
            <w:r>
              <w:rPr>
                <w:rFonts w:ascii="Arial" w:hAnsi="Arial" w:cs="Arial"/>
                <w:noProof/>
                <w:color w:val="000000"/>
                <w:sz w:val="18"/>
                <w:szCs w:val="18"/>
              </w:rPr>
              <w:t xml:space="preserve">Croatie             </w:t>
            </w:r>
          </w:p>
        </w:tc>
        <w:tc>
          <w:tcPr>
            <w:tcW w:w="1158"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color w:val="000000"/>
                <w:sz w:val="18"/>
                <w:szCs w:val="18"/>
              </w:rPr>
            </w:pPr>
            <w:r>
              <w:rPr>
                <w:rFonts w:ascii="Arial" w:hAnsi="Arial" w:cs="Arial"/>
                <w:noProof/>
                <w:color w:val="000000"/>
                <w:sz w:val="18"/>
                <w:szCs w:val="18"/>
              </w:rPr>
              <w:t>12 438</w:t>
            </w:r>
          </w:p>
        </w:tc>
        <w:tc>
          <w:tcPr>
            <w:tcW w:w="1110"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c>
          <w:tcPr>
            <w:tcW w:w="1134"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c>
          <w:tcPr>
            <w:tcW w:w="1134" w:type="dxa"/>
            <w:tcBorders>
              <w:top w:val="nil"/>
              <w:left w:val="nil"/>
              <w:bottom w:val="single" w:sz="4" w:space="0" w:color="auto"/>
              <w:right w:val="single" w:sz="4" w:space="0" w:color="auto"/>
            </w:tcBorders>
            <w:shd w:val="clear" w:color="000000" w:fill="F2F2F2"/>
            <w:noWrap/>
            <w:hideMark/>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c>
          <w:tcPr>
            <w:tcW w:w="1134"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color w:val="000000"/>
                <w:sz w:val="18"/>
                <w:szCs w:val="18"/>
              </w:rPr>
            </w:pPr>
            <w:r>
              <w:rPr>
                <w:rFonts w:ascii="Arial" w:hAnsi="Arial" w:cs="Arial"/>
                <w:noProof/>
                <w:color w:val="000000"/>
                <w:sz w:val="18"/>
                <w:szCs w:val="18"/>
              </w:rPr>
              <w:t>3 579 197</w:t>
            </w:r>
          </w:p>
        </w:tc>
        <w:tc>
          <w:tcPr>
            <w:tcW w:w="992" w:type="dxa"/>
            <w:tcBorders>
              <w:top w:val="nil"/>
              <w:left w:val="nil"/>
              <w:bottom w:val="single" w:sz="4" w:space="0" w:color="auto"/>
              <w:right w:val="single" w:sz="4" w:space="0" w:color="auto"/>
            </w:tcBorders>
            <w:shd w:val="clear" w:color="auto" w:fill="auto"/>
            <w:noWrap/>
            <w:hideMark/>
          </w:tcPr>
          <w:p>
            <w:pPr>
              <w:spacing w:before="0" w:after="0"/>
              <w:jc w:val="right"/>
              <w:rPr>
                <w:rFonts w:ascii="Arial" w:hAnsi="Arial" w:cs="Arial"/>
                <w:noProof/>
                <w:color w:val="000000"/>
                <w:sz w:val="18"/>
                <w:szCs w:val="18"/>
              </w:rPr>
            </w:pPr>
            <w:r>
              <w:rPr>
                <w:rFonts w:ascii="Arial" w:hAnsi="Arial" w:cs="Arial"/>
                <w:noProof/>
                <w:color w:val="000000"/>
                <w:sz w:val="18"/>
                <w:szCs w:val="18"/>
              </w:rPr>
              <w:t>0,35</w:t>
            </w:r>
          </w:p>
        </w:tc>
        <w:tc>
          <w:tcPr>
            <w:tcW w:w="1134" w:type="dxa"/>
            <w:tcBorders>
              <w:top w:val="nil"/>
              <w:left w:val="nil"/>
              <w:bottom w:val="single" w:sz="4" w:space="0" w:color="auto"/>
              <w:right w:val="single" w:sz="4" w:space="0" w:color="auto"/>
            </w:tcBorders>
            <w:shd w:val="clear" w:color="auto" w:fill="auto"/>
            <w:noWrap/>
            <w:hideMark/>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c>
          <w:tcPr>
            <w:tcW w:w="1134" w:type="dxa"/>
            <w:tcBorders>
              <w:top w:val="nil"/>
              <w:left w:val="nil"/>
              <w:bottom w:val="single" w:sz="4" w:space="0" w:color="auto"/>
              <w:right w:val="single" w:sz="4" w:space="0" w:color="auto"/>
            </w:tcBorders>
            <w:shd w:val="clear" w:color="000000" w:fill="F2F2F2"/>
            <w:noWrap/>
            <w:hideMark/>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r>
      <w:tr>
        <w:trPr>
          <w:trHeight w:val="300"/>
        </w:trPr>
        <w:tc>
          <w:tcPr>
            <w:tcW w:w="1276" w:type="dxa"/>
            <w:tcBorders>
              <w:top w:val="nil"/>
              <w:left w:val="single" w:sz="4" w:space="0" w:color="auto"/>
              <w:bottom w:val="single" w:sz="4" w:space="0" w:color="auto"/>
              <w:right w:val="single" w:sz="4" w:space="0" w:color="auto"/>
            </w:tcBorders>
            <w:shd w:val="clear" w:color="000000" w:fill="F2F2F2"/>
            <w:vAlign w:val="center"/>
            <w:hideMark/>
          </w:tcPr>
          <w:p>
            <w:pPr>
              <w:spacing w:before="0" w:after="0"/>
              <w:rPr>
                <w:rFonts w:ascii="Arial" w:hAnsi="Arial" w:cs="Arial"/>
                <w:noProof/>
                <w:color w:val="000000"/>
                <w:sz w:val="18"/>
                <w:szCs w:val="18"/>
              </w:rPr>
            </w:pPr>
            <w:r>
              <w:rPr>
                <w:rFonts w:ascii="Arial" w:hAnsi="Arial" w:cs="Arial"/>
                <w:noProof/>
                <w:color w:val="000000"/>
                <w:sz w:val="18"/>
                <w:szCs w:val="18"/>
              </w:rPr>
              <w:t xml:space="preserve">Italie             </w:t>
            </w:r>
          </w:p>
        </w:tc>
        <w:tc>
          <w:tcPr>
            <w:tcW w:w="1158"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color w:val="000000"/>
                <w:sz w:val="18"/>
                <w:szCs w:val="18"/>
              </w:rPr>
            </w:pPr>
            <w:r>
              <w:rPr>
                <w:rFonts w:ascii="Arial" w:hAnsi="Arial" w:cs="Arial"/>
                <w:noProof/>
                <w:color w:val="000000"/>
                <w:sz w:val="18"/>
                <w:szCs w:val="18"/>
              </w:rPr>
              <w:t>1 281 928</w:t>
            </w:r>
          </w:p>
        </w:tc>
        <w:tc>
          <w:tcPr>
            <w:tcW w:w="1110"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c>
          <w:tcPr>
            <w:tcW w:w="1134"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c>
          <w:tcPr>
            <w:tcW w:w="1134" w:type="dxa"/>
            <w:tcBorders>
              <w:top w:val="nil"/>
              <w:left w:val="nil"/>
              <w:bottom w:val="single" w:sz="4" w:space="0" w:color="auto"/>
              <w:right w:val="single" w:sz="4" w:space="0" w:color="auto"/>
            </w:tcBorders>
            <w:shd w:val="clear" w:color="000000" w:fill="F2F2F2"/>
            <w:noWrap/>
            <w:hideMark/>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c>
          <w:tcPr>
            <w:tcW w:w="1134"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color w:val="000000"/>
                <w:sz w:val="18"/>
                <w:szCs w:val="18"/>
              </w:rPr>
            </w:pPr>
            <w:r>
              <w:rPr>
                <w:rFonts w:ascii="Arial" w:hAnsi="Arial" w:cs="Arial"/>
                <w:noProof/>
                <w:color w:val="000000"/>
                <w:sz w:val="18"/>
                <w:szCs w:val="18"/>
              </w:rPr>
              <w:t>52 383 692</w:t>
            </w:r>
          </w:p>
        </w:tc>
        <w:tc>
          <w:tcPr>
            <w:tcW w:w="992" w:type="dxa"/>
            <w:tcBorders>
              <w:top w:val="nil"/>
              <w:left w:val="nil"/>
              <w:bottom w:val="single" w:sz="4" w:space="0" w:color="auto"/>
              <w:right w:val="single" w:sz="4" w:space="0" w:color="auto"/>
            </w:tcBorders>
            <w:shd w:val="clear" w:color="auto" w:fill="auto"/>
            <w:noWrap/>
            <w:hideMark/>
          </w:tcPr>
          <w:p>
            <w:pPr>
              <w:spacing w:before="0" w:after="0"/>
              <w:jc w:val="right"/>
              <w:rPr>
                <w:rFonts w:ascii="Arial" w:hAnsi="Arial" w:cs="Arial"/>
                <w:noProof/>
                <w:color w:val="000000"/>
                <w:sz w:val="18"/>
                <w:szCs w:val="18"/>
              </w:rPr>
            </w:pPr>
            <w:r>
              <w:rPr>
                <w:rFonts w:ascii="Arial" w:hAnsi="Arial" w:cs="Arial"/>
                <w:noProof/>
                <w:color w:val="000000"/>
                <w:sz w:val="18"/>
                <w:szCs w:val="18"/>
              </w:rPr>
              <w:t>2,45</w:t>
            </w:r>
          </w:p>
        </w:tc>
        <w:tc>
          <w:tcPr>
            <w:tcW w:w="1134" w:type="dxa"/>
            <w:tcBorders>
              <w:top w:val="nil"/>
              <w:left w:val="nil"/>
              <w:bottom w:val="single" w:sz="4" w:space="0" w:color="auto"/>
              <w:right w:val="single" w:sz="4" w:space="0" w:color="auto"/>
            </w:tcBorders>
            <w:shd w:val="clear" w:color="auto" w:fill="auto"/>
            <w:noWrap/>
            <w:hideMark/>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c>
          <w:tcPr>
            <w:tcW w:w="1134" w:type="dxa"/>
            <w:tcBorders>
              <w:top w:val="nil"/>
              <w:left w:val="nil"/>
              <w:bottom w:val="single" w:sz="4" w:space="0" w:color="auto"/>
              <w:right w:val="single" w:sz="4" w:space="0" w:color="auto"/>
            </w:tcBorders>
            <w:shd w:val="clear" w:color="000000" w:fill="F2F2F2"/>
            <w:noWrap/>
            <w:hideMark/>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r>
      <w:tr>
        <w:trPr>
          <w:trHeight w:val="300"/>
        </w:trPr>
        <w:tc>
          <w:tcPr>
            <w:tcW w:w="1276" w:type="dxa"/>
            <w:tcBorders>
              <w:top w:val="nil"/>
              <w:left w:val="single" w:sz="4" w:space="0" w:color="auto"/>
              <w:bottom w:val="single" w:sz="4" w:space="0" w:color="auto"/>
              <w:right w:val="single" w:sz="4" w:space="0" w:color="auto"/>
            </w:tcBorders>
            <w:shd w:val="clear" w:color="000000" w:fill="F2F2F2"/>
            <w:vAlign w:val="center"/>
          </w:tcPr>
          <w:p>
            <w:pPr>
              <w:spacing w:before="0" w:after="0"/>
              <w:rPr>
                <w:rFonts w:ascii="Arial" w:hAnsi="Arial" w:cs="Arial"/>
                <w:noProof/>
                <w:color w:val="000000"/>
                <w:sz w:val="18"/>
                <w:szCs w:val="18"/>
              </w:rPr>
            </w:pPr>
            <w:r>
              <w:rPr>
                <w:rFonts w:ascii="Arial" w:hAnsi="Arial" w:cs="Arial"/>
                <w:noProof/>
                <w:color w:val="000000"/>
                <w:sz w:val="18"/>
                <w:szCs w:val="18"/>
              </w:rPr>
              <w:t xml:space="preserve">Chypre              </w:t>
            </w:r>
          </w:p>
        </w:tc>
        <w:tc>
          <w:tcPr>
            <w:tcW w:w="1158"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color w:val="000000"/>
                <w:sz w:val="18"/>
                <w:szCs w:val="18"/>
              </w:rPr>
            </w:pPr>
            <w:r>
              <w:rPr>
                <w:rFonts w:ascii="Arial" w:hAnsi="Arial" w:cs="Arial"/>
                <w:noProof/>
                <w:color w:val="000000"/>
                <w:sz w:val="18"/>
                <w:szCs w:val="18"/>
              </w:rPr>
              <w:t>96 362</w:t>
            </w:r>
          </w:p>
        </w:tc>
        <w:tc>
          <w:tcPr>
            <w:tcW w:w="1110"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c>
          <w:tcPr>
            <w:tcW w:w="1134"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c>
          <w:tcPr>
            <w:tcW w:w="1134" w:type="dxa"/>
            <w:tcBorders>
              <w:top w:val="nil"/>
              <w:left w:val="nil"/>
              <w:bottom w:val="single" w:sz="4" w:space="0" w:color="auto"/>
              <w:right w:val="single" w:sz="4" w:space="0" w:color="auto"/>
            </w:tcBorders>
            <w:shd w:val="clear" w:color="000000" w:fill="F2F2F2"/>
            <w:noWrap/>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c>
          <w:tcPr>
            <w:tcW w:w="1134"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color w:val="000000"/>
                <w:sz w:val="18"/>
                <w:szCs w:val="18"/>
              </w:rPr>
            </w:pPr>
            <w:r>
              <w:rPr>
                <w:rFonts w:ascii="Arial" w:hAnsi="Arial" w:cs="Arial"/>
                <w:noProof/>
                <w:color w:val="000000"/>
                <w:sz w:val="18"/>
                <w:szCs w:val="18"/>
              </w:rPr>
              <w:t>708 781</w:t>
            </w:r>
          </w:p>
        </w:tc>
        <w:tc>
          <w:tcPr>
            <w:tcW w:w="992"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color w:val="000000"/>
                <w:sz w:val="18"/>
                <w:szCs w:val="18"/>
              </w:rPr>
            </w:pPr>
            <w:r>
              <w:rPr>
                <w:rFonts w:ascii="Arial" w:hAnsi="Arial" w:cs="Arial"/>
                <w:noProof/>
                <w:color w:val="000000"/>
                <w:sz w:val="18"/>
                <w:szCs w:val="18"/>
              </w:rPr>
              <w:t>13,60</w:t>
            </w:r>
          </w:p>
        </w:tc>
        <w:tc>
          <w:tcPr>
            <w:tcW w:w="1134"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c>
          <w:tcPr>
            <w:tcW w:w="1134" w:type="dxa"/>
            <w:tcBorders>
              <w:top w:val="nil"/>
              <w:left w:val="nil"/>
              <w:bottom w:val="single" w:sz="4" w:space="0" w:color="auto"/>
              <w:right w:val="single" w:sz="4" w:space="0" w:color="auto"/>
            </w:tcBorders>
            <w:shd w:val="clear" w:color="000000" w:fill="F2F2F2"/>
            <w:noWrap/>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r>
      <w:tr>
        <w:trPr>
          <w:trHeight w:val="300"/>
        </w:trPr>
        <w:tc>
          <w:tcPr>
            <w:tcW w:w="1276" w:type="dxa"/>
            <w:tcBorders>
              <w:top w:val="nil"/>
              <w:left w:val="single" w:sz="4" w:space="0" w:color="auto"/>
              <w:bottom w:val="single" w:sz="4" w:space="0" w:color="auto"/>
              <w:right w:val="single" w:sz="4" w:space="0" w:color="auto"/>
            </w:tcBorders>
            <w:shd w:val="clear" w:color="000000" w:fill="F2F2F2"/>
            <w:vAlign w:val="center"/>
            <w:hideMark/>
          </w:tcPr>
          <w:p>
            <w:pPr>
              <w:spacing w:before="0" w:after="0"/>
              <w:rPr>
                <w:rFonts w:ascii="Arial" w:hAnsi="Arial" w:cs="Arial"/>
                <w:noProof/>
                <w:color w:val="000000"/>
                <w:sz w:val="18"/>
                <w:szCs w:val="18"/>
              </w:rPr>
            </w:pPr>
            <w:r>
              <w:rPr>
                <w:rFonts w:ascii="Arial" w:hAnsi="Arial" w:cs="Arial"/>
                <w:noProof/>
                <w:color w:val="000000"/>
                <w:sz w:val="18"/>
                <w:szCs w:val="18"/>
              </w:rPr>
              <w:t xml:space="preserve">Lettonie          </w:t>
            </w:r>
          </w:p>
        </w:tc>
        <w:tc>
          <w:tcPr>
            <w:tcW w:w="1158"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color w:val="000000"/>
                <w:sz w:val="18"/>
                <w:szCs w:val="18"/>
              </w:rPr>
            </w:pPr>
            <w:r>
              <w:rPr>
                <w:rFonts w:ascii="Arial" w:hAnsi="Arial" w:cs="Arial"/>
                <w:noProof/>
                <w:color w:val="000000"/>
                <w:sz w:val="18"/>
                <w:szCs w:val="18"/>
              </w:rPr>
              <w:t>5 523</w:t>
            </w:r>
          </w:p>
        </w:tc>
        <w:tc>
          <w:tcPr>
            <w:tcW w:w="1110"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color w:val="000000"/>
                <w:sz w:val="18"/>
                <w:szCs w:val="18"/>
              </w:rPr>
            </w:pPr>
            <w:r>
              <w:rPr>
                <w:rFonts w:ascii="Arial" w:hAnsi="Arial" w:cs="Arial"/>
                <w:noProof/>
                <w:color w:val="000000"/>
                <w:sz w:val="18"/>
                <w:szCs w:val="18"/>
              </w:rPr>
              <w:t>15 452</w:t>
            </w:r>
          </w:p>
        </w:tc>
        <w:tc>
          <w:tcPr>
            <w:tcW w:w="1134"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color w:val="000000"/>
                <w:sz w:val="18"/>
                <w:szCs w:val="18"/>
              </w:rPr>
            </w:pPr>
            <w:r>
              <w:rPr>
                <w:rFonts w:ascii="Arial" w:hAnsi="Arial" w:cs="Arial"/>
                <w:noProof/>
                <w:color w:val="000000"/>
                <w:sz w:val="18"/>
                <w:szCs w:val="18"/>
              </w:rPr>
              <w:t>15 452</w:t>
            </w:r>
          </w:p>
        </w:tc>
        <w:tc>
          <w:tcPr>
            <w:tcW w:w="1134" w:type="dxa"/>
            <w:tcBorders>
              <w:top w:val="nil"/>
              <w:left w:val="nil"/>
              <w:bottom w:val="single" w:sz="4" w:space="0" w:color="auto"/>
              <w:right w:val="single" w:sz="4" w:space="0" w:color="auto"/>
            </w:tcBorders>
            <w:shd w:val="clear" w:color="000000" w:fill="F2F2F2"/>
            <w:noWrap/>
            <w:hideMark/>
          </w:tcPr>
          <w:p>
            <w:pPr>
              <w:spacing w:before="0" w:after="0"/>
              <w:jc w:val="right"/>
              <w:rPr>
                <w:rFonts w:ascii="Arial" w:hAnsi="Arial" w:cs="Arial"/>
                <w:noProof/>
                <w:color w:val="000000"/>
                <w:sz w:val="18"/>
                <w:szCs w:val="18"/>
              </w:rPr>
            </w:pPr>
            <w:r>
              <w:rPr>
                <w:rFonts w:ascii="Arial" w:hAnsi="Arial" w:cs="Arial"/>
                <w:noProof/>
                <w:color w:val="000000"/>
                <w:sz w:val="18"/>
                <w:szCs w:val="18"/>
              </w:rPr>
              <w:t>279,8</w:t>
            </w:r>
          </w:p>
        </w:tc>
        <w:tc>
          <w:tcPr>
            <w:tcW w:w="1134"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color w:val="000000"/>
                <w:sz w:val="18"/>
                <w:szCs w:val="18"/>
              </w:rPr>
            </w:pPr>
            <w:r>
              <w:rPr>
                <w:rFonts w:ascii="Arial" w:hAnsi="Arial" w:cs="Arial"/>
                <w:noProof/>
                <w:color w:val="000000"/>
                <w:sz w:val="18"/>
                <w:szCs w:val="18"/>
              </w:rPr>
              <w:t>1 668 697</w:t>
            </w:r>
          </w:p>
        </w:tc>
        <w:tc>
          <w:tcPr>
            <w:tcW w:w="992" w:type="dxa"/>
            <w:tcBorders>
              <w:top w:val="nil"/>
              <w:left w:val="nil"/>
              <w:bottom w:val="single" w:sz="4" w:space="0" w:color="auto"/>
              <w:right w:val="single" w:sz="4" w:space="0" w:color="auto"/>
            </w:tcBorders>
            <w:shd w:val="clear" w:color="auto" w:fill="auto"/>
            <w:noWrap/>
            <w:hideMark/>
          </w:tcPr>
          <w:p>
            <w:pPr>
              <w:spacing w:before="0" w:after="0"/>
              <w:jc w:val="right"/>
              <w:rPr>
                <w:rFonts w:ascii="Arial" w:hAnsi="Arial" w:cs="Arial"/>
                <w:noProof/>
                <w:color w:val="000000"/>
                <w:sz w:val="18"/>
                <w:szCs w:val="18"/>
              </w:rPr>
            </w:pPr>
            <w:r>
              <w:rPr>
                <w:rFonts w:ascii="Arial" w:hAnsi="Arial" w:cs="Arial"/>
                <w:noProof/>
                <w:color w:val="000000"/>
                <w:sz w:val="18"/>
                <w:szCs w:val="18"/>
              </w:rPr>
              <w:t>0,33</w:t>
            </w:r>
          </w:p>
        </w:tc>
        <w:tc>
          <w:tcPr>
            <w:tcW w:w="1134" w:type="dxa"/>
            <w:tcBorders>
              <w:top w:val="nil"/>
              <w:left w:val="nil"/>
              <w:bottom w:val="single" w:sz="4" w:space="0" w:color="auto"/>
              <w:right w:val="single" w:sz="4" w:space="0" w:color="auto"/>
            </w:tcBorders>
            <w:shd w:val="clear" w:color="auto" w:fill="auto"/>
            <w:noWrap/>
            <w:hideMark/>
          </w:tcPr>
          <w:p>
            <w:pPr>
              <w:spacing w:before="0" w:after="0"/>
              <w:jc w:val="right"/>
              <w:rPr>
                <w:rFonts w:ascii="Arial" w:hAnsi="Arial" w:cs="Arial"/>
                <w:noProof/>
                <w:color w:val="000000"/>
                <w:sz w:val="18"/>
                <w:szCs w:val="18"/>
              </w:rPr>
            </w:pPr>
            <w:r>
              <w:rPr>
                <w:rFonts w:ascii="Arial" w:hAnsi="Arial" w:cs="Arial"/>
                <w:noProof/>
                <w:color w:val="000000"/>
                <w:sz w:val="18"/>
                <w:szCs w:val="18"/>
              </w:rPr>
              <w:t>10</w:t>
            </w:r>
          </w:p>
        </w:tc>
        <w:tc>
          <w:tcPr>
            <w:tcW w:w="1134" w:type="dxa"/>
            <w:tcBorders>
              <w:top w:val="nil"/>
              <w:left w:val="nil"/>
              <w:bottom w:val="single" w:sz="4" w:space="0" w:color="auto"/>
              <w:right w:val="single" w:sz="4" w:space="0" w:color="auto"/>
            </w:tcBorders>
            <w:shd w:val="clear" w:color="000000" w:fill="F2F2F2"/>
            <w:noWrap/>
            <w:hideMark/>
          </w:tcPr>
          <w:p>
            <w:pPr>
              <w:spacing w:before="0" w:after="0"/>
              <w:jc w:val="right"/>
              <w:rPr>
                <w:rFonts w:ascii="Arial" w:hAnsi="Arial" w:cs="Arial"/>
                <w:noProof/>
                <w:color w:val="000000"/>
                <w:sz w:val="18"/>
                <w:szCs w:val="18"/>
              </w:rPr>
            </w:pPr>
            <w:r>
              <w:rPr>
                <w:rFonts w:ascii="Arial" w:hAnsi="Arial" w:cs="Arial"/>
                <w:noProof/>
                <w:color w:val="000000"/>
                <w:sz w:val="18"/>
                <w:szCs w:val="18"/>
              </w:rPr>
              <w:t>20,0</w:t>
            </w:r>
          </w:p>
        </w:tc>
      </w:tr>
      <w:tr>
        <w:trPr>
          <w:trHeight w:val="300"/>
        </w:trPr>
        <w:tc>
          <w:tcPr>
            <w:tcW w:w="1276" w:type="dxa"/>
            <w:tcBorders>
              <w:top w:val="nil"/>
              <w:left w:val="single" w:sz="4" w:space="0" w:color="auto"/>
              <w:bottom w:val="single" w:sz="4" w:space="0" w:color="auto"/>
              <w:right w:val="single" w:sz="4" w:space="0" w:color="auto"/>
            </w:tcBorders>
            <w:shd w:val="clear" w:color="000000" w:fill="F2F2F2"/>
            <w:vAlign w:val="center"/>
          </w:tcPr>
          <w:p>
            <w:pPr>
              <w:spacing w:before="0" w:after="0"/>
              <w:rPr>
                <w:rFonts w:ascii="Arial" w:hAnsi="Arial" w:cs="Arial"/>
                <w:noProof/>
                <w:color w:val="000000"/>
                <w:sz w:val="18"/>
                <w:szCs w:val="18"/>
              </w:rPr>
            </w:pPr>
            <w:r>
              <w:rPr>
                <w:rFonts w:ascii="Arial" w:hAnsi="Arial" w:cs="Arial"/>
                <w:noProof/>
                <w:color w:val="000000"/>
                <w:sz w:val="18"/>
                <w:szCs w:val="18"/>
              </w:rPr>
              <w:t xml:space="preserve">Lituanie          </w:t>
            </w:r>
          </w:p>
        </w:tc>
        <w:tc>
          <w:tcPr>
            <w:tcW w:w="1158"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color w:val="000000"/>
                <w:sz w:val="18"/>
                <w:szCs w:val="18"/>
              </w:rPr>
            </w:pPr>
            <w:r>
              <w:rPr>
                <w:rFonts w:ascii="Arial" w:hAnsi="Arial" w:cs="Arial"/>
                <w:noProof/>
                <w:color w:val="000000"/>
                <w:sz w:val="18"/>
                <w:szCs w:val="18"/>
              </w:rPr>
              <w:t>4 528</w:t>
            </w:r>
          </w:p>
        </w:tc>
        <w:tc>
          <w:tcPr>
            <w:tcW w:w="1110"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color w:val="000000"/>
                <w:sz w:val="18"/>
                <w:szCs w:val="18"/>
              </w:rPr>
            </w:pPr>
            <w:r>
              <w:rPr>
                <w:rFonts w:ascii="Arial" w:hAnsi="Arial" w:cs="Arial"/>
                <w:noProof/>
                <w:color w:val="000000"/>
                <w:sz w:val="18"/>
                <w:szCs w:val="18"/>
              </w:rPr>
              <w:t>4 870</w:t>
            </w:r>
          </w:p>
        </w:tc>
        <w:tc>
          <w:tcPr>
            <w:tcW w:w="1134"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color w:val="000000"/>
                <w:sz w:val="18"/>
                <w:szCs w:val="18"/>
              </w:rPr>
            </w:pPr>
            <w:r>
              <w:rPr>
                <w:rFonts w:ascii="Arial" w:hAnsi="Arial" w:cs="Arial"/>
                <w:noProof/>
                <w:color w:val="000000"/>
                <w:sz w:val="18"/>
                <w:szCs w:val="18"/>
              </w:rPr>
              <w:t>4 524</w:t>
            </w:r>
          </w:p>
        </w:tc>
        <w:tc>
          <w:tcPr>
            <w:tcW w:w="1134" w:type="dxa"/>
            <w:tcBorders>
              <w:top w:val="nil"/>
              <w:left w:val="nil"/>
              <w:bottom w:val="single" w:sz="4" w:space="0" w:color="auto"/>
              <w:right w:val="single" w:sz="4" w:space="0" w:color="auto"/>
            </w:tcBorders>
            <w:shd w:val="clear" w:color="000000" w:fill="F2F2F2"/>
            <w:noWrap/>
          </w:tcPr>
          <w:p>
            <w:pPr>
              <w:spacing w:before="0" w:after="0"/>
              <w:jc w:val="right"/>
              <w:rPr>
                <w:rFonts w:ascii="Arial" w:hAnsi="Arial" w:cs="Arial"/>
                <w:noProof/>
                <w:color w:val="000000"/>
                <w:sz w:val="18"/>
                <w:szCs w:val="18"/>
              </w:rPr>
            </w:pPr>
            <w:r>
              <w:rPr>
                <w:rFonts w:ascii="Arial" w:hAnsi="Arial" w:cs="Arial"/>
                <w:noProof/>
                <w:color w:val="000000"/>
                <w:sz w:val="18"/>
                <w:szCs w:val="18"/>
              </w:rPr>
              <w:t>99,9</w:t>
            </w:r>
          </w:p>
        </w:tc>
        <w:tc>
          <w:tcPr>
            <w:tcW w:w="1134"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color w:val="000000"/>
                <w:sz w:val="18"/>
                <w:szCs w:val="18"/>
              </w:rPr>
            </w:pPr>
            <w:r>
              <w:rPr>
                <w:rFonts w:ascii="Arial" w:hAnsi="Arial" w:cs="Arial"/>
                <w:noProof/>
                <w:color w:val="000000"/>
                <w:sz w:val="18"/>
                <w:szCs w:val="18"/>
              </w:rPr>
              <w:t>2 464 811</w:t>
            </w:r>
          </w:p>
        </w:tc>
        <w:tc>
          <w:tcPr>
            <w:tcW w:w="992"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color w:val="000000"/>
                <w:sz w:val="18"/>
                <w:szCs w:val="18"/>
              </w:rPr>
            </w:pPr>
            <w:r>
              <w:rPr>
                <w:rFonts w:ascii="Arial" w:hAnsi="Arial" w:cs="Arial"/>
                <w:noProof/>
                <w:color w:val="000000"/>
                <w:sz w:val="18"/>
                <w:szCs w:val="18"/>
              </w:rPr>
              <w:t>0,18</w:t>
            </w:r>
          </w:p>
        </w:tc>
        <w:tc>
          <w:tcPr>
            <w:tcW w:w="1134"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color w:val="000000"/>
                <w:sz w:val="18"/>
                <w:szCs w:val="18"/>
              </w:rPr>
            </w:pPr>
            <w:r>
              <w:rPr>
                <w:rFonts w:ascii="Arial" w:hAnsi="Arial" w:cs="Arial"/>
                <w:noProof/>
                <w:color w:val="000000"/>
                <w:sz w:val="18"/>
                <w:szCs w:val="18"/>
              </w:rPr>
              <w:t>5</w:t>
            </w:r>
          </w:p>
        </w:tc>
        <w:tc>
          <w:tcPr>
            <w:tcW w:w="1134" w:type="dxa"/>
            <w:tcBorders>
              <w:top w:val="nil"/>
              <w:left w:val="nil"/>
              <w:bottom w:val="single" w:sz="4" w:space="0" w:color="auto"/>
              <w:right w:val="single" w:sz="4" w:space="0" w:color="auto"/>
            </w:tcBorders>
            <w:shd w:val="clear" w:color="000000" w:fill="F2F2F2"/>
            <w:noWrap/>
          </w:tcPr>
          <w:p>
            <w:pPr>
              <w:spacing w:before="0" w:after="0"/>
              <w:jc w:val="right"/>
              <w:rPr>
                <w:rFonts w:ascii="Arial" w:hAnsi="Arial" w:cs="Arial"/>
                <w:noProof/>
                <w:color w:val="000000"/>
                <w:sz w:val="18"/>
                <w:szCs w:val="18"/>
              </w:rPr>
            </w:pPr>
            <w:r>
              <w:rPr>
                <w:rFonts w:ascii="Arial" w:hAnsi="Arial" w:cs="Arial"/>
                <w:noProof/>
                <w:color w:val="000000"/>
                <w:sz w:val="18"/>
                <w:szCs w:val="18"/>
              </w:rPr>
              <w:t>20,0</w:t>
            </w:r>
          </w:p>
        </w:tc>
      </w:tr>
      <w:tr>
        <w:trPr>
          <w:trHeight w:val="300"/>
        </w:trPr>
        <w:tc>
          <w:tcPr>
            <w:tcW w:w="1276" w:type="dxa"/>
            <w:tcBorders>
              <w:top w:val="nil"/>
              <w:left w:val="single" w:sz="4" w:space="0" w:color="auto"/>
              <w:bottom w:val="single" w:sz="4" w:space="0" w:color="auto"/>
              <w:right w:val="single" w:sz="4" w:space="0" w:color="auto"/>
            </w:tcBorders>
            <w:shd w:val="clear" w:color="000000" w:fill="F2F2F2"/>
            <w:vAlign w:val="center"/>
          </w:tcPr>
          <w:p>
            <w:pPr>
              <w:spacing w:before="0" w:after="0"/>
              <w:rPr>
                <w:rFonts w:ascii="Arial" w:hAnsi="Arial" w:cs="Arial"/>
                <w:noProof/>
                <w:color w:val="000000"/>
                <w:sz w:val="18"/>
                <w:szCs w:val="18"/>
              </w:rPr>
            </w:pPr>
            <w:r>
              <w:rPr>
                <w:rFonts w:ascii="Arial" w:hAnsi="Arial" w:cs="Arial"/>
                <w:noProof/>
                <w:color w:val="000000"/>
                <w:sz w:val="18"/>
                <w:szCs w:val="18"/>
              </w:rPr>
              <w:t xml:space="preserve">Luxembourg      </w:t>
            </w:r>
          </w:p>
        </w:tc>
        <w:tc>
          <w:tcPr>
            <w:tcW w:w="1158"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color w:val="000000"/>
                <w:sz w:val="18"/>
                <w:szCs w:val="18"/>
              </w:rPr>
            </w:pPr>
            <w:r>
              <w:rPr>
                <w:rFonts w:ascii="Arial" w:hAnsi="Arial" w:cs="Arial"/>
                <w:noProof/>
                <w:color w:val="000000"/>
                <w:sz w:val="18"/>
                <w:szCs w:val="18"/>
              </w:rPr>
              <w:t>189 921</w:t>
            </w:r>
          </w:p>
        </w:tc>
        <w:tc>
          <w:tcPr>
            <w:tcW w:w="1110"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color w:val="000000"/>
                <w:sz w:val="18"/>
                <w:szCs w:val="18"/>
              </w:rPr>
            </w:pPr>
            <w:r>
              <w:rPr>
                <w:rFonts w:ascii="Arial" w:hAnsi="Arial" w:cs="Arial"/>
                <w:noProof/>
                <w:color w:val="000000"/>
                <w:sz w:val="18"/>
                <w:szCs w:val="18"/>
              </w:rPr>
              <w:t>159 485</w:t>
            </w:r>
          </w:p>
        </w:tc>
        <w:tc>
          <w:tcPr>
            <w:tcW w:w="1134"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color w:val="000000"/>
                <w:sz w:val="18"/>
                <w:szCs w:val="18"/>
              </w:rPr>
            </w:pPr>
            <w:r>
              <w:rPr>
                <w:rFonts w:ascii="Arial" w:hAnsi="Arial" w:cs="Arial"/>
                <w:noProof/>
                <w:color w:val="000000"/>
                <w:sz w:val="18"/>
                <w:szCs w:val="18"/>
              </w:rPr>
              <w:t>28 342</w:t>
            </w:r>
          </w:p>
        </w:tc>
        <w:tc>
          <w:tcPr>
            <w:tcW w:w="1134" w:type="dxa"/>
            <w:tcBorders>
              <w:top w:val="nil"/>
              <w:left w:val="nil"/>
              <w:bottom w:val="single" w:sz="4" w:space="0" w:color="auto"/>
              <w:right w:val="single" w:sz="4" w:space="0" w:color="auto"/>
            </w:tcBorders>
            <w:shd w:val="clear" w:color="000000" w:fill="F2F2F2"/>
            <w:noWrap/>
          </w:tcPr>
          <w:p>
            <w:pPr>
              <w:spacing w:before="0" w:after="0"/>
              <w:jc w:val="right"/>
              <w:rPr>
                <w:rFonts w:ascii="Arial" w:hAnsi="Arial" w:cs="Arial"/>
                <w:noProof/>
                <w:color w:val="000000"/>
                <w:sz w:val="18"/>
                <w:szCs w:val="18"/>
              </w:rPr>
            </w:pPr>
            <w:r>
              <w:rPr>
                <w:rFonts w:ascii="Arial" w:hAnsi="Arial" w:cs="Arial"/>
                <w:noProof/>
                <w:color w:val="000000"/>
                <w:sz w:val="18"/>
                <w:szCs w:val="18"/>
              </w:rPr>
              <w:t>14,9</w:t>
            </w:r>
          </w:p>
        </w:tc>
        <w:tc>
          <w:tcPr>
            <w:tcW w:w="1134"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color w:val="000000"/>
                <w:sz w:val="18"/>
                <w:szCs w:val="18"/>
              </w:rPr>
            </w:pPr>
            <w:r>
              <w:rPr>
                <w:rFonts w:ascii="Arial" w:hAnsi="Arial" w:cs="Arial"/>
                <w:noProof/>
                <w:color w:val="000000"/>
                <w:sz w:val="18"/>
                <w:szCs w:val="18"/>
              </w:rPr>
              <w:t>481 358</w:t>
            </w:r>
          </w:p>
        </w:tc>
        <w:tc>
          <w:tcPr>
            <w:tcW w:w="992"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color w:val="000000"/>
                <w:sz w:val="18"/>
                <w:szCs w:val="18"/>
              </w:rPr>
            </w:pPr>
            <w:r>
              <w:rPr>
                <w:rFonts w:ascii="Arial" w:hAnsi="Arial" w:cs="Arial"/>
                <w:noProof/>
                <w:color w:val="000000"/>
                <w:sz w:val="18"/>
                <w:szCs w:val="18"/>
              </w:rPr>
              <w:t>39,46</w:t>
            </w:r>
          </w:p>
        </w:tc>
        <w:tc>
          <w:tcPr>
            <w:tcW w:w="1134"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color w:val="000000"/>
                <w:sz w:val="18"/>
                <w:szCs w:val="18"/>
              </w:rPr>
            </w:pPr>
            <w:r>
              <w:rPr>
                <w:rFonts w:ascii="Arial" w:hAnsi="Arial" w:cs="Arial"/>
                <w:noProof/>
                <w:color w:val="000000"/>
                <w:sz w:val="18"/>
                <w:szCs w:val="18"/>
              </w:rPr>
              <w:t>225</w:t>
            </w:r>
          </w:p>
        </w:tc>
        <w:tc>
          <w:tcPr>
            <w:tcW w:w="1134" w:type="dxa"/>
            <w:tcBorders>
              <w:top w:val="nil"/>
              <w:left w:val="nil"/>
              <w:bottom w:val="single" w:sz="4" w:space="0" w:color="auto"/>
              <w:right w:val="single" w:sz="4" w:space="0" w:color="auto"/>
            </w:tcBorders>
            <w:shd w:val="clear" w:color="000000" w:fill="F2F2F2"/>
            <w:noWrap/>
          </w:tcPr>
          <w:p>
            <w:pPr>
              <w:spacing w:before="0" w:after="0"/>
              <w:jc w:val="right"/>
              <w:rPr>
                <w:rFonts w:ascii="Arial" w:hAnsi="Arial" w:cs="Arial"/>
                <w:noProof/>
                <w:color w:val="000000"/>
                <w:sz w:val="18"/>
                <w:szCs w:val="18"/>
              </w:rPr>
            </w:pPr>
            <w:r>
              <w:rPr>
                <w:rFonts w:ascii="Arial" w:hAnsi="Arial" w:cs="Arial"/>
                <w:noProof/>
                <w:color w:val="000000"/>
                <w:sz w:val="18"/>
                <w:szCs w:val="18"/>
              </w:rPr>
              <w:t>7,6</w:t>
            </w:r>
          </w:p>
        </w:tc>
      </w:tr>
      <w:tr>
        <w:trPr>
          <w:trHeight w:val="300"/>
        </w:trPr>
        <w:tc>
          <w:tcPr>
            <w:tcW w:w="1276" w:type="dxa"/>
            <w:tcBorders>
              <w:top w:val="nil"/>
              <w:left w:val="single" w:sz="4" w:space="0" w:color="auto"/>
              <w:bottom w:val="single" w:sz="4" w:space="0" w:color="auto"/>
              <w:right w:val="single" w:sz="4" w:space="0" w:color="auto"/>
            </w:tcBorders>
            <w:shd w:val="clear" w:color="000000" w:fill="F2F2F2"/>
            <w:vAlign w:val="center"/>
          </w:tcPr>
          <w:p>
            <w:pPr>
              <w:spacing w:before="0" w:after="0"/>
              <w:rPr>
                <w:rFonts w:ascii="Arial" w:hAnsi="Arial" w:cs="Arial"/>
                <w:noProof/>
                <w:color w:val="000000"/>
                <w:sz w:val="18"/>
                <w:szCs w:val="18"/>
              </w:rPr>
            </w:pPr>
            <w:r>
              <w:rPr>
                <w:rFonts w:ascii="Arial" w:hAnsi="Arial" w:cs="Arial"/>
                <w:noProof/>
                <w:color w:val="000000"/>
                <w:sz w:val="18"/>
                <w:szCs w:val="18"/>
              </w:rPr>
              <w:t xml:space="preserve">Hongrie          </w:t>
            </w:r>
          </w:p>
        </w:tc>
        <w:tc>
          <w:tcPr>
            <w:tcW w:w="1158"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color w:val="000000"/>
                <w:sz w:val="18"/>
                <w:szCs w:val="18"/>
              </w:rPr>
            </w:pPr>
            <w:r>
              <w:rPr>
                <w:rFonts w:ascii="Arial" w:hAnsi="Arial" w:cs="Arial"/>
                <w:noProof/>
                <w:color w:val="000000"/>
                <w:sz w:val="18"/>
                <w:szCs w:val="18"/>
              </w:rPr>
              <w:t>79 865</w:t>
            </w:r>
          </w:p>
        </w:tc>
        <w:tc>
          <w:tcPr>
            <w:tcW w:w="1110"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color w:val="000000"/>
                <w:sz w:val="18"/>
                <w:szCs w:val="18"/>
              </w:rPr>
            </w:pPr>
            <w:r>
              <w:rPr>
                <w:rFonts w:ascii="Arial" w:hAnsi="Arial" w:cs="Arial"/>
                <w:noProof/>
                <w:color w:val="000000"/>
                <w:sz w:val="18"/>
                <w:szCs w:val="18"/>
              </w:rPr>
              <w:t>105 061</w:t>
            </w:r>
          </w:p>
        </w:tc>
        <w:tc>
          <w:tcPr>
            <w:tcW w:w="1134"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color w:val="000000"/>
                <w:sz w:val="18"/>
                <w:szCs w:val="18"/>
              </w:rPr>
            </w:pPr>
            <w:r>
              <w:rPr>
                <w:rFonts w:ascii="Arial" w:hAnsi="Arial" w:cs="Arial"/>
                <w:noProof/>
                <w:color w:val="000000"/>
                <w:sz w:val="18"/>
                <w:szCs w:val="18"/>
              </w:rPr>
              <w:t>104 805</w:t>
            </w:r>
          </w:p>
        </w:tc>
        <w:tc>
          <w:tcPr>
            <w:tcW w:w="1134" w:type="dxa"/>
            <w:tcBorders>
              <w:top w:val="nil"/>
              <w:left w:val="nil"/>
              <w:bottom w:val="single" w:sz="4" w:space="0" w:color="auto"/>
              <w:right w:val="single" w:sz="4" w:space="0" w:color="auto"/>
            </w:tcBorders>
            <w:shd w:val="clear" w:color="000000" w:fill="F2F2F2"/>
            <w:noWrap/>
          </w:tcPr>
          <w:p>
            <w:pPr>
              <w:spacing w:before="0" w:after="0"/>
              <w:jc w:val="right"/>
              <w:rPr>
                <w:rFonts w:ascii="Arial" w:hAnsi="Arial" w:cs="Arial"/>
                <w:noProof/>
                <w:color w:val="000000"/>
                <w:sz w:val="18"/>
                <w:szCs w:val="18"/>
              </w:rPr>
            </w:pPr>
            <w:r>
              <w:rPr>
                <w:rFonts w:ascii="Arial" w:hAnsi="Arial" w:cs="Arial"/>
                <w:noProof/>
                <w:color w:val="000000"/>
                <w:sz w:val="18"/>
                <w:szCs w:val="18"/>
              </w:rPr>
              <w:t>131,2</w:t>
            </w:r>
          </w:p>
        </w:tc>
        <w:tc>
          <w:tcPr>
            <w:tcW w:w="1134"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color w:val="000000"/>
                <w:sz w:val="18"/>
                <w:szCs w:val="18"/>
              </w:rPr>
            </w:pPr>
            <w:r>
              <w:rPr>
                <w:rFonts w:ascii="Arial" w:hAnsi="Arial" w:cs="Arial"/>
                <w:noProof/>
                <w:color w:val="000000"/>
                <w:sz w:val="18"/>
                <w:szCs w:val="18"/>
              </w:rPr>
              <w:t>8 406 037</w:t>
            </w:r>
          </w:p>
        </w:tc>
        <w:tc>
          <w:tcPr>
            <w:tcW w:w="992"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color w:val="000000"/>
                <w:sz w:val="18"/>
                <w:szCs w:val="18"/>
              </w:rPr>
            </w:pPr>
            <w:r>
              <w:rPr>
                <w:rFonts w:ascii="Arial" w:hAnsi="Arial" w:cs="Arial"/>
                <w:noProof/>
                <w:color w:val="000000"/>
                <w:sz w:val="18"/>
                <w:szCs w:val="18"/>
              </w:rPr>
              <w:t>0,95</w:t>
            </w:r>
          </w:p>
        </w:tc>
        <w:tc>
          <w:tcPr>
            <w:tcW w:w="1134"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color w:val="000000"/>
                <w:sz w:val="18"/>
                <w:szCs w:val="18"/>
              </w:rPr>
            </w:pPr>
            <w:r>
              <w:rPr>
                <w:rFonts w:ascii="Arial" w:hAnsi="Arial" w:cs="Arial"/>
                <w:noProof/>
                <w:color w:val="000000"/>
                <w:sz w:val="18"/>
                <w:szCs w:val="18"/>
              </w:rPr>
              <w:t>41</w:t>
            </w:r>
          </w:p>
        </w:tc>
        <w:tc>
          <w:tcPr>
            <w:tcW w:w="1134" w:type="dxa"/>
            <w:tcBorders>
              <w:top w:val="nil"/>
              <w:left w:val="nil"/>
              <w:bottom w:val="single" w:sz="4" w:space="0" w:color="auto"/>
              <w:right w:val="single" w:sz="4" w:space="0" w:color="auto"/>
            </w:tcBorders>
            <w:shd w:val="clear" w:color="000000" w:fill="F2F2F2"/>
            <w:noWrap/>
          </w:tcPr>
          <w:p>
            <w:pPr>
              <w:spacing w:before="0" w:after="0"/>
              <w:jc w:val="right"/>
              <w:rPr>
                <w:rFonts w:ascii="Arial" w:hAnsi="Arial" w:cs="Arial"/>
                <w:noProof/>
                <w:color w:val="000000"/>
                <w:sz w:val="18"/>
                <w:szCs w:val="18"/>
              </w:rPr>
            </w:pPr>
            <w:r>
              <w:rPr>
                <w:rFonts w:ascii="Arial" w:hAnsi="Arial" w:cs="Arial"/>
                <w:noProof/>
                <w:color w:val="000000"/>
                <w:sz w:val="18"/>
                <w:szCs w:val="18"/>
              </w:rPr>
              <w:t>12,2</w:t>
            </w:r>
          </w:p>
        </w:tc>
      </w:tr>
      <w:tr>
        <w:trPr>
          <w:trHeight w:val="300"/>
        </w:trPr>
        <w:tc>
          <w:tcPr>
            <w:tcW w:w="1276" w:type="dxa"/>
            <w:tcBorders>
              <w:top w:val="nil"/>
              <w:left w:val="single" w:sz="4" w:space="0" w:color="auto"/>
              <w:bottom w:val="single" w:sz="4" w:space="0" w:color="auto"/>
              <w:right w:val="single" w:sz="4" w:space="0" w:color="auto"/>
            </w:tcBorders>
            <w:shd w:val="clear" w:color="000000" w:fill="F2F2F2"/>
            <w:vAlign w:val="center"/>
            <w:hideMark/>
          </w:tcPr>
          <w:p>
            <w:pPr>
              <w:spacing w:before="0" w:after="0"/>
              <w:rPr>
                <w:rFonts w:ascii="Arial" w:hAnsi="Arial" w:cs="Arial"/>
                <w:noProof/>
                <w:color w:val="000000"/>
                <w:sz w:val="18"/>
                <w:szCs w:val="18"/>
              </w:rPr>
            </w:pPr>
            <w:r>
              <w:rPr>
                <w:rFonts w:ascii="Arial" w:hAnsi="Arial" w:cs="Arial"/>
                <w:noProof/>
                <w:color w:val="000000"/>
                <w:sz w:val="18"/>
                <w:szCs w:val="18"/>
              </w:rPr>
              <w:t xml:space="preserve">Malte               </w:t>
            </w:r>
          </w:p>
        </w:tc>
        <w:tc>
          <w:tcPr>
            <w:tcW w:w="1158"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color w:val="000000"/>
                <w:sz w:val="18"/>
                <w:szCs w:val="18"/>
              </w:rPr>
            </w:pPr>
            <w:r>
              <w:rPr>
                <w:rFonts w:ascii="Arial" w:hAnsi="Arial" w:cs="Arial"/>
                <w:noProof/>
                <w:color w:val="000000"/>
                <w:sz w:val="18"/>
                <w:szCs w:val="18"/>
              </w:rPr>
              <w:t>14 021</w:t>
            </w:r>
          </w:p>
        </w:tc>
        <w:tc>
          <w:tcPr>
            <w:tcW w:w="1110"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color w:val="000000"/>
                <w:sz w:val="18"/>
                <w:szCs w:val="18"/>
              </w:rPr>
            </w:pPr>
            <w:r>
              <w:rPr>
                <w:rFonts w:ascii="Arial" w:hAnsi="Arial" w:cs="Arial"/>
                <w:noProof/>
                <w:color w:val="000000"/>
                <w:sz w:val="18"/>
                <w:szCs w:val="18"/>
              </w:rPr>
              <w:t>14 021</w:t>
            </w:r>
          </w:p>
        </w:tc>
        <w:tc>
          <w:tcPr>
            <w:tcW w:w="1134"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color w:val="000000"/>
                <w:sz w:val="18"/>
                <w:szCs w:val="18"/>
              </w:rPr>
            </w:pPr>
            <w:r>
              <w:rPr>
                <w:rFonts w:ascii="Arial" w:hAnsi="Arial" w:cs="Arial"/>
                <w:noProof/>
                <w:color w:val="000000"/>
                <w:sz w:val="18"/>
                <w:szCs w:val="18"/>
              </w:rPr>
              <w:t>14 021</w:t>
            </w:r>
          </w:p>
        </w:tc>
        <w:tc>
          <w:tcPr>
            <w:tcW w:w="1134" w:type="dxa"/>
            <w:tcBorders>
              <w:top w:val="nil"/>
              <w:left w:val="nil"/>
              <w:bottom w:val="single" w:sz="4" w:space="0" w:color="auto"/>
              <w:right w:val="single" w:sz="4" w:space="0" w:color="auto"/>
            </w:tcBorders>
            <w:shd w:val="clear" w:color="000000" w:fill="F2F2F2"/>
            <w:noWrap/>
            <w:hideMark/>
          </w:tcPr>
          <w:p>
            <w:pPr>
              <w:spacing w:before="0" w:after="0"/>
              <w:jc w:val="right"/>
              <w:rPr>
                <w:rFonts w:ascii="Arial" w:hAnsi="Arial" w:cs="Arial"/>
                <w:noProof/>
                <w:color w:val="000000"/>
                <w:sz w:val="18"/>
                <w:szCs w:val="18"/>
              </w:rPr>
            </w:pPr>
            <w:r>
              <w:rPr>
                <w:rFonts w:ascii="Arial" w:hAnsi="Arial" w:cs="Arial"/>
                <w:noProof/>
                <w:color w:val="000000"/>
                <w:sz w:val="18"/>
                <w:szCs w:val="18"/>
              </w:rPr>
              <w:t>100,0</w:t>
            </w:r>
          </w:p>
        </w:tc>
        <w:tc>
          <w:tcPr>
            <w:tcW w:w="1134"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color w:val="000000"/>
                <w:sz w:val="18"/>
                <w:szCs w:val="18"/>
              </w:rPr>
            </w:pPr>
            <w:r>
              <w:rPr>
                <w:rFonts w:ascii="Arial" w:hAnsi="Arial" w:cs="Arial"/>
                <w:noProof/>
                <w:color w:val="000000"/>
                <w:sz w:val="18"/>
                <w:szCs w:val="18"/>
              </w:rPr>
              <w:t>372 514</w:t>
            </w:r>
          </w:p>
        </w:tc>
        <w:tc>
          <w:tcPr>
            <w:tcW w:w="992" w:type="dxa"/>
            <w:tcBorders>
              <w:top w:val="nil"/>
              <w:left w:val="nil"/>
              <w:bottom w:val="single" w:sz="4" w:space="0" w:color="auto"/>
              <w:right w:val="single" w:sz="4" w:space="0" w:color="auto"/>
            </w:tcBorders>
            <w:shd w:val="clear" w:color="auto" w:fill="auto"/>
            <w:noWrap/>
            <w:hideMark/>
          </w:tcPr>
          <w:p>
            <w:pPr>
              <w:spacing w:before="0" w:after="0"/>
              <w:jc w:val="right"/>
              <w:rPr>
                <w:rFonts w:ascii="Arial" w:hAnsi="Arial" w:cs="Arial"/>
                <w:noProof/>
                <w:color w:val="000000"/>
                <w:sz w:val="18"/>
                <w:szCs w:val="18"/>
              </w:rPr>
            </w:pPr>
            <w:r>
              <w:rPr>
                <w:rFonts w:ascii="Arial" w:hAnsi="Arial" w:cs="Arial"/>
                <w:noProof/>
                <w:color w:val="000000"/>
                <w:sz w:val="18"/>
                <w:szCs w:val="18"/>
              </w:rPr>
              <w:t>3,76</w:t>
            </w:r>
          </w:p>
        </w:tc>
        <w:tc>
          <w:tcPr>
            <w:tcW w:w="1134" w:type="dxa"/>
            <w:tcBorders>
              <w:top w:val="nil"/>
              <w:left w:val="nil"/>
              <w:bottom w:val="single" w:sz="4" w:space="0" w:color="auto"/>
              <w:right w:val="single" w:sz="4" w:space="0" w:color="auto"/>
            </w:tcBorders>
            <w:shd w:val="clear" w:color="auto" w:fill="auto"/>
            <w:noWrap/>
            <w:hideMark/>
          </w:tcPr>
          <w:p>
            <w:pPr>
              <w:spacing w:before="0" w:after="0"/>
              <w:jc w:val="right"/>
              <w:rPr>
                <w:rFonts w:ascii="Arial" w:hAnsi="Arial" w:cs="Arial"/>
                <w:noProof/>
                <w:color w:val="000000"/>
                <w:sz w:val="18"/>
                <w:szCs w:val="18"/>
              </w:rPr>
            </w:pPr>
            <w:r>
              <w:rPr>
                <w:rFonts w:ascii="Arial" w:hAnsi="Arial" w:cs="Arial"/>
                <w:noProof/>
                <w:color w:val="000000"/>
                <w:sz w:val="18"/>
                <w:szCs w:val="18"/>
              </w:rPr>
              <w:t>9</w:t>
            </w:r>
          </w:p>
        </w:tc>
        <w:tc>
          <w:tcPr>
            <w:tcW w:w="1134" w:type="dxa"/>
            <w:tcBorders>
              <w:top w:val="nil"/>
              <w:left w:val="nil"/>
              <w:bottom w:val="single" w:sz="4" w:space="0" w:color="auto"/>
              <w:right w:val="single" w:sz="4" w:space="0" w:color="auto"/>
            </w:tcBorders>
            <w:shd w:val="clear" w:color="000000" w:fill="F2F2F2"/>
            <w:noWrap/>
            <w:hideMark/>
          </w:tcPr>
          <w:p>
            <w:pPr>
              <w:spacing w:before="0" w:after="0"/>
              <w:jc w:val="right"/>
              <w:rPr>
                <w:rFonts w:ascii="Arial" w:hAnsi="Arial" w:cs="Arial"/>
                <w:noProof/>
                <w:color w:val="000000"/>
                <w:sz w:val="18"/>
                <w:szCs w:val="18"/>
              </w:rPr>
            </w:pPr>
            <w:r>
              <w:rPr>
                <w:rFonts w:ascii="Arial" w:hAnsi="Arial" w:cs="Arial"/>
                <w:noProof/>
                <w:color w:val="000000"/>
                <w:sz w:val="18"/>
                <w:szCs w:val="18"/>
              </w:rPr>
              <w:t>22,2</w:t>
            </w:r>
          </w:p>
        </w:tc>
      </w:tr>
      <w:tr>
        <w:trPr>
          <w:trHeight w:val="375"/>
        </w:trPr>
        <w:tc>
          <w:tcPr>
            <w:tcW w:w="1276" w:type="dxa"/>
            <w:tcBorders>
              <w:top w:val="nil"/>
              <w:left w:val="single" w:sz="4" w:space="0" w:color="auto"/>
              <w:bottom w:val="single" w:sz="4" w:space="0" w:color="auto"/>
              <w:right w:val="single" w:sz="4" w:space="0" w:color="auto"/>
            </w:tcBorders>
            <w:shd w:val="clear" w:color="000000" w:fill="F2F2F2"/>
            <w:vAlign w:val="center"/>
            <w:hideMark/>
          </w:tcPr>
          <w:p>
            <w:pPr>
              <w:spacing w:before="0" w:after="0"/>
              <w:rPr>
                <w:rFonts w:ascii="Arial" w:hAnsi="Arial" w:cs="Arial"/>
                <w:noProof/>
                <w:color w:val="000000"/>
                <w:sz w:val="18"/>
                <w:szCs w:val="18"/>
              </w:rPr>
            </w:pPr>
            <w:r>
              <w:rPr>
                <w:rFonts w:ascii="Arial" w:hAnsi="Arial" w:cs="Arial"/>
                <w:noProof/>
                <w:color w:val="000000"/>
                <w:sz w:val="18"/>
                <w:szCs w:val="18"/>
              </w:rPr>
              <w:t>Pays-Bas</w:t>
            </w:r>
          </w:p>
        </w:tc>
        <w:tc>
          <w:tcPr>
            <w:tcW w:w="1158"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color w:val="000000"/>
                <w:sz w:val="18"/>
                <w:szCs w:val="18"/>
              </w:rPr>
            </w:pPr>
            <w:r>
              <w:rPr>
                <w:rFonts w:ascii="Arial" w:hAnsi="Arial" w:cs="Arial"/>
                <w:noProof/>
                <w:color w:val="000000"/>
                <w:sz w:val="18"/>
                <w:szCs w:val="18"/>
              </w:rPr>
              <w:t>405 499</w:t>
            </w:r>
          </w:p>
        </w:tc>
        <w:tc>
          <w:tcPr>
            <w:tcW w:w="1110"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color w:val="000000"/>
                <w:sz w:val="18"/>
                <w:szCs w:val="18"/>
              </w:rPr>
            </w:pPr>
            <w:r>
              <w:rPr>
                <w:rFonts w:ascii="Arial" w:hAnsi="Arial" w:cs="Arial"/>
                <w:noProof/>
                <w:color w:val="000000"/>
                <w:sz w:val="18"/>
                <w:szCs w:val="18"/>
              </w:rPr>
              <w:t>430 985</w:t>
            </w:r>
          </w:p>
        </w:tc>
        <w:tc>
          <w:tcPr>
            <w:tcW w:w="1134"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color w:val="000000"/>
                <w:sz w:val="18"/>
                <w:szCs w:val="18"/>
              </w:rPr>
            </w:pPr>
            <w:r>
              <w:rPr>
                <w:rFonts w:ascii="Arial" w:hAnsi="Arial" w:cs="Arial"/>
                <w:noProof/>
                <w:color w:val="000000"/>
                <w:sz w:val="18"/>
                <w:szCs w:val="18"/>
              </w:rPr>
              <w:t>430 985</w:t>
            </w:r>
          </w:p>
        </w:tc>
        <w:tc>
          <w:tcPr>
            <w:tcW w:w="1134" w:type="dxa"/>
            <w:tcBorders>
              <w:top w:val="nil"/>
              <w:left w:val="nil"/>
              <w:bottom w:val="single" w:sz="4" w:space="0" w:color="auto"/>
              <w:right w:val="single" w:sz="4" w:space="0" w:color="auto"/>
            </w:tcBorders>
            <w:shd w:val="clear" w:color="000000" w:fill="F2F2F2"/>
            <w:noWrap/>
            <w:hideMark/>
          </w:tcPr>
          <w:p>
            <w:pPr>
              <w:spacing w:before="0" w:after="0"/>
              <w:jc w:val="right"/>
              <w:rPr>
                <w:rFonts w:ascii="Arial" w:hAnsi="Arial" w:cs="Arial"/>
                <w:noProof/>
                <w:color w:val="000000"/>
                <w:sz w:val="18"/>
                <w:szCs w:val="18"/>
              </w:rPr>
            </w:pPr>
            <w:r>
              <w:rPr>
                <w:rFonts w:ascii="Arial" w:hAnsi="Arial" w:cs="Arial"/>
                <w:noProof/>
                <w:color w:val="000000"/>
                <w:sz w:val="18"/>
                <w:szCs w:val="18"/>
              </w:rPr>
              <w:t>106</w:t>
            </w:r>
          </w:p>
        </w:tc>
        <w:tc>
          <w:tcPr>
            <w:tcW w:w="1134"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color w:val="000000"/>
                <w:sz w:val="18"/>
                <w:szCs w:val="18"/>
              </w:rPr>
            </w:pPr>
            <w:r>
              <w:rPr>
                <w:rFonts w:ascii="Arial" w:hAnsi="Arial" w:cs="Arial"/>
                <w:noProof/>
                <w:color w:val="000000"/>
                <w:sz w:val="18"/>
                <w:szCs w:val="18"/>
              </w:rPr>
              <w:t>14 179 348</w:t>
            </w:r>
          </w:p>
        </w:tc>
        <w:tc>
          <w:tcPr>
            <w:tcW w:w="992" w:type="dxa"/>
            <w:tcBorders>
              <w:top w:val="nil"/>
              <w:left w:val="nil"/>
              <w:bottom w:val="single" w:sz="4" w:space="0" w:color="auto"/>
              <w:right w:val="single" w:sz="4" w:space="0" w:color="auto"/>
            </w:tcBorders>
            <w:shd w:val="clear" w:color="auto" w:fill="auto"/>
            <w:noWrap/>
            <w:hideMark/>
          </w:tcPr>
          <w:p>
            <w:pPr>
              <w:spacing w:before="0" w:after="0"/>
              <w:jc w:val="right"/>
              <w:rPr>
                <w:rFonts w:ascii="Arial" w:hAnsi="Arial" w:cs="Arial"/>
                <w:noProof/>
                <w:color w:val="000000"/>
                <w:sz w:val="18"/>
                <w:szCs w:val="18"/>
              </w:rPr>
            </w:pPr>
            <w:r>
              <w:rPr>
                <w:rFonts w:ascii="Arial" w:hAnsi="Arial" w:cs="Arial"/>
                <w:noProof/>
                <w:color w:val="000000"/>
                <w:sz w:val="18"/>
                <w:szCs w:val="18"/>
              </w:rPr>
              <w:t>2,86</w:t>
            </w:r>
          </w:p>
        </w:tc>
        <w:tc>
          <w:tcPr>
            <w:tcW w:w="1134" w:type="dxa"/>
            <w:tcBorders>
              <w:top w:val="nil"/>
              <w:left w:val="nil"/>
              <w:bottom w:val="single" w:sz="4" w:space="0" w:color="auto"/>
              <w:right w:val="single" w:sz="4" w:space="0" w:color="auto"/>
            </w:tcBorders>
            <w:shd w:val="clear" w:color="auto" w:fill="auto"/>
            <w:noWrap/>
            <w:hideMark/>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c>
          <w:tcPr>
            <w:tcW w:w="1134" w:type="dxa"/>
            <w:tcBorders>
              <w:top w:val="nil"/>
              <w:left w:val="nil"/>
              <w:bottom w:val="single" w:sz="4" w:space="0" w:color="auto"/>
              <w:right w:val="single" w:sz="4" w:space="0" w:color="auto"/>
            </w:tcBorders>
            <w:shd w:val="clear" w:color="000000" w:fill="F2F2F2"/>
            <w:noWrap/>
            <w:hideMark/>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r>
      <w:tr>
        <w:trPr>
          <w:trHeight w:val="300"/>
        </w:trPr>
        <w:tc>
          <w:tcPr>
            <w:tcW w:w="1276" w:type="dxa"/>
            <w:tcBorders>
              <w:top w:val="nil"/>
              <w:left w:val="single" w:sz="4" w:space="0" w:color="auto"/>
              <w:bottom w:val="single" w:sz="4" w:space="0" w:color="auto"/>
              <w:right w:val="single" w:sz="4" w:space="0" w:color="auto"/>
            </w:tcBorders>
            <w:shd w:val="clear" w:color="000000" w:fill="F2F2F2"/>
            <w:vAlign w:val="center"/>
          </w:tcPr>
          <w:p>
            <w:pPr>
              <w:spacing w:before="0" w:after="0"/>
              <w:rPr>
                <w:rFonts w:ascii="Arial" w:hAnsi="Arial" w:cs="Arial"/>
                <w:noProof/>
                <w:color w:val="000000"/>
                <w:sz w:val="18"/>
                <w:szCs w:val="18"/>
              </w:rPr>
            </w:pPr>
            <w:r>
              <w:rPr>
                <w:rFonts w:ascii="Arial" w:hAnsi="Arial" w:cs="Arial"/>
                <w:noProof/>
                <w:color w:val="000000"/>
                <w:sz w:val="18"/>
                <w:szCs w:val="18"/>
              </w:rPr>
              <w:t xml:space="preserve">Autriche           </w:t>
            </w:r>
          </w:p>
        </w:tc>
        <w:tc>
          <w:tcPr>
            <w:tcW w:w="1158"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color w:val="000000"/>
                <w:sz w:val="18"/>
                <w:szCs w:val="18"/>
              </w:rPr>
            </w:pPr>
            <w:r>
              <w:rPr>
                <w:rFonts w:ascii="Arial" w:hAnsi="Arial" w:cs="Arial"/>
                <w:noProof/>
                <w:color w:val="000000"/>
                <w:sz w:val="18"/>
                <w:szCs w:val="18"/>
              </w:rPr>
              <w:t>525 361</w:t>
            </w:r>
          </w:p>
        </w:tc>
        <w:tc>
          <w:tcPr>
            <w:tcW w:w="1110"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c>
          <w:tcPr>
            <w:tcW w:w="1134"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c>
          <w:tcPr>
            <w:tcW w:w="1134" w:type="dxa"/>
            <w:tcBorders>
              <w:top w:val="nil"/>
              <w:left w:val="nil"/>
              <w:bottom w:val="single" w:sz="4" w:space="0" w:color="auto"/>
              <w:right w:val="single" w:sz="4" w:space="0" w:color="auto"/>
            </w:tcBorders>
            <w:shd w:val="clear" w:color="000000" w:fill="F2F2F2"/>
            <w:noWrap/>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c>
          <w:tcPr>
            <w:tcW w:w="1134"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color w:val="000000"/>
                <w:sz w:val="18"/>
                <w:szCs w:val="18"/>
              </w:rPr>
            </w:pPr>
            <w:r>
              <w:rPr>
                <w:rFonts w:ascii="Arial" w:hAnsi="Arial" w:cs="Arial"/>
                <w:noProof/>
                <w:color w:val="000000"/>
                <w:sz w:val="18"/>
                <w:szCs w:val="18"/>
              </w:rPr>
              <w:t>7 444 897</w:t>
            </w:r>
          </w:p>
        </w:tc>
        <w:tc>
          <w:tcPr>
            <w:tcW w:w="992"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color w:val="000000"/>
                <w:sz w:val="18"/>
                <w:szCs w:val="18"/>
              </w:rPr>
            </w:pPr>
            <w:r>
              <w:rPr>
                <w:rFonts w:ascii="Arial" w:hAnsi="Arial" w:cs="Arial"/>
                <w:noProof/>
                <w:color w:val="000000"/>
                <w:sz w:val="18"/>
                <w:szCs w:val="18"/>
              </w:rPr>
              <w:t>7,06</w:t>
            </w:r>
          </w:p>
        </w:tc>
        <w:tc>
          <w:tcPr>
            <w:tcW w:w="1134"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c>
          <w:tcPr>
            <w:tcW w:w="1134" w:type="dxa"/>
            <w:tcBorders>
              <w:top w:val="nil"/>
              <w:left w:val="nil"/>
              <w:bottom w:val="single" w:sz="4" w:space="0" w:color="auto"/>
              <w:right w:val="single" w:sz="4" w:space="0" w:color="auto"/>
            </w:tcBorders>
            <w:shd w:val="clear" w:color="000000" w:fill="F2F2F2"/>
            <w:noWrap/>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r>
      <w:tr>
        <w:trPr>
          <w:trHeight w:val="300"/>
        </w:trPr>
        <w:tc>
          <w:tcPr>
            <w:tcW w:w="1276" w:type="dxa"/>
            <w:tcBorders>
              <w:top w:val="nil"/>
              <w:left w:val="single" w:sz="4" w:space="0" w:color="auto"/>
              <w:bottom w:val="single" w:sz="4" w:space="0" w:color="auto"/>
              <w:right w:val="single" w:sz="4" w:space="0" w:color="auto"/>
            </w:tcBorders>
            <w:shd w:val="clear" w:color="000000" w:fill="F2F2F2"/>
            <w:vAlign w:val="center"/>
            <w:hideMark/>
          </w:tcPr>
          <w:p>
            <w:pPr>
              <w:spacing w:before="0" w:after="0"/>
              <w:rPr>
                <w:rFonts w:ascii="Arial" w:hAnsi="Arial" w:cs="Arial"/>
                <w:noProof/>
                <w:color w:val="000000"/>
                <w:sz w:val="18"/>
                <w:szCs w:val="18"/>
              </w:rPr>
            </w:pPr>
            <w:r>
              <w:rPr>
                <w:rFonts w:ascii="Arial" w:hAnsi="Arial" w:cs="Arial"/>
                <w:noProof/>
                <w:color w:val="000000"/>
                <w:sz w:val="18"/>
                <w:szCs w:val="18"/>
              </w:rPr>
              <w:t xml:space="preserve">Pologne           </w:t>
            </w:r>
          </w:p>
        </w:tc>
        <w:tc>
          <w:tcPr>
            <w:tcW w:w="1158"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color w:val="000000"/>
                <w:sz w:val="18"/>
                <w:szCs w:val="18"/>
              </w:rPr>
            </w:pPr>
            <w:r>
              <w:rPr>
                <w:rFonts w:ascii="Arial" w:hAnsi="Arial" w:cs="Arial"/>
                <w:noProof/>
                <w:color w:val="000000"/>
                <w:sz w:val="18"/>
                <w:szCs w:val="18"/>
              </w:rPr>
              <w:t>21 898</w:t>
            </w:r>
          </w:p>
        </w:tc>
        <w:tc>
          <w:tcPr>
            <w:tcW w:w="1110"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c>
          <w:tcPr>
            <w:tcW w:w="1134"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c>
          <w:tcPr>
            <w:tcW w:w="1134" w:type="dxa"/>
            <w:tcBorders>
              <w:top w:val="nil"/>
              <w:left w:val="nil"/>
              <w:bottom w:val="single" w:sz="4" w:space="0" w:color="auto"/>
              <w:right w:val="single" w:sz="4" w:space="0" w:color="auto"/>
            </w:tcBorders>
            <w:shd w:val="clear" w:color="000000" w:fill="F2F2F2"/>
            <w:noWrap/>
            <w:hideMark/>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c>
          <w:tcPr>
            <w:tcW w:w="1134"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color w:val="000000"/>
                <w:sz w:val="18"/>
                <w:szCs w:val="18"/>
              </w:rPr>
            </w:pPr>
            <w:r>
              <w:rPr>
                <w:rFonts w:ascii="Arial" w:hAnsi="Arial" w:cs="Arial"/>
                <w:noProof/>
                <w:color w:val="000000"/>
                <w:sz w:val="18"/>
                <w:szCs w:val="18"/>
              </w:rPr>
              <w:t>32 258 354</w:t>
            </w:r>
          </w:p>
        </w:tc>
        <w:tc>
          <w:tcPr>
            <w:tcW w:w="992" w:type="dxa"/>
            <w:tcBorders>
              <w:top w:val="nil"/>
              <w:left w:val="nil"/>
              <w:bottom w:val="single" w:sz="4" w:space="0" w:color="auto"/>
              <w:right w:val="single" w:sz="4" w:space="0" w:color="auto"/>
            </w:tcBorders>
            <w:shd w:val="clear" w:color="auto" w:fill="auto"/>
            <w:noWrap/>
            <w:hideMark/>
          </w:tcPr>
          <w:p>
            <w:pPr>
              <w:spacing w:before="0" w:after="0"/>
              <w:jc w:val="right"/>
              <w:rPr>
                <w:rFonts w:ascii="Arial" w:hAnsi="Arial" w:cs="Arial"/>
                <w:noProof/>
                <w:color w:val="000000"/>
                <w:sz w:val="18"/>
                <w:szCs w:val="18"/>
              </w:rPr>
            </w:pPr>
            <w:r>
              <w:rPr>
                <w:rFonts w:ascii="Arial" w:hAnsi="Arial" w:cs="Arial"/>
                <w:noProof/>
                <w:color w:val="000000"/>
                <w:sz w:val="18"/>
                <w:szCs w:val="18"/>
              </w:rPr>
              <w:t>0,07</w:t>
            </w:r>
          </w:p>
        </w:tc>
        <w:tc>
          <w:tcPr>
            <w:tcW w:w="1134" w:type="dxa"/>
            <w:tcBorders>
              <w:top w:val="nil"/>
              <w:left w:val="nil"/>
              <w:bottom w:val="single" w:sz="4" w:space="0" w:color="auto"/>
              <w:right w:val="single" w:sz="4" w:space="0" w:color="auto"/>
            </w:tcBorders>
            <w:shd w:val="clear" w:color="auto" w:fill="auto"/>
            <w:noWrap/>
            <w:hideMark/>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c>
          <w:tcPr>
            <w:tcW w:w="1134" w:type="dxa"/>
            <w:tcBorders>
              <w:top w:val="nil"/>
              <w:left w:val="nil"/>
              <w:bottom w:val="single" w:sz="4" w:space="0" w:color="auto"/>
              <w:right w:val="single" w:sz="4" w:space="0" w:color="auto"/>
            </w:tcBorders>
            <w:shd w:val="clear" w:color="000000" w:fill="F2F2F2"/>
            <w:noWrap/>
            <w:hideMark/>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r>
      <w:tr>
        <w:trPr>
          <w:trHeight w:val="300"/>
        </w:trPr>
        <w:tc>
          <w:tcPr>
            <w:tcW w:w="1276" w:type="dxa"/>
            <w:tcBorders>
              <w:top w:val="nil"/>
              <w:left w:val="single" w:sz="4" w:space="0" w:color="auto"/>
              <w:bottom w:val="single" w:sz="4" w:space="0" w:color="auto"/>
              <w:right w:val="single" w:sz="4" w:space="0" w:color="auto"/>
            </w:tcBorders>
            <w:shd w:val="clear" w:color="000000" w:fill="F2F2F2"/>
            <w:vAlign w:val="center"/>
            <w:hideMark/>
          </w:tcPr>
          <w:p>
            <w:pPr>
              <w:spacing w:before="0" w:after="0"/>
              <w:rPr>
                <w:rFonts w:ascii="Arial" w:hAnsi="Arial" w:cs="Arial"/>
                <w:noProof/>
                <w:color w:val="000000"/>
                <w:sz w:val="18"/>
                <w:szCs w:val="18"/>
              </w:rPr>
            </w:pPr>
            <w:r>
              <w:rPr>
                <w:rFonts w:ascii="Arial" w:hAnsi="Arial" w:cs="Arial"/>
                <w:noProof/>
                <w:color w:val="000000"/>
                <w:sz w:val="18"/>
                <w:szCs w:val="18"/>
              </w:rPr>
              <w:t xml:space="preserve">Portugal         </w:t>
            </w:r>
          </w:p>
        </w:tc>
        <w:tc>
          <w:tcPr>
            <w:tcW w:w="1158"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color w:val="000000"/>
                <w:sz w:val="18"/>
                <w:szCs w:val="18"/>
              </w:rPr>
            </w:pPr>
            <w:r>
              <w:rPr>
                <w:rFonts w:ascii="Arial" w:hAnsi="Arial" w:cs="Arial"/>
                <w:noProof/>
                <w:color w:val="000000"/>
                <w:sz w:val="18"/>
                <w:szCs w:val="18"/>
              </w:rPr>
              <w:t>96 391</w:t>
            </w:r>
          </w:p>
        </w:tc>
        <w:tc>
          <w:tcPr>
            <w:tcW w:w="1110"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c>
          <w:tcPr>
            <w:tcW w:w="1134"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color w:val="000000"/>
                <w:sz w:val="18"/>
                <w:szCs w:val="18"/>
              </w:rPr>
            </w:pPr>
            <w:r>
              <w:rPr>
                <w:rFonts w:ascii="Arial" w:hAnsi="Arial" w:cs="Arial"/>
                <w:noProof/>
                <w:color w:val="000000"/>
                <w:sz w:val="18"/>
                <w:szCs w:val="18"/>
              </w:rPr>
              <w:t>12 992</w:t>
            </w:r>
          </w:p>
        </w:tc>
        <w:tc>
          <w:tcPr>
            <w:tcW w:w="1134" w:type="dxa"/>
            <w:tcBorders>
              <w:top w:val="nil"/>
              <w:left w:val="nil"/>
              <w:bottom w:val="single" w:sz="4" w:space="0" w:color="auto"/>
              <w:right w:val="single" w:sz="4" w:space="0" w:color="auto"/>
            </w:tcBorders>
            <w:shd w:val="clear" w:color="000000" w:fill="F2F2F2"/>
            <w:noWrap/>
            <w:hideMark/>
          </w:tcPr>
          <w:p>
            <w:pPr>
              <w:spacing w:before="0" w:after="0"/>
              <w:jc w:val="right"/>
              <w:rPr>
                <w:rFonts w:ascii="Arial" w:hAnsi="Arial" w:cs="Arial"/>
                <w:noProof/>
                <w:color w:val="000000"/>
                <w:sz w:val="18"/>
                <w:szCs w:val="18"/>
              </w:rPr>
            </w:pPr>
            <w:r>
              <w:rPr>
                <w:rFonts w:ascii="Arial" w:hAnsi="Arial" w:cs="Arial"/>
                <w:noProof/>
                <w:color w:val="000000"/>
                <w:sz w:val="18"/>
                <w:szCs w:val="18"/>
              </w:rPr>
              <w:t>13,5</w:t>
            </w:r>
          </w:p>
        </w:tc>
        <w:tc>
          <w:tcPr>
            <w:tcW w:w="1134"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color w:val="000000"/>
                <w:sz w:val="18"/>
                <w:szCs w:val="18"/>
              </w:rPr>
            </w:pPr>
            <w:r>
              <w:rPr>
                <w:rFonts w:ascii="Arial" w:hAnsi="Arial" w:cs="Arial"/>
                <w:noProof/>
                <w:color w:val="000000"/>
                <w:sz w:val="18"/>
                <w:szCs w:val="18"/>
              </w:rPr>
              <w:t>8 880 498</w:t>
            </w:r>
          </w:p>
        </w:tc>
        <w:tc>
          <w:tcPr>
            <w:tcW w:w="992" w:type="dxa"/>
            <w:tcBorders>
              <w:top w:val="nil"/>
              <w:left w:val="nil"/>
              <w:bottom w:val="single" w:sz="4" w:space="0" w:color="auto"/>
              <w:right w:val="single" w:sz="4" w:space="0" w:color="auto"/>
            </w:tcBorders>
            <w:shd w:val="clear" w:color="auto" w:fill="auto"/>
            <w:noWrap/>
            <w:hideMark/>
          </w:tcPr>
          <w:p>
            <w:pPr>
              <w:spacing w:before="0" w:after="0"/>
              <w:jc w:val="right"/>
              <w:rPr>
                <w:rFonts w:ascii="Arial" w:hAnsi="Arial" w:cs="Arial"/>
                <w:noProof/>
                <w:color w:val="000000"/>
                <w:sz w:val="18"/>
                <w:szCs w:val="18"/>
              </w:rPr>
            </w:pPr>
            <w:r>
              <w:rPr>
                <w:rFonts w:ascii="Arial" w:hAnsi="Arial" w:cs="Arial"/>
                <w:noProof/>
                <w:color w:val="000000"/>
                <w:sz w:val="18"/>
                <w:szCs w:val="18"/>
              </w:rPr>
              <w:t>1,09</w:t>
            </w:r>
          </w:p>
        </w:tc>
        <w:tc>
          <w:tcPr>
            <w:tcW w:w="1134" w:type="dxa"/>
            <w:tcBorders>
              <w:top w:val="nil"/>
              <w:left w:val="nil"/>
              <w:bottom w:val="single" w:sz="4" w:space="0" w:color="auto"/>
              <w:right w:val="single" w:sz="4" w:space="0" w:color="auto"/>
            </w:tcBorders>
            <w:shd w:val="clear" w:color="auto" w:fill="auto"/>
            <w:noWrap/>
            <w:hideMark/>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c>
          <w:tcPr>
            <w:tcW w:w="1134" w:type="dxa"/>
            <w:tcBorders>
              <w:top w:val="nil"/>
              <w:left w:val="nil"/>
              <w:bottom w:val="single" w:sz="4" w:space="0" w:color="auto"/>
              <w:right w:val="single" w:sz="4" w:space="0" w:color="auto"/>
            </w:tcBorders>
            <w:shd w:val="clear" w:color="000000" w:fill="F2F2F2"/>
            <w:noWrap/>
            <w:hideMark/>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r>
      <w:tr>
        <w:trPr>
          <w:trHeight w:val="300"/>
        </w:trPr>
        <w:tc>
          <w:tcPr>
            <w:tcW w:w="1276" w:type="dxa"/>
            <w:tcBorders>
              <w:top w:val="nil"/>
              <w:left w:val="single" w:sz="4" w:space="0" w:color="auto"/>
              <w:bottom w:val="single" w:sz="4" w:space="0" w:color="auto"/>
              <w:right w:val="single" w:sz="4" w:space="0" w:color="auto"/>
            </w:tcBorders>
            <w:shd w:val="clear" w:color="000000" w:fill="F2F2F2"/>
            <w:vAlign w:val="center"/>
            <w:hideMark/>
          </w:tcPr>
          <w:p>
            <w:pPr>
              <w:spacing w:before="0" w:after="0"/>
              <w:rPr>
                <w:rFonts w:ascii="Arial" w:hAnsi="Arial" w:cs="Arial"/>
                <w:noProof/>
                <w:color w:val="000000"/>
                <w:sz w:val="18"/>
                <w:szCs w:val="18"/>
              </w:rPr>
            </w:pPr>
            <w:r>
              <w:rPr>
                <w:rFonts w:ascii="Arial" w:hAnsi="Arial" w:cs="Arial"/>
                <w:noProof/>
                <w:color w:val="000000"/>
                <w:sz w:val="18"/>
                <w:szCs w:val="18"/>
              </w:rPr>
              <w:t xml:space="preserve">Roumanie           </w:t>
            </w:r>
          </w:p>
        </w:tc>
        <w:tc>
          <w:tcPr>
            <w:tcW w:w="1158"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color w:val="000000"/>
                <w:sz w:val="18"/>
                <w:szCs w:val="18"/>
              </w:rPr>
            </w:pPr>
            <w:r>
              <w:rPr>
                <w:rFonts w:ascii="Arial" w:hAnsi="Arial" w:cs="Arial"/>
                <w:noProof/>
                <w:color w:val="000000"/>
                <w:sz w:val="18"/>
                <w:szCs w:val="18"/>
              </w:rPr>
              <w:t>46 434</w:t>
            </w:r>
          </w:p>
        </w:tc>
        <w:tc>
          <w:tcPr>
            <w:tcW w:w="1110"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c>
          <w:tcPr>
            <w:tcW w:w="1134"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color w:val="000000"/>
                <w:sz w:val="18"/>
                <w:szCs w:val="18"/>
              </w:rPr>
            </w:pPr>
            <w:r>
              <w:rPr>
                <w:rFonts w:ascii="Arial" w:hAnsi="Arial" w:cs="Arial"/>
                <w:noProof/>
                <w:color w:val="000000"/>
                <w:sz w:val="18"/>
                <w:szCs w:val="18"/>
              </w:rPr>
              <w:t> 40 846</w:t>
            </w:r>
          </w:p>
        </w:tc>
        <w:tc>
          <w:tcPr>
            <w:tcW w:w="1134" w:type="dxa"/>
            <w:tcBorders>
              <w:top w:val="nil"/>
              <w:left w:val="nil"/>
              <w:bottom w:val="single" w:sz="4" w:space="0" w:color="auto"/>
              <w:right w:val="single" w:sz="4" w:space="0" w:color="auto"/>
            </w:tcBorders>
            <w:shd w:val="clear" w:color="000000" w:fill="F2F2F2"/>
            <w:noWrap/>
            <w:hideMark/>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c>
          <w:tcPr>
            <w:tcW w:w="1134"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color w:val="000000"/>
                <w:sz w:val="18"/>
                <w:szCs w:val="18"/>
              </w:rPr>
            </w:pPr>
            <w:r>
              <w:rPr>
                <w:rFonts w:ascii="Arial" w:hAnsi="Arial" w:cs="Arial"/>
                <w:noProof/>
                <w:color w:val="000000"/>
                <w:sz w:val="18"/>
                <w:szCs w:val="18"/>
              </w:rPr>
              <w:t>16 695 321</w:t>
            </w:r>
          </w:p>
        </w:tc>
        <w:tc>
          <w:tcPr>
            <w:tcW w:w="992" w:type="dxa"/>
            <w:tcBorders>
              <w:top w:val="nil"/>
              <w:left w:val="nil"/>
              <w:bottom w:val="single" w:sz="4" w:space="0" w:color="auto"/>
              <w:right w:val="single" w:sz="4" w:space="0" w:color="auto"/>
            </w:tcBorders>
            <w:shd w:val="clear" w:color="auto" w:fill="auto"/>
            <w:noWrap/>
            <w:hideMark/>
          </w:tcPr>
          <w:p>
            <w:pPr>
              <w:spacing w:before="0" w:after="0"/>
              <w:jc w:val="right"/>
              <w:rPr>
                <w:rFonts w:ascii="Arial" w:hAnsi="Arial" w:cs="Arial"/>
                <w:noProof/>
                <w:color w:val="000000"/>
                <w:sz w:val="18"/>
                <w:szCs w:val="18"/>
              </w:rPr>
            </w:pPr>
            <w:r>
              <w:rPr>
                <w:rFonts w:ascii="Arial" w:hAnsi="Arial" w:cs="Arial"/>
                <w:noProof/>
                <w:color w:val="000000"/>
                <w:sz w:val="18"/>
                <w:szCs w:val="18"/>
              </w:rPr>
              <w:t>0,28</w:t>
            </w:r>
          </w:p>
        </w:tc>
        <w:tc>
          <w:tcPr>
            <w:tcW w:w="1134" w:type="dxa"/>
            <w:tcBorders>
              <w:top w:val="nil"/>
              <w:left w:val="nil"/>
              <w:bottom w:val="single" w:sz="4" w:space="0" w:color="auto"/>
              <w:right w:val="single" w:sz="4" w:space="0" w:color="auto"/>
            </w:tcBorders>
            <w:shd w:val="clear" w:color="auto" w:fill="auto"/>
            <w:noWrap/>
            <w:hideMark/>
          </w:tcPr>
          <w:p>
            <w:pPr>
              <w:spacing w:before="0" w:after="0"/>
              <w:jc w:val="right"/>
              <w:rPr>
                <w:rFonts w:ascii="Arial" w:hAnsi="Arial" w:cs="Arial"/>
                <w:noProof/>
                <w:color w:val="000000"/>
                <w:sz w:val="18"/>
                <w:szCs w:val="18"/>
              </w:rPr>
            </w:pPr>
            <w:r>
              <w:rPr>
                <w:rFonts w:ascii="Arial" w:hAnsi="Arial" w:cs="Arial"/>
                <w:noProof/>
                <w:color w:val="000000"/>
                <w:sz w:val="18"/>
                <w:szCs w:val="18"/>
              </w:rPr>
              <w:t> 53</w:t>
            </w:r>
          </w:p>
        </w:tc>
        <w:tc>
          <w:tcPr>
            <w:tcW w:w="1134" w:type="dxa"/>
            <w:tcBorders>
              <w:top w:val="nil"/>
              <w:left w:val="nil"/>
              <w:bottom w:val="single" w:sz="4" w:space="0" w:color="auto"/>
              <w:right w:val="single" w:sz="4" w:space="0" w:color="auto"/>
            </w:tcBorders>
            <w:shd w:val="clear" w:color="000000" w:fill="F2F2F2"/>
            <w:noWrap/>
            <w:hideMark/>
          </w:tcPr>
          <w:p>
            <w:pPr>
              <w:spacing w:before="0" w:after="0"/>
              <w:jc w:val="right"/>
              <w:rPr>
                <w:rFonts w:ascii="Arial" w:hAnsi="Arial" w:cs="Arial"/>
                <w:noProof/>
                <w:color w:val="000000"/>
                <w:sz w:val="18"/>
                <w:szCs w:val="18"/>
              </w:rPr>
            </w:pPr>
            <w:r>
              <w:rPr>
                <w:rFonts w:ascii="Arial" w:hAnsi="Arial" w:cs="Arial"/>
                <w:noProof/>
                <w:color w:val="000000"/>
                <w:sz w:val="18"/>
                <w:szCs w:val="18"/>
              </w:rPr>
              <w:t>15</w:t>
            </w:r>
          </w:p>
        </w:tc>
      </w:tr>
      <w:tr>
        <w:trPr>
          <w:trHeight w:val="300"/>
        </w:trPr>
        <w:tc>
          <w:tcPr>
            <w:tcW w:w="1276" w:type="dxa"/>
            <w:tcBorders>
              <w:top w:val="nil"/>
              <w:left w:val="single" w:sz="4" w:space="0" w:color="auto"/>
              <w:bottom w:val="single" w:sz="4" w:space="0" w:color="auto"/>
              <w:right w:val="single" w:sz="4" w:space="0" w:color="auto"/>
            </w:tcBorders>
            <w:shd w:val="clear" w:color="000000" w:fill="F2F2F2"/>
            <w:vAlign w:val="center"/>
          </w:tcPr>
          <w:p>
            <w:pPr>
              <w:spacing w:before="0" w:after="0"/>
              <w:rPr>
                <w:rFonts w:ascii="Arial" w:hAnsi="Arial" w:cs="Arial"/>
                <w:noProof/>
                <w:color w:val="000000"/>
                <w:sz w:val="18"/>
                <w:szCs w:val="18"/>
              </w:rPr>
            </w:pPr>
            <w:r>
              <w:rPr>
                <w:rFonts w:ascii="Arial" w:hAnsi="Arial" w:cs="Arial"/>
                <w:noProof/>
                <w:color w:val="000000"/>
                <w:sz w:val="18"/>
                <w:szCs w:val="18"/>
              </w:rPr>
              <w:t xml:space="preserve">Slovénie          </w:t>
            </w:r>
          </w:p>
        </w:tc>
        <w:tc>
          <w:tcPr>
            <w:tcW w:w="1158"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color w:val="000000"/>
                <w:sz w:val="18"/>
                <w:szCs w:val="18"/>
              </w:rPr>
            </w:pPr>
            <w:r>
              <w:rPr>
                <w:rFonts w:ascii="Arial" w:hAnsi="Arial" w:cs="Arial"/>
                <w:noProof/>
                <w:color w:val="000000"/>
                <w:sz w:val="18"/>
                <w:szCs w:val="18"/>
              </w:rPr>
              <w:t>16 697</w:t>
            </w:r>
          </w:p>
        </w:tc>
        <w:tc>
          <w:tcPr>
            <w:tcW w:w="1110"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c>
          <w:tcPr>
            <w:tcW w:w="1134"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c>
          <w:tcPr>
            <w:tcW w:w="1134" w:type="dxa"/>
            <w:tcBorders>
              <w:top w:val="nil"/>
              <w:left w:val="nil"/>
              <w:bottom w:val="single" w:sz="4" w:space="0" w:color="auto"/>
              <w:right w:val="single" w:sz="4" w:space="0" w:color="auto"/>
            </w:tcBorders>
            <w:shd w:val="clear" w:color="000000" w:fill="F2F2F2"/>
            <w:noWrap/>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c>
          <w:tcPr>
            <w:tcW w:w="1134"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color w:val="000000"/>
                <w:sz w:val="18"/>
                <w:szCs w:val="18"/>
              </w:rPr>
            </w:pPr>
            <w:r>
              <w:rPr>
                <w:rFonts w:ascii="Arial" w:hAnsi="Arial" w:cs="Arial"/>
                <w:noProof/>
                <w:color w:val="000000"/>
                <w:sz w:val="18"/>
                <w:szCs w:val="18"/>
              </w:rPr>
              <w:t>1 757 798</w:t>
            </w:r>
          </w:p>
        </w:tc>
        <w:tc>
          <w:tcPr>
            <w:tcW w:w="992"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color w:val="000000"/>
                <w:sz w:val="18"/>
                <w:szCs w:val="18"/>
              </w:rPr>
            </w:pPr>
            <w:r>
              <w:rPr>
                <w:rFonts w:ascii="Arial" w:hAnsi="Arial" w:cs="Arial"/>
                <w:noProof/>
                <w:color w:val="000000"/>
                <w:sz w:val="18"/>
                <w:szCs w:val="18"/>
              </w:rPr>
              <w:t>0,95</w:t>
            </w:r>
          </w:p>
        </w:tc>
        <w:tc>
          <w:tcPr>
            <w:tcW w:w="1134"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c>
          <w:tcPr>
            <w:tcW w:w="1134" w:type="dxa"/>
            <w:tcBorders>
              <w:top w:val="nil"/>
              <w:left w:val="nil"/>
              <w:bottom w:val="single" w:sz="4" w:space="0" w:color="auto"/>
              <w:right w:val="single" w:sz="4" w:space="0" w:color="auto"/>
            </w:tcBorders>
            <w:shd w:val="clear" w:color="000000" w:fill="F2F2F2"/>
            <w:noWrap/>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r>
      <w:tr>
        <w:trPr>
          <w:trHeight w:val="300"/>
        </w:trPr>
        <w:tc>
          <w:tcPr>
            <w:tcW w:w="1276" w:type="dxa"/>
            <w:tcBorders>
              <w:top w:val="nil"/>
              <w:left w:val="single" w:sz="4" w:space="0" w:color="auto"/>
              <w:bottom w:val="single" w:sz="4" w:space="0" w:color="auto"/>
              <w:right w:val="single" w:sz="4" w:space="0" w:color="auto"/>
            </w:tcBorders>
            <w:shd w:val="clear" w:color="000000" w:fill="F2F2F2"/>
            <w:vAlign w:val="center"/>
          </w:tcPr>
          <w:p>
            <w:pPr>
              <w:spacing w:before="0" w:after="0"/>
              <w:rPr>
                <w:rFonts w:ascii="Arial" w:hAnsi="Arial" w:cs="Arial"/>
                <w:noProof/>
                <w:color w:val="000000"/>
                <w:sz w:val="18"/>
                <w:szCs w:val="18"/>
              </w:rPr>
            </w:pPr>
            <w:r>
              <w:rPr>
                <w:rFonts w:ascii="Arial" w:hAnsi="Arial" w:cs="Arial"/>
                <w:noProof/>
                <w:color w:val="000000"/>
                <w:sz w:val="18"/>
                <w:szCs w:val="18"/>
              </w:rPr>
              <w:t xml:space="preserve">Slovaquie          </w:t>
            </w:r>
          </w:p>
        </w:tc>
        <w:tc>
          <w:tcPr>
            <w:tcW w:w="1158"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color w:val="000000"/>
                <w:sz w:val="18"/>
                <w:szCs w:val="18"/>
              </w:rPr>
            </w:pPr>
            <w:r>
              <w:rPr>
                <w:rFonts w:ascii="Arial" w:hAnsi="Arial" w:cs="Arial"/>
                <w:noProof/>
                <w:color w:val="000000"/>
                <w:sz w:val="18"/>
                <w:szCs w:val="18"/>
              </w:rPr>
              <w:t>47 747</w:t>
            </w:r>
          </w:p>
        </w:tc>
        <w:tc>
          <w:tcPr>
            <w:tcW w:w="1110"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c>
          <w:tcPr>
            <w:tcW w:w="1134"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c>
          <w:tcPr>
            <w:tcW w:w="1134" w:type="dxa"/>
            <w:tcBorders>
              <w:top w:val="nil"/>
              <w:left w:val="nil"/>
              <w:bottom w:val="single" w:sz="4" w:space="0" w:color="auto"/>
              <w:right w:val="single" w:sz="4" w:space="0" w:color="auto"/>
            </w:tcBorders>
            <w:shd w:val="clear" w:color="000000" w:fill="F2F2F2"/>
            <w:noWrap/>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c>
          <w:tcPr>
            <w:tcW w:w="1134"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color w:val="000000"/>
                <w:sz w:val="18"/>
                <w:szCs w:val="18"/>
              </w:rPr>
            </w:pPr>
            <w:r>
              <w:rPr>
                <w:rFonts w:ascii="Arial" w:hAnsi="Arial" w:cs="Arial"/>
                <w:noProof/>
                <w:color w:val="000000"/>
                <w:sz w:val="18"/>
                <w:szCs w:val="18"/>
              </w:rPr>
              <w:t>4 594 209</w:t>
            </w:r>
          </w:p>
        </w:tc>
        <w:tc>
          <w:tcPr>
            <w:tcW w:w="992"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color w:val="000000"/>
                <w:sz w:val="18"/>
                <w:szCs w:val="18"/>
              </w:rPr>
            </w:pPr>
            <w:r>
              <w:rPr>
                <w:rFonts w:ascii="Arial" w:hAnsi="Arial" w:cs="Arial"/>
                <w:noProof/>
                <w:color w:val="000000"/>
                <w:sz w:val="18"/>
                <w:szCs w:val="18"/>
              </w:rPr>
              <w:t>1,04</w:t>
            </w:r>
          </w:p>
        </w:tc>
        <w:tc>
          <w:tcPr>
            <w:tcW w:w="1134"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c>
          <w:tcPr>
            <w:tcW w:w="1134" w:type="dxa"/>
            <w:tcBorders>
              <w:top w:val="nil"/>
              <w:left w:val="nil"/>
              <w:bottom w:val="single" w:sz="4" w:space="0" w:color="auto"/>
              <w:right w:val="single" w:sz="4" w:space="0" w:color="auto"/>
            </w:tcBorders>
            <w:shd w:val="clear" w:color="000000" w:fill="F2F2F2"/>
            <w:noWrap/>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r>
      <w:tr>
        <w:trPr>
          <w:trHeight w:val="300"/>
        </w:trPr>
        <w:tc>
          <w:tcPr>
            <w:tcW w:w="1276" w:type="dxa"/>
            <w:tcBorders>
              <w:top w:val="nil"/>
              <w:left w:val="single" w:sz="4" w:space="0" w:color="auto"/>
              <w:bottom w:val="single" w:sz="4" w:space="0" w:color="auto"/>
              <w:right w:val="single" w:sz="4" w:space="0" w:color="auto"/>
            </w:tcBorders>
            <w:shd w:val="clear" w:color="000000" w:fill="F2F2F2"/>
            <w:vAlign w:val="center"/>
          </w:tcPr>
          <w:p>
            <w:pPr>
              <w:spacing w:before="0" w:after="0"/>
              <w:rPr>
                <w:rFonts w:ascii="Arial" w:hAnsi="Arial" w:cs="Arial"/>
                <w:noProof/>
                <w:color w:val="000000"/>
                <w:sz w:val="18"/>
                <w:szCs w:val="18"/>
              </w:rPr>
            </w:pPr>
            <w:r>
              <w:rPr>
                <w:rFonts w:ascii="Arial" w:hAnsi="Arial" w:cs="Arial"/>
                <w:noProof/>
                <w:color w:val="000000"/>
                <w:sz w:val="18"/>
                <w:szCs w:val="18"/>
              </w:rPr>
              <w:t xml:space="preserve">Finlande          </w:t>
            </w:r>
          </w:p>
        </w:tc>
        <w:tc>
          <w:tcPr>
            <w:tcW w:w="1158"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color w:val="000000"/>
                <w:sz w:val="18"/>
                <w:szCs w:val="18"/>
              </w:rPr>
            </w:pPr>
            <w:r>
              <w:rPr>
                <w:rFonts w:ascii="Arial" w:hAnsi="Arial" w:cs="Arial"/>
                <w:noProof/>
                <w:color w:val="000000"/>
                <w:sz w:val="18"/>
                <w:szCs w:val="18"/>
              </w:rPr>
              <w:t>80 608</w:t>
            </w:r>
          </w:p>
        </w:tc>
        <w:tc>
          <w:tcPr>
            <w:tcW w:w="1110"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color w:val="000000"/>
                <w:sz w:val="18"/>
                <w:szCs w:val="18"/>
              </w:rPr>
            </w:pPr>
            <w:r>
              <w:rPr>
                <w:rFonts w:ascii="Arial" w:hAnsi="Arial" w:cs="Arial"/>
                <w:noProof/>
                <w:color w:val="000000"/>
                <w:sz w:val="18"/>
                <w:szCs w:val="18"/>
              </w:rPr>
              <w:t>81 062</w:t>
            </w:r>
          </w:p>
        </w:tc>
        <w:tc>
          <w:tcPr>
            <w:tcW w:w="1134"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color w:val="000000"/>
                <w:sz w:val="18"/>
                <w:szCs w:val="18"/>
              </w:rPr>
            </w:pPr>
            <w:r>
              <w:rPr>
                <w:rFonts w:ascii="Arial" w:hAnsi="Arial" w:cs="Arial"/>
                <w:noProof/>
                <w:color w:val="000000"/>
                <w:sz w:val="18"/>
                <w:szCs w:val="18"/>
              </w:rPr>
              <w:t>81 062</w:t>
            </w:r>
          </w:p>
        </w:tc>
        <w:tc>
          <w:tcPr>
            <w:tcW w:w="1134" w:type="dxa"/>
            <w:tcBorders>
              <w:top w:val="nil"/>
              <w:left w:val="nil"/>
              <w:bottom w:val="single" w:sz="4" w:space="0" w:color="auto"/>
              <w:right w:val="single" w:sz="4" w:space="0" w:color="auto"/>
            </w:tcBorders>
            <w:shd w:val="clear" w:color="000000" w:fill="F2F2F2"/>
            <w:noWrap/>
          </w:tcPr>
          <w:p>
            <w:pPr>
              <w:spacing w:before="0" w:after="0"/>
              <w:jc w:val="right"/>
              <w:rPr>
                <w:rFonts w:ascii="Arial" w:hAnsi="Arial" w:cs="Arial"/>
                <w:noProof/>
                <w:color w:val="000000"/>
                <w:sz w:val="18"/>
                <w:szCs w:val="18"/>
              </w:rPr>
            </w:pPr>
            <w:r>
              <w:rPr>
                <w:rFonts w:ascii="Arial" w:hAnsi="Arial" w:cs="Arial"/>
                <w:noProof/>
                <w:color w:val="000000"/>
                <w:sz w:val="18"/>
                <w:szCs w:val="18"/>
              </w:rPr>
              <w:t>100,6</w:t>
            </w:r>
          </w:p>
        </w:tc>
        <w:tc>
          <w:tcPr>
            <w:tcW w:w="1134"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color w:val="000000"/>
                <w:sz w:val="18"/>
                <w:szCs w:val="18"/>
              </w:rPr>
            </w:pPr>
            <w:r>
              <w:rPr>
                <w:rFonts w:ascii="Arial" w:hAnsi="Arial" w:cs="Arial"/>
                <w:noProof/>
                <w:color w:val="000000"/>
                <w:sz w:val="18"/>
                <w:szCs w:val="18"/>
              </w:rPr>
              <w:t>4 591 285</w:t>
            </w:r>
          </w:p>
        </w:tc>
        <w:tc>
          <w:tcPr>
            <w:tcW w:w="992"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color w:val="000000"/>
                <w:sz w:val="18"/>
                <w:szCs w:val="18"/>
              </w:rPr>
            </w:pPr>
            <w:r>
              <w:rPr>
                <w:rFonts w:ascii="Arial" w:hAnsi="Arial" w:cs="Arial"/>
                <w:noProof/>
                <w:color w:val="000000"/>
                <w:sz w:val="18"/>
                <w:szCs w:val="18"/>
              </w:rPr>
              <w:t>1,76</w:t>
            </w:r>
          </w:p>
        </w:tc>
        <w:tc>
          <w:tcPr>
            <w:tcW w:w="1134"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c>
          <w:tcPr>
            <w:tcW w:w="1134" w:type="dxa"/>
            <w:tcBorders>
              <w:top w:val="nil"/>
              <w:left w:val="nil"/>
              <w:bottom w:val="single" w:sz="4" w:space="0" w:color="auto"/>
              <w:right w:val="single" w:sz="4" w:space="0" w:color="auto"/>
            </w:tcBorders>
            <w:shd w:val="clear" w:color="000000" w:fill="F2F2F2"/>
            <w:noWrap/>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r>
      <w:tr>
        <w:trPr>
          <w:trHeight w:val="300"/>
        </w:trPr>
        <w:tc>
          <w:tcPr>
            <w:tcW w:w="1276" w:type="dxa"/>
            <w:tcBorders>
              <w:top w:val="nil"/>
              <w:left w:val="single" w:sz="4" w:space="0" w:color="auto"/>
              <w:bottom w:val="single" w:sz="4" w:space="0" w:color="auto"/>
              <w:right w:val="single" w:sz="4" w:space="0" w:color="auto"/>
            </w:tcBorders>
            <w:shd w:val="clear" w:color="000000" w:fill="F2F2F2"/>
            <w:vAlign w:val="center"/>
            <w:hideMark/>
          </w:tcPr>
          <w:p>
            <w:pPr>
              <w:spacing w:before="0" w:after="0"/>
              <w:rPr>
                <w:rFonts w:ascii="Arial" w:hAnsi="Arial" w:cs="Arial"/>
                <w:noProof/>
                <w:color w:val="000000"/>
                <w:sz w:val="18"/>
                <w:szCs w:val="18"/>
              </w:rPr>
            </w:pPr>
            <w:r>
              <w:rPr>
                <w:rFonts w:ascii="Arial" w:hAnsi="Arial" w:cs="Arial"/>
                <w:noProof/>
                <w:color w:val="000000"/>
                <w:sz w:val="18"/>
                <w:szCs w:val="18"/>
              </w:rPr>
              <w:t xml:space="preserve">Suède            </w:t>
            </w:r>
          </w:p>
        </w:tc>
        <w:tc>
          <w:tcPr>
            <w:tcW w:w="1158"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color w:val="000000"/>
                <w:sz w:val="18"/>
                <w:szCs w:val="18"/>
              </w:rPr>
            </w:pPr>
            <w:r>
              <w:rPr>
                <w:rFonts w:ascii="Arial" w:hAnsi="Arial" w:cs="Arial"/>
                <w:noProof/>
                <w:color w:val="000000"/>
                <w:sz w:val="18"/>
                <w:szCs w:val="18"/>
              </w:rPr>
              <w:t>265 042</w:t>
            </w:r>
          </w:p>
        </w:tc>
        <w:tc>
          <w:tcPr>
            <w:tcW w:w="1110"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c>
          <w:tcPr>
            <w:tcW w:w="1134"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c>
          <w:tcPr>
            <w:tcW w:w="1134" w:type="dxa"/>
            <w:tcBorders>
              <w:top w:val="nil"/>
              <w:left w:val="nil"/>
              <w:bottom w:val="single" w:sz="4" w:space="0" w:color="auto"/>
              <w:right w:val="single" w:sz="4" w:space="0" w:color="auto"/>
            </w:tcBorders>
            <w:shd w:val="clear" w:color="000000" w:fill="F2F2F2"/>
            <w:noWrap/>
            <w:hideMark/>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c>
          <w:tcPr>
            <w:tcW w:w="1134"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color w:val="000000"/>
                <w:sz w:val="18"/>
                <w:szCs w:val="18"/>
              </w:rPr>
            </w:pPr>
            <w:r>
              <w:rPr>
                <w:rFonts w:ascii="Arial" w:hAnsi="Arial" w:cs="Arial"/>
                <w:noProof/>
                <w:color w:val="000000"/>
                <w:sz w:val="18"/>
                <w:szCs w:val="18"/>
              </w:rPr>
              <w:t>8 133 874</w:t>
            </w:r>
          </w:p>
        </w:tc>
        <w:tc>
          <w:tcPr>
            <w:tcW w:w="992" w:type="dxa"/>
            <w:tcBorders>
              <w:top w:val="nil"/>
              <w:left w:val="nil"/>
              <w:bottom w:val="single" w:sz="4" w:space="0" w:color="auto"/>
              <w:right w:val="single" w:sz="4" w:space="0" w:color="auto"/>
            </w:tcBorders>
            <w:shd w:val="clear" w:color="auto" w:fill="auto"/>
            <w:noWrap/>
            <w:hideMark/>
          </w:tcPr>
          <w:p>
            <w:pPr>
              <w:spacing w:before="0" w:after="0"/>
              <w:jc w:val="right"/>
              <w:rPr>
                <w:rFonts w:ascii="Arial" w:hAnsi="Arial" w:cs="Arial"/>
                <w:noProof/>
                <w:color w:val="000000"/>
                <w:sz w:val="18"/>
                <w:szCs w:val="18"/>
              </w:rPr>
            </w:pPr>
            <w:r>
              <w:rPr>
                <w:rFonts w:ascii="Arial" w:hAnsi="Arial" w:cs="Arial"/>
                <w:noProof/>
                <w:color w:val="000000"/>
                <w:sz w:val="18"/>
                <w:szCs w:val="18"/>
              </w:rPr>
              <w:t>3,26</w:t>
            </w:r>
          </w:p>
        </w:tc>
        <w:tc>
          <w:tcPr>
            <w:tcW w:w="1134" w:type="dxa"/>
            <w:tcBorders>
              <w:top w:val="nil"/>
              <w:left w:val="nil"/>
              <w:bottom w:val="single" w:sz="4" w:space="0" w:color="auto"/>
              <w:right w:val="single" w:sz="4" w:space="0" w:color="auto"/>
            </w:tcBorders>
            <w:shd w:val="clear" w:color="auto" w:fill="auto"/>
            <w:noWrap/>
            <w:hideMark/>
          </w:tcPr>
          <w:p>
            <w:pPr>
              <w:spacing w:before="0" w:after="0"/>
              <w:jc w:val="right"/>
              <w:rPr>
                <w:rFonts w:ascii="Arial" w:hAnsi="Arial" w:cs="Arial"/>
                <w:noProof/>
                <w:color w:val="000000"/>
                <w:sz w:val="18"/>
                <w:szCs w:val="18"/>
              </w:rPr>
            </w:pPr>
            <w:r>
              <w:rPr>
                <w:rFonts w:ascii="Arial" w:hAnsi="Arial" w:cs="Arial"/>
                <w:noProof/>
                <w:color w:val="000000"/>
                <w:sz w:val="18"/>
                <w:szCs w:val="18"/>
              </w:rPr>
              <w:t>419</w:t>
            </w:r>
          </w:p>
        </w:tc>
        <w:tc>
          <w:tcPr>
            <w:tcW w:w="1134" w:type="dxa"/>
            <w:tcBorders>
              <w:top w:val="nil"/>
              <w:left w:val="nil"/>
              <w:bottom w:val="single" w:sz="4" w:space="0" w:color="auto"/>
              <w:right w:val="single" w:sz="4" w:space="0" w:color="auto"/>
            </w:tcBorders>
            <w:shd w:val="clear" w:color="000000" w:fill="F2F2F2"/>
            <w:noWrap/>
            <w:hideMark/>
          </w:tcPr>
          <w:p>
            <w:pPr>
              <w:spacing w:before="0" w:after="0"/>
              <w:jc w:val="right"/>
              <w:rPr>
                <w:rFonts w:ascii="Arial" w:hAnsi="Arial" w:cs="Arial"/>
                <w:noProof/>
                <w:color w:val="000000"/>
                <w:sz w:val="18"/>
                <w:szCs w:val="18"/>
              </w:rPr>
            </w:pPr>
            <w:r>
              <w:rPr>
                <w:rFonts w:ascii="Arial" w:hAnsi="Arial" w:cs="Arial"/>
                <w:noProof/>
                <w:color w:val="000000"/>
                <w:sz w:val="18"/>
                <w:szCs w:val="18"/>
              </w:rPr>
              <w:t>20,8</w:t>
            </w:r>
          </w:p>
        </w:tc>
      </w:tr>
      <w:tr>
        <w:trPr>
          <w:trHeight w:val="510"/>
        </w:trPr>
        <w:tc>
          <w:tcPr>
            <w:tcW w:w="1276" w:type="dxa"/>
            <w:tcBorders>
              <w:top w:val="nil"/>
              <w:left w:val="single" w:sz="4" w:space="0" w:color="auto"/>
              <w:bottom w:val="single" w:sz="4" w:space="0" w:color="auto"/>
              <w:right w:val="single" w:sz="4" w:space="0" w:color="auto"/>
            </w:tcBorders>
            <w:shd w:val="clear" w:color="000000" w:fill="F2F2F2"/>
            <w:vAlign w:val="center"/>
            <w:hideMark/>
          </w:tcPr>
          <w:p>
            <w:pPr>
              <w:spacing w:before="0" w:after="0"/>
              <w:rPr>
                <w:rFonts w:ascii="Arial" w:hAnsi="Arial" w:cs="Arial"/>
                <w:noProof/>
                <w:color w:val="000000"/>
                <w:sz w:val="18"/>
                <w:szCs w:val="18"/>
              </w:rPr>
            </w:pPr>
            <w:r>
              <w:rPr>
                <w:rFonts w:ascii="Arial" w:hAnsi="Arial" w:cs="Arial"/>
                <w:noProof/>
                <w:color w:val="000000"/>
                <w:sz w:val="18"/>
                <w:szCs w:val="18"/>
              </w:rPr>
              <w:t xml:space="preserve">Royaume-Uni   </w:t>
            </w:r>
          </w:p>
        </w:tc>
        <w:tc>
          <w:tcPr>
            <w:tcW w:w="1158"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color w:val="000000"/>
                <w:sz w:val="18"/>
                <w:szCs w:val="18"/>
              </w:rPr>
            </w:pPr>
            <w:r>
              <w:rPr>
                <w:rFonts w:ascii="Arial" w:hAnsi="Arial" w:cs="Arial"/>
                <w:noProof/>
                <w:color w:val="000000"/>
                <w:sz w:val="18"/>
                <w:szCs w:val="18"/>
              </w:rPr>
              <w:t>2 677 936</w:t>
            </w:r>
          </w:p>
        </w:tc>
        <w:tc>
          <w:tcPr>
            <w:tcW w:w="1110"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c>
          <w:tcPr>
            <w:tcW w:w="1134"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c>
          <w:tcPr>
            <w:tcW w:w="1134" w:type="dxa"/>
            <w:tcBorders>
              <w:top w:val="nil"/>
              <w:left w:val="nil"/>
              <w:bottom w:val="single" w:sz="4" w:space="0" w:color="auto"/>
              <w:right w:val="single" w:sz="4" w:space="0" w:color="auto"/>
            </w:tcBorders>
            <w:shd w:val="clear" w:color="000000" w:fill="F2F2F2"/>
            <w:noWrap/>
            <w:hideMark/>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c>
          <w:tcPr>
            <w:tcW w:w="1134"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color w:val="000000"/>
                <w:sz w:val="18"/>
                <w:szCs w:val="18"/>
              </w:rPr>
            </w:pPr>
            <w:r>
              <w:rPr>
                <w:rFonts w:ascii="Arial" w:hAnsi="Arial" w:cs="Arial"/>
                <w:noProof/>
                <w:color w:val="000000"/>
                <w:sz w:val="18"/>
                <w:szCs w:val="18"/>
              </w:rPr>
              <w:t>53 795 166</w:t>
            </w:r>
          </w:p>
        </w:tc>
        <w:tc>
          <w:tcPr>
            <w:tcW w:w="992" w:type="dxa"/>
            <w:tcBorders>
              <w:top w:val="nil"/>
              <w:left w:val="nil"/>
              <w:bottom w:val="single" w:sz="4" w:space="0" w:color="auto"/>
              <w:right w:val="single" w:sz="4" w:space="0" w:color="auto"/>
            </w:tcBorders>
            <w:shd w:val="clear" w:color="auto" w:fill="auto"/>
            <w:noWrap/>
            <w:hideMark/>
          </w:tcPr>
          <w:p>
            <w:pPr>
              <w:spacing w:before="0" w:after="0"/>
              <w:jc w:val="right"/>
              <w:rPr>
                <w:rFonts w:ascii="Arial" w:hAnsi="Arial" w:cs="Arial"/>
                <w:noProof/>
                <w:color w:val="000000"/>
                <w:sz w:val="18"/>
                <w:szCs w:val="18"/>
              </w:rPr>
            </w:pPr>
            <w:r>
              <w:rPr>
                <w:rFonts w:ascii="Arial" w:hAnsi="Arial" w:cs="Arial"/>
                <w:noProof/>
                <w:color w:val="000000"/>
                <w:sz w:val="18"/>
                <w:szCs w:val="18"/>
              </w:rPr>
              <w:t>4,98</w:t>
            </w:r>
          </w:p>
        </w:tc>
        <w:tc>
          <w:tcPr>
            <w:tcW w:w="1134" w:type="dxa"/>
            <w:tcBorders>
              <w:top w:val="nil"/>
              <w:left w:val="nil"/>
              <w:bottom w:val="single" w:sz="4" w:space="0" w:color="auto"/>
              <w:right w:val="single" w:sz="4" w:space="0" w:color="auto"/>
            </w:tcBorders>
            <w:shd w:val="clear" w:color="auto" w:fill="auto"/>
            <w:noWrap/>
            <w:hideMark/>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c>
          <w:tcPr>
            <w:tcW w:w="1134" w:type="dxa"/>
            <w:tcBorders>
              <w:top w:val="nil"/>
              <w:left w:val="nil"/>
              <w:bottom w:val="single" w:sz="4" w:space="0" w:color="auto"/>
              <w:right w:val="single" w:sz="4" w:space="0" w:color="auto"/>
            </w:tcBorders>
            <w:shd w:val="clear" w:color="000000" w:fill="F2F2F2"/>
            <w:noWrap/>
            <w:hideMark/>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r>
      <w:tr>
        <w:trPr>
          <w:trHeight w:val="300"/>
        </w:trPr>
        <w:tc>
          <w:tcPr>
            <w:tcW w:w="9072" w:type="dxa"/>
            <w:gridSpan w:val="8"/>
            <w:tcBorders>
              <w:top w:val="nil"/>
              <w:left w:val="nil"/>
              <w:bottom w:val="nil"/>
              <w:right w:val="nil"/>
            </w:tcBorders>
            <w:shd w:val="clear" w:color="000000" w:fill="FFFFFF"/>
            <w:noWrap/>
            <w:vAlign w:val="center"/>
            <w:hideMark/>
          </w:tcPr>
          <w:p>
            <w:pPr>
              <w:spacing w:before="0" w:after="0"/>
              <w:jc w:val="left"/>
              <w:rPr>
                <w:rFonts w:ascii="Arial" w:hAnsi="Arial" w:cs="Arial"/>
                <w:noProof/>
                <w:color w:val="000000"/>
                <w:sz w:val="20"/>
              </w:rPr>
            </w:pPr>
          </w:p>
        </w:tc>
        <w:tc>
          <w:tcPr>
            <w:tcW w:w="1134" w:type="dxa"/>
            <w:tcBorders>
              <w:top w:val="nil"/>
              <w:left w:val="nil"/>
              <w:bottom w:val="nil"/>
              <w:right w:val="nil"/>
            </w:tcBorders>
            <w:shd w:val="clear" w:color="000000" w:fill="FFFFFF"/>
            <w:noWrap/>
            <w:vAlign w:val="bottom"/>
            <w:hideMark/>
          </w:tcPr>
          <w:p>
            <w:pPr>
              <w:spacing w:before="0" w:after="0"/>
              <w:jc w:val="left"/>
              <w:rPr>
                <w:rFonts w:ascii="Calibri" w:hAnsi="Calibri"/>
                <w:noProof/>
                <w:color w:val="000000"/>
                <w:sz w:val="22"/>
                <w:szCs w:val="22"/>
              </w:rPr>
            </w:pPr>
          </w:p>
        </w:tc>
      </w:tr>
    </w:tbl>
    <w:p>
      <w:pPr>
        <w:rPr>
          <w:noProof/>
          <w:szCs w:val="24"/>
        </w:rPr>
      </w:pPr>
      <w:r>
        <w:rPr>
          <w:noProof/>
        </w:rPr>
        <w:fldChar w:fldCharType="end"/>
      </w:r>
      <w:r>
        <w:rPr>
          <w:noProof/>
        </w:rPr>
        <w:t>*</w:t>
      </w:r>
      <w:r>
        <w:rPr>
          <w:i/>
          <w:noProof/>
          <w:color w:val="000000"/>
          <w:sz w:val="20"/>
        </w:rPr>
        <w:t>18 ans et plus dans les États fédérés suivants: Bavière, Berlin, Brandebourg, Brême, Hesse, Basse-Saxe, Mecklembourg-Poméranie, Rhénanie-Palatinat, Saxe et Saxe-Anhalt.</w:t>
      </w:r>
    </w:p>
    <w:p>
      <w:pPr>
        <w:rPr>
          <w:b/>
          <w:noProof/>
        </w:rPr>
      </w:pPr>
      <w:r>
        <w:rPr>
          <w:noProof/>
        </w:rPr>
        <w:t>**</w:t>
      </w:r>
      <w:r>
        <w:rPr>
          <w:i/>
          <w:noProof/>
          <w:sz w:val="20"/>
        </w:rPr>
        <w:t xml:space="preserve"> Sur la base des données d’Eurostat pour 2016 relatives à la population par classe d’âge, sexe et nationalité [migr_pop1ctz], extraites le 31.10.2017, et des données fournies par les États membres.</w:t>
      </w:r>
      <w:r>
        <w:rPr>
          <w:noProof/>
        </w:rPr>
        <w:br w:type="page"/>
      </w:r>
    </w:p>
    <w:p>
      <w:pPr>
        <w:spacing w:before="0" w:after="200" w:line="276" w:lineRule="auto"/>
        <w:jc w:val="left"/>
        <w:rPr>
          <w:b/>
          <w:noProof/>
        </w:rPr>
      </w:pPr>
      <w:r>
        <w:rPr>
          <w:b/>
          <w:noProof/>
        </w:rPr>
        <w:t>Tableau 1.3. Vue d’ensemble des retours qualitatifs transmis par les États membres en réponse au questionnaire utilisé pour l’élaboration du présent rapport</w:t>
      </w:r>
    </w:p>
    <w:p>
      <w:pPr>
        <w:spacing w:before="0" w:after="200" w:line="276" w:lineRule="auto"/>
        <w:jc w:val="left"/>
        <w:rPr>
          <w:b/>
          <w:noProof/>
        </w:rPr>
      </w:pPr>
    </w:p>
    <w:p>
      <w:pPr>
        <w:rPr>
          <w:noProof/>
        </w:rPr>
      </w:pPr>
      <w:r>
        <w:rPr>
          <w:noProof/>
          <w:lang w:val="en-US" w:eastAsia="en-US" w:bidi="ar-SA"/>
        </w:rPr>
        <w:drawing>
          <wp:inline distT="0" distB="0" distL="0" distR="0">
            <wp:extent cx="5850255" cy="8075817"/>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50255" cy="8075817"/>
                    </a:xfrm>
                    <a:prstGeom prst="rect">
                      <a:avLst/>
                    </a:prstGeom>
                    <a:noFill/>
                    <a:ln>
                      <a:noFill/>
                    </a:ln>
                  </pic:spPr>
                </pic:pic>
              </a:graphicData>
            </a:graphic>
          </wp:inline>
        </w:drawing>
      </w:r>
    </w:p>
    <w:sectPr>
      <w:headerReference w:type="even" r:id="rId24"/>
      <w:headerReference w:type="default" r:id="rId25"/>
      <w:footerReference w:type="even" r:id="rId26"/>
      <w:footerReference w:type="default" r:id="rId27"/>
      <w:headerReference w:type="first" r:id="rId28"/>
      <w:footerReference w:type="first" r:id="rId29"/>
      <w:pgSz w:w="11907" w:h="16840" w:code="9"/>
      <w:pgMar w:top="1134" w:right="1276" w:bottom="1134"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roxima Nova Light">
    <w:altName w:val="Proxima Nova Light"/>
    <w:panose1 w:val="00000000000000000000"/>
    <w:charset w:val="00"/>
    <w:family w:val="swiss"/>
    <w:notTrueType/>
    <w:pitch w:val="default"/>
    <w:sig w:usb0="00000003" w:usb1="00000000" w:usb2="00000000" w:usb3="00000000" w:csb0="00000001" w:csb1="00000000"/>
  </w:font>
  <w:font w:name="ECSquareSansPro">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b/>
        <w:sz w:val="48"/>
      </w:rPr>
      <w:t>FR</w:t>
    </w:r>
    <w:r>
      <w:tab/>
    </w:r>
    <w:r>
      <w:fldChar w:fldCharType="begin"/>
    </w:r>
    <w:r>
      <w:instrText xml:space="preserve"> PAGE  \* MERGEFORMAT </w:instrText>
    </w:r>
    <w:r>
      <w:fldChar w:fldCharType="separate"/>
    </w:r>
    <w:r>
      <w:rPr>
        <w:noProof/>
      </w:rPr>
      <w:t>1</w:t>
    </w:r>
    <w:r>
      <w:fldChar w:fldCharType="end"/>
    </w:r>
    <w:r>
      <w:tab/>
    </w:r>
    <w:r>
      <w:rPr>
        <w:rFonts w:ascii="Arial" w:hAnsi="Arial"/>
        <w:b/>
        <w:sz w:val="48"/>
      </w:rPr>
      <w:t>FR</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 xml:space="preserve"> </w:t>
      </w:r>
      <w:hyperlink r:id="rId1">
        <w:r>
          <w:rPr>
            <w:rStyle w:val="Hyperlink"/>
          </w:rPr>
          <w:t>http://europa.eu/rapid/press-release_SPEECH-17-3165_fr.htm.</w:t>
        </w:r>
      </w:hyperlink>
      <w:r>
        <w:t xml:space="preserve"> </w:t>
      </w:r>
    </w:p>
  </w:footnote>
  <w:footnote w:id="2">
    <w:p>
      <w:pPr>
        <w:pStyle w:val="FootnoteText"/>
        <w:ind w:left="0" w:firstLine="0"/>
      </w:pPr>
      <w:r>
        <w:rPr>
          <w:rStyle w:val="FootnoteReference"/>
        </w:rPr>
        <w:footnoteRef/>
      </w:r>
      <w:r>
        <w:t xml:space="preserve"> Ce droit fondamental est également inscrit à l'article 40 de la Charte des droits fondamentaux de l'Union européenne.</w:t>
      </w:r>
    </w:p>
  </w:footnote>
  <w:footnote w:id="3">
    <w:p>
      <w:pPr>
        <w:pStyle w:val="FootnoteText"/>
        <w:ind w:left="0" w:firstLine="0"/>
      </w:pPr>
      <w:r>
        <w:rPr>
          <w:rStyle w:val="FootnoteReference"/>
        </w:rPr>
        <w:footnoteRef/>
      </w:r>
      <w:r>
        <w:t xml:space="preserve"> Directive 94/80/CE du Conseil du 19 décembre 1994 fixant les modalités de l'exercice du droit de vote et d'éligibilité aux élections municipales pour les citoyens de l'Union résidant dans un État membre dont ils n'ont pas la nationalité (JO L 368 du 31.12.1994, p. 38).</w:t>
      </w:r>
    </w:p>
  </w:footnote>
  <w:footnote w:id="4">
    <w:p>
      <w:pPr>
        <w:pStyle w:val="FootnoteText"/>
      </w:pPr>
      <w:r>
        <w:rPr>
          <w:rStyle w:val="FootnoteReference"/>
        </w:rPr>
        <w:footnoteRef/>
      </w:r>
      <w:r>
        <w:t xml:space="preserve"> Ces termes sont définis dans la directive; il peut par exemple s'agir de la fonction de maire.</w:t>
      </w:r>
    </w:p>
  </w:footnote>
  <w:footnote w:id="5">
    <w:p>
      <w:pPr>
        <w:pStyle w:val="FootnoteText"/>
        <w:ind w:left="0" w:firstLine="0"/>
      </w:pPr>
      <w:r>
        <w:rPr>
          <w:rStyle w:val="FootnoteReference"/>
        </w:rPr>
        <w:footnoteRef/>
      </w:r>
      <w:r>
        <w:t xml:space="preserve"> Le premier rapport sur la transposition et la mise en œuvre de la directive présenté en application de l'article 13 de celle-ci a été adopté par la Commission en 2002 [COM(2002) 260 final]. Le deuxième rapport a été adopté en 2012 [COM(2012) 99 du 9.3.2012]. Il évaluait l'état de la transposition et de la mise en œuvre dans les États membres qui avaient rejoint l'Union depuis 2002 et contenait l'analyse de la Commission relative aux déclarations effectuées en application de l'article 14 de la directive.</w:t>
      </w:r>
    </w:p>
  </w:footnote>
  <w:footnote w:id="6">
    <w:p>
      <w:pPr>
        <w:pStyle w:val="FootnoteText"/>
        <w:ind w:left="0" w:firstLine="0"/>
      </w:pPr>
      <w:r>
        <w:rPr>
          <w:rStyle w:val="FootnoteReference"/>
        </w:rPr>
        <w:footnoteRef/>
      </w:r>
      <w:r>
        <w:t xml:space="preserve"> Les données pertinentes d'Eurostat relatives à la population sont disponibles pour trois classes d'âge (0-14, 15-64 et 65 et plus). Aux fins du présent rapport, la population en âge de voter correspond à la population âgée de 15 ans et plus.</w:t>
      </w:r>
    </w:p>
  </w:footnote>
  <w:footnote w:id="7">
    <w:p>
      <w:pPr>
        <w:pStyle w:val="FootnoteText"/>
      </w:pPr>
      <w:r>
        <w:rPr>
          <w:rStyle w:val="FootnoteReference"/>
        </w:rPr>
        <w:footnoteRef/>
      </w:r>
      <w:r>
        <w:t xml:space="preserve"> Il n'est pas toujours possible d'obtenir des données exactes concernant les régions et communes où résident les citoyens mobiles de l'UE.</w:t>
      </w:r>
    </w:p>
  </w:footnote>
  <w:footnote w:id="8">
    <w:p>
      <w:pPr>
        <w:pStyle w:val="FootnoteText"/>
      </w:pPr>
      <w:r>
        <w:rPr>
          <w:rStyle w:val="FootnoteReference"/>
        </w:rPr>
        <w:footnoteRef/>
      </w:r>
      <w:r>
        <w:t xml:space="preserve"> </w:t>
      </w:r>
      <w:hyperlink r:id="rId2">
        <w:r>
          <w:rPr>
            <w:rStyle w:val="Hyperlink"/>
          </w:rPr>
          <w:t>http://ec.europa.eu/eurostat/statistics-explained/index.php/Migration_and_migrant_population_statistics/fr</w:t>
        </w:r>
      </w:hyperlink>
      <w:r>
        <w:t>.</w:t>
      </w:r>
    </w:p>
  </w:footnote>
  <w:footnote w:id="9">
    <w:p>
      <w:pPr>
        <w:pStyle w:val="FootnoteText"/>
      </w:pPr>
      <w:r>
        <w:rPr>
          <w:rStyle w:val="FootnoteReference"/>
        </w:rPr>
        <w:footnoteRef/>
      </w:r>
      <w:r>
        <w:t xml:space="preserve"> Eurobaromètre Flash 430 – Citoyenneté de l'Union européenne – 2016.</w:t>
      </w:r>
    </w:p>
  </w:footnote>
  <w:footnote w:id="10">
    <w:p>
      <w:pPr>
        <w:pStyle w:val="FootnoteText"/>
      </w:pPr>
      <w:r>
        <w:rPr>
          <w:rStyle w:val="FootnoteReference"/>
        </w:rPr>
        <w:footnoteRef/>
      </w:r>
      <w:r>
        <w:t xml:space="preserve"> 66 % des citoyens avaient connaissance de ce même droit en 2012. Eurobaromètre Flash 364 – Droits électoraux – 2012.</w:t>
      </w:r>
    </w:p>
  </w:footnote>
  <w:footnote w:id="11">
    <w:p>
      <w:pPr>
        <w:pStyle w:val="FootnoteText"/>
        <w:ind w:left="0" w:firstLine="0"/>
      </w:pPr>
      <w:r>
        <w:rPr>
          <w:rStyle w:val="FootnoteReference"/>
        </w:rPr>
        <w:footnoteRef/>
      </w:r>
      <w:r>
        <w:t xml:space="preserve"> La période la plus ancienne pour laquelle Eurostat dispose de données presque complètes concernant les citoyens mobiles de cette classe d'âge.</w:t>
      </w:r>
    </w:p>
  </w:footnote>
  <w:footnote w:id="12">
    <w:p>
      <w:pPr>
        <w:pStyle w:val="FootnoteText"/>
        <w:ind w:left="0" w:firstLine="0"/>
      </w:pPr>
      <w:r>
        <w:rPr>
          <w:rStyle w:val="FootnoteReference"/>
        </w:rPr>
        <w:footnoteRef/>
      </w:r>
      <w:r>
        <w:t xml:space="preserve"> Treize États membres ont enregistré des pourcentages d'augmentation à deux chiffres: la République tchèque, le Danemark, l'Allemagne, la Croatie, l'Estonie, Malte, les Pays-Bas, la Lituanie, l'Autriche, la Roumanie, la Slovaquie, la Finlande et le Royaume-Uni.</w:t>
      </w:r>
    </w:p>
  </w:footnote>
  <w:footnote w:id="13">
    <w:p>
      <w:pPr>
        <w:pStyle w:val="FootnoteText"/>
        <w:ind w:left="0" w:firstLine="0"/>
      </w:pPr>
      <w:r>
        <w:rPr>
          <w:rStyle w:val="FootnoteReference"/>
        </w:rPr>
        <w:footnoteRef/>
      </w:r>
      <w:r>
        <w:t xml:space="preserve"> Cette situation ressort aussi de l'étude élaborée en vue du rapport sur les élections européennes de 2014 </w:t>
      </w:r>
      <w:hyperlink r:id="rId3">
        <w:r>
          <w:rPr>
            <w:rStyle w:val="Hyperlink"/>
          </w:rPr>
          <w:t>http://ec.europa.eu/justice/citizen/document/files/final_report_2014_ep_elections_study_cses_10_march_2015.pdf</w:t>
        </w:r>
      </w:hyperlink>
      <w:r>
        <w:t>.</w:t>
      </w:r>
    </w:p>
  </w:footnote>
  <w:footnote w:id="14">
    <w:p>
      <w:pPr>
        <w:pStyle w:val="FootnoteText"/>
        <w:ind w:left="0" w:firstLine="0"/>
      </w:pPr>
      <w:r>
        <w:rPr>
          <w:rStyle w:val="FootnoteReference"/>
        </w:rPr>
        <w:footnoteRef/>
      </w:r>
      <w:r>
        <w:t xml:space="preserve"> La Bulgarie, la République tchèque, l'Allemagne, le Danemark, la Finlande, la Hongrie, la Lituanie, la Lettonie, Malte, les Pays-Bas, le Portugal, la Roumanie, la Suède et la Slovénie inscrivent d'office leurs citoyens sur les listes électorales.</w:t>
      </w:r>
    </w:p>
  </w:footnote>
  <w:footnote w:id="15">
    <w:p>
      <w:pPr>
        <w:pStyle w:val="FootnoteText"/>
      </w:pPr>
      <w:r>
        <w:rPr>
          <w:rStyle w:val="FootnoteReference"/>
        </w:rPr>
        <w:footnoteRef/>
      </w:r>
      <w:r>
        <w:t xml:space="preserve"> La Finlande, la Hongrie, Malte, la Slovénie, le Royaume-Uni, le Luxembourg et la Suède.</w:t>
      </w:r>
    </w:p>
  </w:footnote>
  <w:footnote w:id="16">
    <w:p>
      <w:pPr>
        <w:pStyle w:val="FootnoteText"/>
        <w:ind w:left="0" w:firstLine="0"/>
      </w:pPr>
      <w:r>
        <w:rPr>
          <w:rStyle w:val="FootnoteReference"/>
        </w:rPr>
        <w:footnoteRef/>
      </w:r>
      <w:r>
        <w:t xml:space="preserve"> L'article 2 définit les termes «collectivité locale de base», «élections municipales», «État membre de résidence», «État membre d'origine», «liste électorale», «jour de référence» et «déclaration formelle».</w:t>
      </w:r>
    </w:p>
  </w:footnote>
  <w:footnote w:id="17">
    <w:p>
      <w:pPr>
        <w:pStyle w:val="FootnoteText"/>
      </w:pPr>
      <w:r>
        <w:rPr>
          <w:rStyle w:val="FootnoteReference"/>
        </w:rPr>
        <w:footnoteRef/>
      </w:r>
      <w:r>
        <w:t xml:space="preserve"> Toutefois, se référer au point 3.3 pour obtenir un complément d'informations.</w:t>
      </w:r>
    </w:p>
  </w:footnote>
  <w:footnote w:id="18">
    <w:p>
      <w:pPr>
        <w:pStyle w:val="FootnoteText"/>
        <w:ind w:left="0" w:firstLine="0"/>
      </w:pPr>
      <w:r>
        <w:rPr>
          <w:rStyle w:val="FootnoteReference"/>
        </w:rPr>
        <w:footnoteRef/>
      </w:r>
      <w:r>
        <w:t xml:space="preserve"> La Bulgarie, la République tchèque, l'Allemagne, le Danemark, la Finlande, la Hongrie, la Lituanie, la Lettonie, Malte, les Pays-Bas, le Portugal, la Roumanie, la Suède et la Slovénie.</w:t>
      </w:r>
    </w:p>
  </w:footnote>
  <w:footnote w:id="19">
    <w:p>
      <w:pPr>
        <w:pStyle w:val="FootnoteText"/>
      </w:pPr>
      <w:r>
        <w:rPr>
          <w:rStyle w:val="FootnoteReference"/>
        </w:rPr>
        <w:footnoteRef/>
      </w:r>
      <w:r>
        <w:t xml:space="preserve"> Le Danemark, l'Estonie, la Finlande, l'Irlande, la Lettonie, le Luxembourg, Malte, les Pays-Bas, le Portugal, la Roumanie, la Slovaquie, l'Espagne, la Suède et le Royaume-Uni.</w:t>
      </w:r>
    </w:p>
  </w:footnote>
  <w:footnote w:id="20">
    <w:p>
      <w:pPr>
        <w:pStyle w:val="FootnoteText"/>
      </w:pPr>
      <w:r>
        <w:rPr>
          <w:rStyle w:val="FootnoteReference"/>
        </w:rPr>
        <w:footnoteRef/>
      </w:r>
      <w:r>
        <w:t xml:space="preserve"> La Hongrie, la Pologne et la Slovénie.</w:t>
      </w:r>
    </w:p>
  </w:footnote>
  <w:footnote w:id="21">
    <w:p>
      <w:pPr>
        <w:pStyle w:val="FootnoteText"/>
      </w:pPr>
      <w:r>
        <w:rPr>
          <w:rStyle w:val="FootnoteReference"/>
        </w:rPr>
        <w:footnoteRef/>
      </w:r>
      <w:r>
        <w:t xml:space="preserve"> La Belgique, Chypre, la République tchèque, la France, l'Italie et la Lituanie.</w:t>
      </w:r>
    </w:p>
  </w:footnote>
  <w:footnote w:id="22">
    <w:p>
      <w:pPr>
        <w:pStyle w:val="FootnoteText"/>
      </w:pPr>
      <w:r>
        <w:rPr>
          <w:rStyle w:val="FootnoteReference"/>
        </w:rPr>
        <w:footnoteRef/>
      </w:r>
      <w:r>
        <w:t xml:space="preserve"> La Bulgarie et la Grèce.</w:t>
      </w:r>
    </w:p>
  </w:footnote>
  <w:footnote w:id="23">
    <w:p>
      <w:pPr>
        <w:pStyle w:val="FootnoteText"/>
      </w:pPr>
      <w:r>
        <w:rPr>
          <w:rStyle w:val="FootnoteReference"/>
        </w:rPr>
        <w:footnoteRef/>
      </w:r>
      <w:r>
        <w:t xml:space="preserve"> Eurobaromètre Flash 431 – Droits électoraux – 2015.</w:t>
      </w:r>
    </w:p>
  </w:footnote>
  <w:footnote w:id="24">
    <w:p>
      <w:pPr>
        <w:pStyle w:val="FootnoteText"/>
        <w:ind w:left="0" w:firstLine="0"/>
      </w:pPr>
      <w:r>
        <w:rPr>
          <w:rStyle w:val="FootnoteReference"/>
        </w:rPr>
        <w:footnoteRef/>
      </w:r>
      <w:r>
        <w:t xml:space="preserve"> Selon l'article 2, paragraphe 1, point a), de la directive, on entend par «collectivité locale de base» les entités administratives figurant à l'annexe.</w:t>
      </w:r>
    </w:p>
  </w:footnote>
  <w:footnote w:id="25">
    <w:p>
      <w:pPr>
        <w:pStyle w:val="FootnoteText"/>
      </w:pPr>
      <w:r>
        <w:rPr>
          <w:rStyle w:val="FootnoteReference"/>
        </w:rPr>
        <w:footnoteRef/>
      </w:r>
      <w:r>
        <w:t xml:space="preserve"> Questionnaire distribué lors de la réunion du groupe d'experts de la Commission sur les questions électorales.</w:t>
      </w:r>
    </w:p>
  </w:footnote>
  <w:footnote w:id="26">
    <w:p>
      <w:pPr>
        <w:pStyle w:val="FootnoteText"/>
      </w:pPr>
      <w:r>
        <w:rPr>
          <w:rStyle w:val="FootnoteReference"/>
        </w:rPr>
        <w:footnoteRef/>
      </w:r>
      <w:r>
        <w:t xml:space="preserve"> Source: questionnaire distribué lors de la réunion du groupe d'experts de la Commission sur les questions électorales.</w:t>
      </w:r>
    </w:p>
  </w:footnote>
  <w:footnote w:id="27">
    <w:p>
      <w:pPr>
        <w:pStyle w:val="FootnoteText"/>
        <w:ind w:left="0" w:firstLine="0"/>
      </w:pPr>
      <w:r>
        <w:rPr>
          <w:rStyle w:val="FootnoteReference"/>
        </w:rPr>
        <w:footnoteRef/>
      </w:r>
      <w:r>
        <w:t xml:space="preserve"> Ils doivent déclarer qu'ils seront à l'étranger, qu'ils subiront une opération médicale ou que leur grossesse arrivera à terme le jour du scrutin. Source: questionnaire distribué lors de la réunion du groupe d'experts de la Commission sur les questions électorales.</w:t>
      </w:r>
    </w:p>
  </w:footnote>
  <w:footnote w:id="28">
    <w:p>
      <w:pPr>
        <w:pStyle w:val="FootnoteText"/>
      </w:pPr>
      <w:r>
        <w:rPr>
          <w:rStyle w:val="FootnoteReference"/>
        </w:rPr>
        <w:footnoteRef/>
      </w:r>
      <w:r>
        <w:t xml:space="preserve"> COM(2017) 30 final.</w:t>
      </w:r>
    </w:p>
  </w:footnote>
  <w:footnote w:id="29">
    <w:p>
      <w:pPr>
        <w:pStyle w:val="FootnoteText"/>
        <w:ind w:left="0" w:firstLine="0"/>
      </w:pPr>
      <w:r>
        <w:rPr>
          <w:rStyle w:val="FootnoteReference"/>
        </w:rPr>
        <w:footnoteRef/>
      </w:r>
      <w:r>
        <w:t xml:space="preserve"> Les travaux réalisés dans le cadre de ce projet et d'autres financés par les appels lancés en 2014 au titre du </w:t>
      </w:r>
      <w:r>
        <w:rPr>
          <w:i/>
        </w:rPr>
        <w:t>programme</w:t>
      </w:r>
      <w:r>
        <w:t xml:space="preserve"> </w:t>
      </w:r>
      <w:r>
        <w:rPr>
          <w:i/>
        </w:rPr>
        <w:t xml:space="preserve">Droits, égalité et citoyenneté </w:t>
      </w:r>
      <w:r>
        <w:t xml:space="preserve"> en vue de l'octroi de subventions à l'action ont récemment été présentés lors de la Semaine européenne des régions et des villes, organisée conjointement par la Commission et le Comité des régions. Les contributions comprenaient: le projet ONTHEMOVE du Centre for European Constitutional Law – Themistocles &amp; Dimitris Tsatsos Foundation, le projet «Living Rights» du Law Centres Network, le projet ACT Active Citizens Together de la East of England and Local Government Association et le projet de guichets uniques tendant à la participation politique des citoyens mobiles de l'UE du Migration Policy Group.</w:t>
      </w:r>
    </w:p>
  </w:footnote>
  <w:footnote w:id="30">
    <w:p>
      <w:pPr>
        <w:pStyle w:val="FootnoteText"/>
      </w:pPr>
      <w:r>
        <w:rPr>
          <w:rStyle w:val="FootnoteReference"/>
        </w:rPr>
        <w:footnoteRef/>
      </w:r>
      <w:r>
        <w:t xml:space="preserve"> http://data.consilium.europa.eu/doc/document/ST-9008-2017-INIT/fr/pdf.</w:t>
      </w:r>
    </w:p>
  </w:footnote>
  <w:footnote w:id="31">
    <w:p>
      <w:pPr>
        <w:pStyle w:val="FootnoteText"/>
      </w:pPr>
      <w:r>
        <w:rPr>
          <w:rStyle w:val="FootnoteReference"/>
        </w:rPr>
        <w:footnoteRef/>
      </w:r>
      <w:r>
        <w:t xml:space="preserve"> «Je vote toujours» est la première raison invoquée pour aller voter, selon une enquête du Parlement européen</w:t>
      </w:r>
    </w:p>
    <w:p>
      <w:pPr>
        <w:pStyle w:val="FootnoteText"/>
      </w:pPr>
      <w:hyperlink r:id="rId4">
        <w:r>
          <w:rPr>
            <w:rStyle w:val="Hyperlink"/>
          </w:rPr>
          <w:t>http://www.europarl.europa.eu/pdf/eurobarometre/2014/post/post_2014_survey_analitical_overview_fr.pdf</w:t>
        </w:r>
      </w:hyperlink>
      <w:r>
        <w:rPr>
          <w:rStyle w:val="Hyperlink"/>
        </w:rPr>
        <w:t>.</w:t>
      </w:r>
    </w:p>
  </w:footnote>
  <w:footnote w:id="32">
    <w:p>
      <w:pPr>
        <w:pStyle w:val="FootnoteText"/>
        <w:ind w:left="0" w:firstLine="0"/>
      </w:pPr>
      <w:r>
        <w:rPr>
          <w:rStyle w:val="FootnoteReference"/>
        </w:rPr>
        <w:footnoteRef/>
      </w:r>
      <w:r>
        <w:t xml:space="preserve"> La Belgique, la Hongrie, Malte, la Pologne, la Slovaquie, la Slovénie, la Suède, la République tchèque, les Pays-Bas et le Royaume-Uni organiseront des élections municipales en 2018. En 2019, des élections municipales auront lieu en Bulgarie, en Grèce, en Irlande et en Lituanie.</w:t>
      </w:r>
    </w:p>
  </w:footnote>
  <w:footnote w:id="33">
    <w:p>
      <w:pPr>
        <w:pStyle w:val="FootnoteText"/>
      </w:pPr>
      <w:r>
        <w:rPr>
          <w:rStyle w:val="FootnoteReference"/>
        </w:rPr>
        <w:footnoteRef/>
      </w:r>
      <w:r>
        <w:t xml:space="preserve"> Voir l'enquête Eurobaromètre Flash 430 sur la citoyenneté de l'Union et la consultation publique de 2015 en vue du rapport sur la citoyenneté de l'Union.</w:t>
      </w:r>
    </w:p>
  </w:footnote>
  <w:footnote w:id="34">
    <w:p>
      <w:pPr>
        <w:pStyle w:val="FootnoteText"/>
      </w:pPr>
      <w:r>
        <w:rPr>
          <w:rStyle w:val="FootnoteReference"/>
        </w:rPr>
        <w:footnoteRef/>
      </w:r>
      <w:r>
        <w:t xml:space="preserve"> La commission de la citoyenneté, de la gouvernance et des affaires institutionnelles et extérieures du Comité des régions.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F8F0BC"/>
    <w:multiLevelType w:val="hybridMultilevel"/>
    <w:tmpl w:val="9EE1B85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F195F3A"/>
    <w:multiLevelType w:val="hybridMultilevel"/>
    <w:tmpl w:val="8B70E80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5DD1C34"/>
    <w:multiLevelType w:val="hybridMultilevel"/>
    <w:tmpl w:val="41FCC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4B0660"/>
    <w:multiLevelType w:val="hybridMultilevel"/>
    <w:tmpl w:val="DB54CD60"/>
    <w:lvl w:ilvl="0" w:tplc="20221FFE">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3F035F1E"/>
    <w:multiLevelType w:val="hybridMultilevel"/>
    <w:tmpl w:val="2B2D1B0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5D669FC"/>
    <w:multiLevelType w:val="multilevel"/>
    <w:tmpl w:val="CB0898B6"/>
    <w:lvl w:ilvl="0">
      <w:start w:val="1"/>
      <w:numFmt w:val="decimal"/>
      <w:pStyle w:val="Heading1"/>
      <w:lvlText w:val="%1."/>
      <w:lvlJc w:val="left"/>
      <w:pPr>
        <w:tabs>
          <w:tab w:val="num" w:pos="360"/>
        </w:tabs>
        <w:ind w:left="360" w:hanging="360"/>
      </w:pPr>
    </w:lvl>
    <w:lvl w:ilvl="1">
      <w:start w:val="1"/>
      <w:numFmt w:val="decimal"/>
      <w:pStyle w:val="Heading2"/>
      <w:lvlText w:val="%1.%2."/>
      <w:lvlJc w:val="left"/>
      <w:pPr>
        <w:tabs>
          <w:tab w:val="num" w:pos="792"/>
        </w:tabs>
        <w:ind w:left="792" w:hanging="432"/>
      </w:pPr>
      <w:rPr>
        <w:b/>
      </w:rPr>
    </w:lvl>
    <w:lvl w:ilvl="2">
      <w:start w:val="1"/>
      <w:numFmt w:val="decimal"/>
      <w:pStyle w:val="Heading3"/>
      <w:lvlText w:val="%1.%2.%3."/>
      <w:lvlJc w:val="left"/>
      <w:pPr>
        <w:tabs>
          <w:tab w:val="num" w:pos="1440"/>
        </w:tabs>
        <w:ind w:left="1224" w:hanging="504"/>
      </w:pPr>
    </w:lvl>
    <w:lvl w:ilvl="3">
      <w:start w:val="1"/>
      <w:numFmt w:val="decimal"/>
      <w:pStyle w:val="Heading4"/>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6B3B9430"/>
    <w:multiLevelType w:val="hybridMultilevel"/>
    <w:tmpl w:val="DBC402E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79CCEE97"/>
    <w:multiLevelType w:val="hybridMultilevel"/>
    <w:tmpl w:val="9AB919D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3"/>
  </w:num>
  <w:num w:numId="3">
    <w:abstractNumId w:val="7"/>
  </w:num>
  <w:num w:numId="4">
    <w:abstractNumId w:val="2"/>
  </w:num>
  <w:num w:numId="5">
    <w:abstractNumId w:val="1"/>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43631FC7-F301-454B-8090-E7C936A23F78"/>
    <w:docVar w:name="LW_COVERPAGE_TYPE" w:val="1"/>
    <w:docVar w:name="LW_CROSSREFERENCE" w:val="&lt;UNUSED&gt;"/>
    <w:docVar w:name="LW_DocType" w:val="NORMAL"/>
    <w:docVar w:name="LW_EMISSION" w:val="25.1.2018"/>
    <w:docVar w:name="LW_EMISSION_ISODATE" w:val="2018-01-25"/>
    <w:docVar w:name="LW_EMISSION_LOCATION" w:val="BRX"/>
    <w:docVar w:name="LW_EMISSION_PREFIX" w:val="Bruxelles, le "/>
    <w:docVar w:name="LW_EMISSION_SUFFIX" w:val="&lt;EMPTY&gt;"/>
    <w:docVar w:name="LW_ID_DOCTYPE_NONLW" w:val="CP-008"/>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4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sur l\u8217?application de la directive 94/80/CE fixant les modalités de l\u8217?exercice du droit de vote et d\u8217?éligibilité aux élections municipales"/>
    <w:docVar w:name="LW_TYPE.DOC.CP" w:val="RAPPORT DE LA COMMISSION AU PARLEMENT EUROPÉEN, AU CONSEIL, AU COMITÉ ÉCONOMIQUE ET SOCIAL EUROPÉEN ET AU COMITÉ DES RÉGION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uiPriority="20"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20" w:after="120"/>
      <w:jc w:val="both"/>
    </w:pPr>
    <w:rPr>
      <w:sz w:val="24"/>
    </w:rPr>
  </w:style>
  <w:style w:type="paragraph" w:styleId="Heading1">
    <w:name w:val="heading 1"/>
    <w:basedOn w:val="Normal"/>
    <w:next w:val="Text1"/>
    <w:link w:val="Heading1Char"/>
    <w:qFormat/>
    <w:pPr>
      <w:keepNext/>
      <w:numPr>
        <w:numId w:val="1"/>
      </w:numPr>
      <w:spacing w:before="360"/>
      <w:outlineLvl w:val="0"/>
    </w:pPr>
    <w:rPr>
      <w:b/>
      <w:smallCaps/>
    </w:rPr>
  </w:style>
  <w:style w:type="paragraph" w:styleId="Heading2">
    <w:name w:val="heading 2"/>
    <w:basedOn w:val="Normal"/>
    <w:next w:val="Normal"/>
    <w:link w:val="Heading2Char"/>
    <w:qFormat/>
    <w:pPr>
      <w:keepNext/>
      <w:numPr>
        <w:ilvl w:val="1"/>
        <w:numId w:val="1"/>
      </w:numPr>
      <w:outlineLvl w:val="1"/>
    </w:pPr>
    <w:rPr>
      <w:b/>
    </w:rPr>
  </w:style>
  <w:style w:type="paragraph" w:styleId="Heading3">
    <w:name w:val="heading 3"/>
    <w:basedOn w:val="Normal"/>
    <w:next w:val="Normal"/>
    <w:link w:val="Heading3Char"/>
    <w:qFormat/>
    <w:pPr>
      <w:keepNext/>
      <w:numPr>
        <w:ilvl w:val="2"/>
        <w:numId w:val="1"/>
      </w:numPr>
      <w:outlineLvl w:val="2"/>
    </w:pPr>
    <w:rPr>
      <w:i/>
    </w:rPr>
  </w:style>
  <w:style w:type="paragraph" w:styleId="Heading4">
    <w:name w:val="heading 4"/>
    <w:basedOn w:val="Normal"/>
    <w:next w:val="Normal"/>
    <w:link w:val="Heading4Char"/>
    <w:qFormat/>
    <w:pPr>
      <w:keepNext/>
      <w:numPr>
        <w:ilvl w:val="3"/>
        <w:numId w:val="1"/>
      </w:numPr>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mallCaps/>
      <w:sz w:val="24"/>
    </w:rPr>
  </w:style>
  <w:style w:type="character" w:customStyle="1" w:styleId="Heading2Char">
    <w:name w:val="Heading 2 Char"/>
    <w:basedOn w:val="DefaultParagraphFont"/>
    <w:link w:val="Heading2"/>
    <w:rPr>
      <w:b/>
      <w:sz w:val="24"/>
    </w:rPr>
  </w:style>
  <w:style w:type="character" w:customStyle="1" w:styleId="Heading3Char">
    <w:name w:val="Heading 3 Char"/>
    <w:basedOn w:val="DefaultParagraphFont"/>
    <w:link w:val="Heading3"/>
    <w:rPr>
      <w:i/>
      <w:sz w:val="24"/>
    </w:rPr>
  </w:style>
  <w:style w:type="character" w:customStyle="1" w:styleId="Heading4Char">
    <w:name w:val="Heading 4 Char"/>
    <w:basedOn w:val="DefaultParagraphFont"/>
    <w:link w:val="Heading4"/>
    <w:rPr>
      <w:sz w:val="24"/>
    </w:rPr>
  </w:style>
  <w:style w:type="paragraph" w:customStyle="1" w:styleId="Text1">
    <w:name w:val="Text 1"/>
    <w:basedOn w:val="Normal"/>
    <w:pPr>
      <w:ind w:left="851"/>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style>
  <w:style w:type="paragraph" w:customStyle="1" w:styleId="Emission">
    <w:name w:val="Emission"/>
    <w:basedOn w:val="Normal"/>
    <w:next w:val="Normal"/>
    <w:pPr>
      <w:spacing w:before="0" w:after="0"/>
      <w:ind w:left="5103"/>
      <w:jc w:val="left"/>
    </w:pPr>
  </w:style>
  <w:style w:type="paragraph" w:customStyle="1" w:styleId="Typedudocument">
    <w:name w:val="Type du document"/>
    <w:basedOn w:val="Normal"/>
    <w:next w:val="Normal"/>
    <w:pPr>
      <w:spacing w:before="360" w:after="0"/>
      <w:jc w:val="center"/>
    </w:pPr>
    <w:rPr>
      <w:b/>
    </w:rPr>
  </w:style>
  <w:style w:type="paragraph" w:customStyle="1" w:styleId="Titreobjet">
    <w:name w:val="Titre objet"/>
    <w:basedOn w:val="Normal"/>
    <w:next w:val="Sous-titreobjet"/>
    <w:pPr>
      <w:spacing w:before="360" w:after="360"/>
      <w:jc w:val="center"/>
    </w:pPr>
    <w:rPr>
      <w:b/>
    </w:rPr>
  </w:style>
  <w:style w:type="paragraph" w:customStyle="1" w:styleId="Sous-titreobjet">
    <w:name w:val="Sous-titre objet"/>
    <w:basedOn w:val="Titreobjet"/>
    <w:pPr>
      <w:spacing w:before="0" w:after="0"/>
    </w:pPr>
  </w:style>
  <w:style w:type="paragraph" w:styleId="Footer">
    <w:name w:val="footer"/>
    <w:basedOn w:val="Normal"/>
    <w:link w:val="FooterChar"/>
    <w:pPr>
      <w:tabs>
        <w:tab w:val="center" w:pos="4536"/>
        <w:tab w:val="right" w:pos="9072"/>
      </w:tabs>
      <w:spacing w:before="360" w:after="0"/>
      <w:jc w:val="left"/>
    </w:pPr>
  </w:style>
  <w:style w:type="character" w:customStyle="1" w:styleId="FooterChar">
    <w:name w:val="Footer Char"/>
    <w:basedOn w:val="DefaultParagraphFont"/>
    <w:link w:val="Footer"/>
    <w:rPr>
      <w:sz w:val="24"/>
    </w:rPr>
  </w:style>
  <w:style w:type="character" w:styleId="FootnoteReference">
    <w:name w:val="footnote reference"/>
    <w:aliases w:val="Footnote Reference Superscript,BVI fnr,Footnote symbol,Footnote reference number,Footnotemark,FR,Footnotemark1,Footnotemark2,FR1,Footnotemark3,FR2,Footnotemark4,FR3,Footnotemark5,FR4,Footnotemark6,Footnotemark7,Footnotemark8,FR5,FR11"/>
    <w:basedOn w:val="DefaultParagraphFont"/>
    <w:uiPriority w:val="99"/>
    <w:qFormat/>
    <w:rPr>
      <w:vertAlign w:val="superscript"/>
    </w:rPr>
  </w:style>
  <w:style w:type="paragraph" w:styleId="FootnoteText">
    <w:name w:val="footnote text"/>
    <w:basedOn w:val="Normal"/>
    <w:link w:val="FootnoteTextChar"/>
    <w:uiPriority w:val="99"/>
    <w:qFormat/>
    <w:pPr>
      <w:spacing w:before="0" w:after="0"/>
      <w:ind w:left="720" w:hanging="720"/>
    </w:pPr>
    <w:rPr>
      <w:sz w:val="20"/>
    </w:rPr>
  </w:style>
  <w:style w:type="character" w:customStyle="1" w:styleId="FootnoteTextChar">
    <w:name w:val="Footnote Text Char"/>
    <w:basedOn w:val="DefaultParagraphFont"/>
    <w:link w:val="FootnoteText"/>
    <w:uiPriority w:val="99"/>
  </w:style>
  <w:style w:type="paragraph" w:customStyle="1" w:styleId="Langue">
    <w:name w:val="Langue"/>
    <w:basedOn w:val="Normal"/>
    <w:next w:val="Normal"/>
    <w:link w:val="LangueChar"/>
    <w:pPr>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rPr>
  </w:style>
  <w:style w:type="paragraph" w:customStyle="1" w:styleId="ManualHeading1">
    <w:name w:val="Manual Heading 1"/>
    <w:basedOn w:val="Heading1"/>
    <w:next w:val="Text1"/>
  </w:style>
  <w:style w:type="paragraph" w:customStyle="1" w:styleId="Confidentialit">
    <w:name w:val="Confidentialité"/>
    <w:basedOn w:val="Normal"/>
    <w:next w:val="Normal"/>
    <w:pPr>
      <w:spacing w:before="240" w:after="240"/>
      <w:ind w:left="5103"/>
    </w:pPr>
    <w:rPr>
      <w:u w:val="single"/>
    </w:rPr>
  </w:style>
  <w:style w:type="character" w:styleId="Hyperlink">
    <w:name w:val="Hyperlink"/>
    <w:basedOn w:val="DefaultParagraphFont"/>
    <w:rPr>
      <w:color w:val="0000FF"/>
      <w:u w:val="single"/>
    </w:rPr>
  </w:style>
  <w:style w:type="paragraph" w:styleId="BalloonText">
    <w:name w:val="Balloon Text"/>
    <w:basedOn w:val="Normal"/>
    <w:link w:val="BalloonTextChar"/>
    <w:uiPriority w:val="99"/>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b/>
      <w:bCs/>
    </w:rPr>
  </w:style>
  <w:style w:type="paragraph" w:styleId="Revision">
    <w:name w:val="Revision"/>
    <w:hidden/>
    <w:uiPriority w:val="99"/>
    <w:semiHidden/>
    <w:rPr>
      <w:sz w:val="24"/>
    </w:rPr>
  </w:style>
  <w:style w:type="paragraph" w:styleId="Header">
    <w:name w:val="header"/>
    <w:basedOn w:val="Normal"/>
    <w:link w:val="HeaderChar"/>
    <w:uiPriority w:val="99"/>
    <w:unhideWhenUsed/>
    <w:pPr>
      <w:tabs>
        <w:tab w:val="center" w:pos="4513"/>
        <w:tab w:val="right" w:pos="9026"/>
      </w:tabs>
      <w:spacing w:before="0" w:after="0"/>
    </w:pPr>
  </w:style>
  <w:style w:type="character" w:customStyle="1" w:styleId="HeaderChar">
    <w:name w:val="Header Char"/>
    <w:basedOn w:val="DefaultParagraphFont"/>
    <w:link w:val="Header"/>
    <w:uiPriority w:val="99"/>
    <w:rPr>
      <w:sz w:val="24"/>
    </w:rPr>
  </w:style>
  <w:style w:type="character" w:customStyle="1" w:styleId="BodyTextChar">
    <w:name w:val="BodyText Char"/>
    <w:basedOn w:val="DefaultParagraphFont"/>
    <w:link w:val="BodyText"/>
    <w:locked/>
  </w:style>
  <w:style w:type="paragraph" w:customStyle="1" w:styleId="BodyText">
    <w:name w:val="BodyText"/>
    <w:aliases w:val="Document,Doc,Body Text2,doc,Standard paragraph,(Norm),Body Text 12,bt,gl,uvlaka 2,heading3,Body Text - Level 2,1body,BodText,body text,Body Txt,Body Text-10,Body Text Char2,Text Char1,Τίτλος Μελέτης,- TF,Te,-,??t??? ?e??t??,Car"/>
    <w:basedOn w:val="Normal"/>
    <w:link w:val="BodyTextChar"/>
    <w:qFormat/>
    <w:pPr>
      <w:spacing w:before="0" w:after="160" w:line="252" w:lineRule="auto"/>
    </w:pPr>
    <w:rPr>
      <w:sz w:val="20"/>
    </w:rPr>
  </w:style>
  <w:style w:type="paragraph" w:customStyle="1" w:styleId="Default">
    <w:name w:val="Default"/>
    <w:pPr>
      <w:autoSpaceDE w:val="0"/>
      <w:autoSpaceDN w:val="0"/>
      <w:adjustRightInd w:val="0"/>
    </w:pPr>
    <w:rPr>
      <w:rFonts w:ascii="Proxima Nova Light" w:eastAsiaTheme="minorHAnsi" w:hAnsi="Proxima Nova Light" w:cs="Proxima Nova Light"/>
      <w:color w:val="000000"/>
      <w:sz w:val="24"/>
      <w:szCs w:val="24"/>
    </w:rPr>
  </w:style>
  <w:style w:type="paragraph" w:customStyle="1" w:styleId="Pa1">
    <w:name w:val="Pa1"/>
    <w:basedOn w:val="Default"/>
    <w:next w:val="Default"/>
    <w:uiPriority w:val="99"/>
    <w:pPr>
      <w:spacing w:line="241" w:lineRule="atLeast"/>
    </w:pPr>
    <w:rPr>
      <w:rFonts w:cstheme="minorBidi"/>
      <w:color w:val="auto"/>
    </w:rPr>
  </w:style>
  <w:style w:type="character" w:customStyle="1" w:styleId="A5">
    <w:name w:val="A5"/>
    <w:uiPriority w:val="99"/>
    <w:rPr>
      <w:rFonts w:cs="Proxima Nova Light"/>
      <w:color w:val="000000"/>
      <w:sz w:val="20"/>
      <w:szCs w:val="20"/>
    </w:rPr>
  </w:style>
  <w:style w:type="paragraph" w:styleId="ListParagraph">
    <w:name w:val="List Paragraph"/>
    <w:basedOn w:val="Normal"/>
    <w:uiPriority w:val="34"/>
    <w:qFormat/>
    <w:pPr>
      <w:ind w:left="720"/>
      <w:contextualSpacing/>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LangueChar">
    <w:name w:val="Langue Char"/>
    <w:basedOn w:val="DefaultParagraphFont"/>
    <w:link w:val="Langue"/>
    <w:rPr>
      <w:b/>
      <w:caps/>
      <w:sz w:val="24"/>
    </w:rPr>
  </w:style>
  <w:style w:type="character" w:customStyle="1" w:styleId="FooterCoverPageChar">
    <w:name w:val="Footer Cover Page Char"/>
    <w:basedOn w:val="LangueChar"/>
    <w:link w:val="FooterCoverPage"/>
    <w:rPr>
      <w:b w:val="0"/>
      <w:caps w:val="0"/>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LangueChar"/>
    <w:link w:val="FooterSensitivity"/>
    <w:rPr>
      <w:b/>
      <w:caps w:val="0"/>
      <w:sz w:val="32"/>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LangueChar"/>
    <w:link w:val="HeaderCoverPage"/>
    <w:rPr>
      <w:b w:val="0"/>
      <w:caps w:val="0"/>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LangueChar"/>
    <w:link w:val="HeaderSensitivity"/>
    <w:rPr>
      <w:b/>
      <w:caps w:val="0"/>
      <w:sz w:val="32"/>
    </w:rPr>
  </w:style>
  <w:style w:type="character" w:styleId="Emphasis">
    <w:name w:val="Emphasis"/>
    <w:basedOn w:val="DefaultParagraphFont"/>
    <w:uiPriority w:val="20"/>
    <w:qFormat/>
    <w:rPr>
      <w:i/>
      <w:iCs/>
    </w:rPr>
  </w:style>
  <w:style w:type="character" w:styleId="PlaceholderText">
    <w:name w:val="Placeholder Text"/>
    <w:basedOn w:val="DefaultParagraphFont"/>
    <w:uiPriority w:val="99"/>
    <w:semiHidden/>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uiPriority="20"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20" w:after="120"/>
      <w:jc w:val="both"/>
    </w:pPr>
    <w:rPr>
      <w:sz w:val="24"/>
    </w:rPr>
  </w:style>
  <w:style w:type="paragraph" w:styleId="Heading1">
    <w:name w:val="heading 1"/>
    <w:basedOn w:val="Normal"/>
    <w:next w:val="Text1"/>
    <w:link w:val="Heading1Char"/>
    <w:qFormat/>
    <w:pPr>
      <w:keepNext/>
      <w:numPr>
        <w:numId w:val="1"/>
      </w:numPr>
      <w:spacing w:before="360"/>
      <w:outlineLvl w:val="0"/>
    </w:pPr>
    <w:rPr>
      <w:b/>
      <w:smallCaps/>
    </w:rPr>
  </w:style>
  <w:style w:type="paragraph" w:styleId="Heading2">
    <w:name w:val="heading 2"/>
    <w:basedOn w:val="Normal"/>
    <w:next w:val="Normal"/>
    <w:link w:val="Heading2Char"/>
    <w:qFormat/>
    <w:pPr>
      <w:keepNext/>
      <w:numPr>
        <w:ilvl w:val="1"/>
        <w:numId w:val="1"/>
      </w:numPr>
      <w:outlineLvl w:val="1"/>
    </w:pPr>
    <w:rPr>
      <w:b/>
    </w:rPr>
  </w:style>
  <w:style w:type="paragraph" w:styleId="Heading3">
    <w:name w:val="heading 3"/>
    <w:basedOn w:val="Normal"/>
    <w:next w:val="Normal"/>
    <w:link w:val="Heading3Char"/>
    <w:qFormat/>
    <w:pPr>
      <w:keepNext/>
      <w:numPr>
        <w:ilvl w:val="2"/>
        <w:numId w:val="1"/>
      </w:numPr>
      <w:outlineLvl w:val="2"/>
    </w:pPr>
    <w:rPr>
      <w:i/>
    </w:rPr>
  </w:style>
  <w:style w:type="paragraph" w:styleId="Heading4">
    <w:name w:val="heading 4"/>
    <w:basedOn w:val="Normal"/>
    <w:next w:val="Normal"/>
    <w:link w:val="Heading4Char"/>
    <w:qFormat/>
    <w:pPr>
      <w:keepNext/>
      <w:numPr>
        <w:ilvl w:val="3"/>
        <w:numId w:val="1"/>
      </w:numPr>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mallCaps/>
      <w:sz w:val="24"/>
    </w:rPr>
  </w:style>
  <w:style w:type="character" w:customStyle="1" w:styleId="Heading2Char">
    <w:name w:val="Heading 2 Char"/>
    <w:basedOn w:val="DefaultParagraphFont"/>
    <w:link w:val="Heading2"/>
    <w:rPr>
      <w:b/>
      <w:sz w:val="24"/>
    </w:rPr>
  </w:style>
  <w:style w:type="character" w:customStyle="1" w:styleId="Heading3Char">
    <w:name w:val="Heading 3 Char"/>
    <w:basedOn w:val="DefaultParagraphFont"/>
    <w:link w:val="Heading3"/>
    <w:rPr>
      <w:i/>
      <w:sz w:val="24"/>
    </w:rPr>
  </w:style>
  <w:style w:type="character" w:customStyle="1" w:styleId="Heading4Char">
    <w:name w:val="Heading 4 Char"/>
    <w:basedOn w:val="DefaultParagraphFont"/>
    <w:link w:val="Heading4"/>
    <w:rPr>
      <w:sz w:val="24"/>
    </w:rPr>
  </w:style>
  <w:style w:type="paragraph" w:customStyle="1" w:styleId="Text1">
    <w:name w:val="Text 1"/>
    <w:basedOn w:val="Normal"/>
    <w:pPr>
      <w:ind w:left="851"/>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style>
  <w:style w:type="paragraph" w:customStyle="1" w:styleId="Emission">
    <w:name w:val="Emission"/>
    <w:basedOn w:val="Normal"/>
    <w:next w:val="Normal"/>
    <w:pPr>
      <w:spacing w:before="0" w:after="0"/>
      <w:ind w:left="5103"/>
      <w:jc w:val="left"/>
    </w:pPr>
  </w:style>
  <w:style w:type="paragraph" w:customStyle="1" w:styleId="Typedudocument">
    <w:name w:val="Type du document"/>
    <w:basedOn w:val="Normal"/>
    <w:next w:val="Normal"/>
    <w:pPr>
      <w:spacing w:before="360" w:after="0"/>
      <w:jc w:val="center"/>
    </w:pPr>
    <w:rPr>
      <w:b/>
    </w:rPr>
  </w:style>
  <w:style w:type="paragraph" w:customStyle="1" w:styleId="Titreobjet">
    <w:name w:val="Titre objet"/>
    <w:basedOn w:val="Normal"/>
    <w:next w:val="Sous-titreobjet"/>
    <w:pPr>
      <w:spacing w:before="360" w:after="360"/>
      <w:jc w:val="center"/>
    </w:pPr>
    <w:rPr>
      <w:b/>
    </w:rPr>
  </w:style>
  <w:style w:type="paragraph" w:customStyle="1" w:styleId="Sous-titreobjet">
    <w:name w:val="Sous-titre objet"/>
    <w:basedOn w:val="Titreobjet"/>
    <w:pPr>
      <w:spacing w:before="0" w:after="0"/>
    </w:pPr>
  </w:style>
  <w:style w:type="paragraph" w:styleId="Footer">
    <w:name w:val="footer"/>
    <w:basedOn w:val="Normal"/>
    <w:link w:val="FooterChar"/>
    <w:pPr>
      <w:tabs>
        <w:tab w:val="center" w:pos="4536"/>
        <w:tab w:val="right" w:pos="9072"/>
      </w:tabs>
      <w:spacing w:before="360" w:after="0"/>
      <w:jc w:val="left"/>
    </w:pPr>
  </w:style>
  <w:style w:type="character" w:customStyle="1" w:styleId="FooterChar">
    <w:name w:val="Footer Char"/>
    <w:basedOn w:val="DefaultParagraphFont"/>
    <w:link w:val="Footer"/>
    <w:rPr>
      <w:sz w:val="24"/>
    </w:rPr>
  </w:style>
  <w:style w:type="character" w:styleId="FootnoteReference">
    <w:name w:val="footnote reference"/>
    <w:aliases w:val="Footnote Reference Superscript,BVI fnr,Footnote symbol,Footnote reference number,Footnotemark,FR,Footnotemark1,Footnotemark2,FR1,Footnotemark3,FR2,Footnotemark4,FR3,Footnotemark5,FR4,Footnotemark6,Footnotemark7,Footnotemark8,FR5,FR11"/>
    <w:basedOn w:val="DefaultParagraphFont"/>
    <w:uiPriority w:val="99"/>
    <w:qFormat/>
    <w:rPr>
      <w:vertAlign w:val="superscript"/>
    </w:rPr>
  </w:style>
  <w:style w:type="paragraph" w:styleId="FootnoteText">
    <w:name w:val="footnote text"/>
    <w:basedOn w:val="Normal"/>
    <w:link w:val="FootnoteTextChar"/>
    <w:uiPriority w:val="99"/>
    <w:qFormat/>
    <w:pPr>
      <w:spacing w:before="0" w:after="0"/>
      <w:ind w:left="720" w:hanging="720"/>
    </w:pPr>
    <w:rPr>
      <w:sz w:val="20"/>
    </w:rPr>
  </w:style>
  <w:style w:type="character" w:customStyle="1" w:styleId="FootnoteTextChar">
    <w:name w:val="Footnote Text Char"/>
    <w:basedOn w:val="DefaultParagraphFont"/>
    <w:link w:val="FootnoteText"/>
    <w:uiPriority w:val="99"/>
  </w:style>
  <w:style w:type="paragraph" w:customStyle="1" w:styleId="Langue">
    <w:name w:val="Langue"/>
    <w:basedOn w:val="Normal"/>
    <w:next w:val="Normal"/>
    <w:link w:val="LangueChar"/>
    <w:pPr>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rPr>
  </w:style>
  <w:style w:type="paragraph" w:customStyle="1" w:styleId="ManualHeading1">
    <w:name w:val="Manual Heading 1"/>
    <w:basedOn w:val="Heading1"/>
    <w:next w:val="Text1"/>
  </w:style>
  <w:style w:type="paragraph" w:customStyle="1" w:styleId="Confidentialit">
    <w:name w:val="Confidentialité"/>
    <w:basedOn w:val="Normal"/>
    <w:next w:val="Normal"/>
    <w:pPr>
      <w:spacing w:before="240" w:after="240"/>
      <w:ind w:left="5103"/>
    </w:pPr>
    <w:rPr>
      <w:u w:val="single"/>
    </w:rPr>
  </w:style>
  <w:style w:type="character" w:styleId="Hyperlink">
    <w:name w:val="Hyperlink"/>
    <w:basedOn w:val="DefaultParagraphFont"/>
    <w:rPr>
      <w:color w:val="0000FF"/>
      <w:u w:val="single"/>
    </w:rPr>
  </w:style>
  <w:style w:type="paragraph" w:styleId="BalloonText">
    <w:name w:val="Balloon Text"/>
    <w:basedOn w:val="Normal"/>
    <w:link w:val="BalloonTextChar"/>
    <w:uiPriority w:val="99"/>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b/>
      <w:bCs/>
    </w:rPr>
  </w:style>
  <w:style w:type="paragraph" w:styleId="Revision">
    <w:name w:val="Revision"/>
    <w:hidden/>
    <w:uiPriority w:val="99"/>
    <w:semiHidden/>
    <w:rPr>
      <w:sz w:val="24"/>
    </w:rPr>
  </w:style>
  <w:style w:type="paragraph" w:styleId="Header">
    <w:name w:val="header"/>
    <w:basedOn w:val="Normal"/>
    <w:link w:val="HeaderChar"/>
    <w:uiPriority w:val="99"/>
    <w:unhideWhenUsed/>
    <w:pPr>
      <w:tabs>
        <w:tab w:val="center" w:pos="4513"/>
        <w:tab w:val="right" w:pos="9026"/>
      </w:tabs>
      <w:spacing w:before="0" w:after="0"/>
    </w:pPr>
  </w:style>
  <w:style w:type="character" w:customStyle="1" w:styleId="HeaderChar">
    <w:name w:val="Header Char"/>
    <w:basedOn w:val="DefaultParagraphFont"/>
    <w:link w:val="Header"/>
    <w:uiPriority w:val="99"/>
    <w:rPr>
      <w:sz w:val="24"/>
    </w:rPr>
  </w:style>
  <w:style w:type="character" w:customStyle="1" w:styleId="BodyTextChar">
    <w:name w:val="BodyText Char"/>
    <w:basedOn w:val="DefaultParagraphFont"/>
    <w:link w:val="BodyText"/>
    <w:locked/>
  </w:style>
  <w:style w:type="paragraph" w:customStyle="1" w:styleId="BodyText">
    <w:name w:val="BodyText"/>
    <w:aliases w:val="Document,Doc,Body Text2,doc,Standard paragraph,(Norm),Body Text 12,bt,gl,uvlaka 2,heading3,Body Text - Level 2,1body,BodText,body text,Body Txt,Body Text-10,Body Text Char2,Text Char1,Τίτλος Μελέτης,- TF,Te,-,??t??? ?e??t??,Car"/>
    <w:basedOn w:val="Normal"/>
    <w:link w:val="BodyTextChar"/>
    <w:qFormat/>
    <w:pPr>
      <w:spacing w:before="0" w:after="160" w:line="252" w:lineRule="auto"/>
    </w:pPr>
    <w:rPr>
      <w:sz w:val="20"/>
    </w:rPr>
  </w:style>
  <w:style w:type="paragraph" w:customStyle="1" w:styleId="Default">
    <w:name w:val="Default"/>
    <w:pPr>
      <w:autoSpaceDE w:val="0"/>
      <w:autoSpaceDN w:val="0"/>
      <w:adjustRightInd w:val="0"/>
    </w:pPr>
    <w:rPr>
      <w:rFonts w:ascii="Proxima Nova Light" w:eastAsiaTheme="minorHAnsi" w:hAnsi="Proxima Nova Light" w:cs="Proxima Nova Light"/>
      <w:color w:val="000000"/>
      <w:sz w:val="24"/>
      <w:szCs w:val="24"/>
    </w:rPr>
  </w:style>
  <w:style w:type="paragraph" w:customStyle="1" w:styleId="Pa1">
    <w:name w:val="Pa1"/>
    <w:basedOn w:val="Default"/>
    <w:next w:val="Default"/>
    <w:uiPriority w:val="99"/>
    <w:pPr>
      <w:spacing w:line="241" w:lineRule="atLeast"/>
    </w:pPr>
    <w:rPr>
      <w:rFonts w:cstheme="minorBidi"/>
      <w:color w:val="auto"/>
    </w:rPr>
  </w:style>
  <w:style w:type="character" w:customStyle="1" w:styleId="A5">
    <w:name w:val="A5"/>
    <w:uiPriority w:val="99"/>
    <w:rPr>
      <w:rFonts w:cs="Proxima Nova Light"/>
      <w:color w:val="000000"/>
      <w:sz w:val="20"/>
      <w:szCs w:val="20"/>
    </w:rPr>
  </w:style>
  <w:style w:type="paragraph" w:styleId="ListParagraph">
    <w:name w:val="List Paragraph"/>
    <w:basedOn w:val="Normal"/>
    <w:uiPriority w:val="34"/>
    <w:qFormat/>
    <w:pPr>
      <w:ind w:left="720"/>
      <w:contextualSpacing/>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LangueChar">
    <w:name w:val="Langue Char"/>
    <w:basedOn w:val="DefaultParagraphFont"/>
    <w:link w:val="Langue"/>
    <w:rPr>
      <w:b/>
      <w:caps/>
      <w:sz w:val="24"/>
    </w:rPr>
  </w:style>
  <w:style w:type="character" w:customStyle="1" w:styleId="FooterCoverPageChar">
    <w:name w:val="Footer Cover Page Char"/>
    <w:basedOn w:val="LangueChar"/>
    <w:link w:val="FooterCoverPage"/>
    <w:rPr>
      <w:b w:val="0"/>
      <w:caps w:val="0"/>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LangueChar"/>
    <w:link w:val="FooterSensitivity"/>
    <w:rPr>
      <w:b/>
      <w:caps w:val="0"/>
      <w:sz w:val="32"/>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LangueChar"/>
    <w:link w:val="HeaderCoverPage"/>
    <w:rPr>
      <w:b w:val="0"/>
      <w:caps w:val="0"/>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LangueChar"/>
    <w:link w:val="HeaderSensitivity"/>
    <w:rPr>
      <w:b/>
      <w:caps w:val="0"/>
      <w:sz w:val="32"/>
    </w:rPr>
  </w:style>
  <w:style w:type="character" w:styleId="Emphasis">
    <w:name w:val="Emphasis"/>
    <w:basedOn w:val="DefaultParagraphFont"/>
    <w:uiPriority w:val="20"/>
    <w:qFormat/>
    <w:rPr>
      <w:i/>
      <w:iCs/>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30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chart" Target="charts/chart1.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8.emf"/><Relationship Id="rId28" Type="http://schemas.openxmlformats.org/officeDocument/2006/relationships/header" Target="header6.xml"/><Relationship Id="rId10" Type="http://schemas.openxmlformats.org/officeDocument/2006/relationships/header" Target="header1.xml"/><Relationship Id="rId19" Type="http://schemas.openxmlformats.org/officeDocument/2006/relationships/image" Target="media/image5.pn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7.emf"/><Relationship Id="rId27" Type="http://schemas.openxmlformats.org/officeDocument/2006/relationships/footer" Target="footer5.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justice/citizen/document/files/final_report_2014_ep_elections_study_cses_10_march_2015.pdf" TargetMode="External"/><Relationship Id="rId2" Type="http://schemas.openxmlformats.org/officeDocument/2006/relationships/hyperlink" Target="http://ec.europa.eu/eurostat/statistics-explained/index.php/Migration_and_migrant_population_statistics/fr" TargetMode="External"/><Relationship Id="rId1" Type="http://schemas.openxmlformats.org/officeDocument/2006/relationships/hyperlink" Target="http://europa.eu/rapid/press-release_SPEECH-17-3165_fr.htm" TargetMode="External"/><Relationship Id="rId4" Type="http://schemas.openxmlformats.org/officeDocument/2006/relationships/hyperlink" Target="http://www.europarl.europa.eu/pdf/eurobarometre/2014/post/post_2014_survey_analitical_overview_fr.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jacqual\AppData\Local\Temp\1\JUST-2017-80058-00-00-FR-SRC-0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v>Candidats</c:v>
          </c:tx>
          <c:spPr>
            <a:solidFill>
              <a:schemeClr val="tx1"/>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'Graphique 5'!$B$5:$B$12</c:f>
              <c:strCache>
                <c:ptCount val="8"/>
                <c:pt idx="0">
                  <c:v>SUÈDE</c:v>
                </c:pt>
                <c:pt idx="1">
                  <c:v>LUXEMBOURG</c:v>
                </c:pt>
                <c:pt idx="2">
                  <c:v>DANEMARK              </c:v>
                </c:pt>
                <c:pt idx="3">
                  <c:v>ROUMANIE</c:v>
                </c:pt>
                <c:pt idx="4">
                  <c:v>HONGRIE</c:v>
                </c:pt>
                <c:pt idx="5">
                  <c:v>LETTONIE</c:v>
                </c:pt>
                <c:pt idx="6">
                  <c:v>MALTE</c:v>
                </c:pt>
                <c:pt idx="7">
                  <c:v>LITUANIE</c:v>
                </c:pt>
              </c:strCache>
            </c:strRef>
          </c:cat>
          <c:val>
            <c:numRef>
              <c:f>'Graphique 5'!$C$5:$C$12</c:f>
              <c:numCache>
                <c:formatCode>General</c:formatCode>
                <c:ptCount val="8"/>
                <c:pt idx="0">
                  <c:v>419</c:v>
                </c:pt>
                <c:pt idx="1">
                  <c:v>225</c:v>
                </c:pt>
                <c:pt idx="2">
                  <c:v>65</c:v>
                </c:pt>
                <c:pt idx="3">
                  <c:v>53</c:v>
                </c:pt>
                <c:pt idx="4">
                  <c:v>41</c:v>
                </c:pt>
                <c:pt idx="5">
                  <c:v>10</c:v>
                </c:pt>
                <c:pt idx="6">
                  <c:v>9</c:v>
                </c:pt>
                <c:pt idx="7">
                  <c:v>5</c:v>
                </c:pt>
              </c:numCache>
            </c:numRef>
          </c:val>
          <c:extLst xmlns:c16r2="http://schemas.microsoft.com/office/drawing/2015/06/chart">
            <c:ext xmlns:c16="http://schemas.microsoft.com/office/drawing/2014/chart" uri="{C3380CC4-5D6E-409C-BE32-E72D297353CC}">
              <c16:uniqueId val="{00000000-FAFC-4F2E-8D01-1CD8FEFC7748}"/>
            </c:ext>
          </c:extLst>
        </c:ser>
        <c:ser>
          <c:idx val="1"/>
          <c:order val="1"/>
          <c:tx>
            <c:strRef>
              <c:f>'Graphique 5'!$D$3:$D$4</c:f>
              <c:strCache>
                <c:ptCount val="1"/>
                <c:pt idx="0">
                  <c:v>Candidats élus</c:v>
                </c:pt>
              </c:strCache>
            </c:strRef>
          </c:tx>
          <c:spPr>
            <a:solidFill>
              <a:schemeClr val="bg1"/>
            </a:solidFill>
            <a:ln>
              <a:solidFill>
                <a:schemeClr val="tx1"/>
              </a:solidFill>
            </a:ln>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'Graphique 5'!$B$5:$B$12</c:f>
              <c:strCache>
                <c:ptCount val="8"/>
                <c:pt idx="0">
                  <c:v>SUÈDE</c:v>
                </c:pt>
                <c:pt idx="1">
                  <c:v>LUXEMBOURG</c:v>
                </c:pt>
                <c:pt idx="2">
                  <c:v>DANEMARK              </c:v>
                </c:pt>
                <c:pt idx="3">
                  <c:v>ROUMANIE</c:v>
                </c:pt>
                <c:pt idx="4">
                  <c:v>HONGRIE</c:v>
                </c:pt>
                <c:pt idx="5">
                  <c:v>LETTONIE</c:v>
                </c:pt>
                <c:pt idx="6">
                  <c:v>MALTE</c:v>
                </c:pt>
                <c:pt idx="7">
                  <c:v>LITUANIE</c:v>
                </c:pt>
              </c:strCache>
            </c:strRef>
          </c:cat>
          <c:val>
            <c:numRef>
              <c:f>'Graphique 5'!$D$5:$D$12</c:f>
              <c:numCache>
                <c:formatCode>0</c:formatCode>
                <c:ptCount val="8"/>
                <c:pt idx="0">
                  <c:v>87</c:v>
                </c:pt>
                <c:pt idx="1">
                  <c:v>17</c:v>
                </c:pt>
                <c:pt idx="2" formatCode="General">
                  <c:v>6</c:v>
                </c:pt>
                <c:pt idx="3" formatCode="General">
                  <c:v>8</c:v>
                </c:pt>
                <c:pt idx="4">
                  <c:v>5</c:v>
                </c:pt>
                <c:pt idx="5">
                  <c:v>2</c:v>
                </c:pt>
                <c:pt idx="6">
                  <c:v>2</c:v>
                </c:pt>
                <c:pt idx="7">
                  <c:v>1</c:v>
                </c:pt>
              </c:numCache>
            </c:numRef>
          </c:val>
          <c:extLst xmlns:c16r2="http://schemas.microsoft.com/office/drawing/2015/06/chart">
            <c:ext xmlns:c16="http://schemas.microsoft.com/office/drawing/2014/chart" uri="{C3380CC4-5D6E-409C-BE32-E72D297353CC}">
              <c16:uniqueId val="{00000001-FAFC-4F2E-8D01-1CD8FEFC7748}"/>
            </c:ext>
          </c:extLst>
        </c:ser>
        <c:dLbls>
          <c:showLegendKey val="0"/>
          <c:showVal val="1"/>
          <c:showCatName val="0"/>
          <c:showSerName val="0"/>
          <c:showPercent val="0"/>
          <c:showBubbleSize val="0"/>
        </c:dLbls>
        <c:gapWidth val="75"/>
        <c:axId val="70705536"/>
        <c:axId val="70707072"/>
      </c:barChart>
      <c:catAx>
        <c:axId val="70705536"/>
        <c:scaling>
          <c:orientation val="minMax"/>
        </c:scaling>
        <c:delete val="0"/>
        <c:axPos val="l"/>
        <c:numFmt formatCode="General" sourceLinked="0"/>
        <c:majorTickMark val="none"/>
        <c:minorTickMark val="none"/>
        <c:tickLblPos val="nextTo"/>
        <c:crossAx val="70707072"/>
        <c:crosses val="autoZero"/>
        <c:auto val="1"/>
        <c:lblAlgn val="ctr"/>
        <c:lblOffset val="100"/>
        <c:noMultiLvlLbl val="0"/>
      </c:catAx>
      <c:valAx>
        <c:axId val="70707072"/>
        <c:scaling>
          <c:orientation val="minMax"/>
        </c:scaling>
        <c:delete val="0"/>
        <c:axPos val="b"/>
        <c:majorGridlines/>
        <c:numFmt formatCode="General" sourceLinked="1"/>
        <c:majorTickMark val="none"/>
        <c:minorTickMark val="none"/>
        <c:tickLblPos val="nextTo"/>
        <c:crossAx val="70705536"/>
        <c:crosses val="autoZero"/>
        <c:crossBetween val="between"/>
      </c:valAx>
    </c:plotArea>
    <c:legend>
      <c:legendPos val="b"/>
      <c:layout>
        <c:manualLayout>
          <c:xMode val="edge"/>
          <c:yMode val="edge"/>
          <c:x val="0.33361936256162927"/>
          <c:y val="0.92294035826166887"/>
          <c:w val="0.32634330455985422"/>
          <c:h val="5.5554265394245073E-2"/>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CD81D-4ADF-4D32-9619-7BD9FAD17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6322</Words>
  <Characters>34144</Characters>
  <Application>Microsoft Office Word</Application>
  <DocSecurity>0</DocSecurity>
  <Lines>1067</Lines>
  <Paragraphs>493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dcterms:created xsi:type="dcterms:W3CDTF">2018-01-16T14:26:00Z</dcterms:created>
  <dcterms:modified xsi:type="dcterms:W3CDTF">2018-01-24T12:14:00Z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