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94A079B-67F4-499D-BB1E-E9D10462A181" style="width:450.35pt;height:474.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nnexetitreexpos"/>
        <w:rPr>
          <w:noProof/>
        </w:rPr>
      </w:pPr>
      <w:r>
        <w:rPr>
          <w:noProof/>
        </w:rPr>
        <w:t>Списък на законодателството на Съюза за хармонизация</w:t>
      </w:r>
    </w:p>
    <w:p>
      <w:pPr>
        <w:pStyle w:val="NumPar1"/>
        <w:numPr>
          <w:ilvl w:val="0"/>
          <w:numId w:val="6"/>
        </w:numPr>
        <w:rPr>
          <w:noProof/>
        </w:rPr>
      </w:pPr>
      <w:r>
        <w:rPr>
          <w:noProof/>
        </w:rPr>
        <w:t>Директива 69/493/ЕИО на Съвета от 15 декември 1969 г. относно сближаването на законодателствата на държавите членки, свързани с кристалното стъкло (ОВ L 326, 29.12.1969 г., стр. 599);</w:t>
      </w:r>
    </w:p>
    <w:p>
      <w:pPr>
        <w:pStyle w:val="NumPar1"/>
        <w:rPr>
          <w:noProof/>
        </w:rPr>
      </w:pPr>
      <w:r>
        <w:rPr>
          <w:noProof/>
        </w:rPr>
        <w:t>Директива 70/157/ЕИО на Съвета от 6 февруари 1970 г. за сближаване на законодателствата на държавите членки относно допустимото ниво на шума и изпускателната уредба на моторни превозни средства (ОВ L 042, 23.2.1970 г., стр. 16—20);</w:t>
      </w:r>
    </w:p>
    <w:p>
      <w:pPr>
        <w:pStyle w:val="NumPar1"/>
        <w:rPr>
          <w:noProof/>
        </w:rPr>
      </w:pPr>
      <w:r>
        <w:rPr>
          <w:noProof/>
        </w:rPr>
        <w:t>Директива 75/107/ЕИО на Съвета от 19 декември 1974 г. относно сближаване на законодателствата на държавите членки по отношение на бутилки, използвани като измервателни съдове (ОВ L 42, 15.2.1975 г., стр. 14—20);</w:t>
      </w:r>
    </w:p>
    <w:p>
      <w:pPr>
        <w:pStyle w:val="NumPar1"/>
        <w:rPr>
          <w:noProof/>
        </w:rPr>
      </w:pPr>
      <w:r>
        <w:rPr>
          <w:noProof/>
        </w:rPr>
        <w:t>Директива 75/324/ЕИО на Съвета от 20 май 1975 г. относно сближаване на законодателствата на държавите членки, свързани с аерозолни опаковки (ОВ L 147, 9.6.1975 г., стр. 40—47);</w:t>
      </w:r>
    </w:p>
    <w:p>
      <w:pPr>
        <w:pStyle w:val="NumPar1"/>
        <w:rPr>
          <w:noProof/>
        </w:rPr>
      </w:pPr>
      <w:r>
        <w:rPr>
          <w:noProof/>
        </w:rPr>
        <w:t>Директива 76/211/ЕИО на Съвета от 20 януари 1976 г. относно сближаване на законодателствата на държавите членки относно определянето на теглото и обема на някои продукти в готови опаковки (ОВ L 46, 21.2.1976 г., стр. 1—11);</w:t>
      </w:r>
    </w:p>
    <w:p>
      <w:pPr>
        <w:pStyle w:val="NumPar1"/>
        <w:rPr>
          <w:noProof/>
        </w:rPr>
      </w:pPr>
      <w:r>
        <w:rPr>
          <w:noProof/>
        </w:rPr>
        <w:t>Директива 80/181/ЕИО на Съвета от 20 декември 1979 г. за сближаване на законодателствата на държавите членки относно мерните единици и за отмяна на Директива 71/354/ЕИО (ОВ L 39, 15.2.1980 г., стр. 40—50);</w:t>
      </w:r>
    </w:p>
    <w:p>
      <w:pPr>
        <w:pStyle w:val="NumPar1"/>
        <w:rPr>
          <w:noProof/>
        </w:rPr>
      </w:pPr>
      <w:r>
        <w:rPr>
          <w:noProof/>
        </w:rPr>
        <w:t>Директива 92/42/ЕИО на Съвета от 21 май 1992 г. относно изискванията за ефективност на нови бойлери за топла вода с течно или газово гориво (ОВ L 167, 22.6.1992 г., стр. 17—28);</w:t>
      </w:r>
    </w:p>
    <w:p>
      <w:pPr>
        <w:pStyle w:val="NumPar1"/>
        <w:rPr>
          <w:noProof/>
        </w:rPr>
      </w:pPr>
      <w:r>
        <w:rPr>
          <w:noProof/>
        </w:rPr>
        <w:t>Директива 94/11/ЕО на Европейския парламент и на Съвета от 23 март 1994 г. относно сближаването на законовите, подзаконови и административни разпоредби на държавите членки в областта на етикетирането на материалите, използвани в основните компоненти на обувките, предназначени за продажба на потребителите (ОВ L 100, 19.4.1994 г., стр. 37—41);</w:t>
      </w:r>
    </w:p>
    <w:p>
      <w:pPr>
        <w:pStyle w:val="NumPar1"/>
        <w:rPr>
          <w:noProof/>
        </w:rPr>
      </w:pPr>
      <w:r>
        <w:rPr>
          <w:noProof/>
        </w:rPr>
        <w:t>Директива 94/62/ЕО на Европейския парламент и на Съвета от 20 декември 1994 г. относно опаковките и отпадъците от опаковки (ОВ L 365, 31.12.1994 г., стр. 10—23);</w:t>
      </w:r>
    </w:p>
    <w:p>
      <w:pPr>
        <w:pStyle w:val="NumPar1"/>
        <w:rPr>
          <w:noProof/>
        </w:rPr>
      </w:pPr>
      <w:r>
        <w:rPr>
          <w:noProof/>
        </w:rPr>
        <w:t>Директива 98/70/ЕО на Европейския парламент и на Съвета от 13 октомври 1998 г. относно качеството на бензиновите и дизеловите горива и за изменение на Директива 93/12/ЕИО на Съвета (ОВ L 350, 28.12.1998 г., стр. 58—68);</w:t>
      </w:r>
    </w:p>
    <w:p>
      <w:pPr>
        <w:pStyle w:val="NumPar1"/>
        <w:rPr>
          <w:noProof/>
        </w:rPr>
      </w:pPr>
      <w:r>
        <w:rPr>
          <w:noProof/>
        </w:rPr>
        <w:t>Директива 2000/14/ЕО на Европейския парламент и на Съвета от 8 май 2000 г. за сближаване на законодателствата на държавите членки във връзка с шумовите емисии на съоръжения, предназначени за употреба извън сградите (ОВ L 162, 3.7.2000 г., стр. 1—78);</w:t>
      </w:r>
    </w:p>
    <w:p>
      <w:pPr>
        <w:pStyle w:val="NumPar1"/>
        <w:rPr>
          <w:noProof/>
        </w:rPr>
      </w:pPr>
      <w:r>
        <w:rPr>
          <w:noProof/>
        </w:rPr>
        <w:t>Директива 2000/53/ЕО на Европейския парламент и на Съвета от 18 септември 2000 г. относно излезлите от употреба превозни средства (ОВ L 269, 21.10.2000 г., стр. 34—43);</w:t>
      </w:r>
    </w:p>
    <w:p>
      <w:pPr>
        <w:pStyle w:val="NumPar1"/>
        <w:rPr>
          <w:noProof/>
        </w:rPr>
      </w:pPr>
      <w:r>
        <w:rPr>
          <w:noProof/>
        </w:rPr>
        <w:t>Регламент (ЕО) № 2003/2003 на Европейския парламент и на Съвета от 13 октомври 2003 г. относно торовете (ОВ L 304, 21.11.2003 г., стр. 1—194);</w:t>
      </w:r>
    </w:p>
    <w:p>
      <w:pPr>
        <w:pStyle w:val="NumPar1"/>
        <w:rPr>
          <w:noProof/>
        </w:rPr>
      </w:pPr>
      <w:r>
        <w:rPr>
          <w:noProof/>
        </w:rPr>
        <w:lastRenderedPageBreak/>
        <w:t>Регламент (ЕО) № 273/2004 на Европейския парламент и на Съвета от 11 февруари 2004 г. относно прекурсорите на наркотичните вещества (ОВ L 47, 18.4.2004 г., стр. 1—10);</w:t>
      </w:r>
    </w:p>
    <w:p>
      <w:pPr>
        <w:pStyle w:val="NumPar1"/>
        <w:rPr>
          <w:noProof/>
        </w:rPr>
      </w:pPr>
      <w:r>
        <w:rPr>
          <w:noProof/>
        </w:rPr>
        <w:t>Регламент (ЕО) № 552/2004 на Европейския парламент и на Съвета от 10 март 2004 г. относно оперативната съвместимост на европейската мрежа за управление на въздушното движение (Регламент за оперативната съвместимост) (ОВ L 96, 31.3.2004 г., стр. 26—42);</w:t>
      </w:r>
    </w:p>
    <w:p>
      <w:pPr>
        <w:pStyle w:val="NumPar1"/>
        <w:rPr>
          <w:noProof/>
        </w:rPr>
      </w:pPr>
      <w:r>
        <w:rPr>
          <w:noProof/>
        </w:rPr>
        <w:t>Регламент (ЕО) № 648/2004 на Европейския парламент и на Съвета от 31 март 2004 г. относно детергентите (ОВ L 104, 8.4.2004 г., стр. 1—35);</w:t>
      </w:r>
    </w:p>
    <w:p>
      <w:pPr>
        <w:pStyle w:val="NumPar1"/>
        <w:rPr>
          <w:noProof/>
        </w:rPr>
      </w:pPr>
      <w:r>
        <w:rPr>
          <w:noProof/>
        </w:rPr>
        <w:t>Регламент (ЕО) № 850/2004 на Европейския парламент и на Съвета от 29 април 2004 г. относно устойчивите органични замърсители и за изменение на Директива 79/117/ЕИО (ОВ L 158, 30.4.2004 г., стр. 7—49);</w:t>
      </w:r>
    </w:p>
    <w:p>
      <w:pPr>
        <w:pStyle w:val="NumPar1"/>
        <w:rPr>
          <w:noProof/>
        </w:rPr>
      </w:pPr>
      <w:r>
        <w:rPr>
          <w:noProof/>
        </w:rPr>
        <w:t>Директива 2004/42/ЕО на Европейския парламент и на Съвета от 21 април 2004 г. относно намаляването на емисиите от летливи органични съединения,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1999/13/ЕО (ОВ L 143, 30.4.2004 г., стр. 87—96);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2004/52/ЕО на Европейския парламент и на Съвета от 29 април 2004 г. за оперативната съвместимост на електронни системи за пътно таксуване в Общността (ОВ L 200, 7.6.2004 г., стр. 50—57); </w:t>
      </w:r>
    </w:p>
    <w:p>
      <w:pPr>
        <w:pStyle w:val="NumPar1"/>
        <w:rPr>
          <w:noProof/>
        </w:rPr>
      </w:pPr>
      <w:r>
        <w:rPr>
          <w:noProof/>
        </w:rPr>
        <w:t>Директива 2005/64/ЕО на Европейския парламент и на Съвета от 26 октомври 2005 г. относно типовото одобрение на моторни превозни средства по отношение на възможната им повторна употреба, рециклиране и оползотворяване и относно изменение на Директива 70/156/ЕИО на Съвета (ОВ L 310, 25.11.2005 г., стp. 10—27);</w:t>
      </w:r>
    </w:p>
    <w:p>
      <w:pPr>
        <w:pStyle w:val="NumPar1"/>
        <w:rPr>
          <w:noProof/>
        </w:rPr>
      </w:pPr>
      <w:r>
        <w:rPr>
          <w:noProof/>
        </w:rPr>
        <w:t>Директива 2006/42/ЕО на Европейския парламент и на Съвета от 17 май 2006 г. относно машините (ОВ L 157, 9.6.2006 г., стр. 24—86);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2006/40/ЕО на Европейския парламент и на Съвета от 17 май 2006 г. относно емисиите на климатични системи в моторни превозни средства и за изменение на Директива 70/156/ЕИО на Съвета (ОВ L 161, 14.6.2006 г., стр. 12—18); </w:t>
      </w:r>
    </w:p>
    <w:p>
      <w:pPr>
        <w:pStyle w:val="NumPar1"/>
        <w:rPr>
          <w:noProof/>
        </w:rPr>
      </w:pPr>
      <w:r>
        <w:rPr>
          <w:noProof/>
        </w:rPr>
        <w:t>Директива 2006/66/ЕО на Европейския парламент и на Съвета от 6 септември 2006 г. относно батерии и акумулатори и отпадъци от батерии и акумулатори, и за отмяна на Директива 91/157/ЕИО (OB L 266, 26.9.2006 г., стр. 1—14);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(ЕО) № 1907/2006 на Европейския парламент и на Съвета от 18 декември 2006 г. относно регистрацията, оценката, разрешаването и ограничаването на химикали (REACH), за създаване на Европейска агенция по химикали, за изменение на Директива 1999/45/ЕО и за отмяна на Регламент (ЕИО) № 793/93 на Съвета и Регламент (ЕО) № 1488/94 на Комисията, както и на Директива 76/769/ЕИО на Съвета и директиви 91/155/ЕИО, 93/67/ЕИО, 93/105/ЕО и 2000/21/ЕО на Комисията (ОВ L 396, 30.12.2006 г., стр. 1); 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(ЕО) № 715/2007 на Европейския парламент и на Съвета от 20 юни 2007 г.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 L 171, 29.6.2007 г., стр. 1—16); </w:t>
      </w:r>
    </w:p>
    <w:p>
      <w:pPr>
        <w:pStyle w:val="NumPar1"/>
        <w:rPr>
          <w:noProof/>
        </w:rPr>
      </w:pPr>
      <w:r>
        <w:rPr>
          <w:noProof/>
        </w:rPr>
        <w:lastRenderedPageBreak/>
        <w:t>Директива 2007/45/ЕО на Европейския парламент и на Съвета от 5 септември 2007 г. за определяне на правила за номиналните количества за предварително опаковани продукти, за отмяна на директиви 75/106/ЕИО и 80/232/ЕИО на Съвета и за изменение на Директива 76/211/ЕИО на Съвета (ОВ L 247, 21.9.2007 г., стр. 17—20);</w:t>
      </w:r>
    </w:p>
    <w:p>
      <w:pPr>
        <w:pStyle w:val="NumPar1"/>
        <w:rPr>
          <w:noProof/>
        </w:rPr>
      </w:pPr>
      <w:r>
        <w:rPr>
          <w:noProof/>
        </w:rPr>
        <w:t>Директива 2007/46/ЕО на Европейския парламент и на Съвета от 5 септември 2007 г. за създаване на рамка за одобрение на моторните превозни средства и техните ремаркета, както и на системи, компоненти и отделни технически възли, предназначени за такива превозни средства (ОВ L 263, 9.10.2007 г., стр. 1—160);</w:t>
      </w:r>
    </w:p>
    <w:p>
      <w:pPr>
        <w:pStyle w:val="NumPar1"/>
        <w:rPr>
          <w:noProof/>
        </w:rPr>
      </w:pPr>
      <w:r>
        <w:rPr>
          <w:noProof/>
        </w:rPr>
        <w:t>Директива 2008/2/ЕО на Европейския парламент и на Съвета от 15 януари 2008 г. относно полето на видимост и стъклочистачките на предното стъкло на колесните селскостопански или горски трактори (кодифицирана версия) (ОВ L 24, 29.1.2008 г., стр. 30—38);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(ЕО) № 1272/2008 на Европейския парламент и на Съвета от 16 декември 2008 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 1907/2006 (ОВ L 353, 31.12.2008 г., стр. 1—1355); 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(ЕО) № 78/2009 на Европейския парламент и на Съвета от 14 януари 2009 г. относно одобряването на типа на моторни превозни средства по отношение на защитата на пешеходците и на останалите уязвими участници в движението по пътищата, за изменение на Директива 2007/46/ЕО и за отмяна на Директиви 2003/102/ЕО и 2005/66/ЕО (ОВ L 35, 4.2.2009 г., стр. 1—31); </w:t>
      </w:r>
    </w:p>
    <w:p>
      <w:pPr>
        <w:pStyle w:val="NumPar1"/>
        <w:rPr>
          <w:noProof/>
        </w:rPr>
      </w:pPr>
      <w:r>
        <w:rPr>
          <w:noProof/>
        </w:rPr>
        <w:t>Регламент (ЕО) № 79/2009 на Европейския парламент и на Съвета от 14 януари 2009 г. относно одобрение на типа на моторни превозни средства, задвижвани с водород, и за изменение на Директива 2007/46/ЕО (ОВ L 35, 4.2.2009 г., стр. 32—46);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2009/34/ЕО на Европейския парламент и на Съвета от 23 април 2009 г. относно общите разпоредби за измервателните уреди и за методите за метрологичен контрол (ОВ L 106, 28.4.2009 г., стр. 7—24); </w:t>
      </w:r>
    </w:p>
    <w:p>
      <w:pPr>
        <w:pStyle w:val="NumPar1"/>
        <w:rPr>
          <w:noProof/>
        </w:rPr>
      </w:pPr>
      <w:r>
        <w:rPr>
          <w:noProof/>
        </w:rPr>
        <w:t>Директива 2009/48/ЕО на Европейския парламент и на Съвета от 18 юни 2009 г. относно безопасността на детските играчки (ОВ L 170, 30.6.2009 г., стр. 1—37);</w:t>
      </w:r>
    </w:p>
    <w:p>
      <w:pPr>
        <w:pStyle w:val="NumPar1"/>
        <w:rPr>
          <w:noProof/>
        </w:rPr>
      </w:pPr>
      <w:r>
        <w:rPr>
          <w:noProof/>
        </w:rPr>
        <w:t>Регламент (ЕО) № 595/2009 на Европейския парламент и на Съвета от 18 юни 2009 г.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 715/2007 и Директива 2007/46/ЕО и за отмяна на директиви 80/1269/ЕИО, 2005/55/ЕО и 2005/78/ЕО (ОВ L 188, 18.7.2009 г., стр. 1—13);</w:t>
      </w:r>
    </w:p>
    <w:p>
      <w:pPr>
        <w:pStyle w:val="NumPar1"/>
        <w:rPr>
          <w:noProof/>
        </w:rPr>
      </w:pPr>
      <w:r>
        <w:rPr>
          <w:noProof/>
        </w:rPr>
        <w:t>Регламент (ЕО) № 661/2009 на Европейския парламент и на Съвета от 13 юли 2009 г. относно изискванията за одобрение на типа по отношение на общата безопасност на моторните превозни средства, техните ремаркета и системи, компоненти и отделни технически възли, предназначени за тях (ОВ L 200, 31.7.2009 г., стр. 1―24);</w:t>
      </w:r>
    </w:p>
    <w:p>
      <w:pPr>
        <w:pStyle w:val="NumPar1"/>
        <w:rPr>
          <w:noProof/>
        </w:rPr>
      </w:pPr>
      <w:r>
        <w:rPr>
          <w:noProof/>
        </w:rPr>
        <w:lastRenderedPageBreak/>
        <w:t>Директива 2009/125/ЕО на Европейския парламент и на Съвета от 21 октомври 2009 г. за създаване на рамка за определяне на изискванията за екодизайн към продукти, свързани с енергопотреблението (ОВ L 285, 31.10.2009 г., стр. 10—35);</w:t>
      </w:r>
    </w:p>
    <w:p>
      <w:pPr>
        <w:pStyle w:val="NumPar1"/>
        <w:rPr>
          <w:noProof/>
        </w:rPr>
      </w:pPr>
      <w:r>
        <w:rPr>
          <w:noProof/>
        </w:rPr>
        <w:t>Регламент (ЕО) № 1005/2009 на Европейския парламент и на Съвета от 16 септември 2009 г. относно вещества, които нарушават озоновия слой (ОВ L 286, 31.10.2009 г., стр. 1—30);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 (ЕО) № 1222/2009 на Европейския парламент и на Съвета от 25 ноември 2009 г. относно етикетирането на гуми по отношение на горивната ефективност и други съществени параметри (ОВ L 342, 22.12.2009 г., стр. 46—58); </w:t>
      </w:r>
    </w:p>
    <w:p>
      <w:pPr>
        <w:pStyle w:val="NumPar1"/>
        <w:rPr>
          <w:noProof/>
        </w:rPr>
      </w:pPr>
      <w:r>
        <w:rPr>
          <w:noProof/>
        </w:rPr>
        <w:t>Регламент (ЕО) № 1223/2009 на Европейския парламент и на Съвета от 30 ноември 2009 г. относно козметичните продукти (ОВ L 342, 22.12.2009 г., стр. 59—209);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(ЕО) № 66/2010 на Европейския парламент и на Съвета от 25 ноември 2009 г. относно екомаркировката на ЕС (ОВ L 27, 30.1.2010 г., стp. 1—19); </w:t>
      </w:r>
    </w:p>
    <w:p>
      <w:pPr>
        <w:pStyle w:val="NumPar1"/>
        <w:rPr>
          <w:noProof/>
        </w:rPr>
      </w:pPr>
      <w:r>
        <w:rPr>
          <w:noProof/>
        </w:rPr>
        <w:t>Директива 2010/35/ЕС на Европейския парламент и на Съвета от 16 юни 2010 г. относно транспортируемото оборудване под налягане (ОВ L 165, 30.6.2010 г., стр. 1—18);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(ЕС) № 305/2011 на Европейския парламент и на Съвета от 9 март 2011 г. за определяне на хармонизирани условия за предлагането на пазара на строителни продукти </w:t>
      </w:r>
      <w:r>
        <w:rPr>
          <w:rStyle w:val="Strong"/>
          <w:b w:val="0"/>
          <w:noProof/>
        </w:rPr>
        <w:t>и за отмяна на Директива 89/106/ЕИО на Съвета</w:t>
      </w:r>
      <w:r>
        <w:rPr>
          <w:noProof/>
        </w:rPr>
        <w:t xml:space="preserve"> (ОВ L 88, 4.4.2011 г., стр. 5—43)</w:t>
      </w:r>
      <w:r>
        <w:rPr>
          <w:rStyle w:val="Strong"/>
          <w:b w:val="0"/>
          <w:noProof/>
        </w:rPr>
        <w:t>;</w:t>
      </w:r>
    </w:p>
    <w:p>
      <w:pPr>
        <w:pStyle w:val="NumPar1"/>
        <w:rPr>
          <w:noProof/>
        </w:rPr>
      </w:pPr>
      <w:r>
        <w:rPr>
          <w:noProof/>
        </w:rPr>
        <w:t>Директива 2011/65/ЕС на Европейския парламент и на Съвета от 8 юни 2011 г. относно ограничението за употребата на определени опасни вещества в електрическото и електронното оборудване (ОВ L 174, 1.7.2011 г., стр. 88—110);</w:t>
      </w:r>
    </w:p>
    <w:p>
      <w:pPr>
        <w:pStyle w:val="NumPar1"/>
        <w:rPr>
          <w:noProof/>
        </w:rPr>
      </w:pPr>
      <w:r>
        <w:rPr>
          <w:noProof/>
        </w:rPr>
        <w:t>Регламент (ЕC) № 1007/2011 на Европейския парламент и на Съвета от 27 септември 2011 г. относно наименованията на текстилните влакна и свързаното с тях етикетиране и маркиране на текстилните продукти по отношение на техния влакнест състав и за отмяна на Директива 73/44/ЕИО на Съвета и на директиви 96/73/ЕО и 2008/121/ЕО на Европейския парламент и на Съвета (OB L 272, 18.10.2011 г., стр. 1—64);</w:t>
      </w:r>
    </w:p>
    <w:p>
      <w:pPr>
        <w:pStyle w:val="NumPar1"/>
        <w:rPr>
          <w:noProof/>
        </w:rPr>
      </w:pPr>
      <w:r>
        <w:rPr>
          <w:noProof/>
        </w:rPr>
        <w:t>Регламент (ЕС) № 528/2012 на Европейския парламент и на Съвета от 22 май 2012 г. относно предоставянето на пазара и употребата на биоциди (ОВ L 167, 27.6.2012 г., стр. 1—123);</w:t>
      </w:r>
    </w:p>
    <w:p>
      <w:pPr>
        <w:pStyle w:val="NumPar1"/>
        <w:rPr>
          <w:noProof/>
        </w:rPr>
      </w:pPr>
      <w:r>
        <w:rPr>
          <w:noProof/>
        </w:rPr>
        <w:t>Директива 2012/19/ЕС на Европейския парламент и на Съвета от 4 юли 2012 г. относно отпадъци от електрическо и електронно оборудване (ОЕЕО) (ОВ L 197, 24.7.2012 г., стр. 38—71);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 (ЕС) № 167/2013 на Европейския парламент и на Съвета от 5 февруари 2013 г. относно одобряването и надзора на пазара на земеделски и горски превозни средства (ОВ L 60, 2.3.2013 г., стр. 1—51); </w:t>
      </w:r>
    </w:p>
    <w:p>
      <w:pPr>
        <w:pStyle w:val="NumPar1"/>
        <w:rPr>
          <w:noProof/>
        </w:rPr>
      </w:pPr>
      <w:r>
        <w:rPr>
          <w:noProof/>
        </w:rPr>
        <w:t>Регламент (ЕС) № 168/2013 на Европейския парламент и на Съвета от 15 януари 2013 г. относно одобряването и надзора на пазара на дву-, три- и четириколесни превозни средства (ОВ L 60, 2.3.2013 г., стр. 52—128);</w:t>
      </w:r>
    </w:p>
    <w:p>
      <w:pPr>
        <w:pStyle w:val="NumPar1"/>
        <w:rPr>
          <w:noProof/>
        </w:rPr>
      </w:pPr>
      <w:r>
        <w:rPr>
          <w:noProof/>
        </w:rPr>
        <w:t>Директива 2013/29/ЕС на Европейския парламент и на Съвета от 12 юни 2013 г. за хармонизиране на законодателствата на държавите членки за предоставяне на пазара на пиротехнически изделия (ОВ L 178, 28.6.2013 г., стр. 27—65);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2013/53/ЕС на Европейския парламент и на Съвета от 20 ноември 2013 г. относно плавателните съдове за отдих и плавателните съдове за лично ползване и за отмяна на Директива 94/25/ЕО (ОВ L 354, 28.12.2013 г., стр. 90—131); 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2014/28/ЕС на Европейския парламент и на Съвета от 26 февруари 2014 г. за хармонизиране на законодателствата на държавите членки за предоставяне на пазара и надзор на взривните вещества за граждански цели (ОВ L 96, 29.3.2014 г., стр. 1—44); </w:t>
      </w:r>
    </w:p>
    <w:p>
      <w:pPr>
        <w:pStyle w:val="NumPar1"/>
        <w:rPr>
          <w:noProof/>
        </w:rPr>
      </w:pPr>
      <w:r>
        <w:rPr>
          <w:noProof/>
        </w:rPr>
        <w:t>Директива 2014/29/ЕС на Европейския парламент и на Съвета от 26 февруари 2014 г. за хармонизиране на законодателствата на държавите членки във връзка с предоставянето на пазара на обикновените съдове под налягане (ОВ L 96, 29.3.2014 г., стр. 45—78);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2014/30/ЕС на Европейския парламент и на Съвета от 26 февруари 2014 г. за хармонизиране на законодателствата на държавите членки относно електромагнитната съвместимост (ОВ L 96, 29.3.2014 г., стр. 79—106); 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2014/31/ЕС на Европейския парламент и на Съвета от 26 февруари 2014 г. за хармонизиране на законодателствата на държавите членки за предоставянето на пазара на везни с неавтоматично действие (ОВ L 96, 29.3.2014 г., стр. 107—148); 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2014/32/ЕС на Европейския парламент и на Съвета от 26 февруари 2014 г. за хармонизиране на законодателствата на държавите членки за предоставяне на пазара на средства за измерване (ОВ L 96, 29.3.2014 г., стр. 149—250); 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2014/33/ЕС на Европейския парламент и на Съвета от 26 февруари 2014 г. за хармонизиране на законодателствата на държавите членки по отношение на асансьори и предпазни устройства за асансьори (ОВ L 96, 29.3.2014 г., стр. 251—308); 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2014/34/ЕС на Европейския парламент и на Съвета от 26 февруари 2014 г. за хармонизиране на законодателствата на държавите членки относно съоръженията и системите за защита, предназначени за използване в потенциално експлозивна атмосфера (ОВ L 96, 29.3.2014 г., стр. 309—356); </w:t>
      </w:r>
    </w:p>
    <w:p>
      <w:pPr>
        <w:pStyle w:val="NumPar1"/>
        <w:rPr>
          <w:noProof/>
        </w:rPr>
      </w:pPr>
      <w:r>
        <w:rPr>
          <w:noProof/>
        </w:rPr>
        <w:t xml:space="preserve">Директива 2014/35/ЕС на Европейския парламент и на Съвета от 26 февруари 2014 г. за хармонизиране на законодателствата на държавите членки за предоставяне на пазара на електрически съоръжения, предназначени за използване в определени граници на напрежението (ОВ L 96, 29.3.2014 г., стр. 357—374); </w:t>
      </w:r>
    </w:p>
    <w:p>
      <w:pPr>
        <w:pStyle w:val="NumPar1"/>
        <w:rPr>
          <w:noProof/>
        </w:rPr>
      </w:pPr>
      <w:r>
        <w:rPr>
          <w:noProof/>
        </w:rPr>
        <w:t>Директива 2014/53/ЕС на Европейския парламент и на Съвета от 16 април 2014 г. за хармонизирането на законодателствата на държавите членки във връзка с предоставянето на пазара на радиосъоръжения и за отмяна на Директива 1999/5/ЕО (ОВ L 153, 22.5.2014 г., стр. 62—106);</w:t>
      </w:r>
    </w:p>
    <w:p>
      <w:pPr>
        <w:pStyle w:val="NumPar1"/>
        <w:rPr>
          <w:noProof/>
        </w:rPr>
      </w:pPr>
      <w:r>
        <w:rPr>
          <w:noProof/>
        </w:rPr>
        <w:t>Директива 2014/68/ЕС на Европейския парламент и на Съвета от 15 май 2014 г. за хармонизиране на законодателствата на държавите членки за предоставяне на пазара на съоръжения под налягане (ОВ L 189, 27.6.2014 г., стр. 164—259);</w:t>
      </w:r>
    </w:p>
    <w:p>
      <w:pPr>
        <w:pStyle w:val="NumPar1"/>
        <w:rPr>
          <w:noProof/>
        </w:rPr>
      </w:pPr>
      <w:r>
        <w:rPr>
          <w:noProof/>
        </w:rPr>
        <w:t>Директива 2014/90/ЕС на Европейския парламент и на Съвета от 23 юли 2014 г. относно морското оборудване и за отмяна на Директива 96/98/ЕО на Съвета (ОВ L 257, 28.8.2014 г., стр. 146—185);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(ЕС) № 517/2014 на Европейския парламент и на Съвета от 16 април 2014 г. за флуорсъдържащите парникови газове и за отмяна на Регламент (ЕО) № 842/2006 (ОВ L 150, 20.5.2014 г., стр. 195—230); </w:t>
      </w:r>
    </w:p>
    <w:p>
      <w:pPr>
        <w:pStyle w:val="NumPar1"/>
        <w:rPr>
          <w:noProof/>
        </w:rPr>
      </w:pPr>
      <w:r>
        <w:rPr>
          <w:noProof/>
        </w:rPr>
        <w:t>Регламент (ЕС) № 540/2014 на Европейския парламент и на Съвета от 16 април 2014 г. относно нивото на шума от моторни превозни средства и заменяемите шумозаглушителни уредби, за изменение на Директива 2007/46/ЕО и за отмяна на Директива 70/157/ЕИО (ОВ L 158, 27.5.2014 г., стр. 131—195);</w:t>
      </w:r>
    </w:p>
    <w:p>
      <w:pPr>
        <w:pStyle w:val="NumPar1"/>
        <w:rPr>
          <w:noProof/>
        </w:rPr>
      </w:pPr>
      <w:r>
        <w:rPr>
          <w:noProof/>
        </w:rPr>
        <w:t>Регламент (ЕС) 2016/424 на Европейския парламент и на Съвета от 9 март 2016 г. относно въжените линии и за отмяна на Директива 2000/9/ЕО (ОВ L 81, 31.3.2016 г., стр. 1—50);</w:t>
      </w:r>
    </w:p>
    <w:p>
      <w:pPr>
        <w:pStyle w:val="NumPar1"/>
        <w:rPr>
          <w:noProof/>
        </w:rPr>
      </w:pPr>
      <w:r>
        <w:rPr>
          <w:noProof/>
        </w:rPr>
        <w:t xml:space="preserve">Регламент (ЕС) 2016/425 на Европейския парламент и на Съвета от 9 март 2016 г. относно личните предпазни средства и за отмяна на Директива 89/686/ЕИО на Съвета (ОВ L 81, 31.3.2016 г., стр. 51—98); </w:t>
      </w:r>
    </w:p>
    <w:p>
      <w:pPr>
        <w:pStyle w:val="NumPar1"/>
        <w:rPr>
          <w:noProof/>
        </w:rPr>
      </w:pPr>
      <w:r>
        <w:rPr>
          <w:noProof/>
        </w:rPr>
        <w:t>Регламент (ЕС) 2016/426 на Европейския парламент и на Съвета от 9 март 2016 г. относно уредите, захранвани с газово гориво, и за отмяна на Директива 2009/142/ЕО (ОВ L 81, 31.3.2016 г., стр. 99—147);</w:t>
      </w:r>
    </w:p>
    <w:p>
      <w:pPr>
        <w:pStyle w:val="NumPar1"/>
        <w:rPr>
          <w:noProof/>
        </w:rPr>
      </w:pPr>
      <w:r>
        <w:rPr>
          <w:noProof/>
        </w:rPr>
        <w:t>Регламент (ЕС) 2017/745 на Европейския парламент и на Съвета от 5 април 2017 г. за медицинските изделия, за изменение на Директива 2001/83/ЕО, Регламент (ЕО) № 178/2002 и Регламент (ЕО) № 1223/2009 и за отмяна на директиви 90/385/EИО и 93/42/EИО на Съвета (ОВ L 117, 5.5.2017 г., стр. 1—175);</w:t>
      </w:r>
    </w:p>
    <w:p>
      <w:pPr>
        <w:pStyle w:val="NumPar1"/>
        <w:rPr>
          <w:noProof/>
        </w:rPr>
      </w:pPr>
      <w:r>
        <w:rPr>
          <w:noProof/>
        </w:rPr>
        <w:t>Регламент (EС) 2017/746 на Европейския парламент и на Съвета от 5 април 2017 г. за медицинските изделия за инвитро диагностика и за отмяна на Директива 98/79/ЕО и Решение 2010/227/ЕС на Комисията (ОВ L 117, 5.5.2017 г., стр. 176—332);</w:t>
      </w:r>
    </w:p>
    <w:p>
      <w:pPr>
        <w:pStyle w:val="NumPar1"/>
        <w:rPr>
          <w:noProof/>
        </w:rPr>
      </w:pPr>
      <w:r>
        <w:rPr>
          <w:noProof/>
        </w:rPr>
        <w:t>Регламент (ЕС) 2017/852 на Европейския парламент и на Съвета относно живака и за отмяна на Регламент (ЕО) № 1102/2008 (ОВ L 137, 24.5.2017 г., стр. 1—21);</w:t>
      </w:r>
    </w:p>
    <w:p>
      <w:pPr>
        <w:pStyle w:val="NumPar1"/>
        <w:rPr>
          <w:noProof/>
        </w:rPr>
      </w:pPr>
      <w:r>
        <w:rPr>
          <w:noProof/>
        </w:rPr>
        <w:t>Регламент (ЕС) 2017/1369 на Европейския парламент и на Съвета от 4 юли 2017 г. за определяне на нормативна рамка за енергийно етикетиране и за отмяна на Директива 2010/30/ЕС (ОВ L 198, 28.7.2017 г., стр. 1—23).“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E300F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2B87D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B8CD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0C8AF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14E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2E8E7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8E4D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0EB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58B6119"/>
    <w:multiLevelType w:val="multilevel"/>
    <w:tmpl w:val="5FE2D7D4"/>
    <w:lvl w:ilvl="0">
      <w:start w:val="1"/>
      <w:numFmt w:val="decimal"/>
      <w:pStyle w:val="Manual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1"/>
  </w:num>
  <w:num w:numId="29">
    <w:abstractNumId w:val="14"/>
  </w:num>
  <w:num w:numId="30">
    <w:abstractNumId w:val="9"/>
  </w:num>
  <w:num w:numId="31">
    <w:abstractNumId w:val="20"/>
  </w:num>
  <w:num w:numId="32">
    <w:abstractNumId w:val="8"/>
  </w:num>
  <w:num w:numId="33">
    <w:abstractNumId w:val="15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22 14:10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55?\u1056?\u1045?\u1044?\u1051?\u1054?\u1046?\u1045?\u1053?\u1048?\u1045? \u1047?\u1040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ACCOMPAGNANT.CP" w:val="\u1055?\u1056?\u1045?\u1044?\u1051?\u1054?\u1046?\u1045?\u1053?\u1048?\u1045? \u1047?\u1040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094A079B-67F4-499D-BB1E-E9D10462A181"/>
    <w:docVar w:name="LW_COVERPAGE_TYPE" w:val="1"/>
    <w:docVar w:name="LW_CROSSREFERENCE" w:val="{SWD(2017) 466 final}_x000b_{SWD(2017) 467 final}_x000b_{SWD(2017) 468 final}_x000b_{SWD(2017) 469 final}_x000b_{SWD(2017) 470 final}"/>
    <w:docVar w:name="LW_DocType" w:val="ANNEX"/>
    <w:docVar w:name="LW_EMISSION" w:val="19.12.2017"/>
    <w:docVar w:name="LW_EMISSION_ISODATE" w:val="2017-12-19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79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79?\u1072? \u1086?\u1087?\u1088?\u1077?\u1076?\u1077?\u1083?\u1103?\u1085?\u1077? \u1085?\u1072? \u1087?\u1088?\u1072?\u1074?\u1080?\u1083?\u1072? \u1080? \u1087?\u1088?\u1086?\u1094?\u1077?\u1076?\u1091?\u1088?\u1080? \u1079?\u1072? \u1087?\u1086?\u1089?\u1090?\u1080?\u1075?\u1072?\u1085?\u1077? \u1085?\u1072? \u1089?\u1098?\u1086?\u1090?\u1074?\u1077?\u1090?\u1089?\u1090?\u1074?\u1080?\u1077? \u1089?\u1098?\u1089? \u1079?\u1072?\u1082?\u1086?\u1085?\u1086?\u1076?\u1072?\u1090?\u1077?\u1083?\u1089?\u1090?\u1074?\u1086?\u1090?\u1086? \u1085?\u1072? \u1057?\u1098?\u1102?\u1079?\u1072? \u1079?\u1072? \u1093?\u1072?\u1088?\u1084?\u1086?\u1085?\u1080?\u1079?\u1072?\u1094?\u1080?\u1103? \u1074? \u1086?\u1073?\u1083?\u1072?\u1089?\u1090?\u1090?\u1072? \u1085?\u1072? \u1087?\u1088?\u1086?\u1076?\u1091?\u1082?\u1090?\u1080?\u1090?\u1077? \u1080? \u1079?\u1072? \u1085?\u1077?\u1075?\u1086?\u1074?\u1086?\u1090?\u1086? \u1087?\u1088?\u1080?\u1083?\u1072?\u1075?\u1072?\u1085?\u1077?, \u1080? \u1079?\u1072? \u1080?\u1079?\u1084?\u1077?\u1085?\u1077?\u1085?\u1080?\u1077? \u1085?\u1072? \u1088?\u1077?\u1075?\u1083?\u1072?\u1084?\u1077?\u1085?\u1090?\u1080? (\u1045?\u1057?) \u8470?&lt;LWCR:NBS&gt;305/2011, (\u1045?\u1057?) \u8470?&lt;LWCR:NBS&gt;528/2012, (\u1045?\u1057?) 2016/424, (\u1045?\u1057?) 2016/425, (\u1045?\u1057?) 2016/426 \u1080? (\u1045?\u1057?) 2017/1369 \u1085?\u1072? \u1045?\u1074?\u1088?\u1086?\u1087?\u1077?\u1081?\u1089?\u1082?\u1080?\u1103? \u1087?\u1072?\u1088?\u1083?\u1072?\u1084?\u1077?\u1085?\u1090? \u1080? \u1085?\u1072? \u1057?\u1098?\u1074?\u1077?\u1090?\u1072? \u1080? \u1085?\u1072? \u1076?\u1080?\u1088?\u1077?\u1082?\u1090?\u1080?\u1074?\u1080? 2004/42/\u1045?\u1054?, 2009/48/\u1045?\u1054?, 2010/35/\u1045?\u1057?, 2013/29/\u1045?\u1057?, 2013/53/\u1045?\u1057?, 2014/28/\u1045?\u1057?, 2014/29/\u1045?\u1057?, 2014/30/\u1045?\u1057?, 2014/31/\u1045?\u1057?, 2014/32/\u1045?\u1057?, 2014/33/\u1045?\u1057?, 2014/34/\u1045?\u1057?, 2014/35/\u1045?\u1057?, 2014/53/\u1045?\u1057?, 2014/68/\u1045?\u1057? \u1080? 2014/90/\u1045?\u1057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79?\u1072? \u1086?\u1087?\u1088?\u1077?\u1076?\u1077?\u1083?\u1103?\u1085?\u1077? \u1085?\u1072? \u1087?\u1088?\u1072?\u1074?\u1080?\u1083?\u1072? \u1080? \u1087?\u1088?\u1086?\u1094?\u1077?\u1076?\u1091?\u1088?\u1080? \u1079?\u1072? \u1087?\u1086?\u1089?\u1090?\u1080?\u1075?\u1072?\u1085?\u1077? \u1085?\u1072? \u1089?\u1098?\u1086?\u1090?\u1074?\u1077?\u1090?\u1089?\u1090?\u1074?\u1080?\u1077? \u1089?\u1098?\u1089? \u1079?\u1072?\u1082?\u1086?\u1085?\u1086?\u1076?\u1072?\u1090?\u1077?\u1083?\u1089?\u1090?\u1074?\u1086?\u1090?\u1086? \u1085?\u1072? \u1057?\u1098?\u1102?\u1079?\u1072? \u1079?\u1072? \u1093?\u1072?\u1088?\u1084?\u1086?\u1085?\u1080?\u1079?\u1072?\u1094?\u1080?\u1103? \u1074? \u1086?\u1073?\u1083?\u1072?\u1089?\u1090?\u1090?\u1072? \u1085?\u1072? \u1087?\u1088?\u1086?\u1076?\u1091?\u1082?\u1090?\u1080?\u1090?\u1077? \u1080? \u1079?\u1072? \u1085?\u1077?\u1075?\u1086?\u1074?\u1086?\u1090?\u1086? \u1087?\u1088?\u1080?\u1083?\u1072?\u1075?\u1072?\u1085?\u1077?, \u1080? \u1079?\u1072? \u1080?\u1079?\u1084?\u1077?\u1085?\u1077?\u1085?\u1080?\u1077? \u1085?\u1072? \u1088?\u1077?\u1075?\u1083?\u1072?\u1084?\u1077?\u1085?\u1090?\u1080? (\u1045?\u1057?) \u8470? 305/2011, (\u1045?\u1057?) \u8470? 528/2012, (\u1045?\u1057?) 2016/424, (\u1045?\u1057?) 2016/425, (\u1045?\u1057?) 2016/426 \u1080? (\u1045?\u1057?) 2017/1369 \u1085?\u1072? \u1045?\u1074?\u1088?\u1086?\u1087?\u1077?\u1081?\u1089?\u1082?\u1080?\u1103? \u1087?\u1072?\u1088?\u1083?\u1072?\u1084?\u1077?\u1085?\u1090? \u1080? \u1085?\u1072? \u1057?\u1098?\u1074?\u1077?\u1090?\u1072? \u1080? \u1085?\u1072? \u1076?\u1080?\u1088?\u1077?\u1082?\u1090?\u1080?\u1074?\u1080? 2004/42/\u1045?\u1054?, 2009/48/\u1045?\u1054?, 2010/35/\u1045?\u1057?, 2013/29/\u1045?\u1057?, 2013/53/\u1045?\u1057?, 2014/28/\u1045?\u1057?, 2014/29/\u1045?\u1057?, 2014/30/\u1045?\u1057?, 2014/31/\u1045?\u1057?, 2014/32/\u1045?\u1057?, 2014/33/\u1045?\u1057?, 2014/34/\u1045?\u1057?, 2014/35/\u1045?\u1057?, 2014/53/\u1045?\u1057?, 2014/68/\u1045?\u1057? \u1080? 2014/90/\u1045?\u1057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Number1">
    <w:name w:val="List Number 1"/>
    <w:basedOn w:val="Text1"/>
    <w:pPr>
      <w:tabs>
        <w:tab w:val="num" w:pos="1191"/>
      </w:tabs>
      <w:spacing w:before="0" w:after="240"/>
      <w:ind w:left="1191" w:hanging="709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347C98"/>
      <w:u w:val="none"/>
      <w:effect w:val="none"/>
      <w:shd w:val="clear" w:color="auto" w:fill="auto"/>
    </w:rPr>
  </w:style>
  <w:style w:type="paragraph" w:customStyle="1" w:styleId="Manual">
    <w:name w:val="Manual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Number1">
    <w:name w:val="List Number 1"/>
    <w:basedOn w:val="Text1"/>
    <w:pPr>
      <w:tabs>
        <w:tab w:val="num" w:pos="1191"/>
      </w:tabs>
      <w:spacing w:before="0" w:after="240"/>
      <w:ind w:left="1191" w:hanging="709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347C98"/>
      <w:u w:val="none"/>
      <w:effect w:val="none"/>
      <w:shd w:val="clear" w:color="auto" w:fill="auto"/>
    </w:rPr>
  </w:style>
  <w:style w:type="paragraph" w:customStyle="1" w:styleId="Manual">
    <w:name w:val="Manual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BD7C-0ED2-4D69-9FF5-1F551162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2690</Words>
  <Characters>13886</Characters>
  <Application>Microsoft Office Word</Application>
  <DocSecurity>0</DocSecurity>
  <Lines>262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VOUNASI Stamatia (GROW)</dc:creator>
  <cp:lastModifiedBy>DIGIT/A3</cp:lastModifiedBy>
  <cp:revision>8</cp:revision>
  <cp:lastPrinted>2017-10-09T13:02:00Z</cp:lastPrinted>
  <dcterms:created xsi:type="dcterms:W3CDTF">2018-01-18T14:02:00Z</dcterms:created>
  <dcterms:modified xsi:type="dcterms:W3CDTF">2018-01-22T13:10:00Z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Classification">
    <vt:lpwstr> </vt:lpwstr>
  </property>
  <property fmtid="{D5CDD505-2E9C-101B-9397-08002B2CF9AE}" pid="14" name="DQCStatus">
    <vt:lpwstr>Green (DQC version 03)</vt:lpwstr>
  </property>
</Properties>
</file>