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2AC259-8579-4178-863D-2894F0DC0FC5" style="width:451.35pt;height:484.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Heading1"/>
        <w:spacing w:after="200"/>
        <w:ind w:right="0"/>
        <w:jc w:val="center"/>
        <w:rPr>
          <w:rFonts w:ascii="Times New Roman Bold" w:hAnsi="Times New Roman Bold"/>
          <w:caps/>
          <w:noProof/>
          <w:szCs w:val="24"/>
        </w:rPr>
      </w:pPr>
      <w:bookmarkStart w:id="1" w:name="_Toc412809023"/>
      <w:bookmarkStart w:id="2" w:name="_Toc412809358"/>
      <w:bookmarkStart w:id="3" w:name="_Toc412809689"/>
      <w:bookmarkStart w:id="4" w:name="_Toc412817948"/>
      <w:bookmarkStart w:id="5" w:name="_Toc412821532"/>
      <w:bookmarkStart w:id="6" w:name="_GoBack"/>
      <w:bookmarkEnd w:id="6"/>
      <w:r>
        <w:rPr>
          <w:rFonts w:ascii="Times New Roman Bold" w:hAnsi="Times New Roman Bold"/>
          <w:caps/>
          <w:noProof/>
        </w:rPr>
        <w:lastRenderedPageBreak/>
        <w:t>executive summary</w:t>
      </w:r>
    </w:p>
    <w:p>
      <w:pPr>
        <w:spacing w:after="200"/>
        <w:rPr>
          <w:noProof/>
          <w:szCs w:val="24"/>
        </w:rPr>
      </w:pPr>
      <w:r>
        <w:rPr>
          <w:b/>
          <w:noProof/>
          <w:szCs w:val="24"/>
        </w:rPr>
        <w:t xml:space="preserve">Regulation (EC) No 765/2008, </w:t>
      </w:r>
      <w:r>
        <w:rPr>
          <w:noProof/>
          <w:szCs w:val="24"/>
        </w:rPr>
        <w:t xml:space="preserve">applicable from 1 January 2010, provides a framework for market surveillance of products aiming to </w:t>
      </w:r>
      <w:r>
        <w:rPr>
          <w:i/>
          <w:noProof/>
          <w:szCs w:val="24"/>
        </w:rPr>
        <w:t>protect the public interests through the reduction of the number of non-compliant products on the EU Internal Market</w:t>
      </w:r>
      <w:r>
        <w:rPr>
          <w:noProof/>
          <w:szCs w:val="24"/>
        </w:rPr>
        <w:t xml:space="preserve"> and to </w:t>
      </w:r>
      <w:r>
        <w:rPr>
          <w:i/>
          <w:noProof/>
          <w:szCs w:val="24"/>
        </w:rPr>
        <w:t>ensure a level playing field among economic operators</w:t>
      </w:r>
      <w:r>
        <w:rPr>
          <w:noProof/>
          <w:szCs w:val="24"/>
        </w:rPr>
        <w:t xml:space="preserve">. The evaluation's conclusions are:   </w:t>
      </w:r>
    </w:p>
    <w:p>
      <w:pPr>
        <w:spacing w:after="200"/>
        <w:rPr>
          <w:b/>
          <w:noProof/>
          <w:szCs w:val="24"/>
          <w:u w:val="single"/>
        </w:rPr>
      </w:pPr>
      <w:r>
        <w:rPr>
          <w:b/>
          <w:noProof/>
          <w:szCs w:val="24"/>
          <w:u w:val="single"/>
        </w:rPr>
        <w:t>Effectiveness</w:t>
      </w:r>
    </w:p>
    <w:p>
      <w:pPr>
        <w:pStyle w:val="Text1"/>
        <w:spacing w:after="200"/>
        <w:ind w:left="0"/>
        <w:rPr>
          <w:noProof/>
        </w:rPr>
      </w:pPr>
      <w:r>
        <w:rPr>
          <w:noProof/>
        </w:rPr>
        <w:t>The Regulation has been</w:t>
      </w:r>
      <w:r>
        <w:rPr>
          <w:b/>
          <w:noProof/>
        </w:rPr>
        <w:t xml:space="preserve"> only partly effective. </w:t>
      </w:r>
    </w:p>
    <w:p>
      <w:pPr>
        <w:pStyle w:val="Text1"/>
        <w:numPr>
          <w:ilvl w:val="0"/>
          <w:numId w:val="29"/>
        </w:numPr>
        <w:spacing w:after="200"/>
        <w:ind w:left="426"/>
        <w:rPr>
          <w:noProof/>
        </w:rPr>
      </w:pPr>
      <w:r>
        <w:rPr>
          <w:noProof/>
        </w:rPr>
        <w:t xml:space="preserve">Although </w:t>
      </w:r>
      <w:r>
        <w:rPr>
          <w:b/>
          <w:noProof/>
        </w:rPr>
        <w:t>coordination and cooperation</w:t>
      </w:r>
      <w:r>
        <w:rPr>
          <w:noProof/>
        </w:rPr>
        <w:t xml:space="preserve"> developed significantly, they have not reached a satisfactory level. Member States do not sufficiently use the available tools for cross-border cooperation. Market surveillance authorities and customs make limited use of each others' findings. Although the value of administrative cooperation is essential, there is no active participation in several Administrative Cooperation groups.</w:t>
      </w:r>
    </w:p>
    <w:p>
      <w:pPr>
        <w:pStyle w:val="Text1"/>
        <w:numPr>
          <w:ilvl w:val="0"/>
          <w:numId w:val="29"/>
        </w:numPr>
        <w:spacing w:after="200"/>
        <w:ind w:left="426"/>
        <w:rPr>
          <w:noProof/>
        </w:rPr>
      </w:pPr>
      <w:r>
        <w:rPr>
          <w:b/>
          <w:noProof/>
        </w:rPr>
        <w:t>Uniformity and rigorousness of market surveillance have not yet</w:t>
      </w:r>
      <w:r>
        <w:rPr>
          <w:noProof/>
        </w:rPr>
        <w:t xml:space="preserve"> </w:t>
      </w:r>
      <w:r>
        <w:rPr>
          <w:b/>
          <w:noProof/>
        </w:rPr>
        <w:t xml:space="preserve">been achieved </w:t>
      </w:r>
      <w:r>
        <w:rPr>
          <w:noProof/>
        </w:rPr>
        <w:t>due to significant differences across Member States as to their organisation, availability of resources, powers of inspections/sanctions and systems of monitoring/reporting.</w:t>
      </w:r>
    </w:p>
    <w:p>
      <w:pPr>
        <w:pStyle w:val="Text1"/>
        <w:numPr>
          <w:ilvl w:val="0"/>
          <w:numId w:val="30"/>
        </w:numPr>
        <w:spacing w:after="200"/>
        <w:ind w:left="426"/>
        <w:rPr>
          <w:noProof/>
        </w:rPr>
      </w:pPr>
      <w:r>
        <w:rPr>
          <w:noProof/>
        </w:rPr>
        <w:t xml:space="preserve">The </w:t>
      </w:r>
      <w:r>
        <w:rPr>
          <w:b/>
          <w:noProof/>
        </w:rPr>
        <w:t>border controls on imported products</w:t>
      </w:r>
      <w:r>
        <w:rPr>
          <w:noProof/>
        </w:rPr>
        <w:t xml:space="preserve"> seem insufficient due mainly to a lack of jurisdiction of authorities outside their territories. </w:t>
      </w:r>
    </w:p>
    <w:p>
      <w:pPr>
        <w:keepNext/>
        <w:spacing w:after="200"/>
        <w:rPr>
          <w:b/>
          <w:noProof/>
          <w:szCs w:val="24"/>
          <w:u w:val="single"/>
        </w:rPr>
      </w:pPr>
      <w:r>
        <w:rPr>
          <w:b/>
          <w:noProof/>
          <w:szCs w:val="24"/>
          <w:u w:val="single"/>
        </w:rPr>
        <w:t>Efficiency</w:t>
      </w:r>
    </w:p>
    <w:p>
      <w:pPr>
        <w:pStyle w:val="Text1"/>
        <w:spacing w:after="200"/>
        <w:ind w:left="0"/>
        <w:rPr>
          <w:noProof/>
        </w:rPr>
      </w:pPr>
      <w:r>
        <w:rPr>
          <w:rFonts w:eastAsiaTheme="minorHAnsi"/>
          <w:b/>
          <w:noProof/>
        </w:rPr>
        <w:t>Most of the provisions' costs are borne by Member States' authorities</w:t>
      </w:r>
      <w:r>
        <w:rPr>
          <w:b/>
          <w:noProof/>
        </w:rPr>
        <w:t>.</w:t>
      </w:r>
      <w:r>
        <w:rPr>
          <w:noProof/>
        </w:rPr>
        <w:t xml:space="preserve"> Costs vary considerably due possibly to national organisational models requiring different resources. Average annual budgets allocated do not correlate with the market size. However, the analysis has been limited by the poor quality of data included in the reports.</w:t>
      </w:r>
    </w:p>
    <w:p>
      <w:pPr>
        <w:pStyle w:val="Text1"/>
        <w:spacing w:after="200"/>
        <w:ind w:left="0"/>
        <w:rPr>
          <w:noProof/>
          <w:szCs w:val="24"/>
        </w:rPr>
      </w:pPr>
      <w:r>
        <w:rPr>
          <w:noProof/>
        </w:rPr>
        <w:t xml:space="preserve">Regarding the </w:t>
      </w:r>
      <w:r>
        <w:rPr>
          <w:b/>
          <w:noProof/>
        </w:rPr>
        <w:t>costs for economic operators</w:t>
      </w:r>
      <w:r>
        <w:rPr>
          <w:noProof/>
        </w:rPr>
        <w:t>, information costs are perceived as insignificant. Businesses address the negative impact that across-the-board inconsistencies in the approach taken by different Member States have on them. They also stress that the enforcement mechanism cannot create a level playing field for businesses that are selling products in the Internal Market</w:t>
      </w:r>
      <w:r>
        <w:rPr>
          <w:noProof/>
          <w:lang w:val="en-US"/>
        </w:rPr>
        <w:t xml:space="preserve">. </w:t>
      </w:r>
      <w:r>
        <w:rPr>
          <w:noProof/>
          <w:szCs w:val="24"/>
        </w:rPr>
        <w:t xml:space="preserve">In terms of </w:t>
      </w:r>
      <w:r>
        <w:rPr>
          <w:b/>
          <w:noProof/>
          <w:szCs w:val="24"/>
        </w:rPr>
        <w:t xml:space="preserve">benefits, </w:t>
      </w:r>
      <w:r>
        <w:rPr>
          <w:noProof/>
          <w:szCs w:val="24"/>
        </w:rPr>
        <w:t xml:space="preserve">the Regulation did not achieve </w:t>
      </w:r>
      <w:r>
        <w:rPr>
          <w:b/>
          <w:noProof/>
        </w:rPr>
        <w:t>the expected improved safety for consumers/users and level playing field for businesses</w:t>
      </w:r>
      <w:r>
        <w:rPr>
          <w:noProof/>
        </w:rPr>
        <w:t xml:space="preserve"> </w:t>
      </w:r>
      <w:r>
        <w:rPr>
          <w:noProof/>
          <w:szCs w:val="24"/>
        </w:rPr>
        <w:t>in light of the mentioned persistence/increase in the number of non-compliant products.</w:t>
      </w:r>
    </w:p>
    <w:p>
      <w:pPr>
        <w:spacing w:after="200"/>
        <w:rPr>
          <w:b/>
          <w:noProof/>
          <w:szCs w:val="24"/>
          <w:u w:val="single"/>
        </w:rPr>
      </w:pPr>
      <w:r>
        <w:rPr>
          <w:b/>
          <w:noProof/>
          <w:szCs w:val="24"/>
          <w:u w:val="single"/>
        </w:rPr>
        <w:t xml:space="preserve">Relevance </w:t>
      </w:r>
    </w:p>
    <w:p>
      <w:pPr>
        <w:pStyle w:val="Text1"/>
        <w:spacing w:after="200"/>
        <w:ind w:left="0"/>
        <w:rPr>
          <w:noProof/>
        </w:rPr>
      </w:pPr>
      <w:r>
        <w:rPr>
          <w:noProof/>
        </w:rPr>
        <w:t xml:space="preserve">The Regulation’s </w:t>
      </w:r>
      <w:r>
        <w:rPr>
          <w:b/>
          <w:noProof/>
        </w:rPr>
        <w:t>definitions</w:t>
      </w:r>
      <w:r>
        <w:rPr>
          <w:noProof/>
        </w:rPr>
        <w:t xml:space="preserve"> are generally clear and appropriate, however they are not complete and up-to-date, especially regarding new/emerging dynamics (e.g. online sales). </w:t>
      </w:r>
    </w:p>
    <w:p>
      <w:pPr>
        <w:spacing w:after="200"/>
        <w:rPr>
          <w:b/>
          <w:noProof/>
          <w:szCs w:val="24"/>
          <w:u w:val="single"/>
        </w:rPr>
      </w:pPr>
      <w:r>
        <w:rPr>
          <w:b/>
          <w:noProof/>
          <w:szCs w:val="24"/>
          <w:u w:val="single"/>
        </w:rPr>
        <w:t xml:space="preserve">Coherence </w:t>
      </w:r>
    </w:p>
    <w:p>
      <w:pPr>
        <w:pStyle w:val="BodyText"/>
        <w:spacing w:after="20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Regulation's </w:t>
      </w:r>
      <w:r>
        <w:rPr>
          <w:rFonts w:ascii="Times New Roman" w:hAnsi="Times New Roman" w:cs="Times New Roman"/>
          <w:b/>
          <w:noProof/>
          <w:sz w:val="24"/>
          <w:szCs w:val="24"/>
        </w:rPr>
        <w:t>internal coherence</w:t>
      </w:r>
      <w:r>
        <w:rPr>
          <w:rFonts w:ascii="Times New Roman" w:hAnsi="Times New Roman" w:cs="Times New Roman"/>
          <w:noProof/>
          <w:sz w:val="24"/>
          <w:szCs w:val="24"/>
        </w:rPr>
        <w:t xml:space="preserve"> was not questioned. As for</w:t>
      </w:r>
      <w:r>
        <w:rPr>
          <w:rFonts w:ascii="Times New Roman" w:hAnsi="Times New Roman" w:cs="Times New Roman"/>
          <w:b/>
          <w:noProof/>
          <w:sz w:val="24"/>
          <w:szCs w:val="24"/>
        </w:rPr>
        <w:t xml:space="preserve"> the external coherence </w:t>
      </w:r>
      <w:r>
        <w:rPr>
          <w:rFonts w:ascii="Times New Roman" w:hAnsi="Times New Roman" w:cs="Times New Roman"/>
          <w:noProof/>
          <w:sz w:val="24"/>
          <w:szCs w:val="24"/>
        </w:rPr>
        <w:t xml:space="preserve">some issues have been identified relating to the General Product Safety Directive, in terms of clear boundaries and alignment of defintions. These issues were tackled in the proposal put forward in 2013. The coherence of the Regulation with sectoral directives is sufficiently safeguarded by the </w:t>
      </w:r>
      <w:r>
        <w:rPr>
          <w:rFonts w:ascii="Times New Roman" w:hAnsi="Times New Roman" w:cs="Times New Roman"/>
          <w:i/>
          <w:noProof/>
          <w:sz w:val="24"/>
          <w:szCs w:val="24"/>
        </w:rPr>
        <w:t>lex specialis</w:t>
      </w:r>
      <w:r>
        <w:rPr>
          <w:rFonts w:ascii="Times New Roman" w:hAnsi="Times New Roman" w:cs="Times New Roman"/>
          <w:noProof/>
          <w:sz w:val="24"/>
          <w:szCs w:val="24"/>
        </w:rPr>
        <w:t xml:space="preserve"> provision. While not hindering the implementation of the Regulation, some discrepancies and gaps in definitions and terminology could diminish the overall clarity of the framework for market surveillance. </w:t>
      </w:r>
    </w:p>
    <w:p>
      <w:pPr>
        <w:spacing w:after="200"/>
        <w:rPr>
          <w:b/>
          <w:noProof/>
          <w:szCs w:val="24"/>
          <w:u w:val="single"/>
        </w:rPr>
      </w:pPr>
      <w:r>
        <w:rPr>
          <w:b/>
          <w:noProof/>
          <w:szCs w:val="24"/>
          <w:u w:val="single"/>
        </w:rPr>
        <w:lastRenderedPageBreak/>
        <w:t>EU added value</w:t>
      </w:r>
    </w:p>
    <w:p>
      <w:pPr>
        <w:pStyle w:val="Text1"/>
        <w:spacing w:after="200"/>
        <w:ind w:left="0"/>
        <w:rPr>
          <w:noProof/>
          <w:szCs w:val="24"/>
        </w:rPr>
      </w:pPr>
      <w:r>
        <w:rPr>
          <w:noProof/>
        </w:rPr>
        <w:t xml:space="preserve">The benefits of a </w:t>
      </w:r>
      <w:r>
        <w:rPr>
          <w:b/>
          <w:noProof/>
        </w:rPr>
        <w:t>single piece of European legislation</w:t>
      </w:r>
      <w:r>
        <w:rPr>
          <w:noProof/>
        </w:rPr>
        <w:t xml:space="preserve"> instead of several different pieces of national legislation are widely recognised. In particular the common </w:t>
      </w:r>
      <w:r>
        <w:rPr>
          <w:b/>
          <w:noProof/>
        </w:rPr>
        <w:t xml:space="preserve">information systems </w:t>
      </w:r>
      <w:r>
        <w:rPr>
          <w:noProof/>
        </w:rPr>
        <w:t xml:space="preserve">would favour administrative cooperation. Overall, the potential for the Regulation to achieve a </w:t>
      </w:r>
      <w:r>
        <w:rPr>
          <w:b/>
          <w:noProof/>
        </w:rPr>
        <w:t>full EU added value is still hindered</w:t>
      </w:r>
      <w:r>
        <w:rPr>
          <w:noProof/>
        </w:rPr>
        <w:t xml:space="preserve"> by the sub-optimal level of cross-border exchange of information and cooperation, and by the lack of a uniform implementation of the market surveillance framework. </w:t>
      </w:r>
      <w:bookmarkEnd w:id="1"/>
      <w:bookmarkEnd w:id="2"/>
      <w:bookmarkEnd w:id="3"/>
      <w:bookmarkEnd w:id="4"/>
      <w:bookmarkEnd w:id="5"/>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116433790"/>
      <w:docPartObj>
        <w:docPartGallery w:val="Page Numbers (Bottom of Page)"/>
        <w:docPartUnique/>
      </w:docPartObj>
    </w:sdtPr>
    <w:sdtEndPr>
      <w:rPr>
        <w:noProof/>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F14C1A6"/>
    <w:lvl w:ilvl="0">
      <w:start w:val="1"/>
      <w:numFmt w:val="decimal"/>
      <w:pStyle w:val="ListNumber"/>
      <w:lvlText w:val="%1."/>
      <w:lvlJc w:val="left"/>
      <w:pPr>
        <w:tabs>
          <w:tab w:val="num" w:pos="360"/>
        </w:tabs>
        <w:ind w:left="360" w:hanging="360"/>
      </w:pPr>
    </w:lvl>
  </w:abstractNum>
  <w:abstractNum w:abstractNumId="1">
    <w:nsid w:val="FFFFFF89"/>
    <w:multiLevelType w:val="singleLevel"/>
    <w:tmpl w:val="81C253F4"/>
    <w:lvl w:ilvl="0">
      <w:start w:val="1"/>
      <w:numFmt w:val="bullet"/>
      <w:lvlText w:val=""/>
      <w:lvlJc w:val="left"/>
      <w:pPr>
        <w:tabs>
          <w:tab w:val="num" w:pos="360"/>
        </w:tabs>
        <w:ind w:left="360" w:hanging="360"/>
      </w:pPr>
      <w:rPr>
        <w:rFonts w:ascii="Symbol" w:hAnsi="Symbol" w:hint="default"/>
      </w:rPr>
    </w:lvl>
  </w:abstractNum>
  <w:abstractNum w:abstractNumId="2">
    <w:nsid w:val="032023F9"/>
    <w:multiLevelType w:val="hybridMultilevel"/>
    <w:tmpl w:val="8E9C761E"/>
    <w:lvl w:ilvl="0" w:tplc="F3D60504">
      <w:start w:val="1"/>
      <w:numFmt w:val="decimal"/>
      <w:lvlText w:val="%1."/>
      <w:lvlJc w:val="left"/>
      <w:pPr>
        <w:ind w:left="502" w:hanging="360"/>
      </w:pPr>
      <w:rPr>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0D150011"/>
    <w:multiLevelType w:val="hybridMultilevel"/>
    <w:tmpl w:val="8E9C761E"/>
    <w:lvl w:ilvl="0" w:tplc="F3D60504">
      <w:start w:val="1"/>
      <w:numFmt w:val="decimal"/>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DDC6852"/>
    <w:multiLevelType w:val="hybridMultilevel"/>
    <w:tmpl w:val="E16C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715AB4"/>
    <w:multiLevelType w:val="hybridMultilevel"/>
    <w:tmpl w:val="E0F2448E"/>
    <w:lvl w:ilvl="0" w:tplc="8C80978A">
      <w:start w:val="1"/>
      <w:numFmt w:val="bullet"/>
      <w:lvlText w:val=""/>
      <w:lvlJc w:val="left"/>
      <w:pPr>
        <w:ind w:left="720" w:hanging="360"/>
      </w:pPr>
      <w:rPr>
        <w:rFonts w:ascii="Symbol" w:hAnsi="Symbol" w:hint="default"/>
        <w:color w:val="4F81BD" w:themeColor="accent1"/>
        <w:spacing w:val="30"/>
      </w:rPr>
    </w:lvl>
    <w:lvl w:ilvl="1" w:tplc="65586054">
      <w:start w:val="1"/>
      <w:numFmt w:val="bullet"/>
      <w:lvlText w:val="­"/>
      <w:lvlJc w:val="left"/>
      <w:pPr>
        <w:ind w:left="1440" w:hanging="360"/>
      </w:pPr>
      <w:rPr>
        <w:rFonts w:ascii="Courier New" w:hAnsi="Courier New" w:hint="default"/>
        <w:color w:val="4F81BD" w:themeColor="accent1"/>
      </w:rPr>
    </w:lvl>
    <w:lvl w:ilvl="2" w:tplc="4E2C6CE2">
      <w:start w:val="1"/>
      <w:numFmt w:val="bullet"/>
      <w:lvlText w:val="◦"/>
      <w:lvlJc w:val="left"/>
      <w:pPr>
        <w:ind w:left="2160" w:hanging="360"/>
      </w:pPr>
      <w:rPr>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C3B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176333"/>
    <w:multiLevelType w:val="hybridMultilevel"/>
    <w:tmpl w:val="30A6B126"/>
    <w:lvl w:ilvl="0" w:tplc="D0BC6C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12F0040C"/>
    <w:lvl w:ilvl="0">
      <w:start w:val="1"/>
      <w:numFmt w:val="decimal"/>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766D46"/>
    <w:multiLevelType w:val="hybridMultilevel"/>
    <w:tmpl w:val="908252B4"/>
    <w:lvl w:ilvl="0" w:tplc="0410000F">
      <w:start w:val="1"/>
      <w:numFmt w:val="decimal"/>
      <w:lvlText w:val="%1."/>
      <w:lvlJc w:val="left"/>
      <w:pPr>
        <w:ind w:left="720" w:hanging="360"/>
      </w:pPr>
    </w:lvl>
    <w:lvl w:ilvl="1" w:tplc="49B8AF16">
      <w:start w:val="1"/>
      <w:numFmt w:val="decimal"/>
      <w:lvlText w:val="EQ%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2DD3599"/>
    <w:multiLevelType w:val="multilevel"/>
    <w:tmpl w:val="4EAA5BA6"/>
    <w:lvl w:ilvl="0">
      <w:start w:val="1"/>
      <w:numFmt w:val="decimal"/>
      <w:pStyle w:val="ListContinue5"/>
      <w:lvlText w:val="(%1)"/>
      <w:lvlJc w:val="left"/>
      <w:pPr>
        <w:tabs>
          <w:tab w:val="num" w:pos="709"/>
        </w:tabs>
        <w:ind w:left="709" w:hanging="709"/>
      </w:pPr>
    </w:lvl>
    <w:lvl w:ilvl="1">
      <w:start w:val="1"/>
      <w:numFmt w:val="lowerLetter"/>
      <w:pStyle w:val="ListNumber1"/>
      <w:lvlText w:val="(%2)"/>
      <w:lvlJc w:val="left"/>
      <w:pPr>
        <w:tabs>
          <w:tab w:val="num" w:pos="1134"/>
        </w:tabs>
        <w:ind w:left="1134" w:hanging="708"/>
      </w:pPr>
    </w:lvl>
    <w:lvl w:ilvl="2">
      <w:start w:val="1"/>
      <w:numFmt w:val="bullet"/>
      <w:pStyle w:val="ListNumber1Level2"/>
      <w:lvlText w:val="–"/>
      <w:lvlJc w:val="left"/>
      <w:pPr>
        <w:tabs>
          <w:tab w:val="num" w:pos="2126"/>
        </w:tabs>
        <w:ind w:left="2126" w:hanging="709"/>
      </w:pPr>
      <w:rPr>
        <w:rFonts w:ascii="Times New Roman" w:hAnsi="Times New Roman"/>
      </w:rPr>
    </w:lvl>
    <w:lvl w:ilvl="3">
      <w:start w:val="1"/>
      <w:numFmt w:val="bullet"/>
      <w:pStyle w:val="ListNumber1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1F4016"/>
    <w:multiLevelType w:val="hybridMultilevel"/>
    <w:tmpl w:val="898AD31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nsid w:val="2D2117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D22718"/>
    <w:multiLevelType w:val="hybridMultilevel"/>
    <w:tmpl w:val="F0AA3BC0"/>
    <w:lvl w:ilvl="0" w:tplc="7C4C0308">
      <w:start w:val="1"/>
      <w:numFmt w:val="bullet"/>
      <w:lvlText w:val=""/>
      <w:lvlJc w:val="left"/>
      <w:pPr>
        <w:ind w:left="720" w:hanging="360"/>
      </w:pPr>
      <w:rPr>
        <w:rFonts w:ascii="Symbol" w:hAnsi="Symbol" w:hint="default"/>
        <w:color w:val="4F81BD" w:themeColor="accent1"/>
        <w:spacing w:val="30"/>
      </w:rPr>
    </w:lvl>
    <w:lvl w:ilvl="1" w:tplc="65586054">
      <w:start w:val="1"/>
      <w:numFmt w:val="bullet"/>
      <w:lvlText w:val="­"/>
      <w:lvlJc w:val="left"/>
      <w:pPr>
        <w:ind w:left="1440" w:hanging="360"/>
      </w:pPr>
      <w:rPr>
        <w:rFonts w:ascii="Courier New" w:hAnsi="Courier New" w:hint="default"/>
        <w:color w:val="4F81BD" w:themeColor="accent1"/>
      </w:rPr>
    </w:lvl>
    <w:lvl w:ilvl="2" w:tplc="4E2C6CE2">
      <w:start w:val="1"/>
      <w:numFmt w:val="bullet"/>
      <w:lvlText w:val="◦"/>
      <w:lvlJc w:val="left"/>
      <w:pPr>
        <w:ind w:left="2160" w:hanging="360"/>
      </w:pPr>
      <w:rPr>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EE75C0D"/>
    <w:multiLevelType w:val="hybridMultilevel"/>
    <w:tmpl w:val="685C2D2A"/>
    <w:lvl w:ilvl="0" w:tplc="902094F2">
      <w:start w:val="1"/>
      <w:numFmt w:val="bullet"/>
      <w:lvlText w:val="­"/>
      <w:lvlJc w:val="left"/>
      <w:pPr>
        <w:ind w:left="2520" w:hanging="360"/>
      </w:pPr>
      <w:rPr>
        <w:rFonts w:ascii="Courier New" w:hAnsi="Courier New" w:hint="default"/>
        <w:color w:val="4F81BD" w:themeColor="accent1"/>
      </w:rPr>
    </w:lvl>
    <w:lvl w:ilvl="1" w:tplc="9B56AFBE">
      <w:start w:val="1"/>
      <w:numFmt w:val="bullet"/>
      <w:lvlText w:val="-"/>
      <w:lvlJc w:val="left"/>
      <w:pPr>
        <w:ind w:left="3240" w:hanging="360"/>
      </w:pPr>
      <w:rPr>
        <w:rFonts w:ascii="Times" w:hAnsi="Times"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6">
    <w:nsid w:val="45F33DE4"/>
    <w:multiLevelType w:val="hybridMultilevel"/>
    <w:tmpl w:val="19D6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AE7540"/>
    <w:multiLevelType w:val="hybridMultilevel"/>
    <w:tmpl w:val="E4AA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B80595"/>
    <w:multiLevelType w:val="hybridMultilevel"/>
    <w:tmpl w:val="AD5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3366BA"/>
    <w:multiLevelType w:val="hybridMultilevel"/>
    <w:tmpl w:val="8EA49AD0"/>
    <w:lvl w:ilvl="0" w:tplc="1954F662">
      <w:start w:val="1"/>
      <w:numFmt w:val="bullet"/>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17B6462"/>
    <w:multiLevelType w:val="hybridMultilevel"/>
    <w:tmpl w:val="93FEEC50"/>
    <w:lvl w:ilvl="0" w:tplc="3E14F28C">
      <w:start w:val="1"/>
      <w:numFmt w:val="bullet"/>
      <w:pStyle w:val="Bullet1"/>
      <w:lvlText w:val=""/>
      <w:lvlJc w:val="left"/>
      <w:pPr>
        <w:ind w:left="1440" w:hanging="360"/>
      </w:pPr>
      <w:rPr>
        <w:rFonts w:ascii="Symbol" w:hAnsi="Symbol" w:hint="default"/>
        <w:color w:val="4F81BD" w:themeColor="accent1"/>
        <w:spacing w:val="3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664A0425"/>
    <w:multiLevelType w:val="hybridMultilevel"/>
    <w:tmpl w:val="510A41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67A57F18"/>
    <w:multiLevelType w:val="hybridMultilevel"/>
    <w:tmpl w:val="B5506A94"/>
    <w:lvl w:ilvl="0" w:tplc="3C38CA4C">
      <w:start w:val="1"/>
      <w:numFmt w:val="decimal"/>
      <w:pStyle w:val="TableListNumber"/>
      <w:lvlText w:val="%1."/>
      <w:lvlJc w:val="left"/>
      <w:pPr>
        <w:tabs>
          <w:tab w:val="num" w:pos="181"/>
        </w:tabs>
        <w:ind w:left="181" w:hanging="181"/>
      </w:pPr>
    </w:lvl>
    <w:lvl w:ilvl="1" w:tplc="C1A46540">
      <w:start w:val="1"/>
      <w:numFmt w:val="lowerLetter"/>
      <w:lvlText w:val="%2."/>
      <w:lvlJc w:val="left"/>
      <w:pPr>
        <w:tabs>
          <w:tab w:val="num" w:pos="1440"/>
        </w:tabs>
        <w:ind w:left="1440" w:hanging="360"/>
      </w:pPr>
    </w:lvl>
    <w:lvl w:ilvl="2" w:tplc="B2D03FDE">
      <w:start w:val="1"/>
      <w:numFmt w:val="lowerRoman"/>
      <w:lvlText w:val="%3."/>
      <w:lvlJc w:val="right"/>
      <w:pPr>
        <w:tabs>
          <w:tab w:val="num" w:pos="2160"/>
        </w:tabs>
        <w:ind w:left="2160" w:hanging="180"/>
      </w:pPr>
    </w:lvl>
    <w:lvl w:ilvl="3" w:tplc="13B24DC6">
      <w:start w:val="1"/>
      <w:numFmt w:val="decimal"/>
      <w:lvlText w:val="%4."/>
      <w:lvlJc w:val="left"/>
      <w:pPr>
        <w:tabs>
          <w:tab w:val="num" w:pos="2880"/>
        </w:tabs>
        <w:ind w:left="2880" w:hanging="360"/>
      </w:pPr>
    </w:lvl>
    <w:lvl w:ilvl="4" w:tplc="30880A44">
      <w:start w:val="1"/>
      <w:numFmt w:val="lowerLetter"/>
      <w:lvlText w:val="%5."/>
      <w:lvlJc w:val="left"/>
      <w:pPr>
        <w:tabs>
          <w:tab w:val="num" w:pos="3600"/>
        </w:tabs>
        <w:ind w:left="3600" w:hanging="360"/>
      </w:pPr>
    </w:lvl>
    <w:lvl w:ilvl="5" w:tplc="E1B62FEC">
      <w:start w:val="1"/>
      <w:numFmt w:val="lowerRoman"/>
      <w:lvlText w:val="%6."/>
      <w:lvlJc w:val="right"/>
      <w:pPr>
        <w:tabs>
          <w:tab w:val="num" w:pos="4320"/>
        </w:tabs>
        <w:ind w:left="4320" w:hanging="180"/>
      </w:pPr>
    </w:lvl>
    <w:lvl w:ilvl="6" w:tplc="47C48CCE">
      <w:start w:val="1"/>
      <w:numFmt w:val="decimal"/>
      <w:lvlText w:val="%7."/>
      <w:lvlJc w:val="left"/>
      <w:pPr>
        <w:tabs>
          <w:tab w:val="num" w:pos="5040"/>
        </w:tabs>
        <w:ind w:left="5040" w:hanging="360"/>
      </w:pPr>
    </w:lvl>
    <w:lvl w:ilvl="7" w:tplc="3D8E7C04">
      <w:start w:val="1"/>
      <w:numFmt w:val="lowerLetter"/>
      <w:lvlText w:val="%8."/>
      <w:lvlJc w:val="left"/>
      <w:pPr>
        <w:tabs>
          <w:tab w:val="num" w:pos="5760"/>
        </w:tabs>
        <w:ind w:left="5760" w:hanging="360"/>
      </w:pPr>
    </w:lvl>
    <w:lvl w:ilvl="8" w:tplc="D6FAEDDC">
      <w:start w:val="1"/>
      <w:numFmt w:val="lowerRoman"/>
      <w:lvlText w:val="%9."/>
      <w:lvlJc w:val="right"/>
      <w:pPr>
        <w:tabs>
          <w:tab w:val="num" w:pos="6480"/>
        </w:tabs>
        <w:ind w:left="6480" w:hanging="180"/>
      </w:pPr>
    </w:lvl>
  </w:abstractNum>
  <w:abstractNum w:abstractNumId="24">
    <w:nsid w:val="7B1A58C7"/>
    <w:multiLevelType w:val="hybridMultilevel"/>
    <w:tmpl w:val="0598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692E58"/>
    <w:multiLevelType w:val="hybridMultilevel"/>
    <w:tmpl w:val="B3DEE91C"/>
    <w:lvl w:ilvl="0" w:tplc="902094F2">
      <w:start w:val="1"/>
      <w:numFmt w:val="bullet"/>
      <w:pStyle w:val="Bullet2"/>
      <w:lvlText w:val="­"/>
      <w:lvlJc w:val="left"/>
      <w:pPr>
        <w:ind w:left="2520" w:hanging="360"/>
      </w:pPr>
      <w:rPr>
        <w:rFonts w:ascii="Courier New" w:hAnsi="Courier New" w:hint="default"/>
        <w:color w:val="4F81BD" w:themeColor="accent1"/>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6">
    <w:nsid w:val="7CDC4DFC"/>
    <w:multiLevelType w:val="hybridMultilevel"/>
    <w:tmpl w:val="F074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6"/>
  </w:num>
  <w:num w:numId="4">
    <w:abstractNumId w:val="8"/>
  </w:num>
  <w:num w:numId="5">
    <w:abstractNumId w:val="3"/>
  </w:num>
  <w:num w:numId="6">
    <w:abstractNumId w:val="10"/>
  </w:num>
  <w:num w:numId="7">
    <w:abstractNumId w:val="21"/>
  </w:num>
  <w:num w:numId="8">
    <w:abstractNumId w:val="25"/>
  </w:num>
  <w:num w:numId="9">
    <w:abstractNumId w:val="5"/>
  </w:num>
  <w:num w:numId="10">
    <w:abstractNumId w:val="9"/>
  </w:num>
  <w:num w:numId="11">
    <w:abstractNumId w:val="1"/>
  </w:num>
  <w:num w:numId="12">
    <w:abstractNumId w:val="22"/>
  </w:num>
  <w:num w:numId="13">
    <w:abstractNumId w:val="17"/>
  </w:num>
  <w:num w:numId="14">
    <w:abstractNumId w:val="0"/>
  </w:num>
  <w:num w:numId="15">
    <w:abstractNumId w:val="11"/>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7"/>
  </w:num>
  <w:num w:numId="21">
    <w:abstractNumId w:val="2"/>
  </w:num>
  <w:num w:numId="22">
    <w:abstractNumId w:val="21"/>
  </w:num>
  <w:num w:numId="23">
    <w:abstractNumId w:val="19"/>
  </w:num>
  <w:num w:numId="24">
    <w:abstractNumId w:val="5"/>
  </w:num>
  <w:num w:numId="25">
    <w:abstractNumId w:val="19"/>
  </w:num>
  <w:num w:numId="26">
    <w:abstractNumId w:val="15"/>
  </w:num>
  <w:num w:numId="27">
    <w:abstractNumId w:val="12"/>
  </w:num>
  <w:num w:numId="28">
    <w:abstractNumId w:val="6"/>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32AC259-8579-4178-863D-2894F0DC0FC5"/>
    <w:docVar w:name="LW_COVERPAGE_TYPE" w:val="1"/>
    <w:docVar w:name="LW_CROSSREFERENCE" w:val="{COM(2017) 795 final}_x000b_{SWD(2017) 466 final}_x000b_{SWD(2017) 467 final}_x000b_{SWD(2017) 468 final}_x000b_{SWD(2017) 469 final}"/>
    <w:docVar w:name="LW_DocType" w:val="NORMAL"/>
    <w:docVar w:name="LW_EMISSION" w:val="19.12.2017"/>
    <w:docVar w:name="LW_EMISSION_ISODATE" w:val="2017-12-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 w:name="LW_PART_NBR" w:val="1"/>
    <w:docVar w:name="LW_PART_NBR_TOTAL" w:val="1"/>
    <w:docVar w:name="LW_REF.INST.NEW" w:val="SWD"/>
    <w:docVar w:name="LW_REF.INST.NEW_ADOPTED" w:val="final"/>
    <w:docVar w:name="LW_REF.INST.NEW_TEXT" w:val="(2017)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REFIT EVALUATION"/>
    <w:docVar w:name="LW_TYPE.DOC.CP" w:val="COMMISSION STAFF WORKING DOCUMENT"/>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ind w:right="-29"/>
      <w:outlineLvl w:val="0"/>
    </w:pPr>
    <w:rPr>
      <w:b/>
    </w:rPr>
  </w:style>
  <w:style w:type="paragraph" w:styleId="Heading2">
    <w:name w:val="heading 2"/>
    <w:basedOn w:val="Normal"/>
    <w:next w:val="Normal"/>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pPr>
      <w:numPr>
        <w:numId w:val="1"/>
      </w:numPr>
    </w:pPr>
  </w:style>
  <w:style w:type="paragraph" w:customStyle="1" w:styleId="ListDash1">
    <w:name w:val="List Dash 1"/>
    <w:basedOn w:val="Normal"/>
    <w:pPr>
      <w:numPr>
        <w:numId w:val="2"/>
      </w:numPr>
    </w:p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locked/>
    <w:rPr>
      <w:rFonts w:ascii="Times New Roman" w:eastAsia="Times New Roman" w:hAnsi="Times New Roman" w:cs="Times New Roman"/>
      <w:sz w:val="24"/>
      <w:szCs w:val="20"/>
    </w:rPr>
  </w:style>
  <w:style w:type="table" w:styleId="TableGrid">
    <w:name w:val="Table Grid"/>
    <w:aliases w:val="CV1,TabelEcorys,Document Table"/>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List Paragraph1,Normal bullet 2,List Paragraph11,Bullet list,Normal bullet 21,List Paragraph111,Bullet list1,List Paragraph2,1st level - Bullet List Paragraph,Lettre d'introduction,Paragraph,Bullet EY,Bullet point 1"/>
    <w:basedOn w:val="Normal"/>
    <w:link w:val="ListParagraphChar"/>
    <w:uiPriority w:val="34"/>
    <w:qFormat/>
    <w:pPr>
      <w:spacing w:after="60" w:line="264" w:lineRule="auto"/>
      <w:contextualSpacing/>
    </w:pPr>
    <w:rPr>
      <w:rFonts w:asciiTheme="minorHAnsi" w:eastAsiaTheme="minorHAnsi" w:hAnsiTheme="minorHAnsi" w:cstheme="minorBidi"/>
      <w:sz w:val="20"/>
      <w:szCs w:val="22"/>
    </w:rPr>
  </w:style>
  <w:style w:type="character" w:customStyle="1" w:styleId="ListParagraphChar">
    <w:name w:val="List Paragraph Char"/>
    <w:aliases w:val="Numbered List Char,List Paragraph1 Char,Normal bullet 2 Char,List Paragraph11 Char,Bullet list Char,Normal bullet 21 Char,List Paragraph111 Char,Bullet list1 Char,List Paragraph2 Char,1st level - Bullet List Paragraph Char"/>
    <w:basedOn w:val="DefaultParagraphFont"/>
    <w:link w:val="ListParagraph"/>
    <w:uiPriority w:val="34"/>
    <w:rPr>
      <w:sz w:val="20"/>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BodyText"/>
    <w:link w:val="FootnoteTextChar"/>
    <w:uiPriority w:val="99"/>
    <w:unhideWhenUsed/>
    <w:qFormat/>
    <w:pPr>
      <w:spacing w:after="80" w:line="240" w:lineRule="auto"/>
    </w:pPr>
    <w:rPr>
      <w:sz w:val="16"/>
      <w:szCs w:val="20"/>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sz w:val="16"/>
      <w:szCs w:val="20"/>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basedOn w:val="DefaultParagraphFont"/>
    <w:link w:val="SUPERSCharCharCharCharCharCharCharChar"/>
    <w:uiPriority w:val="99"/>
    <w:unhideWhenUsed/>
    <w:qFormat/>
    <w:rPr>
      <w:vertAlign w:val="superscript"/>
    </w:rPr>
  </w:style>
  <w:style w:type="paragraph" w:customStyle="1" w:styleId="BodyText">
    <w:name w:val="BodyText"/>
    <w:basedOn w:val="Normal"/>
    <w:link w:val="BodyTextChar"/>
    <w:uiPriority w:val="99"/>
    <w:qFormat/>
    <w:pPr>
      <w:spacing w:after="60" w:line="264" w:lineRule="auto"/>
    </w:pPr>
    <w:rPr>
      <w:rFonts w:asciiTheme="minorHAnsi" w:eastAsiaTheme="minorHAnsi" w:hAnsiTheme="minorHAnsi" w:cstheme="minorBidi"/>
      <w:sz w:val="20"/>
      <w:szCs w:val="22"/>
    </w:rPr>
  </w:style>
  <w:style w:type="character" w:customStyle="1" w:styleId="BodyTextChar">
    <w:name w:val="BodyText Char"/>
    <w:basedOn w:val="DefaultParagraphFont"/>
    <w:link w:val="BodyText"/>
    <w:uiPriority w:val="99"/>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tabs>
        <w:tab w:val="left" w:pos="907"/>
      </w:tabs>
      <w:spacing w:before="60" w:after="60" w:line="240" w:lineRule="exact"/>
    </w:pPr>
    <w:rPr>
      <w:rFonts w:asciiTheme="minorHAnsi" w:eastAsiaTheme="minorHAnsi" w:hAnsiTheme="minorHAnsi" w:cstheme="minorBidi"/>
      <w:sz w:val="22"/>
      <w:szCs w:val="22"/>
      <w:vertAlign w:val="superscript"/>
    </w:rPr>
  </w:style>
  <w:style w:type="paragraph" w:styleId="ListContinue5">
    <w:name w:val="List Continue 5"/>
    <w:basedOn w:val="Normal"/>
    <w:pPr>
      <w:numPr>
        <w:numId w:val="6"/>
      </w:numPr>
      <w:spacing w:after="120"/>
    </w:pPr>
  </w:style>
  <w:style w:type="paragraph" w:customStyle="1" w:styleId="ListNumber1">
    <w:name w:val="List Number 1"/>
    <w:basedOn w:val="Normal"/>
    <w:pPr>
      <w:numPr>
        <w:ilvl w:val="1"/>
        <w:numId w:val="6"/>
      </w:numPr>
    </w:pPr>
  </w:style>
  <w:style w:type="paragraph" w:customStyle="1" w:styleId="ListNumber1Level2">
    <w:name w:val="List Number 1 (Level 2)"/>
    <w:basedOn w:val="Normal"/>
    <w:pPr>
      <w:numPr>
        <w:ilvl w:val="2"/>
        <w:numId w:val="6"/>
      </w:numPr>
    </w:pPr>
  </w:style>
  <w:style w:type="paragraph" w:customStyle="1" w:styleId="ListNumber1Level3">
    <w:name w:val="List Number 1 (Level 3)"/>
    <w:basedOn w:val="Normal"/>
    <w:pPr>
      <w:numPr>
        <w:ilvl w:val="3"/>
        <w:numId w:val="6"/>
      </w:numPr>
    </w:pPr>
  </w:style>
  <w:style w:type="paragraph" w:customStyle="1" w:styleId="Bullet1">
    <w:name w:val="Bullet 1"/>
    <w:basedOn w:val="BodyText"/>
    <w:link w:val="Bullet1Char"/>
    <w:qFormat/>
    <w:pPr>
      <w:numPr>
        <w:numId w:val="7"/>
      </w:numPr>
      <w:spacing w:after="40"/>
    </w:pPr>
    <w:rPr>
      <w:color w:val="000000" w:themeColor="text1"/>
      <w:szCs w:val="20"/>
    </w:rPr>
  </w:style>
  <w:style w:type="paragraph" w:customStyle="1" w:styleId="Bullet2">
    <w:name w:val="Bullet 2"/>
    <w:basedOn w:val="BodyText"/>
    <w:link w:val="Bullet2Char"/>
    <w:qFormat/>
    <w:pPr>
      <w:numPr>
        <w:numId w:val="8"/>
      </w:numPr>
      <w:spacing w:after="80"/>
      <w:ind w:left="680" w:hanging="340"/>
    </w:pPr>
    <w:rPr>
      <w:szCs w:val="20"/>
      <w:lang w:eastAsia="en-GB"/>
    </w:rPr>
  </w:style>
  <w:style w:type="character" w:customStyle="1" w:styleId="Bullet1Char">
    <w:name w:val="Bullet 1 Char"/>
    <w:basedOn w:val="ListParagraphChar"/>
    <w:link w:val="Bullet1"/>
    <w:rPr>
      <w:color w:val="000000" w:themeColor="text1"/>
      <w:sz w:val="20"/>
      <w:szCs w:val="20"/>
    </w:rPr>
  </w:style>
  <w:style w:type="character" w:customStyle="1" w:styleId="Bullet2Char">
    <w:name w:val="Bullet 2 Char"/>
    <w:basedOn w:val="ListParagraphChar"/>
    <w:link w:val="Bullet2"/>
    <w:rPr>
      <w:sz w:val="20"/>
      <w:szCs w:val="20"/>
      <w:lang w:eastAsia="en-GB"/>
    </w:rPr>
  </w:style>
  <w:style w:type="paragraph" w:styleId="NormalWeb">
    <w:name w:val="Normal (Web)"/>
    <w:basedOn w:val="Normal"/>
    <w:uiPriority w:val="99"/>
    <w:pPr>
      <w:spacing w:before="100" w:beforeAutospacing="1" w:after="100" w:afterAutospacing="1"/>
      <w:jc w:val="left"/>
    </w:pPr>
    <w:rPr>
      <w:szCs w:val="24"/>
      <w:lang w:eastAsia="en-GB"/>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BodyText"/>
    <w:next w:val="BodyText"/>
    <w:link w:val="CaptionChar"/>
    <w:unhideWhenUsed/>
    <w:qFormat/>
    <w:pPr>
      <w:keepNext/>
      <w:spacing w:before="360" w:after="0" w:line="240" w:lineRule="auto"/>
    </w:pPr>
    <w:rPr>
      <w:i/>
      <w:iCs/>
      <w:color w:val="1F497D" w:themeColor="text2"/>
      <w:sz w:val="18"/>
      <w:szCs w:val="18"/>
    </w:rPr>
  </w:style>
  <w:style w:type="character" w:styleId="SubtleEmphasis">
    <w:name w:val="Subtle Emphasis"/>
    <w:basedOn w:val="DefaultParagraphFont"/>
    <w:uiPriority w:val="19"/>
    <w:qFormat/>
    <w:rPr>
      <w:iCs/>
      <w:color w:val="595959" w:themeColor="text1" w:themeTint="A6"/>
      <w:sz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rPr>
      <w:i/>
      <w:iCs/>
      <w:color w:val="1F497D"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0">
    <w:name w:val="Body Text"/>
    <w:aliases w:val="Document,Doc,Body Text2,doc,Standard paragraph,(Norm),Body Text 12,bt,gl,uvlaka 2,heading3,Body Text - Level 2,1body,BodText,body text,Body Txt,Body Text-10,Body Text Char2,Text Char1,Τίτλος Μελέτης,- TF,Te,-,??t??? ?e??t??, (Norm)"/>
    <w:basedOn w:val="Normal"/>
    <w:link w:val="BodyTextChar0"/>
    <w:uiPriority w:val="99"/>
    <w:unhideWhenUsed/>
    <w:pPr>
      <w:spacing w:after="60" w:line="264" w:lineRule="auto"/>
    </w:pPr>
    <w:rPr>
      <w:rFonts w:asciiTheme="minorHAnsi" w:eastAsiaTheme="minorHAnsi" w:hAnsiTheme="minorHAnsi" w:cstheme="minorBidi"/>
      <w:sz w:val="20"/>
      <w:szCs w:val="22"/>
    </w:rPr>
  </w:style>
  <w:style w:type="character" w:customStyle="1" w:styleId="BodyTextChar0">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0"/>
    <w:uiPriority w:val="99"/>
    <w:rPr>
      <w:sz w:val="20"/>
    </w:rPr>
  </w:style>
  <w:style w:type="character" w:styleId="Hyperlink">
    <w:name w:val="Hyperlink"/>
    <w:basedOn w:val="DefaultParagraphFont"/>
    <w:uiPriority w:val="99"/>
    <w:unhideWhenUsed/>
    <w:rPr>
      <w:color w:val="0000FF" w:themeColor="hyperlink"/>
      <w:u w:val="single"/>
    </w:rPr>
  </w:style>
  <w:style w:type="table" w:customStyle="1" w:styleId="TechnopolisTable1">
    <w:name w:val="Technopolis Table1"/>
    <w:basedOn w:val="TableNormal"/>
    <w:pPr>
      <w:spacing w:before="60" w:after="0" w:line="240" w:lineRule="auto"/>
    </w:pPr>
    <w:rPr>
      <w:rFonts w:asciiTheme="majorHAnsi" w:hAnsiTheme="majorHAnsi"/>
      <w:sz w:val="16"/>
      <w:lang w:val="en-US"/>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paragraph" w:styleId="ListNumber">
    <w:name w:val="List Number"/>
    <w:basedOn w:val="Normal"/>
    <w:uiPriority w:val="99"/>
    <w:semiHidden/>
    <w:unhideWhenUsed/>
    <w:pPr>
      <w:numPr>
        <w:numId w:val="14"/>
      </w:numPr>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paragraph" w:customStyle="1" w:styleId="Text1">
    <w:name w:val="Text 1"/>
    <w:basedOn w:val="Normal"/>
    <w:link w:val="Text1Char"/>
    <w:pPr>
      <w:ind w:left="482"/>
    </w:pPr>
  </w:style>
  <w:style w:type="character" w:customStyle="1" w:styleId="Text1Char">
    <w:name w:val="Text 1 Char"/>
    <w:link w:val="Text1"/>
    <w:rPr>
      <w:rFonts w:ascii="Times New Roman" w:eastAsia="Times New Roman" w:hAnsi="Times New Roman" w:cs="Times New Roman"/>
      <w:sz w:val="24"/>
      <w:szCs w:val="20"/>
    </w:rPr>
  </w:style>
  <w:style w:type="paragraph" w:styleId="Title">
    <w:name w:val="Title"/>
    <w:basedOn w:val="Normal"/>
    <w:next w:val="BodyText"/>
    <w:link w:val="TitleChar"/>
    <w:uiPriority w:val="10"/>
    <w:qFormat/>
    <w:pPr>
      <w:spacing w:after="0"/>
      <w:contextualSpacing/>
    </w:pPr>
    <w:rPr>
      <w:rFonts w:asciiTheme="majorHAnsi" w:eastAsiaTheme="majorEastAsia" w:hAnsiTheme="majorHAnsi" w:cstheme="majorBidi"/>
      <w:spacing w:val="-10"/>
      <w:kern w:val="28"/>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4"/>
      <w:szCs w:val="56"/>
    </w:rPr>
  </w:style>
  <w:style w:type="paragraph" w:customStyle="1" w:styleId="TableListNumber">
    <w:name w:val="Table List Number"/>
    <w:basedOn w:val="BodyText0"/>
    <w:uiPriority w:val="99"/>
    <w:pPr>
      <w:numPr>
        <w:numId w:val="17"/>
      </w:numPr>
      <w:spacing w:beforeLines="1" w:afterLines="1" w:after="0" w:line="240" w:lineRule="auto"/>
    </w:pPr>
    <w:rPr>
      <w:rFonts w:ascii="Verdana" w:eastAsia="Times New Roman" w:hAnsi="Verdana" w:cs="Times New Roman"/>
      <w:sz w:val="16"/>
      <w:szCs w:val="24"/>
    </w:rPr>
  </w:style>
  <w:style w:type="paragraph" w:customStyle="1" w:styleId="foot">
    <w:name w:val="foot"/>
    <w:basedOn w:val="BodyText"/>
    <w:link w:val="footChar"/>
    <w:qFormat/>
    <w:rPr>
      <w:rFonts w:ascii="Georgia" w:hAnsi="Georgia" w:cstheme="minorHAnsi"/>
      <w:sz w:val="16"/>
      <w:szCs w:val="16"/>
    </w:rPr>
  </w:style>
  <w:style w:type="character" w:customStyle="1" w:styleId="footChar">
    <w:name w:val="foot Char"/>
    <w:basedOn w:val="BodyTextChar"/>
    <w:link w:val="foot"/>
    <w:rPr>
      <w:rFonts w:ascii="Georgia" w:hAnsi="Georgia" w:cstheme="minorHAnsi"/>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Next/>
      <w:keepLines/>
      <w:spacing w:before="480" w:after="0" w:line="276" w:lineRule="auto"/>
      <w:ind w:right="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ind w:right="-29"/>
      <w:outlineLvl w:val="0"/>
    </w:pPr>
    <w:rPr>
      <w:b/>
    </w:rPr>
  </w:style>
  <w:style w:type="paragraph" w:styleId="Heading2">
    <w:name w:val="heading 2"/>
    <w:basedOn w:val="Normal"/>
    <w:next w:val="Normal"/>
    <w:link w:val="Heading2Char"/>
    <w:qFormat/>
    <w:pPr>
      <w:keepNext/>
      <w:numPr>
        <w:ilvl w:val="1"/>
        <w:numId w:val="4"/>
      </w:numPr>
      <w:outlineLvl w:val="1"/>
    </w:pPr>
    <w:rPr>
      <w:b/>
    </w:rPr>
  </w:style>
  <w:style w:type="paragraph" w:styleId="Heading3">
    <w:name w:val="heading 3"/>
    <w:basedOn w:val="Normal"/>
    <w:next w:val="Normal"/>
    <w:link w:val="Heading3Char"/>
    <w:qFormat/>
    <w:pPr>
      <w:keepNext/>
      <w:numPr>
        <w:ilvl w:val="2"/>
        <w:numId w:val="4"/>
      </w:numPr>
      <w:outlineLvl w:val="2"/>
    </w:pPr>
    <w:rPr>
      <w:i/>
    </w:rPr>
  </w:style>
  <w:style w:type="paragraph" w:styleId="Heading4">
    <w:name w:val="heading 4"/>
    <w:basedOn w:val="Normal"/>
    <w:next w:val="Normal"/>
    <w:link w:val="Heading4Char"/>
    <w:qFormat/>
    <w:pPr>
      <w:keepNext/>
      <w:numPr>
        <w:ilvl w:val="3"/>
        <w:numId w:val="4"/>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pPr>
      <w:numPr>
        <w:numId w:val="1"/>
      </w:numPr>
    </w:pPr>
  </w:style>
  <w:style w:type="paragraph" w:customStyle="1" w:styleId="ListDash1">
    <w:name w:val="List Dash 1"/>
    <w:basedOn w:val="Normal"/>
    <w:pPr>
      <w:numPr>
        <w:numId w:val="2"/>
      </w:numPr>
    </w:p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locked/>
    <w:rPr>
      <w:rFonts w:ascii="Times New Roman" w:eastAsia="Times New Roman" w:hAnsi="Times New Roman" w:cs="Times New Roman"/>
      <w:sz w:val="24"/>
      <w:szCs w:val="20"/>
    </w:rPr>
  </w:style>
  <w:style w:type="table" w:styleId="TableGrid">
    <w:name w:val="Table Grid"/>
    <w:aliases w:val="CV1,TabelEcorys,Document Table"/>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List Paragraph1,Normal bullet 2,List Paragraph11,Bullet list,Normal bullet 21,List Paragraph111,Bullet list1,List Paragraph2,1st level - Bullet List Paragraph,Lettre d'introduction,Paragraph,Bullet EY,Bullet point 1"/>
    <w:basedOn w:val="Normal"/>
    <w:link w:val="ListParagraphChar"/>
    <w:uiPriority w:val="34"/>
    <w:qFormat/>
    <w:pPr>
      <w:spacing w:after="60" w:line="264" w:lineRule="auto"/>
      <w:contextualSpacing/>
    </w:pPr>
    <w:rPr>
      <w:rFonts w:asciiTheme="minorHAnsi" w:eastAsiaTheme="minorHAnsi" w:hAnsiTheme="minorHAnsi" w:cstheme="minorBidi"/>
      <w:sz w:val="20"/>
      <w:szCs w:val="22"/>
    </w:rPr>
  </w:style>
  <w:style w:type="character" w:customStyle="1" w:styleId="ListParagraphChar">
    <w:name w:val="List Paragraph Char"/>
    <w:aliases w:val="Numbered List Char,List Paragraph1 Char,Normal bullet 2 Char,List Paragraph11 Char,Bullet list Char,Normal bullet 21 Char,List Paragraph111 Char,Bullet list1 Char,List Paragraph2 Char,1st level - Bullet List Paragraph Char"/>
    <w:basedOn w:val="DefaultParagraphFont"/>
    <w:link w:val="ListParagraph"/>
    <w:uiPriority w:val="34"/>
    <w:rPr>
      <w:sz w:val="20"/>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BodyText"/>
    <w:link w:val="FootnoteTextChar"/>
    <w:uiPriority w:val="99"/>
    <w:unhideWhenUsed/>
    <w:qFormat/>
    <w:pPr>
      <w:spacing w:after="80" w:line="240" w:lineRule="auto"/>
    </w:pPr>
    <w:rPr>
      <w:sz w:val="16"/>
      <w:szCs w:val="20"/>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sz w:val="16"/>
      <w:szCs w:val="20"/>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basedOn w:val="DefaultParagraphFont"/>
    <w:link w:val="SUPERSCharCharCharCharCharCharCharChar"/>
    <w:uiPriority w:val="99"/>
    <w:unhideWhenUsed/>
    <w:qFormat/>
    <w:rPr>
      <w:vertAlign w:val="superscript"/>
    </w:rPr>
  </w:style>
  <w:style w:type="paragraph" w:customStyle="1" w:styleId="BodyText">
    <w:name w:val="BodyText"/>
    <w:basedOn w:val="Normal"/>
    <w:link w:val="BodyTextChar"/>
    <w:uiPriority w:val="99"/>
    <w:qFormat/>
    <w:pPr>
      <w:spacing w:after="60" w:line="264" w:lineRule="auto"/>
    </w:pPr>
    <w:rPr>
      <w:rFonts w:asciiTheme="minorHAnsi" w:eastAsiaTheme="minorHAnsi" w:hAnsiTheme="minorHAnsi" w:cstheme="minorBidi"/>
      <w:sz w:val="20"/>
      <w:szCs w:val="22"/>
    </w:rPr>
  </w:style>
  <w:style w:type="character" w:customStyle="1" w:styleId="BodyTextChar">
    <w:name w:val="BodyText Char"/>
    <w:basedOn w:val="DefaultParagraphFont"/>
    <w:link w:val="BodyText"/>
    <w:uiPriority w:val="99"/>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tabs>
        <w:tab w:val="left" w:pos="907"/>
      </w:tabs>
      <w:spacing w:before="60" w:after="60" w:line="240" w:lineRule="exact"/>
    </w:pPr>
    <w:rPr>
      <w:rFonts w:asciiTheme="minorHAnsi" w:eastAsiaTheme="minorHAnsi" w:hAnsiTheme="minorHAnsi" w:cstheme="minorBidi"/>
      <w:sz w:val="22"/>
      <w:szCs w:val="22"/>
      <w:vertAlign w:val="superscript"/>
    </w:rPr>
  </w:style>
  <w:style w:type="paragraph" w:styleId="ListContinue5">
    <w:name w:val="List Continue 5"/>
    <w:basedOn w:val="Normal"/>
    <w:pPr>
      <w:numPr>
        <w:numId w:val="6"/>
      </w:numPr>
      <w:spacing w:after="120"/>
    </w:pPr>
  </w:style>
  <w:style w:type="paragraph" w:customStyle="1" w:styleId="ListNumber1">
    <w:name w:val="List Number 1"/>
    <w:basedOn w:val="Normal"/>
    <w:pPr>
      <w:numPr>
        <w:ilvl w:val="1"/>
        <w:numId w:val="6"/>
      </w:numPr>
    </w:pPr>
  </w:style>
  <w:style w:type="paragraph" w:customStyle="1" w:styleId="ListNumber1Level2">
    <w:name w:val="List Number 1 (Level 2)"/>
    <w:basedOn w:val="Normal"/>
    <w:pPr>
      <w:numPr>
        <w:ilvl w:val="2"/>
        <w:numId w:val="6"/>
      </w:numPr>
    </w:pPr>
  </w:style>
  <w:style w:type="paragraph" w:customStyle="1" w:styleId="ListNumber1Level3">
    <w:name w:val="List Number 1 (Level 3)"/>
    <w:basedOn w:val="Normal"/>
    <w:pPr>
      <w:numPr>
        <w:ilvl w:val="3"/>
        <w:numId w:val="6"/>
      </w:numPr>
    </w:pPr>
  </w:style>
  <w:style w:type="paragraph" w:customStyle="1" w:styleId="Bullet1">
    <w:name w:val="Bullet 1"/>
    <w:basedOn w:val="BodyText"/>
    <w:link w:val="Bullet1Char"/>
    <w:qFormat/>
    <w:pPr>
      <w:numPr>
        <w:numId w:val="7"/>
      </w:numPr>
      <w:spacing w:after="40"/>
    </w:pPr>
    <w:rPr>
      <w:color w:val="000000" w:themeColor="text1"/>
      <w:szCs w:val="20"/>
    </w:rPr>
  </w:style>
  <w:style w:type="paragraph" w:customStyle="1" w:styleId="Bullet2">
    <w:name w:val="Bullet 2"/>
    <w:basedOn w:val="BodyText"/>
    <w:link w:val="Bullet2Char"/>
    <w:qFormat/>
    <w:pPr>
      <w:numPr>
        <w:numId w:val="8"/>
      </w:numPr>
      <w:spacing w:after="80"/>
      <w:ind w:left="680" w:hanging="340"/>
    </w:pPr>
    <w:rPr>
      <w:szCs w:val="20"/>
      <w:lang w:eastAsia="en-GB"/>
    </w:rPr>
  </w:style>
  <w:style w:type="character" w:customStyle="1" w:styleId="Bullet1Char">
    <w:name w:val="Bullet 1 Char"/>
    <w:basedOn w:val="ListParagraphChar"/>
    <w:link w:val="Bullet1"/>
    <w:rPr>
      <w:color w:val="000000" w:themeColor="text1"/>
      <w:sz w:val="20"/>
      <w:szCs w:val="20"/>
    </w:rPr>
  </w:style>
  <w:style w:type="character" w:customStyle="1" w:styleId="Bullet2Char">
    <w:name w:val="Bullet 2 Char"/>
    <w:basedOn w:val="ListParagraphChar"/>
    <w:link w:val="Bullet2"/>
    <w:rPr>
      <w:sz w:val="20"/>
      <w:szCs w:val="20"/>
      <w:lang w:eastAsia="en-GB"/>
    </w:rPr>
  </w:style>
  <w:style w:type="paragraph" w:styleId="NormalWeb">
    <w:name w:val="Normal (Web)"/>
    <w:basedOn w:val="Normal"/>
    <w:uiPriority w:val="99"/>
    <w:pPr>
      <w:spacing w:before="100" w:beforeAutospacing="1" w:after="100" w:afterAutospacing="1"/>
      <w:jc w:val="left"/>
    </w:pPr>
    <w:rPr>
      <w:szCs w:val="24"/>
      <w:lang w:eastAsia="en-GB"/>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BodyText"/>
    <w:next w:val="BodyText"/>
    <w:link w:val="CaptionChar"/>
    <w:unhideWhenUsed/>
    <w:qFormat/>
    <w:pPr>
      <w:keepNext/>
      <w:spacing w:before="360" w:after="0" w:line="240" w:lineRule="auto"/>
    </w:pPr>
    <w:rPr>
      <w:i/>
      <w:iCs/>
      <w:color w:val="1F497D" w:themeColor="text2"/>
      <w:sz w:val="18"/>
      <w:szCs w:val="18"/>
    </w:rPr>
  </w:style>
  <w:style w:type="character" w:styleId="SubtleEmphasis">
    <w:name w:val="Subtle Emphasis"/>
    <w:basedOn w:val="DefaultParagraphFont"/>
    <w:uiPriority w:val="19"/>
    <w:qFormat/>
    <w:rPr>
      <w:iCs/>
      <w:color w:val="595959" w:themeColor="text1" w:themeTint="A6"/>
      <w:sz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rPr>
      <w:i/>
      <w:iCs/>
      <w:color w:val="1F497D"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0">
    <w:name w:val="Body Text"/>
    <w:aliases w:val="Document,Doc,Body Text2,doc,Standard paragraph,(Norm),Body Text 12,bt,gl,uvlaka 2,heading3,Body Text - Level 2,1body,BodText,body text,Body Txt,Body Text-10,Body Text Char2,Text Char1,Τίτλος Μελέτης,- TF,Te,-,??t??? ?e??t??, (Norm)"/>
    <w:basedOn w:val="Normal"/>
    <w:link w:val="BodyTextChar0"/>
    <w:uiPriority w:val="99"/>
    <w:unhideWhenUsed/>
    <w:pPr>
      <w:spacing w:after="60" w:line="264" w:lineRule="auto"/>
    </w:pPr>
    <w:rPr>
      <w:rFonts w:asciiTheme="minorHAnsi" w:eastAsiaTheme="minorHAnsi" w:hAnsiTheme="minorHAnsi" w:cstheme="minorBidi"/>
      <w:sz w:val="20"/>
      <w:szCs w:val="22"/>
    </w:rPr>
  </w:style>
  <w:style w:type="character" w:customStyle="1" w:styleId="BodyTextChar0">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0"/>
    <w:uiPriority w:val="99"/>
    <w:rPr>
      <w:sz w:val="20"/>
    </w:rPr>
  </w:style>
  <w:style w:type="character" w:styleId="Hyperlink">
    <w:name w:val="Hyperlink"/>
    <w:basedOn w:val="DefaultParagraphFont"/>
    <w:uiPriority w:val="99"/>
    <w:unhideWhenUsed/>
    <w:rPr>
      <w:color w:val="0000FF" w:themeColor="hyperlink"/>
      <w:u w:val="single"/>
    </w:rPr>
  </w:style>
  <w:style w:type="table" w:customStyle="1" w:styleId="TechnopolisTable1">
    <w:name w:val="Technopolis Table1"/>
    <w:basedOn w:val="TableNormal"/>
    <w:pPr>
      <w:spacing w:before="60" w:after="0" w:line="240" w:lineRule="auto"/>
    </w:pPr>
    <w:rPr>
      <w:rFonts w:asciiTheme="majorHAnsi" w:hAnsiTheme="majorHAnsi"/>
      <w:sz w:val="16"/>
      <w:lang w:val="en-US"/>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paragraph" w:styleId="ListNumber">
    <w:name w:val="List Number"/>
    <w:basedOn w:val="Normal"/>
    <w:uiPriority w:val="99"/>
    <w:semiHidden/>
    <w:unhideWhenUsed/>
    <w:pPr>
      <w:numPr>
        <w:numId w:val="14"/>
      </w:numPr>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paragraph" w:customStyle="1" w:styleId="Text1">
    <w:name w:val="Text 1"/>
    <w:basedOn w:val="Normal"/>
    <w:link w:val="Text1Char"/>
    <w:pPr>
      <w:ind w:left="482"/>
    </w:pPr>
  </w:style>
  <w:style w:type="character" w:customStyle="1" w:styleId="Text1Char">
    <w:name w:val="Text 1 Char"/>
    <w:link w:val="Text1"/>
    <w:rPr>
      <w:rFonts w:ascii="Times New Roman" w:eastAsia="Times New Roman" w:hAnsi="Times New Roman" w:cs="Times New Roman"/>
      <w:sz w:val="24"/>
      <w:szCs w:val="20"/>
    </w:rPr>
  </w:style>
  <w:style w:type="paragraph" w:styleId="Title">
    <w:name w:val="Title"/>
    <w:basedOn w:val="Normal"/>
    <w:next w:val="BodyText"/>
    <w:link w:val="TitleChar"/>
    <w:uiPriority w:val="10"/>
    <w:qFormat/>
    <w:pPr>
      <w:spacing w:after="0"/>
      <w:contextualSpacing/>
    </w:pPr>
    <w:rPr>
      <w:rFonts w:asciiTheme="majorHAnsi" w:eastAsiaTheme="majorEastAsia" w:hAnsiTheme="majorHAnsi" w:cstheme="majorBidi"/>
      <w:spacing w:val="-10"/>
      <w:kern w:val="28"/>
      <w:sz w:val="54"/>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4"/>
      <w:szCs w:val="56"/>
    </w:rPr>
  </w:style>
  <w:style w:type="paragraph" w:customStyle="1" w:styleId="TableListNumber">
    <w:name w:val="Table List Number"/>
    <w:basedOn w:val="BodyText0"/>
    <w:uiPriority w:val="99"/>
    <w:pPr>
      <w:numPr>
        <w:numId w:val="17"/>
      </w:numPr>
      <w:spacing w:beforeLines="1" w:afterLines="1" w:after="0" w:line="240" w:lineRule="auto"/>
    </w:pPr>
    <w:rPr>
      <w:rFonts w:ascii="Verdana" w:eastAsia="Times New Roman" w:hAnsi="Verdana" w:cs="Times New Roman"/>
      <w:sz w:val="16"/>
      <w:szCs w:val="24"/>
    </w:rPr>
  </w:style>
  <w:style w:type="paragraph" w:customStyle="1" w:styleId="foot">
    <w:name w:val="foot"/>
    <w:basedOn w:val="BodyText"/>
    <w:link w:val="footChar"/>
    <w:qFormat/>
    <w:rPr>
      <w:rFonts w:ascii="Georgia" w:hAnsi="Georgia" w:cstheme="minorHAnsi"/>
      <w:sz w:val="16"/>
      <w:szCs w:val="16"/>
    </w:rPr>
  </w:style>
  <w:style w:type="character" w:customStyle="1" w:styleId="footChar">
    <w:name w:val="foot Char"/>
    <w:basedOn w:val="BodyTextChar"/>
    <w:link w:val="foot"/>
    <w:rPr>
      <w:rFonts w:ascii="Georgia" w:hAnsi="Georgia" w:cstheme="minorHAnsi"/>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pPr>
      <w:keepNext/>
      <w:keepLines/>
      <w:spacing w:before="480" w:after="0" w:line="276" w:lineRule="auto"/>
      <w:ind w:right="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15861">
      <w:bodyDiv w:val="1"/>
      <w:marLeft w:val="0"/>
      <w:marRight w:val="0"/>
      <w:marTop w:val="0"/>
      <w:marBottom w:val="0"/>
      <w:divBdr>
        <w:top w:val="none" w:sz="0" w:space="0" w:color="auto"/>
        <w:left w:val="none" w:sz="0" w:space="0" w:color="auto"/>
        <w:bottom w:val="none" w:sz="0" w:space="0" w:color="auto"/>
        <w:right w:val="none" w:sz="0" w:space="0" w:color="auto"/>
      </w:divBdr>
    </w:div>
    <w:div w:id="820004340">
      <w:bodyDiv w:val="1"/>
      <w:marLeft w:val="0"/>
      <w:marRight w:val="0"/>
      <w:marTop w:val="0"/>
      <w:marBottom w:val="0"/>
      <w:divBdr>
        <w:top w:val="none" w:sz="0" w:space="0" w:color="auto"/>
        <w:left w:val="none" w:sz="0" w:space="0" w:color="auto"/>
        <w:bottom w:val="none" w:sz="0" w:space="0" w:color="auto"/>
        <w:right w:val="none" w:sz="0" w:space="0" w:color="auto"/>
      </w:divBdr>
    </w:div>
    <w:div w:id="14410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3CAB5EFB633234EB37416E0B13EFA77" ma:contentTypeVersion="1" ma:contentTypeDescription="Create a new document in this library." ma:contentTypeScope="" ma:versionID="8f26cec793fae50f81b192d001baf1f5">
  <xsd:schema xmlns:xsd="http://www.w3.org/2001/XMLSchema" xmlns:xs="http://www.w3.org/2001/XMLSchema" xmlns:p="http://schemas.microsoft.com/office/2006/metadata/properties" xmlns:ns2="http://schemas.microsoft.com/sharepoint/v3/fields" xmlns:ns3="8b30baba-f333-4604-b039-34bb09f8a252" targetNamespace="http://schemas.microsoft.com/office/2006/metadata/properties" ma:root="true" ma:fieldsID="ebe0bdfc59edf5c4d086ab760b40170d" ns2:_="" ns3:_="">
    <xsd:import namespace="http://schemas.microsoft.com/sharepoint/v3/fields"/>
    <xsd:import namespace="8b30baba-f333-4604-b039-34bb09f8a25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30baba-f333-4604-b039-34bb09f8a2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8b30baba-f333-4604-b039-34bb09f8a252">EN</EC_Collab_DocumentLanguage>
    <_Status xmlns="http://schemas.microsoft.com/sharepoint/v3/fields">Not Started</_Status>
    <EC_Collab_Status xmlns="8b30baba-f333-4604-b039-34bb09f8a252">Final</EC_Collab_Status>
    <EC_Collab_Reference xmlns="8b30baba-f333-4604-b039-34bb09f8a2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576F-7F89-4A56-AC0B-5324D6C7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b30baba-f333-4604-b039-34bb09f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A0781-AB72-4420-B146-99A8643127E5}">
  <ds:schemaRefs>
    <ds:schemaRef ds:uri="http://schemas.microsoft.com/office/2006/documentManagement/types"/>
    <ds:schemaRef ds:uri="8b30baba-f333-4604-b039-34bb09f8a252"/>
    <ds:schemaRef ds:uri="http://schemas.microsoft.com/office/infopath/2007/PartnerControls"/>
    <ds:schemaRef ds:uri="http://schemas.openxmlformats.org/package/2006/metadata/core-properties"/>
    <ds:schemaRef ds:uri="http://purl.org/dc/elements/1.1/"/>
    <ds:schemaRef ds:uri="http://purl.org/dc/dcmitype/"/>
    <ds:schemaRef ds:uri="http://schemas.microsoft.com/sharepoint/v3/field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E8B6086-92CC-401E-88BC-0128C0C68AEF}">
  <ds:schemaRefs>
    <ds:schemaRef ds:uri="http://schemas.microsoft.com/sharepoint/v3/contenttype/forms"/>
  </ds:schemaRefs>
</ds:datastoreItem>
</file>

<file path=customXml/itemProps4.xml><?xml version="1.0" encoding="utf-8"?>
<ds:datastoreItem xmlns:ds="http://schemas.openxmlformats.org/officeDocument/2006/customXml" ds:itemID="{9ABC6649-5E16-4CDE-BCDC-A4EDEF21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3009</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2017-07-24T06:14:00Z</cp:lastPrinted>
  <dcterms:created xsi:type="dcterms:W3CDTF">2017-12-11T15:38:00Z</dcterms:created>
  <dcterms:modified xsi:type="dcterms:W3CDTF">2017-12-19T09:28:00Z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0x010100258AA79CEB83498886A3A086811232500083CAB5EFB633234EB37416E0B13EFA77</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