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ECFC27-0C5C-4D94-9191-F812521294A5" style="width:450.4pt;height:512.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Heading1"/>
        <w:spacing w:after="200"/>
        <w:ind w:right="0"/>
        <w:jc w:val="center"/>
        <w:rPr>
          <w:rFonts w:ascii="Times New Roman Bold" w:hAnsi="Times New Roman Bold"/>
          <w:caps/>
          <w:noProof/>
          <w:szCs w:val="24"/>
        </w:rPr>
      </w:pPr>
      <w:bookmarkStart w:id="1" w:name="_Toc412809023"/>
      <w:bookmarkStart w:id="2" w:name="_Toc412809358"/>
      <w:bookmarkStart w:id="3" w:name="_Toc412809689"/>
      <w:bookmarkStart w:id="4" w:name="_Toc412817948"/>
      <w:bookmarkStart w:id="5" w:name="_Toc412821532"/>
      <w:bookmarkStart w:id="6" w:name="_GoBack"/>
      <w:bookmarkEnd w:id="6"/>
      <w:r>
        <w:rPr>
          <w:rFonts w:ascii="Times New Roman Bold" w:hAnsi="Times New Roman Bold"/>
          <w:caps/>
          <w:noProof/>
        </w:rPr>
        <w:lastRenderedPageBreak/>
        <w:t>Résumé</w:t>
      </w:r>
    </w:p>
    <w:p>
      <w:pPr>
        <w:spacing w:after="200"/>
        <w:rPr>
          <w:noProof/>
          <w:szCs w:val="24"/>
        </w:rPr>
      </w:pPr>
      <w:r>
        <w:rPr>
          <w:noProof/>
        </w:rPr>
        <w:t xml:space="preserve">Le </w:t>
      </w:r>
      <w:r>
        <w:rPr>
          <w:b/>
          <w:noProof/>
        </w:rPr>
        <w:t>règlement (CE) nº 765/2008</w:t>
      </w:r>
      <w:r>
        <w:rPr>
          <w:noProof/>
        </w:rPr>
        <w:t>, applicable depuis le 1</w:t>
      </w:r>
      <w:r>
        <w:rPr>
          <w:noProof/>
          <w:vertAlign w:val="superscript"/>
        </w:rPr>
        <w:t>er</w:t>
      </w:r>
      <w:r>
        <w:rPr>
          <w:noProof/>
        </w:rPr>
        <w:t xml:space="preserve"> janvier 2010, fixe un cadre pour la surveillance du marché des produits visant à </w:t>
      </w:r>
      <w:r>
        <w:rPr>
          <w:i/>
          <w:noProof/>
        </w:rPr>
        <w:t>protéger les intérêts publics grâce à la réduction du nombre de produits non conformes sur le marché intérieur de l'UE</w:t>
      </w:r>
      <w:r>
        <w:rPr>
          <w:noProof/>
        </w:rPr>
        <w:t xml:space="preserve"> et à </w:t>
      </w:r>
      <w:r>
        <w:rPr>
          <w:i/>
          <w:noProof/>
        </w:rPr>
        <w:t>garantir l'égalité des conditions de concurrence entre les opérateurs économiques</w:t>
      </w:r>
      <w:r>
        <w:rPr>
          <w:noProof/>
        </w:rPr>
        <w:t xml:space="preserve">. Les conclusions de l'évaluation sont les suivantes: </w:t>
      </w:r>
    </w:p>
    <w:p>
      <w:pPr>
        <w:spacing w:after="200"/>
        <w:rPr>
          <w:b/>
          <w:noProof/>
          <w:szCs w:val="24"/>
          <w:u w:val="single"/>
        </w:rPr>
      </w:pPr>
      <w:r>
        <w:rPr>
          <w:b/>
          <w:noProof/>
          <w:u w:val="single"/>
        </w:rPr>
        <w:t>Efficacité</w:t>
      </w:r>
    </w:p>
    <w:p>
      <w:pPr>
        <w:pStyle w:val="Text1"/>
        <w:spacing w:after="200"/>
        <w:ind w:left="0"/>
        <w:rPr>
          <w:noProof/>
        </w:rPr>
      </w:pPr>
      <w:r>
        <w:rPr>
          <w:noProof/>
        </w:rPr>
        <w:t xml:space="preserve">Le règlement n'a été </w:t>
      </w:r>
      <w:r>
        <w:rPr>
          <w:b/>
          <w:noProof/>
        </w:rPr>
        <w:t>que</w:t>
      </w:r>
      <w:r>
        <w:rPr>
          <w:noProof/>
        </w:rPr>
        <w:t xml:space="preserve"> </w:t>
      </w:r>
      <w:r>
        <w:rPr>
          <w:b/>
          <w:noProof/>
        </w:rPr>
        <w:t>partiellement efficace</w:t>
      </w:r>
      <w:r>
        <w:rPr>
          <w:noProof/>
        </w:rPr>
        <w:t>.</w:t>
      </w:r>
      <w:r>
        <w:rPr>
          <w:b/>
          <w:noProof/>
        </w:rPr>
        <w:t xml:space="preserve"> </w:t>
      </w:r>
    </w:p>
    <w:p>
      <w:pPr>
        <w:pStyle w:val="Text1"/>
        <w:numPr>
          <w:ilvl w:val="0"/>
          <w:numId w:val="29"/>
        </w:numPr>
        <w:spacing w:after="200"/>
        <w:ind w:left="426"/>
        <w:rPr>
          <w:noProof/>
        </w:rPr>
      </w:pPr>
      <w:r>
        <w:rPr>
          <w:noProof/>
        </w:rPr>
        <w:t xml:space="preserve">Bien que </w:t>
      </w:r>
      <w:r>
        <w:rPr>
          <w:b/>
          <w:noProof/>
        </w:rPr>
        <w:t>la coordination et la coopération</w:t>
      </w:r>
      <w:r>
        <w:rPr>
          <w:noProof/>
        </w:rPr>
        <w:t xml:space="preserve"> se soient considérablement développées, elles n'ont pas encore atteint un niveau satisfaisant. Les États membres n'utilisent pas suffisamment les outils disponibles pour la coopération transfrontalière. Les autorités de surveillance du marché et les services des douanes ne font qu'un usage limité de leurs constatations respectives. Malgré l'importance cruciale de la coopération administrative, plusieurs groupes de coopération administrative se caractérisent par une absence de participation active.</w:t>
      </w:r>
    </w:p>
    <w:p>
      <w:pPr>
        <w:pStyle w:val="Text1"/>
        <w:numPr>
          <w:ilvl w:val="0"/>
          <w:numId w:val="29"/>
        </w:numPr>
        <w:spacing w:after="200"/>
        <w:ind w:left="426"/>
        <w:rPr>
          <w:noProof/>
        </w:rPr>
      </w:pPr>
      <w:r>
        <w:rPr>
          <w:b/>
          <w:noProof/>
        </w:rPr>
        <w:t>Une surveillance uniforme et rigoureuse du marché n'a pas encore été mise en place</w:t>
      </w:r>
      <w:r>
        <w:rPr>
          <w:noProof/>
        </w:rPr>
        <w:t>, en raison de différences considérables entre les États membres en matière d'organisation, de disponibilité de ressources, de pouvoirs d'inspection/de sanction et de systèmes de suivi/rapports.</w:t>
      </w:r>
    </w:p>
    <w:p>
      <w:pPr>
        <w:pStyle w:val="Text1"/>
        <w:numPr>
          <w:ilvl w:val="0"/>
          <w:numId w:val="30"/>
        </w:numPr>
        <w:spacing w:after="200"/>
        <w:ind w:left="426"/>
        <w:rPr>
          <w:noProof/>
        </w:rPr>
      </w:pPr>
      <w:r>
        <w:rPr>
          <w:noProof/>
        </w:rPr>
        <w:t xml:space="preserve">Les </w:t>
      </w:r>
      <w:r>
        <w:rPr>
          <w:b/>
          <w:noProof/>
        </w:rPr>
        <w:t>contrôles aux frontières sur les produits importés</w:t>
      </w:r>
      <w:r>
        <w:rPr>
          <w:noProof/>
        </w:rPr>
        <w:t xml:space="preserve"> semblent insuffisants, à cause principalement d'une absence de compétence des autorités en dehors de leurs territoires. </w:t>
      </w:r>
    </w:p>
    <w:p>
      <w:pPr>
        <w:keepNext/>
        <w:spacing w:after="200"/>
        <w:rPr>
          <w:b/>
          <w:noProof/>
          <w:szCs w:val="24"/>
          <w:u w:val="single"/>
        </w:rPr>
      </w:pPr>
      <w:r>
        <w:rPr>
          <w:b/>
          <w:noProof/>
          <w:u w:val="single"/>
        </w:rPr>
        <w:t>Efficience</w:t>
      </w:r>
    </w:p>
    <w:p>
      <w:pPr>
        <w:pStyle w:val="Text1"/>
        <w:spacing w:after="200"/>
        <w:ind w:left="0"/>
        <w:rPr>
          <w:noProof/>
        </w:rPr>
      </w:pPr>
      <w:r>
        <w:rPr>
          <w:rFonts w:eastAsiaTheme="minorHAnsi"/>
          <w:b/>
          <w:noProof/>
        </w:rPr>
        <w:t>La plupart des coûts occasionnés par les dispositions sont supportés par les autorités des États membres.</w:t>
      </w:r>
      <w:r>
        <w:rPr>
          <w:noProof/>
        </w:rPr>
        <w:t xml:space="preserve"> Les coûts varient considérablement en fonction des modèles d'organisation nationaux, qui peuvent, le cas échéant, nécessiter des ressources différentes. Il n'existe pas de corrélation entre les budgets annuels moyens alloués et la taille du marché. Toutefois, l'analyse a été limitée par la qualité médiocre des données contenues dans les rapports.</w:t>
      </w:r>
    </w:p>
    <w:p>
      <w:pPr>
        <w:pStyle w:val="Text1"/>
        <w:spacing w:after="200"/>
        <w:ind w:left="0"/>
        <w:rPr>
          <w:noProof/>
          <w:szCs w:val="24"/>
        </w:rPr>
      </w:pPr>
      <w:r>
        <w:rPr>
          <w:noProof/>
        </w:rPr>
        <w:t xml:space="preserve">En ce qui concerne les </w:t>
      </w:r>
      <w:r>
        <w:rPr>
          <w:b/>
          <w:noProof/>
        </w:rPr>
        <w:t>coûts à la charge des opérateurs économiques</w:t>
      </w:r>
      <w:r>
        <w:rPr>
          <w:noProof/>
        </w:rPr>
        <w:t xml:space="preserve">, les coûts d'information sont considérés comme négligeables. Les entreprises se préoccupent de l'incidence négative qu'ont sur elles les incohérences généralisées dans l'approche adoptée par les différents États membres. Elles soulignent également que le mécanisme de mise en application ne peut pas créer une égalité des conditions de concurrence pour les entreprises qui vendent des produits sur le marché intérieur. S'agissant des </w:t>
      </w:r>
      <w:r>
        <w:rPr>
          <w:b/>
          <w:noProof/>
        </w:rPr>
        <w:t>avantages procurés</w:t>
      </w:r>
      <w:r>
        <w:rPr>
          <w:noProof/>
        </w:rPr>
        <w:t xml:space="preserve">, le règlement n'a pas atteint </w:t>
      </w:r>
      <w:r>
        <w:rPr>
          <w:b/>
          <w:noProof/>
        </w:rPr>
        <w:t>son</w:t>
      </w:r>
      <w:r>
        <w:rPr>
          <w:noProof/>
        </w:rPr>
        <w:t xml:space="preserve"> </w:t>
      </w:r>
      <w:r>
        <w:rPr>
          <w:b/>
          <w:noProof/>
        </w:rPr>
        <w:t>objectif d'améliorer la sécurité pour les consommateurs/utilisateurs et d'assurer l'égalité des conditions de concurrence pour les entreprises</w:t>
      </w:r>
      <w:r>
        <w:rPr>
          <w:noProof/>
        </w:rPr>
        <w:t>, compte tenu de la persistance ou de l'augmentation mentionnée du nombre de produits non conformes.</w:t>
      </w:r>
    </w:p>
    <w:p>
      <w:pPr>
        <w:spacing w:after="200"/>
        <w:rPr>
          <w:b/>
          <w:noProof/>
          <w:szCs w:val="24"/>
          <w:u w:val="single"/>
        </w:rPr>
      </w:pPr>
      <w:r>
        <w:rPr>
          <w:b/>
          <w:noProof/>
          <w:u w:val="single"/>
        </w:rPr>
        <w:t xml:space="preserve">Pertinence </w:t>
      </w:r>
    </w:p>
    <w:p>
      <w:pPr>
        <w:pStyle w:val="Text1"/>
        <w:spacing w:after="200"/>
        <w:ind w:left="0"/>
        <w:rPr>
          <w:noProof/>
        </w:rPr>
      </w:pPr>
      <w:r>
        <w:rPr>
          <w:noProof/>
        </w:rPr>
        <w:t xml:space="preserve">Les </w:t>
      </w:r>
      <w:r>
        <w:rPr>
          <w:b/>
          <w:noProof/>
        </w:rPr>
        <w:t>définitions</w:t>
      </w:r>
      <w:r>
        <w:rPr>
          <w:noProof/>
        </w:rPr>
        <w:t xml:space="preserve"> du règlement sont généralement claires et appropriées, mais elles ne sont ni complètes ni actuelles, notamment en ce qui concerne les évolutions nouvelles ou naissantes (ventes en ligne, par exemple). </w:t>
      </w:r>
    </w:p>
    <w:p>
      <w:pPr>
        <w:spacing w:after="200" w:line="276" w:lineRule="auto"/>
        <w:jc w:val="left"/>
        <w:rPr>
          <w:b/>
          <w:noProof/>
          <w:u w:val="single"/>
        </w:rPr>
      </w:pPr>
      <w:r>
        <w:rPr>
          <w:b/>
          <w:noProof/>
          <w:u w:val="single"/>
        </w:rPr>
        <w:br w:type="page"/>
      </w:r>
    </w:p>
    <w:p>
      <w:pPr>
        <w:spacing w:after="200"/>
        <w:rPr>
          <w:b/>
          <w:noProof/>
          <w:szCs w:val="24"/>
          <w:u w:val="single"/>
        </w:rPr>
      </w:pPr>
      <w:r>
        <w:rPr>
          <w:b/>
          <w:noProof/>
          <w:u w:val="single"/>
        </w:rPr>
        <w:lastRenderedPageBreak/>
        <w:t xml:space="preserve">Cohérence </w:t>
      </w:r>
    </w:p>
    <w:p>
      <w:pPr>
        <w:pStyle w:val="BodyText"/>
        <w:spacing w:after="200" w:line="240" w:lineRule="auto"/>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cohérence interne</w:t>
      </w:r>
      <w:r>
        <w:rPr>
          <w:rFonts w:ascii="Times New Roman" w:hAnsi="Times New Roman"/>
          <w:noProof/>
          <w:sz w:val="24"/>
        </w:rPr>
        <w:t xml:space="preserve"> du règlement n'a pas été remise en question. Pour ce qui est de la </w:t>
      </w:r>
      <w:r>
        <w:rPr>
          <w:rFonts w:ascii="Times New Roman" w:hAnsi="Times New Roman"/>
          <w:b/>
          <w:noProof/>
          <w:sz w:val="24"/>
        </w:rPr>
        <w:t>cohérence externe</w:t>
      </w:r>
      <w:r>
        <w:rPr>
          <w:rFonts w:ascii="Times New Roman" w:hAnsi="Times New Roman"/>
          <w:noProof/>
          <w:sz w:val="24"/>
        </w:rPr>
        <w:t xml:space="preserve">, certains problèmes ont été mis en évidence par rapport à la directive sur la sécurité générale des produits, en ce qui concerne la délimitation claire et l'alignement des définitions. Ces problèmes ont été traités dans la proposition présentée en 2013. La cohérence du règlement avec les directives sectorielles est suffisamment garantie par la disposition relative à la </w:t>
      </w:r>
      <w:r>
        <w:rPr>
          <w:rFonts w:ascii="Times New Roman" w:hAnsi="Times New Roman"/>
          <w:i/>
          <w:noProof/>
          <w:sz w:val="24"/>
        </w:rPr>
        <w:t>lex specialis</w:t>
      </w:r>
      <w:r>
        <w:rPr>
          <w:rFonts w:ascii="Times New Roman" w:hAnsi="Times New Roman"/>
          <w:noProof/>
          <w:sz w:val="24"/>
        </w:rPr>
        <w:t xml:space="preserve">. Même si elles n'empêchent pas la mise en œuvre du règlement, certaines divergences et lacunes au niveau des définitions et de la terminologie pourraient nuire à la clarté globale du cadre pour la surveillance du marché. </w:t>
      </w:r>
    </w:p>
    <w:p>
      <w:pPr>
        <w:spacing w:after="200"/>
        <w:rPr>
          <w:b/>
          <w:noProof/>
          <w:szCs w:val="24"/>
          <w:u w:val="single"/>
        </w:rPr>
      </w:pPr>
      <w:r>
        <w:rPr>
          <w:b/>
          <w:noProof/>
          <w:u w:val="single"/>
        </w:rPr>
        <w:t>Valeur ajoutée de l'UE</w:t>
      </w:r>
    </w:p>
    <w:p>
      <w:pPr>
        <w:pStyle w:val="Text1"/>
        <w:spacing w:after="200"/>
        <w:ind w:left="0"/>
        <w:rPr>
          <w:noProof/>
          <w:szCs w:val="24"/>
        </w:rPr>
      </w:pPr>
      <w:r>
        <w:rPr>
          <w:noProof/>
        </w:rPr>
        <w:t xml:space="preserve">Les avantages de disposer d'un </w:t>
      </w:r>
      <w:r>
        <w:rPr>
          <w:b/>
          <w:noProof/>
        </w:rPr>
        <w:t>acte législatif européen unique</w:t>
      </w:r>
      <w:r>
        <w:rPr>
          <w:noProof/>
        </w:rPr>
        <w:t xml:space="preserve"> au lieu de plusieurs actes législatifs nationaux différents sont largement reconnus. En particulier, les </w:t>
      </w:r>
      <w:r>
        <w:rPr>
          <w:b/>
          <w:noProof/>
        </w:rPr>
        <w:t>systèmes d'information</w:t>
      </w:r>
      <w:r>
        <w:rPr>
          <w:noProof/>
        </w:rPr>
        <w:t xml:space="preserve"> communs favoriseraient la coopération administrative. Dans l'ensemble, </w:t>
      </w:r>
      <w:r>
        <w:rPr>
          <w:b/>
          <w:noProof/>
        </w:rPr>
        <w:t>la capacité du règlement à réaliser la</w:t>
      </w:r>
      <w:r>
        <w:rPr>
          <w:noProof/>
        </w:rPr>
        <w:t xml:space="preserve"> </w:t>
      </w:r>
      <w:r>
        <w:rPr>
          <w:b/>
          <w:noProof/>
        </w:rPr>
        <w:t>pleine valeur ajoutée de l'UE reste entravée</w:t>
      </w:r>
      <w:r>
        <w:rPr>
          <w:noProof/>
        </w:rPr>
        <w:t xml:space="preserve"> par le niveau sous</w:t>
      </w:r>
      <w:r>
        <w:rPr>
          <w:noProof/>
        </w:rPr>
        <w:noBreakHyphen/>
        <w:t>optimal de l'échange d'informations et de la coopération par</w:t>
      </w:r>
      <w:r>
        <w:rPr>
          <w:noProof/>
        </w:rPr>
        <w:noBreakHyphen/>
        <w:t xml:space="preserve">delà les frontières, ainsi que par l'absence d'une mise en œuvre uniforme du cadre de surveillance du marché. </w:t>
      </w:r>
      <w:bookmarkEnd w:id="1"/>
      <w:bookmarkEnd w:id="2"/>
      <w:bookmarkEnd w:id="3"/>
      <w:bookmarkEnd w:id="4"/>
      <w:bookmarkEnd w:id="5"/>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116433790"/>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F14C1A6"/>
    <w:lvl w:ilvl="0">
      <w:start w:val="1"/>
      <w:numFmt w:val="decimal"/>
      <w:pStyle w:val="ListNumber"/>
      <w:lvlText w:val="%1."/>
      <w:lvlJc w:val="left"/>
      <w:pPr>
        <w:tabs>
          <w:tab w:val="num" w:pos="360"/>
        </w:tabs>
        <w:ind w:left="360" w:hanging="360"/>
      </w:pPr>
    </w:lvl>
  </w:abstractNum>
  <w:abstractNum w:abstractNumId="1">
    <w:nsid w:val="FFFFFF89"/>
    <w:multiLevelType w:val="singleLevel"/>
    <w:tmpl w:val="81C253F4"/>
    <w:lvl w:ilvl="0">
      <w:start w:val="1"/>
      <w:numFmt w:val="bullet"/>
      <w:lvlText w:val=""/>
      <w:lvlJc w:val="left"/>
      <w:pPr>
        <w:tabs>
          <w:tab w:val="num" w:pos="360"/>
        </w:tabs>
        <w:ind w:left="360" w:hanging="360"/>
      </w:pPr>
      <w:rPr>
        <w:rFonts w:ascii="Symbol" w:hAnsi="Symbol" w:hint="default"/>
      </w:rPr>
    </w:lvl>
  </w:abstractNum>
  <w:abstractNum w:abstractNumId="2">
    <w:nsid w:val="032023F9"/>
    <w:multiLevelType w:val="hybridMultilevel"/>
    <w:tmpl w:val="8E9C761E"/>
    <w:lvl w:ilvl="0" w:tplc="F3D60504">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0D150011"/>
    <w:multiLevelType w:val="hybridMultilevel"/>
    <w:tmpl w:val="8E9C761E"/>
    <w:lvl w:ilvl="0" w:tplc="F3D60504">
      <w:start w:val="1"/>
      <w:numFmt w:val="decimal"/>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DDC6852"/>
    <w:multiLevelType w:val="hybridMultilevel"/>
    <w:tmpl w:val="E16C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715AB4"/>
    <w:multiLevelType w:val="hybridMultilevel"/>
    <w:tmpl w:val="E0F2448E"/>
    <w:lvl w:ilvl="0" w:tplc="8C80978A">
      <w:start w:val="1"/>
      <w:numFmt w:val="bullet"/>
      <w:lvlText w:val=""/>
      <w:lvlJc w:val="left"/>
      <w:pPr>
        <w:ind w:left="720" w:hanging="360"/>
      </w:pPr>
      <w:rPr>
        <w:rFonts w:ascii="Symbol" w:hAnsi="Symbol" w:hint="default"/>
        <w:color w:val="4F81BD" w:themeColor="accent1"/>
        <w:spacing w:val="30"/>
      </w:rPr>
    </w:lvl>
    <w:lvl w:ilvl="1" w:tplc="65586054">
      <w:start w:val="1"/>
      <w:numFmt w:val="bullet"/>
      <w:lvlText w:val="­"/>
      <w:lvlJc w:val="left"/>
      <w:pPr>
        <w:ind w:left="1440" w:hanging="360"/>
      </w:pPr>
      <w:rPr>
        <w:rFonts w:ascii="Courier New" w:hAnsi="Courier New" w:hint="default"/>
        <w:color w:val="4F81BD" w:themeColor="accent1"/>
      </w:rPr>
    </w:lvl>
    <w:lvl w:ilvl="2" w:tplc="4E2C6CE2">
      <w:start w:val="1"/>
      <w:numFmt w:val="bullet"/>
      <w:lvlText w:val="◦"/>
      <w:lvlJc w:val="left"/>
      <w:pPr>
        <w:ind w:left="2160" w:hanging="36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C3B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176333"/>
    <w:multiLevelType w:val="hybridMultilevel"/>
    <w:tmpl w:val="30A6B126"/>
    <w:lvl w:ilvl="0" w:tplc="D0BC6C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12F0040C"/>
    <w:lvl w:ilvl="0">
      <w:start w:val="1"/>
      <w:numFmt w:val="decimal"/>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766D46"/>
    <w:multiLevelType w:val="hybridMultilevel"/>
    <w:tmpl w:val="908252B4"/>
    <w:lvl w:ilvl="0" w:tplc="0410000F">
      <w:start w:val="1"/>
      <w:numFmt w:val="decimal"/>
      <w:lvlText w:val="%1."/>
      <w:lvlJc w:val="left"/>
      <w:pPr>
        <w:ind w:left="720" w:hanging="360"/>
      </w:pPr>
    </w:lvl>
    <w:lvl w:ilvl="1" w:tplc="49B8AF16">
      <w:start w:val="1"/>
      <w:numFmt w:val="decimal"/>
      <w:lvlText w:val="EQ%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2DD3599"/>
    <w:multiLevelType w:val="multilevel"/>
    <w:tmpl w:val="4EAA5BA6"/>
    <w:lvl w:ilvl="0">
      <w:start w:val="1"/>
      <w:numFmt w:val="decimal"/>
      <w:pStyle w:val="ListContinue5"/>
      <w:lvlText w:val="(%1)"/>
      <w:lvlJc w:val="left"/>
      <w:pPr>
        <w:tabs>
          <w:tab w:val="num" w:pos="709"/>
        </w:tabs>
        <w:ind w:left="709" w:hanging="709"/>
      </w:pPr>
    </w:lvl>
    <w:lvl w:ilvl="1">
      <w:start w:val="1"/>
      <w:numFmt w:val="lowerLetter"/>
      <w:pStyle w:val="ListNumber1"/>
      <w:lvlText w:val="(%2)"/>
      <w:lvlJc w:val="left"/>
      <w:pPr>
        <w:tabs>
          <w:tab w:val="num" w:pos="1134"/>
        </w:tabs>
        <w:ind w:left="1134" w:hanging="708"/>
      </w:pPr>
    </w:lvl>
    <w:lvl w:ilvl="2">
      <w:start w:val="1"/>
      <w:numFmt w:val="bullet"/>
      <w:pStyle w:val="ListNumber1Level2"/>
      <w:lvlText w:val="–"/>
      <w:lvlJc w:val="left"/>
      <w:pPr>
        <w:tabs>
          <w:tab w:val="num" w:pos="2126"/>
        </w:tabs>
        <w:ind w:left="2126" w:hanging="709"/>
      </w:pPr>
      <w:rPr>
        <w:rFonts w:ascii="Times New Roman" w:hAnsi="Times New Roman"/>
      </w:rPr>
    </w:lvl>
    <w:lvl w:ilvl="3">
      <w:start w:val="1"/>
      <w:numFmt w:val="bullet"/>
      <w:pStyle w:val="ListNumber1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1F4016"/>
    <w:multiLevelType w:val="hybridMultilevel"/>
    <w:tmpl w:val="898AD31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nsid w:val="2D2117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D22718"/>
    <w:multiLevelType w:val="hybridMultilevel"/>
    <w:tmpl w:val="F0AA3BC0"/>
    <w:lvl w:ilvl="0" w:tplc="7C4C0308">
      <w:start w:val="1"/>
      <w:numFmt w:val="bullet"/>
      <w:lvlText w:val=""/>
      <w:lvlJc w:val="left"/>
      <w:pPr>
        <w:ind w:left="720" w:hanging="360"/>
      </w:pPr>
      <w:rPr>
        <w:rFonts w:ascii="Symbol" w:hAnsi="Symbol" w:hint="default"/>
        <w:color w:val="4F81BD" w:themeColor="accent1"/>
        <w:spacing w:val="30"/>
      </w:rPr>
    </w:lvl>
    <w:lvl w:ilvl="1" w:tplc="65586054">
      <w:start w:val="1"/>
      <w:numFmt w:val="bullet"/>
      <w:lvlText w:val="­"/>
      <w:lvlJc w:val="left"/>
      <w:pPr>
        <w:ind w:left="1440" w:hanging="360"/>
      </w:pPr>
      <w:rPr>
        <w:rFonts w:ascii="Courier New" w:hAnsi="Courier New" w:hint="default"/>
        <w:color w:val="4F81BD" w:themeColor="accent1"/>
      </w:rPr>
    </w:lvl>
    <w:lvl w:ilvl="2" w:tplc="4E2C6CE2">
      <w:start w:val="1"/>
      <w:numFmt w:val="bullet"/>
      <w:lvlText w:val="◦"/>
      <w:lvlJc w:val="left"/>
      <w:pPr>
        <w:ind w:left="2160" w:hanging="36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EE75C0D"/>
    <w:multiLevelType w:val="hybridMultilevel"/>
    <w:tmpl w:val="685C2D2A"/>
    <w:lvl w:ilvl="0" w:tplc="902094F2">
      <w:start w:val="1"/>
      <w:numFmt w:val="bullet"/>
      <w:lvlText w:val="­"/>
      <w:lvlJc w:val="left"/>
      <w:pPr>
        <w:ind w:left="2520" w:hanging="360"/>
      </w:pPr>
      <w:rPr>
        <w:rFonts w:ascii="Courier New" w:hAnsi="Courier New" w:hint="default"/>
        <w:color w:val="4F81BD" w:themeColor="accent1"/>
      </w:rPr>
    </w:lvl>
    <w:lvl w:ilvl="1" w:tplc="9B56AFBE">
      <w:start w:val="1"/>
      <w:numFmt w:val="bullet"/>
      <w:lvlText w:val="-"/>
      <w:lvlJc w:val="left"/>
      <w:pPr>
        <w:ind w:left="3240" w:hanging="360"/>
      </w:pPr>
      <w:rPr>
        <w:rFonts w:ascii="Times" w:hAnsi="Times"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6">
    <w:nsid w:val="45F33DE4"/>
    <w:multiLevelType w:val="hybridMultilevel"/>
    <w:tmpl w:val="19D6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E7540"/>
    <w:multiLevelType w:val="hybridMultilevel"/>
    <w:tmpl w:val="E4AA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B80595"/>
    <w:multiLevelType w:val="hybridMultilevel"/>
    <w:tmpl w:val="AD5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366BA"/>
    <w:multiLevelType w:val="hybridMultilevel"/>
    <w:tmpl w:val="8EA49AD0"/>
    <w:lvl w:ilvl="0" w:tplc="1954F662">
      <w:start w:val="1"/>
      <w:numFmt w:val="bullet"/>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17B6462"/>
    <w:multiLevelType w:val="hybridMultilevel"/>
    <w:tmpl w:val="93FEEC50"/>
    <w:lvl w:ilvl="0" w:tplc="3E14F28C">
      <w:start w:val="1"/>
      <w:numFmt w:val="bullet"/>
      <w:pStyle w:val="Bullet1"/>
      <w:lvlText w:val=""/>
      <w:lvlJc w:val="left"/>
      <w:pPr>
        <w:ind w:left="1440" w:hanging="360"/>
      </w:pPr>
      <w:rPr>
        <w:rFonts w:ascii="Symbol" w:hAnsi="Symbol" w:hint="default"/>
        <w:color w:val="4F81BD" w:themeColor="accent1"/>
        <w:spacing w:val="3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664A0425"/>
    <w:multiLevelType w:val="hybridMultilevel"/>
    <w:tmpl w:val="510A41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67A57F18"/>
    <w:multiLevelType w:val="hybridMultilevel"/>
    <w:tmpl w:val="B5506A94"/>
    <w:lvl w:ilvl="0" w:tplc="3C38CA4C">
      <w:start w:val="1"/>
      <w:numFmt w:val="decimal"/>
      <w:pStyle w:val="TableListNumber"/>
      <w:lvlText w:val="%1."/>
      <w:lvlJc w:val="left"/>
      <w:pPr>
        <w:tabs>
          <w:tab w:val="num" w:pos="181"/>
        </w:tabs>
        <w:ind w:left="181" w:hanging="181"/>
      </w:pPr>
    </w:lvl>
    <w:lvl w:ilvl="1" w:tplc="C1A46540">
      <w:start w:val="1"/>
      <w:numFmt w:val="lowerLetter"/>
      <w:lvlText w:val="%2."/>
      <w:lvlJc w:val="left"/>
      <w:pPr>
        <w:tabs>
          <w:tab w:val="num" w:pos="1440"/>
        </w:tabs>
        <w:ind w:left="1440" w:hanging="360"/>
      </w:pPr>
    </w:lvl>
    <w:lvl w:ilvl="2" w:tplc="B2D03FDE">
      <w:start w:val="1"/>
      <w:numFmt w:val="lowerRoman"/>
      <w:lvlText w:val="%3."/>
      <w:lvlJc w:val="right"/>
      <w:pPr>
        <w:tabs>
          <w:tab w:val="num" w:pos="2160"/>
        </w:tabs>
        <w:ind w:left="2160" w:hanging="180"/>
      </w:pPr>
    </w:lvl>
    <w:lvl w:ilvl="3" w:tplc="13B24DC6">
      <w:start w:val="1"/>
      <w:numFmt w:val="decimal"/>
      <w:lvlText w:val="%4."/>
      <w:lvlJc w:val="left"/>
      <w:pPr>
        <w:tabs>
          <w:tab w:val="num" w:pos="2880"/>
        </w:tabs>
        <w:ind w:left="2880" w:hanging="360"/>
      </w:pPr>
    </w:lvl>
    <w:lvl w:ilvl="4" w:tplc="30880A44">
      <w:start w:val="1"/>
      <w:numFmt w:val="lowerLetter"/>
      <w:lvlText w:val="%5."/>
      <w:lvlJc w:val="left"/>
      <w:pPr>
        <w:tabs>
          <w:tab w:val="num" w:pos="3600"/>
        </w:tabs>
        <w:ind w:left="3600" w:hanging="360"/>
      </w:pPr>
    </w:lvl>
    <w:lvl w:ilvl="5" w:tplc="E1B62FEC">
      <w:start w:val="1"/>
      <w:numFmt w:val="lowerRoman"/>
      <w:lvlText w:val="%6."/>
      <w:lvlJc w:val="right"/>
      <w:pPr>
        <w:tabs>
          <w:tab w:val="num" w:pos="4320"/>
        </w:tabs>
        <w:ind w:left="4320" w:hanging="180"/>
      </w:pPr>
    </w:lvl>
    <w:lvl w:ilvl="6" w:tplc="47C48CCE">
      <w:start w:val="1"/>
      <w:numFmt w:val="decimal"/>
      <w:lvlText w:val="%7."/>
      <w:lvlJc w:val="left"/>
      <w:pPr>
        <w:tabs>
          <w:tab w:val="num" w:pos="5040"/>
        </w:tabs>
        <w:ind w:left="5040" w:hanging="360"/>
      </w:pPr>
    </w:lvl>
    <w:lvl w:ilvl="7" w:tplc="3D8E7C04">
      <w:start w:val="1"/>
      <w:numFmt w:val="lowerLetter"/>
      <w:lvlText w:val="%8."/>
      <w:lvlJc w:val="left"/>
      <w:pPr>
        <w:tabs>
          <w:tab w:val="num" w:pos="5760"/>
        </w:tabs>
        <w:ind w:left="5760" w:hanging="360"/>
      </w:pPr>
    </w:lvl>
    <w:lvl w:ilvl="8" w:tplc="D6FAEDDC">
      <w:start w:val="1"/>
      <w:numFmt w:val="lowerRoman"/>
      <w:lvlText w:val="%9."/>
      <w:lvlJc w:val="right"/>
      <w:pPr>
        <w:tabs>
          <w:tab w:val="num" w:pos="6480"/>
        </w:tabs>
        <w:ind w:left="6480" w:hanging="180"/>
      </w:pPr>
    </w:lvl>
  </w:abstractNum>
  <w:abstractNum w:abstractNumId="24">
    <w:nsid w:val="7B1A58C7"/>
    <w:multiLevelType w:val="hybridMultilevel"/>
    <w:tmpl w:val="0598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692E58"/>
    <w:multiLevelType w:val="hybridMultilevel"/>
    <w:tmpl w:val="B3DEE91C"/>
    <w:lvl w:ilvl="0" w:tplc="902094F2">
      <w:start w:val="1"/>
      <w:numFmt w:val="bullet"/>
      <w:pStyle w:val="Bullet2"/>
      <w:lvlText w:val="­"/>
      <w:lvlJc w:val="left"/>
      <w:pPr>
        <w:ind w:left="2520" w:hanging="360"/>
      </w:pPr>
      <w:rPr>
        <w:rFonts w:ascii="Courier New" w:hAnsi="Courier New" w:hint="default"/>
        <w:color w:val="4F81BD" w:themeColor="accent1"/>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6">
    <w:nsid w:val="7CDC4DFC"/>
    <w:multiLevelType w:val="hybridMultilevel"/>
    <w:tmpl w:val="F074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6"/>
  </w:num>
  <w:num w:numId="4">
    <w:abstractNumId w:val="8"/>
  </w:num>
  <w:num w:numId="5">
    <w:abstractNumId w:val="3"/>
  </w:num>
  <w:num w:numId="6">
    <w:abstractNumId w:val="10"/>
  </w:num>
  <w:num w:numId="7">
    <w:abstractNumId w:val="21"/>
  </w:num>
  <w:num w:numId="8">
    <w:abstractNumId w:val="25"/>
  </w:num>
  <w:num w:numId="9">
    <w:abstractNumId w:val="5"/>
  </w:num>
  <w:num w:numId="10">
    <w:abstractNumId w:val="9"/>
  </w:num>
  <w:num w:numId="11">
    <w:abstractNumId w:val="1"/>
  </w:num>
  <w:num w:numId="12">
    <w:abstractNumId w:val="22"/>
  </w:num>
  <w:num w:numId="13">
    <w:abstractNumId w:val="17"/>
  </w:num>
  <w:num w:numId="14">
    <w:abstractNumId w:val="0"/>
  </w:num>
  <w:num w:numId="15">
    <w:abstractNumId w:val="11"/>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7"/>
  </w:num>
  <w:num w:numId="21">
    <w:abstractNumId w:val="2"/>
  </w:num>
  <w:num w:numId="22">
    <w:abstractNumId w:val="21"/>
  </w:num>
  <w:num w:numId="23">
    <w:abstractNumId w:val="19"/>
  </w:num>
  <w:num w:numId="24">
    <w:abstractNumId w:val="5"/>
  </w:num>
  <w:num w:numId="25">
    <w:abstractNumId w:val="19"/>
  </w:num>
  <w:num w:numId="26">
    <w:abstractNumId w:val="15"/>
  </w:num>
  <w:num w:numId="27">
    <w:abstractNumId w:val="12"/>
  </w:num>
  <w:num w:numId="28">
    <w:abstractNumId w:val="6"/>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F3ECFC27-0C5C-4D94-9191-F812521294A5"/>
    <w:docVar w:name="LW_COVERPAGE_TYPE" w:val="1"/>
    <w:docVar w:name="LW_CROSSREFERENCE" w:val="{COM(2017) 795 final}_x000b_{SWD(2017) 466 final}_x000b_{SWD(2017) 467 final}_x000b_{SWD(2017) 468 final}_x000b_{SWD(2017) 469 final}"/>
    <w:docVar w:name="LW_DocType" w:val="NORMAL"/>
    <w:docVar w:name="LW_EMISSION" w:val="19.12.2017"/>
    <w:docVar w:name="LW_EMISSION_ISODATE" w:val="2017-12-19"/>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établissant des règles et des procédures concernant le respect et l'application effective de la législation d'harmonisation de l'Union relative aux produits et modifiant les règlements (UE) nº 305/2011, (UE) nº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
    <w:docVar w:name="LW_PART_NBR" w:val="1"/>
    <w:docVar w:name="LW_PART_NBR_TOTAL" w:val="1"/>
    <w:docVar w:name="LW_REF.INST.NEW" w:val="SWD"/>
    <w:docVar w:name="LW_REF.INST.NEW_ADOPTED" w:val="final"/>
    <w:docVar w:name="LW_REF.INST.NEW_TEXT" w:val="(2017)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REFIT"/>
    <w:docVar w:name="LW_TYPE.DOC.CP" w:val="DOCUMENT DE TRAVAIL DES SERVICES DE LA COMMISSION"/>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ind w:right="-29"/>
      <w:outlineLvl w:val="0"/>
    </w:pPr>
    <w:rPr>
      <w:b/>
    </w:rPr>
  </w:style>
  <w:style w:type="paragraph" w:styleId="Heading2">
    <w:name w:val="heading 2"/>
    <w:basedOn w:val="Normal"/>
    <w:next w:val="Normal"/>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1"/>
      </w:numPr>
    </w:pPr>
  </w:style>
  <w:style w:type="paragraph" w:customStyle="1" w:styleId="ListDash1">
    <w:name w:val="List Dash 1"/>
    <w:basedOn w:val="Normal"/>
    <w:pPr>
      <w:numPr>
        <w:numId w:val="2"/>
      </w:numPr>
    </w:p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rFonts w:ascii="Times New Roman" w:eastAsia="Times New Roman" w:hAnsi="Times New Roman" w:cs="Times New Roman"/>
      <w:sz w:val="24"/>
      <w:szCs w:val="20"/>
    </w:rPr>
  </w:style>
  <w:style w:type="table" w:styleId="TableGrid">
    <w:name w:val="Table Grid"/>
    <w:aliases w:val="CV1,TabelEcorys,Document Table"/>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sz w:val="20"/>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BodyText"/>
    <w:link w:val="FootnoteTextChar"/>
    <w:uiPriority w:val="99"/>
    <w:unhideWhenUsed/>
    <w:qFormat/>
    <w:pPr>
      <w:spacing w:after="80" w:line="240" w:lineRule="auto"/>
    </w:pPr>
    <w:rPr>
      <w:sz w:val="16"/>
      <w:szCs w:val="20"/>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sz w:val="16"/>
      <w:szCs w:val="20"/>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
    <w:name w:val="BodyText"/>
    <w:basedOn w:val="Normal"/>
    <w:link w:val="BodyTextChar"/>
    <w:uiPriority w:val="99"/>
    <w:qFormat/>
    <w:pPr>
      <w:spacing w:after="60" w:line="264" w:lineRule="auto"/>
    </w:pPr>
    <w:rPr>
      <w:rFonts w:asciiTheme="minorHAnsi" w:eastAsiaTheme="minorHAnsi" w:hAnsiTheme="minorHAnsi" w:cstheme="minorBidi"/>
      <w:sz w:val="20"/>
      <w:szCs w:val="22"/>
    </w:rPr>
  </w:style>
  <w:style w:type="character" w:customStyle="1" w:styleId="BodyTextChar">
    <w:name w:val="BodyText Char"/>
    <w:basedOn w:val="DefaultParagraphFont"/>
    <w:link w:val="BodyText"/>
    <w:uiPriority w:val="99"/>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tabs>
        <w:tab w:val="left" w:pos="907"/>
      </w:tabs>
      <w:spacing w:before="60" w:after="60" w:line="240" w:lineRule="exact"/>
    </w:pPr>
    <w:rPr>
      <w:rFonts w:asciiTheme="minorHAnsi" w:eastAsiaTheme="minorHAnsi" w:hAnsiTheme="minorHAnsi" w:cstheme="minorBidi"/>
      <w:sz w:val="22"/>
      <w:szCs w:val="22"/>
      <w:vertAlign w:val="superscript"/>
    </w:rPr>
  </w:style>
  <w:style w:type="paragraph" w:styleId="ListContinue5">
    <w:name w:val="List Continue 5"/>
    <w:basedOn w:val="Normal"/>
    <w:pPr>
      <w:numPr>
        <w:numId w:val="6"/>
      </w:numPr>
      <w:spacing w:after="120"/>
    </w:pPr>
  </w:style>
  <w:style w:type="paragraph" w:customStyle="1" w:styleId="ListNumber1">
    <w:name w:val="List Number 1"/>
    <w:basedOn w:val="Normal"/>
    <w:pPr>
      <w:numPr>
        <w:ilvl w:val="1"/>
        <w:numId w:val="6"/>
      </w:numPr>
    </w:pPr>
  </w:style>
  <w:style w:type="paragraph" w:customStyle="1" w:styleId="ListNumber1Level2">
    <w:name w:val="List Number 1 (Level 2)"/>
    <w:basedOn w:val="Normal"/>
    <w:pPr>
      <w:numPr>
        <w:ilvl w:val="2"/>
        <w:numId w:val="6"/>
      </w:numPr>
    </w:pPr>
  </w:style>
  <w:style w:type="paragraph" w:customStyle="1" w:styleId="ListNumber1Level3">
    <w:name w:val="List Number 1 (Level 3)"/>
    <w:basedOn w:val="Normal"/>
    <w:pPr>
      <w:numPr>
        <w:ilvl w:val="3"/>
        <w:numId w:val="6"/>
      </w:numPr>
    </w:pPr>
  </w:style>
  <w:style w:type="paragraph" w:customStyle="1" w:styleId="Bullet1">
    <w:name w:val="Bullet 1"/>
    <w:basedOn w:val="BodyText"/>
    <w:link w:val="Bullet1Char"/>
    <w:qFormat/>
    <w:pPr>
      <w:numPr>
        <w:numId w:val="7"/>
      </w:numPr>
      <w:spacing w:after="40"/>
    </w:pPr>
    <w:rPr>
      <w:color w:val="000000" w:themeColor="text1"/>
      <w:szCs w:val="20"/>
    </w:rPr>
  </w:style>
  <w:style w:type="paragraph" w:customStyle="1" w:styleId="Bullet2">
    <w:name w:val="Bullet 2"/>
    <w:basedOn w:val="BodyText"/>
    <w:link w:val="Bullet2Char"/>
    <w:qFormat/>
    <w:pPr>
      <w:numPr>
        <w:numId w:val="8"/>
      </w:numPr>
      <w:spacing w:after="80"/>
      <w:ind w:left="680" w:hanging="340"/>
    </w:pPr>
    <w:rPr>
      <w:szCs w:val="20"/>
    </w:rPr>
  </w:style>
  <w:style w:type="character" w:customStyle="1" w:styleId="Bullet1Char">
    <w:name w:val="Bullet 1 Char"/>
    <w:basedOn w:val="ListParagraphChar"/>
    <w:link w:val="Bullet1"/>
    <w:rPr>
      <w:color w:val="000000" w:themeColor="text1"/>
      <w:sz w:val="20"/>
      <w:szCs w:val="20"/>
    </w:rPr>
  </w:style>
  <w:style w:type="character" w:customStyle="1" w:styleId="Bullet2Char">
    <w:name w:val="Bullet 2 Char"/>
    <w:basedOn w:val="ListParagraphChar"/>
    <w:link w:val="Bullet2"/>
    <w:rPr>
      <w:sz w:val="20"/>
      <w:szCs w:val="20"/>
      <w:lang w:eastAsia="fr-FR"/>
    </w:rPr>
  </w:style>
  <w:style w:type="paragraph" w:styleId="NormalWeb">
    <w:name w:val="Normal (Web)"/>
    <w:basedOn w:val="Normal"/>
    <w:uiPriority w:val="99"/>
    <w:pPr>
      <w:spacing w:before="100" w:beforeAutospacing="1" w:after="100" w:afterAutospacing="1"/>
      <w:jc w:val="left"/>
    </w:pPr>
    <w:rPr>
      <w:szCs w:val="24"/>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BodyText"/>
    <w:next w:val="BodyText"/>
    <w:link w:val="CaptionChar"/>
    <w:unhideWhenUsed/>
    <w:qFormat/>
    <w:pPr>
      <w:keepNext/>
      <w:spacing w:before="360" w:after="0" w:line="240" w:lineRule="auto"/>
    </w:pPr>
    <w:rPr>
      <w:i/>
      <w:iCs/>
      <w:color w:val="1F497D" w:themeColor="text2"/>
      <w:sz w:val="18"/>
      <w:szCs w:val="18"/>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rPr>
      <w:i/>
      <w:iCs/>
      <w:color w:val="1F497D"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0">
    <w:name w:val="Body Text"/>
    <w:aliases w:val="Document,Doc,Body Text2,doc,Standard paragraph,(Norm),Body Text 12,bt,gl,uvlaka 2,heading3,Body Text - Level 2,1body,BodText,body text,Body Txt,Body Text-10,Body Text Char2,Text Char1,Τίτλος Μελέτης,- TF,Te,-,??t??? ?e??t??, (Norm)"/>
    <w:basedOn w:val="Normal"/>
    <w:link w:val="BodyTextChar0"/>
    <w:uiPriority w:val="99"/>
    <w:unhideWhenUsed/>
    <w:pPr>
      <w:spacing w:after="60" w:line="264" w:lineRule="auto"/>
    </w:pPr>
    <w:rPr>
      <w:rFonts w:asciiTheme="minorHAnsi" w:eastAsiaTheme="minorHAnsi" w:hAnsiTheme="minorHAnsi" w:cstheme="minorBidi"/>
      <w:sz w:val="20"/>
      <w:szCs w:val="22"/>
    </w:rPr>
  </w:style>
  <w:style w:type="character" w:customStyle="1" w:styleId="BodyTextChar0">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0"/>
    <w:uiPriority w:val="99"/>
    <w:rPr>
      <w:sz w:val="20"/>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after="0" w:line="240" w:lineRule="auto"/>
    </w:pPr>
    <w:rPr>
      <w:rFonts w:asciiTheme="majorHAnsi" w:hAnsiTheme="majorHAnsi"/>
      <w:sz w:val="16"/>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styleId="ListNumber">
    <w:name w:val="List Number"/>
    <w:basedOn w:val="Normal"/>
    <w:uiPriority w:val="99"/>
    <w:semiHidden/>
    <w:unhideWhenUsed/>
    <w:pPr>
      <w:numPr>
        <w:numId w:val="14"/>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paragraph" w:styleId="Title">
    <w:name w:val="Title"/>
    <w:basedOn w:val="Normal"/>
    <w:next w:val="BodyText"/>
    <w:link w:val="TitleChar"/>
    <w:uiPriority w:val="10"/>
    <w:qFormat/>
    <w:pPr>
      <w:spacing w:after="0"/>
      <w:contextualSpacing/>
    </w:pPr>
    <w:rPr>
      <w:rFonts w:asciiTheme="majorHAnsi" w:eastAsiaTheme="majorEastAsia" w:hAnsiTheme="majorHAnsi" w:cstheme="majorBidi"/>
      <w:spacing w:val="-10"/>
      <w:kern w:val="28"/>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4"/>
      <w:szCs w:val="56"/>
    </w:rPr>
  </w:style>
  <w:style w:type="paragraph" w:customStyle="1" w:styleId="TableListNumber">
    <w:name w:val="Table List Number"/>
    <w:basedOn w:val="BodyText0"/>
    <w:uiPriority w:val="99"/>
    <w:pPr>
      <w:numPr>
        <w:numId w:val="17"/>
      </w:numPr>
      <w:spacing w:beforeLines="1" w:afterLines="1" w:after="0" w:line="240" w:lineRule="auto"/>
    </w:pPr>
    <w:rPr>
      <w:rFonts w:ascii="Verdana" w:eastAsia="Times New Roman" w:hAnsi="Verdana" w:cs="Times New Roman"/>
      <w:sz w:val="16"/>
      <w:szCs w:val="24"/>
    </w:rPr>
  </w:style>
  <w:style w:type="paragraph" w:customStyle="1" w:styleId="foot">
    <w:name w:val="foot"/>
    <w:basedOn w:val="BodyText"/>
    <w:link w:val="footChar"/>
    <w:qFormat/>
    <w:rPr>
      <w:rFonts w:ascii="Georgia" w:hAnsi="Georgia" w:cstheme="minorHAnsi"/>
      <w:sz w:val="16"/>
      <w:szCs w:val="16"/>
    </w:rPr>
  </w:style>
  <w:style w:type="character" w:customStyle="1" w:styleId="footChar">
    <w:name w:val="foot Char"/>
    <w:basedOn w:val="BodyTextChar"/>
    <w:link w:val="foot"/>
    <w:rPr>
      <w:rFonts w:ascii="Georgia" w:hAnsi="Georgia" w:cstheme="minorHAnsi"/>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Next/>
      <w:keepLines/>
      <w:spacing w:before="480" w:after="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ind w:right="-29"/>
      <w:outlineLvl w:val="0"/>
    </w:pPr>
    <w:rPr>
      <w:b/>
    </w:rPr>
  </w:style>
  <w:style w:type="paragraph" w:styleId="Heading2">
    <w:name w:val="heading 2"/>
    <w:basedOn w:val="Normal"/>
    <w:next w:val="Normal"/>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1"/>
      </w:numPr>
    </w:pPr>
  </w:style>
  <w:style w:type="paragraph" w:customStyle="1" w:styleId="ListDash1">
    <w:name w:val="List Dash 1"/>
    <w:basedOn w:val="Normal"/>
    <w:pPr>
      <w:numPr>
        <w:numId w:val="2"/>
      </w:numPr>
    </w:p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rFonts w:ascii="Times New Roman" w:eastAsia="Times New Roman" w:hAnsi="Times New Roman" w:cs="Times New Roman"/>
      <w:sz w:val="24"/>
      <w:szCs w:val="20"/>
    </w:rPr>
  </w:style>
  <w:style w:type="table" w:styleId="TableGrid">
    <w:name w:val="Table Grid"/>
    <w:aliases w:val="CV1,TabelEcorys,Document Table"/>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sz w:val="20"/>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BodyText"/>
    <w:link w:val="FootnoteTextChar"/>
    <w:uiPriority w:val="99"/>
    <w:unhideWhenUsed/>
    <w:qFormat/>
    <w:pPr>
      <w:spacing w:after="80" w:line="240" w:lineRule="auto"/>
    </w:pPr>
    <w:rPr>
      <w:sz w:val="16"/>
      <w:szCs w:val="20"/>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sz w:val="16"/>
      <w:szCs w:val="20"/>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
    <w:name w:val="BodyText"/>
    <w:basedOn w:val="Normal"/>
    <w:link w:val="BodyTextChar"/>
    <w:uiPriority w:val="99"/>
    <w:qFormat/>
    <w:pPr>
      <w:spacing w:after="60" w:line="264" w:lineRule="auto"/>
    </w:pPr>
    <w:rPr>
      <w:rFonts w:asciiTheme="minorHAnsi" w:eastAsiaTheme="minorHAnsi" w:hAnsiTheme="minorHAnsi" w:cstheme="minorBidi"/>
      <w:sz w:val="20"/>
      <w:szCs w:val="22"/>
    </w:rPr>
  </w:style>
  <w:style w:type="character" w:customStyle="1" w:styleId="BodyTextChar">
    <w:name w:val="BodyText Char"/>
    <w:basedOn w:val="DefaultParagraphFont"/>
    <w:link w:val="BodyText"/>
    <w:uiPriority w:val="99"/>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tabs>
        <w:tab w:val="left" w:pos="907"/>
      </w:tabs>
      <w:spacing w:before="60" w:after="60" w:line="240" w:lineRule="exact"/>
    </w:pPr>
    <w:rPr>
      <w:rFonts w:asciiTheme="minorHAnsi" w:eastAsiaTheme="minorHAnsi" w:hAnsiTheme="minorHAnsi" w:cstheme="minorBidi"/>
      <w:sz w:val="22"/>
      <w:szCs w:val="22"/>
      <w:vertAlign w:val="superscript"/>
    </w:rPr>
  </w:style>
  <w:style w:type="paragraph" w:styleId="ListContinue5">
    <w:name w:val="List Continue 5"/>
    <w:basedOn w:val="Normal"/>
    <w:pPr>
      <w:numPr>
        <w:numId w:val="6"/>
      </w:numPr>
      <w:spacing w:after="120"/>
    </w:pPr>
  </w:style>
  <w:style w:type="paragraph" w:customStyle="1" w:styleId="ListNumber1">
    <w:name w:val="List Number 1"/>
    <w:basedOn w:val="Normal"/>
    <w:pPr>
      <w:numPr>
        <w:ilvl w:val="1"/>
        <w:numId w:val="6"/>
      </w:numPr>
    </w:pPr>
  </w:style>
  <w:style w:type="paragraph" w:customStyle="1" w:styleId="ListNumber1Level2">
    <w:name w:val="List Number 1 (Level 2)"/>
    <w:basedOn w:val="Normal"/>
    <w:pPr>
      <w:numPr>
        <w:ilvl w:val="2"/>
        <w:numId w:val="6"/>
      </w:numPr>
    </w:pPr>
  </w:style>
  <w:style w:type="paragraph" w:customStyle="1" w:styleId="ListNumber1Level3">
    <w:name w:val="List Number 1 (Level 3)"/>
    <w:basedOn w:val="Normal"/>
    <w:pPr>
      <w:numPr>
        <w:ilvl w:val="3"/>
        <w:numId w:val="6"/>
      </w:numPr>
    </w:pPr>
  </w:style>
  <w:style w:type="paragraph" w:customStyle="1" w:styleId="Bullet1">
    <w:name w:val="Bullet 1"/>
    <w:basedOn w:val="BodyText"/>
    <w:link w:val="Bullet1Char"/>
    <w:qFormat/>
    <w:pPr>
      <w:numPr>
        <w:numId w:val="7"/>
      </w:numPr>
      <w:spacing w:after="40"/>
    </w:pPr>
    <w:rPr>
      <w:color w:val="000000" w:themeColor="text1"/>
      <w:szCs w:val="20"/>
    </w:rPr>
  </w:style>
  <w:style w:type="paragraph" w:customStyle="1" w:styleId="Bullet2">
    <w:name w:val="Bullet 2"/>
    <w:basedOn w:val="BodyText"/>
    <w:link w:val="Bullet2Char"/>
    <w:qFormat/>
    <w:pPr>
      <w:numPr>
        <w:numId w:val="8"/>
      </w:numPr>
      <w:spacing w:after="80"/>
      <w:ind w:left="680" w:hanging="340"/>
    </w:pPr>
    <w:rPr>
      <w:szCs w:val="20"/>
    </w:rPr>
  </w:style>
  <w:style w:type="character" w:customStyle="1" w:styleId="Bullet1Char">
    <w:name w:val="Bullet 1 Char"/>
    <w:basedOn w:val="ListParagraphChar"/>
    <w:link w:val="Bullet1"/>
    <w:rPr>
      <w:color w:val="000000" w:themeColor="text1"/>
      <w:sz w:val="20"/>
      <w:szCs w:val="20"/>
    </w:rPr>
  </w:style>
  <w:style w:type="character" w:customStyle="1" w:styleId="Bullet2Char">
    <w:name w:val="Bullet 2 Char"/>
    <w:basedOn w:val="ListParagraphChar"/>
    <w:link w:val="Bullet2"/>
    <w:rPr>
      <w:sz w:val="20"/>
      <w:szCs w:val="20"/>
      <w:lang w:eastAsia="fr-FR"/>
    </w:rPr>
  </w:style>
  <w:style w:type="paragraph" w:styleId="NormalWeb">
    <w:name w:val="Normal (Web)"/>
    <w:basedOn w:val="Normal"/>
    <w:uiPriority w:val="99"/>
    <w:pPr>
      <w:spacing w:before="100" w:beforeAutospacing="1" w:after="100" w:afterAutospacing="1"/>
      <w:jc w:val="left"/>
    </w:pPr>
    <w:rPr>
      <w:szCs w:val="24"/>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BodyText"/>
    <w:next w:val="BodyText"/>
    <w:link w:val="CaptionChar"/>
    <w:unhideWhenUsed/>
    <w:qFormat/>
    <w:pPr>
      <w:keepNext/>
      <w:spacing w:before="360" w:after="0" w:line="240" w:lineRule="auto"/>
    </w:pPr>
    <w:rPr>
      <w:i/>
      <w:iCs/>
      <w:color w:val="1F497D" w:themeColor="text2"/>
      <w:sz w:val="18"/>
      <w:szCs w:val="18"/>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rPr>
      <w:i/>
      <w:iCs/>
      <w:color w:val="1F497D"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0">
    <w:name w:val="Body Text"/>
    <w:aliases w:val="Document,Doc,Body Text2,doc,Standard paragraph,(Norm),Body Text 12,bt,gl,uvlaka 2,heading3,Body Text - Level 2,1body,BodText,body text,Body Txt,Body Text-10,Body Text Char2,Text Char1,Τίτλος Μελέτης,- TF,Te,-,??t??? ?e??t??, (Norm)"/>
    <w:basedOn w:val="Normal"/>
    <w:link w:val="BodyTextChar0"/>
    <w:uiPriority w:val="99"/>
    <w:unhideWhenUsed/>
    <w:pPr>
      <w:spacing w:after="60" w:line="264" w:lineRule="auto"/>
    </w:pPr>
    <w:rPr>
      <w:rFonts w:asciiTheme="minorHAnsi" w:eastAsiaTheme="minorHAnsi" w:hAnsiTheme="minorHAnsi" w:cstheme="minorBidi"/>
      <w:sz w:val="20"/>
      <w:szCs w:val="22"/>
    </w:rPr>
  </w:style>
  <w:style w:type="character" w:customStyle="1" w:styleId="BodyTextChar0">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0"/>
    <w:uiPriority w:val="99"/>
    <w:rPr>
      <w:sz w:val="20"/>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after="0" w:line="240" w:lineRule="auto"/>
    </w:pPr>
    <w:rPr>
      <w:rFonts w:asciiTheme="majorHAnsi" w:hAnsiTheme="majorHAnsi"/>
      <w:sz w:val="16"/>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styleId="ListNumber">
    <w:name w:val="List Number"/>
    <w:basedOn w:val="Normal"/>
    <w:uiPriority w:val="99"/>
    <w:semiHidden/>
    <w:unhideWhenUsed/>
    <w:pPr>
      <w:numPr>
        <w:numId w:val="14"/>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paragraph" w:styleId="Title">
    <w:name w:val="Title"/>
    <w:basedOn w:val="Normal"/>
    <w:next w:val="BodyText"/>
    <w:link w:val="TitleChar"/>
    <w:uiPriority w:val="10"/>
    <w:qFormat/>
    <w:pPr>
      <w:spacing w:after="0"/>
      <w:contextualSpacing/>
    </w:pPr>
    <w:rPr>
      <w:rFonts w:asciiTheme="majorHAnsi" w:eastAsiaTheme="majorEastAsia" w:hAnsiTheme="majorHAnsi" w:cstheme="majorBidi"/>
      <w:spacing w:val="-10"/>
      <w:kern w:val="28"/>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4"/>
      <w:szCs w:val="56"/>
    </w:rPr>
  </w:style>
  <w:style w:type="paragraph" w:customStyle="1" w:styleId="TableListNumber">
    <w:name w:val="Table List Number"/>
    <w:basedOn w:val="BodyText0"/>
    <w:uiPriority w:val="99"/>
    <w:pPr>
      <w:numPr>
        <w:numId w:val="17"/>
      </w:numPr>
      <w:spacing w:beforeLines="1" w:afterLines="1" w:after="0" w:line="240" w:lineRule="auto"/>
    </w:pPr>
    <w:rPr>
      <w:rFonts w:ascii="Verdana" w:eastAsia="Times New Roman" w:hAnsi="Verdana" w:cs="Times New Roman"/>
      <w:sz w:val="16"/>
      <w:szCs w:val="24"/>
    </w:rPr>
  </w:style>
  <w:style w:type="paragraph" w:customStyle="1" w:styleId="foot">
    <w:name w:val="foot"/>
    <w:basedOn w:val="BodyText"/>
    <w:link w:val="footChar"/>
    <w:qFormat/>
    <w:rPr>
      <w:rFonts w:ascii="Georgia" w:hAnsi="Georgia" w:cstheme="minorHAnsi"/>
      <w:sz w:val="16"/>
      <w:szCs w:val="16"/>
    </w:rPr>
  </w:style>
  <w:style w:type="character" w:customStyle="1" w:styleId="footChar">
    <w:name w:val="foot Char"/>
    <w:basedOn w:val="BodyTextChar"/>
    <w:link w:val="foot"/>
    <w:rPr>
      <w:rFonts w:ascii="Georgia" w:hAnsi="Georgia" w:cstheme="minorHAnsi"/>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Next/>
      <w:keepLines/>
      <w:spacing w:before="480" w:after="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5861">
      <w:bodyDiv w:val="1"/>
      <w:marLeft w:val="0"/>
      <w:marRight w:val="0"/>
      <w:marTop w:val="0"/>
      <w:marBottom w:val="0"/>
      <w:divBdr>
        <w:top w:val="none" w:sz="0" w:space="0" w:color="auto"/>
        <w:left w:val="none" w:sz="0" w:space="0" w:color="auto"/>
        <w:bottom w:val="none" w:sz="0" w:space="0" w:color="auto"/>
        <w:right w:val="none" w:sz="0" w:space="0" w:color="auto"/>
      </w:divBdr>
    </w:div>
    <w:div w:id="820004340">
      <w:bodyDiv w:val="1"/>
      <w:marLeft w:val="0"/>
      <w:marRight w:val="0"/>
      <w:marTop w:val="0"/>
      <w:marBottom w:val="0"/>
      <w:divBdr>
        <w:top w:val="none" w:sz="0" w:space="0" w:color="auto"/>
        <w:left w:val="none" w:sz="0" w:space="0" w:color="auto"/>
        <w:bottom w:val="none" w:sz="0" w:space="0" w:color="auto"/>
        <w:right w:val="none" w:sz="0" w:space="0" w:color="auto"/>
      </w:divBdr>
    </w:div>
    <w:div w:id="14410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3CAB5EFB633234EB37416E0B13EFA77" ma:contentTypeVersion="1" ma:contentTypeDescription="Create a new document in this library." ma:contentTypeScope="" ma:versionID="8f26cec793fae50f81b192d001baf1f5">
  <xsd:schema xmlns:xsd="http://www.w3.org/2001/XMLSchema" xmlns:xs="http://www.w3.org/2001/XMLSchema" xmlns:p="http://schemas.microsoft.com/office/2006/metadata/properties" xmlns:ns2="http://schemas.microsoft.com/sharepoint/v3/fields" xmlns:ns3="8b30baba-f333-4604-b039-34bb09f8a252" targetNamespace="http://schemas.microsoft.com/office/2006/metadata/properties" ma:root="true" ma:fieldsID="ebe0bdfc59edf5c4d086ab760b40170d" ns2:_="" ns3:_="">
    <xsd:import namespace="http://schemas.microsoft.com/sharepoint/v3/fields"/>
    <xsd:import namespace="8b30baba-f333-4604-b039-34bb09f8a25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30baba-f333-4604-b039-34bb09f8a2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b30baba-f333-4604-b039-34bb09f8a252">EN</EC_Collab_DocumentLanguage>
    <_Status xmlns="http://schemas.microsoft.com/sharepoint/v3/fields">Not Started</_Status>
    <EC_Collab_Status xmlns="8b30baba-f333-4604-b039-34bb09f8a252">Final</EC_Collab_Status>
    <EC_Collab_Reference xmlns="8b30baba-f333-4604-b039-34bb09f8a2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576F-7F89-4A56-AC0B-5324D6C7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b30baba-f333-4604-b039-34bb09f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A0781-AB72-4420-B146-99A8643127E5}">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8b30baba-f333-4604-b039-34bb09f8a252"/>
    <ds:schemaRef ds:uri="http://purl.org/dc/elements/1.1/"/>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E8B6086-92CC-401E-88BC-0128C0C68AEF}">
  <ds:schemaRefs>
    <ds:schemaRef ds:uri="http://schemas.microsoft.com/sharepoint/v3/contenttype/forms"/>
  </ds:schemaRefs>
</ds:datastoreItem>
</file>

<file path=customXml/itemProps4.xml><?xml version="1.0" encoding="utf-8"?>
<ds:datastoreItem xmlns:ds="http://schemas.openxmlformats.org/officeDocument/2006/customXml" ds:itemID="{FB53CB41-6FFD-436B-8427-80B3C056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614</Words>
  <Characters>3634</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2017-07-24T06:14:00Z</cp:lastPrinted>
  <dcterms:created xsi:type="dcterms:W3CDTF">2017-12-11T15:38:00Z</dcterms:created>
  <dcterms:modified xsi:type="dcterms:W3CDTF">2017-12-19T09:27:00Z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0x010100258AA79CEB83498886A3A086811232500083CAB5EFB633234EB37416E0B13EFA77</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