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  <w:lang w:val="fr-BE"/>
        </w:rPr>
      </w:pPr>
      <w:bookmarkStart w:id="0" w:name="LW_BM_COVERPAGE"/>
      <w:r>
        <w:rPr>
          <w:noProof/>
          <w:lang w:val="fr-B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16A809FE-1E3F-496F-A051-9939F8D6E8E0" style="width:450.75pt;height:490.5pt">
            <v:imagedata r:id="rId11" o:title=""/>
          </v:shape>
        </w:pict>
      </w:r>
    </w:p>
    <w:bookmarkEnd w:id="0"/>
    <w:p>
      <w:pPr>
        <w:pStyle w:val="Pagedecouverture"/>
        <w:rPr>
          <w:noProof/>
          <w:lang w:val="fr-BE"/>
        </w:rPr>
        <w:sectPr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tbl>
      <w:tblPr>
        <w:tblStyle w:val="TableGrid"/>
        <w:tblW w:w="9747" w:type="dxa"/>
        <w:tblLook w:val="01E0" w:firstRow="1" w:lastRow="1" w:firstColumn="1" w:lastColumn="1" w:noHBand="0" w:noVBand="0"/>
      </w:tblPr>
      <w:tblGrid>
        <w:gridCol w:w="9747"/>
      </w:tblGrid>
      <w:tr>
        <w:tc>
          <w:tcPr>
            <w:tcW w:w="9747" w:type="dxa"/>
            <w:tcBorders>
              <w:bottom w:val="single" w:sz="4" w:space="0" w:color="auto"/>
            </w:tcBorders>
            <w:shd w:val="clear" w:color="auto" w:fill="CCCCCC"/>
          </w:tcPr>
          <w:p>
            <w:pPr>
              <w:spacing w:after="60"/>
              <w:jc w:val="center"/>
              <w:rPr>
                <w:rFonts w:ascii="Tahoma" w:hAnsi="Tahoma" w:cs="Tahoma"/>
                <w:b/>
                <w:noProof/>
                <w:sz w:val="22"/>
                <w:szCs w:val="22"/>
                <w:lang w:val="fr-BE"/>
              </w:rPr>
            </w:pPr>
            <w:bookmarkStart w:id="1" w:name="_GoBack"/>
            <w:bookmarkEnd w:id="1"/>
            <w:r>
              <w:rPr>
                <w:rFonts w:ascii="Tahoma" w:hAnsi="Tahoma"/>
                <w:b/>
                <w:noProof/>
                <w:sz w:val="22"/>
              </w:rPr>
              <w:lastRenderedPageBreak/>
              <w:t>Обобщение</w:t>
            </w:r>
            <w:r>
              <w:rPr>
                <w:rFonts w:ascii="Tahoma" w:hAnsi="Tahoma"/>
                <w:b/>
                <w:noProof/>
                <w:sz w:val="22"/>
                <w:lang w:val="fr-BE"/>
              </w:rPr>
              <w:t xml:space="preserve"> </w:t>
            </w:r>
            <w:r>
              <w:rPr>
                <w:rFonts w:ascii="Tahoma" w:hAnsi="Tahoma"/>
                <w:b/>
                <w:noProof/>
                <w:sz w:val="22"/>
              </w:rPr>
              <w:t>на</w:t>
            </w:r>
            <w:r>
              <w:rPr>
                <w:rFonts w:ascii="Tahoma" w:hAnsi="Tahoma"/>
                <w:b/>
                <w:noProof/>
                <w:sz w:val="22"/>
                <w:lang w:val="fr-BE"/>
              </w:rPr>
              <w:t xml:space="preserve"> </w:t>
            </w:r>
            <w:r>
              <w:rPr>
                <w:rFonts w:ascii="Tahoma" w:hAnsi="Tahoma"/>
                <w:b/>
                <w:noProof/>
                <w:sz w:val="22"/>
              </w:rPr>
              <w:t>оценката</w:t>
            </w:r>
            <w:r>
              <w:rPr>
                <w:rFonts w:ascii="Tahoma" w:hAnsi="Tahoma"/>
                <w:b/>
                <w:noProof/>
                <w:sz w:val="22"/>
                <w:lang w:val="fr-BE"/>
              </w:rPr>
              <w:t xml:space="preserve"> </w:t>
            </w:r>
            <w:r>
              <w:rPr>
                <w:rFonts w:ascii="Tahoma" w:hAnsi="Tahoma"/>
                <w:b/>
                <w:noProof/>
                <w:sz w:val="22"/>
              </w:rPr>
              <w:t>на</w:t>
            </w:r>
            <w:r>
              <w:rPr>
                <w:rFonts w:ascii="Tahoma" w:hAnsi="Tahoma"/>
                <w:b/>
                <w:noProof/>
                <w:sz w:val="22"/>
                <w:lang w:val="fr-BE"/>
              </w:rPr>
              <w:t xml:space="preserve"> </w:t>
            </w:r>
            <w:r>
              <w:rPr>
                <w:rFonts w:ascii="Tahoma" w:hAnsi="Tahoma"/>
                <w:b/>
                <w:noProof/>
                <w:sz w:val="22"/>
              </w:rPr>
              <w:t>въздействието</w:t>
            </w:r>
          </w:p>
        </w:tc>
      </w:tr>
      <w:t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>
            <w:pPr>
              <w:spacing w:after="60"/>
              <w:jc w:val="both"/>
              <w:rPr>
                <w:rFonts w:ascii="Tahoma" w:hAnsi="Tahoma" w:cs="Tahoma"/>
                <w:noProof/>
                <w:color w:val="FFFFFF" w:themeColor="background1"/>
                <w:sz w:val="20"/>
                <w:szCs w:val="20"/>
                <w:lang w:val="fr-BE"/>
              </w:rPr>
            </w:pPr>
            <w:r>
              <w:rPr>
                <w:rFonts w:ascii="Tahoma" w:hAnsi="Tahoma"/>
                <w:noProof/>
                <w:color w:val="FFFFFF" w:themeColor="background1"/>
                <w:sz w:val="20"/>
              </w:rPr>
              <w:t>Оценка</w:t>
            </w:r>
            <w:r>
              <w:rPr>
                <w:rFonts w:ascii="Tahoma" w:hAnsi="Tahoma"/>
                <w:noProof/>
                <w:color w:val="FFFFFF" w:themeColor="background1"/>
                <w:sz w:val="20"/>
                <w:lang w:val="fr-BE"/>
              </w:rPr>
              <w:t xml:space="preserve"> </w:t>
            </w:r>
            <w:r>
              <w:rPr>
                <w:rFonts w:ascii="Tahoma" w:hAnsi="Tahoma"/>
                <w:noProof/>
                <w:color w:val="FFFFFF" w:themeColor="background1"/>
                <w:sz w:val="20"/>
              </w:rPr>
              <w:t>на</w:t>
            </w:r>
            <w:r>
              <w:rPr>
                <w:rFonts w:ascii="Tahoma" w:hAnsi="Tahoma"/>
                <w:noProof/>
                <w:color w:val="FFFFFF" w:themeColor="background1"/>
                <w:sz w:val="20"/>
                <w:lang w:val="fr-BE"/>
              </w:rPr>
              <w:t xml:space="preserve"> </w:t>
            </w:r>
            <w:r>
              <w:rPr>
                <w:rFonts w:ascii="Tahoma" w:hAnsi="Tahoma"/>
                <w:noProof/>
                <w:color w:val="FFFFFF" w:themeColor="background1"/>
                <w:sz w:val="20"/>
              </w:rPr>
              <w:t>въздействието</w:t>
            </w:r>
            <w:r>
              <w:rPr>
                <w:rFonts w:ascii="Tahoma" w:hAnsi="Tahoma"/>
                <w:noProof/>
                <w:color w:val="FFFFFF" w:themeColor="background1"/>
                <w:sz w:val="20"/>
                <w:lang w:val="fr-BE"/>
              </w:rPr>
              <w:t xml:space="preserve"> </w:t>
            </w:r>
            <w:r>
              <w:rPr>
                <w:rFonts w:ascii="Tahoma" w:hAnsi="Tahoma"/>
                <w:noProof/>
                <w:color w:val="FFFFFF" w:themeColor="background1"/>
                <w:sz w:val="20"/>
              </w:rPr>
              <w:t>във</w:t>
            </w:r>
            <w:r>
              <w:rPr>
                <w:rFonts w:ascii="Tahoma" w:hAnsi="Tahoma"/>
                <w:noProof/>
                <w:color w:val="FFFFFF" w:themeColor="background1"/>
                <w:sz w:val="20"/>
                <w:lang w:val="fr-BE"/>
              </w:rPr>
              <w:t xml:space="preserve"> </w:t>
            </w:r>
            <w:r>
              <w:rPr>
                <w:rFonts w:ascii="Tahoma" w:hAnsi="Tahoma"/>
                <w:noProof/>
                <w:color w:val="FFFFFF" w:themeColor="background1"/>
                <w:sz w:val="20"/>
              </w:rPr>
              <w:t>връзка</w:t>
            </w:r>
            <w:r>
              <w:rPr>
                <w:rFonts w:ascii="Tahoma" w:hAnsi="Tahoma"/>
                <w:noProof/>
                <w:color w:val="FFFFFF" w:themeColor="background1"/>
                <w:sz w:val="20"/>
                <w:lang w:val="fr-BE"/>
              </w:rPr>
              <w:t xml:space="preserve"> </w:t>
            </w:r>
            <w:r>
              <w:rPr>
                <w:rFonts w:ascii="Tahoma" w:hAnsi="Tahoma"/>
                <w:noProof/>
                <w:color w:val="FFFFFF" w:themeColor="background1"/>
                <w:sz w:val="20"/>
              </w:rPr>
              <w:t>с</w:t>
            </w:r>
            <w:r>
              <w:rPr>
                <w:rFonts w:ascii="Tahoma" w:hAnsi="Tahoma"/>
                <w:noProof/>
                <w:color w:val="FFFFFF" w:themeColor="background1"/>
                <w:sz w:val="20"/>
                <w:lang w:val="fr-BE"/>
              </w:rPr>
              <w:t xml:space="preserve"> </w:t>
            </w:r>
            <w:r>
              <w:rPr>
                <w:rFonts w:ascii="Tahoma" w:hAnsi="Tahoma"/>
                <w:noProof/>
                <w:color w:val="FFFFFF" w:themeColor="background1"/>
                <w:sz w:val="20"/>
              </w:rPr>
              <w:t>предложение</w:t>
            </w:r>
            <w:r>
              <w:rPr>
                <w:rFonts w:ascii="Tahoma" w:hAnsi="Tahoma"/>
                <w:noProof/>
                <w:color w:val="FFFFFF" w:themeColor="background1"/>
                <w:sz w:val="20"/>
                <w:lang w:val="fr-BE"/>
              </w:rPr>
              <w:t xml:space="preserve"> </w:t>
            </w:r>
            <w:r>
              <w:rPr>
                <w:rFonts w:ascii="Tahoma" w:hAnsi="Tahoma"/>
                <w:noProof/>
                <w:color w:val="FFFFFF" w:themeColor="background1"/>
                <w:sz w:val="20"/>
              </w:rPr>
              <w:t>за</w:t>
            </w:r>
            <w:r>
              <w:rPr>
                <w:rFonts w:ascii="Tahoma" w:hAnsi="Tahoma"/>
                <w:noProof/>
                <w:color w:val="FFFFFF" w:themeColor="background1"/>
                <w:sz w:val="20"/>
                <w:lang w:val="fr-BE"/>
              </w:rPr>
              <w:t xml:space="preserve"> </w:t>
            </w:r>
            <w:r>
              <w:rPr>
                <w:rFonts w:ascii="Tahoma" w:hAnsi="Tahoma"/>
                <w:noProof/>
                <w:color w:val="FFFFFF" w:themeColor="background1"/>
                <w:sz w:val="20"/>
              </w:rPr>
              <w:t>регламент</w:t>
            </w:r>
            <w:r>
              <w:rPr>
                <w:rFonts w:ascii="Tahoma" w:hAnsi="Tahoma"/>
                <w:noProof/>
                <w:color w:val="FFFFFF" w:themeColor="background1"/>
                <w:sz w:val="20"/>
                <w:lang w:val="fr-BE"/>
              </w:rPr>
              <w:t xml:space="preserve"> </w:t>
            </w:r>
            <w:r>
              <w:rPr>
                <w:rFonts w:ascii="Tahoma" w:hAnsi="Tahoma"/>
                <w:noProof/>
                <w:color w:val="FFFFFF" w:themeColor="background1"/>
                <w:sz w:val="20"/>
              </w:rPr>
              <w:t>на</w:t>
            </w:r>
            <w:r>
              <w:rPr>
                <w:rFonts w:ascii="Tahoma" w:hAnsi="Tahoma"/>
                <w:noProof/>
                <w:color w:val="FFFFFF" w:themeColor="background1"/>
                <w:sz w:val="20"/>
                <w:lang w:val="fr-BE"/>
              </w:rPr>
              <w:t xml:space="preserve"> </w:t>
            </w:r>
            <w:r>
              <w:rPr>
                <w:rFonts w:ascii="Tahoma" w:hAnsi="Tahoma"/>
                <w:noProof/>
                <w:color w:val="FFFFFF" w:themeColor="background1"/>
                <w:sz w:val="20"/>
              </w:rPr>
              <w:t>Европейския</w:t>
            </w:r>
            <w:r>
              <w:rPr>
                <w:rFonts w:ascii="Tahoma" w:hAnsi="Tahoma"/>
                <w:noProof/>
                <w:color w:val="FFFFFF" w:themeColor="background1"/>
                <w:sz w:val="20"/>
                <w:lang w:val="fr-BE"/>
              </w:rPr>
              <w:t xml:space="preserve"> </w:t>
            </w:r>
            <w:r>
              <w:rPr>
                <w:rFonts w:ascii="Tahoma" w:hAnsi="Tahoma"/>
                <w:noProof/>
                <w:color w:val="FFFFFF" w:themeColor="background1"/>
                <w:sz w:val="20"/>
              </w:rPr>
              <w:t>парламент</w:t>
            </w:r>
            <w:r>
              <w:rPr>
                <w:rFonts w:ascii="Tahoma" w:hAnsi="Tahoma"/>
                <w:noProof/>
                <w:color w:val="FFFFFF" w:themeColor="background1"/>
                <w:sz w:val="20"/>
                <w:lang w:val="fr-BE"/>
              </w:rPr>
              <w:t xml:space="preserve"> </w:t>
            </w:r>
            <w:r>
              <w:rPr>
                <w:rFonts w:ascii="Tahoma" w:hAnsi="Tahoma"/>
                <w:noProof/>
                <w:color w:val="FFFFFF" w:themeColor="background1"/>
                <w:sz w:val="20"/>
              </w:rPr>
              <w:t>и</w:t>
            </w:r>
            <w:r>
              <w:rPr>
                <w:rFonts w:ascii="Tahoma" w:hAnsi="Tahoma"/>
                <w:noProof/>
                <w:color w:val="FFFFFF" w:themeColor="background1"/>
                <w:sz w:val="20"/>
                <w:lang w:val="fr-BE"/>
              </w:rPr>
              <w:t xml:space="preserve"> </w:t>
            </w:r>
            <w:r>
              <w:rPr>
                <w:rFonts w:ascii="Tahoma" w:hAnsi="Tahoma"/>
                <w:noProof/>
                <w:color w:val="FFFFFF" w:themeColor="background1"/>
                <w:sz w:val="20"/>
              </w:rPr>
              <w:t>на</w:t>
            </w:r>
            <w:r>
              <w:rPr>
                <w:rFonts w:ascii="Tahoma" w:hAnsi="Tahoma"/>
                <w:noProof/>
                <w:color w:val="FFFFFF" w:themeColor="background1"/>
                <w:sz w:val="20"/>
                <w:lang w:val="fr-BE"/>
              </w:rPr>
              <w:t xml:space="preserve"> </w:t>
            </w:r>
            <w:r>
              <w:rPr>
                <w:rFonts w:ascii="Tahoma" w:hAnsi="Tahoma"/>
                <w:noProof/>
                <w:color w:val="FFFFFF" w:themeColor="background1"/>
                <w:sz w:val="20"/>
              </w:rPr>
              <w:t>Съвета</w:t>
            </w:r>
            <w:r>
              <w:rPr>
                <w:rFonts w:ascii="Tahoma" w:hAnsi="Tahoma"/>
                <w:noProof/>
                <w:color w:val="FFFFFF" w:themeColor="background1"/>
                <w:sz w:val="20"/>
                <w:lang w:val="fr-BE"/>
              </w:rPr>
              <w:t xml:space="preserve"> </w:t>
            </w:r>
            <w:r>
              <w:rPr>
                <w:rFonts w:ascii="Tahoma" w:hAnsi="Tahoma"/>
                <w:noProof/>
                <w:color w:val="FFFFFF" w:themeColor="background1"/>
                <w:sz w:val="20"/>
              </w:rPr>
              <w:t>за</w:t>
            </w:r>
            <w:r>
              <w:rPr>
                <w:rFonts w:ascii="Tahoma" w:hAnsi="Tahoma"/>
                <w:noProof/>
                <w:color w:val="FFFFFF" w:themeColor="background1"/>
                <w:sz w:val="20"/>
                <w:lang w:val="fr-BE"/>
              </w:rPr>
              <w:t xml:space="preserve"> </w:t>
            </w:r>
            <w:r>
              <w:rPr>
                <w:rFonts w:ascii="Tahoma" w:hAnsi="Tahoma"/>
                <w:noProof/>
                <w:color w:val="FFFFFF" w:themeColor="background1"/>
                <w:sz w:val="20"/>
              </w:rPr>
              <w:t>определяне</w:t>
            </w:r>
            <w:r>
              <w:rPr>
                <w:rFonts w:ascii="Tahoma" w:hAnsi="Tahoma"/>
                <w:noProof/>
                <w:color w:val="FFFFFF" w:themeColor="background1"/>
                <w:sz w:val="20"/>
                <w:lang w:val="fr-BE"/>
              </w:rPr>
              <w:t xml:space="preserve"> </w:t>
            </w:r>
            <w:r>
              <w:rPr>
                <w:rFonts w:ascii="Tahoma" w:hAnsi="Tahoma"/>
                <w:noProof/>
                <w:color w:val="FFFFFF" w:themeColor="background1"/>
                <w:sz w:val="20"/>
              </w:rPr>
              <w:t>на</w:t>
            </w:r>
            <w:r>
              <w:rPr>
                <w:rFonts w:ascii="Tahoma" w:hAnsi="Tahoma"/>
                <w:noProof/>
                <w:color w:val="FFFFFF" w:themeColor="background1"/>
                <w:sz w:val="20"/>
                <w:lang w:val="fr-BE"/>
              </w:rPr>
              <w:t xml:space="preserve"> </w:t>
            </w:r>
            <w:r>
              <w:rPr>
                <w:rFonts w:ascii="Tahoma" w:hAnsi="Tahoma"/>
                <w:noProof/>
                <w:color w:val="FFFFFF" w:themeColor="background1"/>
                <w:sz w:val="20"/>
              </w:rPr>
              <w:t>правила</w:t>
            </w:r>
            <w:r>
              <w:rPr>
                <w:rFonts w:ascii="Tahoma" w:hAnsi="Tahoma"/>
                <w:noProof/>
                <w:color w:val="FFFFFF" w:themeColor="background1"/>
                <w:sz w:val="20"/>
                <w:lang w:val="fr-BE"/>
              </w:rPr>
              <w:t xml:space="preserve"> </w:t>
            </w:r>
            <w:r>
              <w:rPr>
                <w:rFonts w:ascii="Tahoma" w:hAnsi="Tahoma"/>
                <w:noProof/>
                <w:color w:val="FFFFFF" w:themeColor="background1"/>
                <w:sz w:val="20"/>
              </w:rPr>
              <w:t>и</w:t>
            </w:r>
            <w:r>
              <w:rPr>
                <w:rFonts w:ascii="Tahoma" w:hAnsi="Tahoma"/>
                <w:noProof/>
                <w:color w:val="FFFFFF" w:themeColor="background1"/>
                <w:sz w:val="20"/>
                <w:lang w:val="fr-BE"/>
              </w:rPr>
              <w:t xml:space="preserve"> </w:t>
            </w:r>
            <w:r>
              <w:rPr>
                <w:rFonts w:ascii="Tahoma" w:hAnsi="Tahoma"/>
                <w:noProof/>
                <w:color w:val="FFFFFF" w:themeColor="background1"/>
                <w:sz w:val="20"/>
              </w:rPr>
              <w:t>процедури</w:t>
            </w:r>
            <w:r>
              <w:rPr>
                <w:rFonts w:ascii="Tahoma" w:hAnsi="Tahoma"/>
                <w:noProof/>
                <w:color w:val="FFFFFF" w:themeColor="background1"/>
                <w:sz w:val="20"/>
                <w:lang w:val="fr-BE"/>
              </w:rPr>
              <w:t xml:space="preserve"> </w:t>
            </w:r>
            <w:r>
              <w:rPr>
                <w:rFonts w:ascii="Tahoma" w:hAnsi="Tahoma"/>
                <w:noProof/>
                <w:color w:val="FFFFFF" w:themeColor="background1"/>
                <w:sz w:val="20"/>
              </w:rPr>
              <w:t>за</w:t>
            </w:r>
            <w:r>
              <w:rPr>
                <w:rFonts w:ascii="Tahoma" w:hAnsi="Tahoma"/>
                <w:noProof/>
                <w:color w:val="FFFFFF" w:themeColor="background1"/>
                <w:sz w:val="20"/>
                <w:lang w:val="fr-BE"/>
              </w:rPr>
              <w:t xml:space="preserve"> </w:t>
            </w:r>
            <w:r>
              <w:rPr>
                <w:rFonts w:ascii="Tahoma" w:hAnsi="Tahoma"/>
                <w:noProof/>
                <w:color w:val="FFFFFF" w:themeColor="background1"/>
                <w:sz w:val="20"/>
              </w:rPr>
              <w:t>постигане</w:t>
            </w:r>
            <w:r>
              <w:rPr>
                <w:rFonts w:ascii="Tahoma" w:hAnsi="Tahoma"/>
                <w:noProof/>
                <w:color w:val="FFFFFF" w:themeColor="background1"/>
                <w:sz w:val="20"/>
                <w:lang w:val="fr-BE"/>
              </w:rPr>
              <w:t xml:space="preserve"> </w:t>
            </w:r>
            <w:r>
              <w:rPr>
                <w:rFonts w:ascii="Tahoma" w:hAnsi="Tahoma"/>
                <w:noProof/>
                <w:color w:val="FFFFFF" w:themeColor="background1"/>
                <w:sz w:val="20"/>
              </w:rPr>
              <w:t>на</w:t>
            </w:r>
            <w:r>
              <w:rPr>
                <w:rFonts w:ascii="Tahoma" w:hAnsi="Tahoma"/>
                <w:noProof/>
                <w:color w:val="FFFFFF" w:themeColor="background1"/>
                <w:sz w:val="20"/>
                <w:lang w:val="fr-BE"/>
              </w:rPr>
              <w:t xml:space="preserve"> </w:t>
            </w:r>
            <w:r>
              <w:rPr>
                <w:rFonts w:ascii="Tahoma" w:hAnsi="Tahoma"/>
                <w:noProof/>
                <w:color w:val="FFFFFF" w:themeColor="background1"/>
                <w:sz w:val="20"/>
              </w:rPr>
              <w:t>съответствие</w:t>
            </w:r>
            <w:r>
              <w:rPr>
                <w:rFonts w:ascii="Tahoma" w:hAnsi="Tahoma"/>
                <w:noProof/>
                <w:color w:val="FFFFFF" w:themeColor="background1"/>
                <w:sz w:val="20"/>
                <w:lang w:val="fr-BE"/>
              </w:rPr>
              <w:t xml:space="preserve"> </w:t>
            </w:r>
            <w:r>
              <w:rPr>
                <w:rFonts w:ascii="Tahoma" w:hAnsi="Tahoma"/>
                <w:noProof/>
                <w:color w:val="FFFFFF" w:themeColor="background1"/>
                <w:sz w:val="20"/>
              </w:rPr>
              <w:t>със</w:t>
            </w:r>
            <w:r>
              <w:rPr>
                <w:rFonts w:ascii="Tahoma" w:hAnsi="Tahoma"/>
                <w:noProof/>
                <w:color w:val="FFFFFF" w:themeColor="background1"/>
                <w:sz w:val="20"/>
                <w:lang w:val="fr-BE"/>
              </w:rPr>
              <w:t xml:space="preserve"> </w:t>
            </w:r>
            <w:r>
              <w:rPr>
                <w:rFonts w:ascii="Tahoma" w:hAnsi="Tahoma"/>
                <w:noProof/>
                <w:color w:val="FFFFFF" w:themeColor="background1"/>
                <w:sz w:val="20"/>
              </w:rPr>
              <w:t>законодателството</w:t>
            </w:r>
            <w:r>
              <w:rPr>
                <w:rFonts w:ascii="Tahoma" w:hAnsi="Tahoma"/>
                <w:noProof/>
                <w:color w:val="FFFFFF" w:themeColor="background1"/>
                <w:sz w:val="20"/>
                <w:lang w:val="fr-BE"/>
              </w:rPr>
              <w:t xml:space="preserve"> </w:t>
            </w:r>
            <w:r>
              <w:rPr>
                <w:rFonts w:ascii="Tahoma" w:hAnsi="Tahoma"/>
                <w:noProof/>
                <w:color w:val="FFFFFF" w:themeColor="background1"/>
                <w:sz w:val="20"/>
              </w:rPr>
              <w:t>на</w:t>
            </w:r>
            <w:r>
              <w:rPr>
                <w:rFonts w:ascii="Tahoma" w:hAnsi="Tahoma"/>
                <w:noProof/>
                <w:color w:val="FFFFFF" w:themeColor="background1"/>
                <w:sz w:val="20"/>
                <w:lang w:val="fr-BE"/>
              </w:rPr>
              <w:t xml:space="preserve"> </w:t>
            </w:r>
            <w:r>
              <w:rPr>
                <w:rFonts w:ascii="Tahoma" w:hAnsi="Tahoma"/>
                <w:noProof/>
                <w:color w:val="FFFFFF" w:themeColor="background1"/>
                <w:sz w:val="20"/>
              </w:rPr>
              <w:t>Съюза</w:t>
            </w:r>
            <w:r>
              <w:rPr>
                <w:rFonts w:ascii="Tahoma" w:hAnsi="Tahoma"/>
                <w:noProof/>
                <w:color w:val="FFFFFF" w:themeColor="background1"/>
                <w:sz w:val="20"/>
                <w:lang w:val="fr-BE"/>
              </w:rPr>
              <w:t xml:space="preserve"> </w:t>
            </w:r>
            <w:r>
              <w:rPr>
                <w:rFonts w:ascii="Tahoma" w:hAnsi="Tahoma"/>
                <w:noProof/>
                <w:color w:val="FFFFFF" w:themeColor="background1"/>
                <w:sz w:val="20"/>
              </w:rPr>
              <w:t>за</w:t>
            </w:r>
            <w:r>
              <w:rPr>
                <w:rFonts w:ascii="Tahoma" w:hAnsi="Tahoma"/>
                <w:noProof/>
                <w:color w:val="FFFFFF" w:themeColor="background1"/>
                <w:sz w:val="20"/>
                <w:lang w:val="fr-BE"/>
              </w:rPr>
              <w:t xml:space="preserve"> </w:t>
            </w:r>
            <w:r>
              <w:rPr>
                <w:rFonts w:ascii="Tahoma" w:hAnsi="Tahoma"/>
                <w:noProof/>
                <w:color w:val="FFFFFF" w:themeColor="background1"/>
                <w:sz w:val="20"/>
              </w:rPr>
              <w:t>хармонизация</w:t>
            </w:r>
            <w:r>
              <w:rPr>
                <w:rFonts w:ascii="Tahoma" w:hAnsi="Tahoma"/>
                <w:noProof/>
                <w:color w:val="FFFFFF" w:themeColor="background1"/>
                <w:sz w:val="20"/>
                <w:lang w:val="fr-BE"/>
              </w:rPr>
              <w:t xml:space="preserve"> </w:t>
            </w:r>
            <w:r>
              <w:rPr>
                <w:rFonts w:ascii="Tahoma" w:hAnsi="Tahoma"/>
                <w:noProof/>
                <w:color w:val="FFFFFF" w:themeColor="background1"/>
                <w:sz w:val="20"/>
              </w:rPr>
              <w:t>в</w:t>
            </w:r>
            <w:r>
              <w:rPr>
                <w:rFonts w:ascii="Tahoma" w:hAnsi="Tahoma"/>
                <w:noProof/>
                <w:color w:val="FFFFFF" w:themeColor="background1"/>
                <w:sz w:val="20"/>
                <w:lang w:val="fr-BE"/>
              </w:rPr>
              <w:t xml:space="preserve"> </w:t>
            </w:r>
            <w:r>
              <w:rPr>
                <w:rFonts w:ascii="Tahoma" w:hAnsi="Tahoma"/>
                <w:noProof/>
                <w:color w:val="FFFFFF" w:themeColor="background1"/>
                <w:sz w:val="20"/>
              </w:rPr>
              <w:t>областта</w:t>
            </w:r>
            <w:r>
              <w:rPr>
                <w:rFonts w:ascii="Tahoma" w:hAnsi="Tahoma"/>
                <w:noProof/>
                <w:color w:val="FFFFFF" w:themeColor="background1"/>
                <w:sz w:val="20"/>
                <w:lang w:val="fr-BE"/>
              </w:rPr>
              <w:t xml:space="preserve"> </w:t>
            </w:r>
            <w:r>
              <w:rPr>
                <w:rFonts w:ascii="Tahoma" w:hAnsi="Tahoma"/>
                <w:noProof/>
                <w:color w:val="FFFFFF" w:themeColor="background1"/>
                <w:sz w:val="20"/>
              </w:rPr>
              <w:t>на</w:t>
            </w:r>
            <w:r>
              <w:rPr>
                <w:rFonts w:ascii="Tahoma" w:hAnsi="Tahoma"/>
                <w:noProof/>
                <w:color w:val="FFFFFF" w:themeColor="background1"/>
                <w:sz w:val="20"/>
                <w:lang w:val="fr-BE"/>
              </w:rPr>
              <w:t xml:space="preserve"> </w:t>
            </w:r>
            <w:r>
              <w:rPr>
                <w:rFonts w:ascii="Tahoma" w:hAnsi="Tahoma"/>
                <w:noProof/>
                <w:color w:val="FFFFFF" w:themeColor="background1"/>
                <w:sz w:val="20"/>
              </w:rPr>
              <w:t>продуктите</w:t>
            </w:r>
            <w:r>
              <w:rPr>
                <w:rFonts w:ascii="Tahoma" w:hAnsi="Tahoma"/>
                <w:noProof/>
                <w:color w:val="FFFFFF" w:themeColor="background1"/>
                <w:sz w:val="20"/>
                <w:lang w:val="fr-BE"/>
              </w:rPr>
              <w:t xml:space="preserve"> </w:t>
            </w:r>
            <w:r>
              <w:rPr>
                <w:rFonts w:ascii="Tahoma" w:hAnsi="Tahoma"/>
                <w:noProof/>
                <w:color w:val="FFFFFF" w:themeColor="background1"/>
                <w:sz w:val="20"/>
              </w:rPr>
              <w:t>и</w:t>
            </w:r>
            <w:r>
              <w:rPr>
                <w:rFonts w:ascii="Tahoma" w:hAnsi="Tahoma"/>
                <w:noProof/>
                <w:color w:val="FFFFFF" w:themeColor="background1"/>
                <w:sz w:val="20"/>
                <w:lang w:val="fr-BE"/>
              </w:rPr>
              <w:t xml:space="preserve"> </w:t>
            </w:r>
            <w:r>
              <w:rPr>
                <w:rFonts w:ascii="Tahoma" w:hAnsi="Tahoma"/>
                <w:noProof/>
                <w:color w:val="FFFFFF" w:themeColor="background1"/>
                <w:sz w:val="20"/>
              </w:rPr>
              <w:t>за</w:t>
            </w:r>
            <w:r>
              <w:rPr>
                <w:rFonts w:ascii="Tahoma" w:hAnsi="Tahoma"/>
                <w:noProof/>
                <w:color w:val="FFFFFF" w:themeColor="background1"/>
                <w:sz w:val="20"/>
                <w:lang w:val="fr-BE"/>
              </w:rPr>
              <w:t xml:space="preserve"> </w:t>
            </w:r>
            <w:r>
              <w:rPr>
                <w:rFonts w:ascii="Tahoma" w:hAnsi="Tahoma"/>
                <w:noProof/>
                <w:color w:val="FFFFFF" w:themeColor="background1"/>
                <w:sz w:val="20"/>
              </w:rPr>
              <w:t>неговото</w:t>
            </w:r>
            <w:r>
              <w:rPr>
                <w:rFonts w:ascii="Tahoma" w:hAnsi="Tahoma"/>
                <w:noProof/>
                <w:color w:val="FFFFFF" w:themeColor="background1"/>
                <w:sz w:val="20"/>
                <w:lang w:val="fr-BE"/>
              </w:rPr>
              <w:t xml:space="preserve"> </w:t>
            </w:r>
            <w:r>
              <w:rPr>
                <w:rFonts w:ascii="Tahoma" w:hAnsi="Tahoma"/>
                <w:noProof/>
                <w:color w:val="FFFFFF" w:themeColor="background1"/>
                <w:sz w:val="20"/>
              </w:rPr>
              <w:t>прилагане</w:t>
            </w:r>
          </w:p>
        </w:tc>
      </w:tr>
      <w:tr>
        <w:tc>
          <w:tcPr>
            <w:tcW w:w="9747" w:type="dxa"/>
            <w:tcBorders>
              <w:bottom w:val="single" w:sz="4" w:space="0" w:color="auto"/>
            </w:tcBorders>
            <w:shd w:val="clear" w:color="auto" w:fill="CCCCCC"/>
          </w:tcPr>
          <w:p>
            <w:pPr>
              <w:spacing w:after="60"/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А. Необходимост от действие</w:t>
            </w:r>
          </w:p>
        </w:tc>
      </w:tr>
      <w:tr>
        <w:tc>
          <w:tcPr>
            <w:tcW w:w="9747" w:type="dxa"/>
            <w:tcBorders>
              <w:bottom w:val="single" w:sz="4" w:space="0" w:color="auto"/>
            </w:tcBorders>
            <w:shd w:val="clear" w:color="auto" w:fill="E0E0E0"/>
          </w:tcPr>
          <w:p>
            <w:pPr>
              <w:spacing w:after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 xml:space="preserve">Защо? Какъв е разглежданият проблем? </w:t>
            </w:r>
          </w:p>
        </w:tc>
      </w:tr>
      <w:tr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pStyle w:val="Text1"/>
              <w:spacing w:after="60"/>
              <w:ind w:left="0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/>
                <w:noProof/>
                <w:sz w:val="20"/>
              </w:rPr>
              <w:t xml:space="preserve">Стойността на продуктите, спрямо които се прилагат хармонизирани правила на ЕС, възлиза на над 2 400 милиарда евро годишно, което е 69 % от общата стойност на произвежданите продукти в ЕС. Съществуването на несъответстващи на изискванията продукти излага гражданите на потенциално опасни продукти, излага на риск околната среда и нарушава конкуренцията. Основните причини са ограниченото познаване на правилата, слабият възпиращ ефект и значителната неефективност на системите за правоприлагане. Очаква се проблемът да се задълбочи поради увеличаващите се онлайн продажби и внос от трети държави. </w:t>
            </w:r>
          </w:p>
        </w:tc>
      </w:tr>
      <w:tr>
        <w:tc>
          <w:tcPr>
            <w:tcW w:w="9747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spacing w:after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 xml:space="preserve">Какво се очаква да бъде постигнато с настоящата инициатива? </w:t>
            </w:r>
          </w:p>
        </w:tc>
      </w:tr>
      <w:tr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after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>Инициативата има за цел да намали броя на несъответстващите на изискванията продукти на единния пазар чрез 1) засилване на процедурите по сътрудничество; 2) увеличаване на оперативния капацитет за правоприлагане, подобряване на ефективността и наличието на ресурси; 3) укрепване на набора от инструменти за правоприлагане; 4) насърчаване на съответствието и достъпност на информацията относно съответствието.</w:t>
            </w:r>
          </w:p>
        </w:tc>
      </w:tr>
      <w:tr>
        <w:tc>
          <w:tcPr>
            <w:tcW w:w="9747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spacing w:after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Каква е добавената стойност от действие на равнището на ЕС?</w:t>
            </w:r>
            <w:r>
              <w:rPr>
                <w:rFonts w:ascii="Tahoma" w:hAnsi="Tahoma"/>
                <w:noProof/>
                <w:sz w:val="20"/>
              </w:rPr>
              <w:t xml:space="preserve"> </w:t>
            </w:r>
          </w:p>
        </w:tc>
      </w:tr>
      <w:tr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pStyle w:val="Text1"/>
              <w:spacing w:after="60"/>
              <w:ind w:left="0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/>
                <w:noProof/>
                <w:sz w:val="20"/>
              </w:rPr>
              <w:t xml:space="preserve">За прилагането на законодателството на ЕС за хармонизация отговарят държавите членки, които са ограничени от рамките на техните юрисдикции. Необходима е координация на дейностите, за да се осигури последователно правоприлагане в целия ЕС и да се реши ефективно проблемът с несъответствието. </w:t>
            </w:r>
          </w:p>
        </w:tc>
      </w:tr>
      <w:tr>
        <w:tc>
          <w:tcPr>
            <w:tcW w:w="9747" w:type="dxa"/>
            <w:tcBorders>
              <w:bottom w:val="single" w:sz="4" w:space="0" w:color="auto"/>
            </w:tcBorders>
            <w:shd w:val="clear" w:color="auto" w:fill="CCCCCC"/>
          </w:tcPr>
          <w:p>
            <w:pPr>
              <w:spacing w:after="60"/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Б. Решения</w:t>
            </w:r>
          </w:p>
        </w:tc>
      </w:tr>
      <w:tr>
        <w:tc>
          <w:tcPr>
            <w:tcW w:w="9747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spacing w:after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Какви законодателни и незаконодателни варианти на политика са разгледани? Има ли предпочитан вариант? Защо?</w:t>
            </w:r>
            <w:r>
              <w:rPr>
                <w:rFonts w:ascii="Tahoma" w:hAnsi="Tahoma"/>
                <w:noProof/>
                <w:sz w:val="20"/>
              </w:rPr>
              <w:t xml:space="preserve"> </w:t>
            </w:r>
          </w:p>
        </w:tc>
      </w:tr>
      <w:tr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 xml:space="preserve">Разгледаните варианти са: 1) Базов сценарий; 2) Подобряване на съществуващите инструменти и механизми за сътрудничество; 3) Освен </w:t>
            </w:r>
            <w:r>
              <w:rPr>
                <w:rFonts w:ascii="Tahoma" w:hAnsi="Tahoma"/>
                <w:noProof/>
                <w:sz w:val="20"/>
                <w:lang w:val="bg-BG"/>
              </w:rPr>
              <w:t>посоченото по-горе,</w:t>
            </w:r>
            <w:r>
              <w:rPr>
                <w:rFonts w:ascii="Tahoma" w:hAnsi="Tahoma"/>
                <w:noProof/>
                <w:sz w:val="20"/>
              </w:rPr>
              <w:t xml:space="preserve"> увеличаване на възпиращия ефект на инструментите за правоприлагане и засилване на координацията в рамките на ЕС, и 4) Допълнително засилено централизирано правоприлагане на равнището на ЕС в някои случаи. Предпочитаният вариант включва механизъм за взаимопомощ между съответните органи,</w:t>
            </w:r>
            <w:r>
              <w:t xml:space="preserve"> </w:t>
            </w:r>
            <w:r>
              <w:rPr>
                <w:rFonts w:ascii="Tahoma" w:hAnsi="Tahoma"/>
                <w:noProof/>
                <w:sz w:val="20"/>
              </w:rPr>
              <w:t>мрежа на ЕС за съответствието на продуктите, която да координира и подпомага осъществяването на съвместни дейности по правоприлагане и партньорски проверки на резултатите от работата на държавите членки, общи правомощия на съответните органи, по-систематично публикуване на ограничителните мерки, възстановяване на разходите за контрол в случай на несъответстващи на изискванията продукти и задължение на производителите да определят лице, отговарящо за информацията относно съответствието в ЕС, както и разширяване на консултативната роля на звената за контакт относно продуктите, публикуване в цифров вид на информация относно съответствието и уебпортал за доброволни мерки.</w:t>
            </w:r>
          </w:p>
        </w:tc>
      </w:tr>
      <w:tr>
        <w:tc>
          <w:tcPr>
            <w:tcW w:w="9747" w:type="dxa"/>
            <w:shd w:val="clear" w:color="auto" w:fill="CCCCCC"/>
          </w:tcPr>
          <w:p>
            <w:pPr>
              <w:spacing w:after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Кой подкрепя отделните варианти?</w:t>
            </w:r>
            <w:r>
              <w:rPr>
                <w:rFonts w:ascii="Tahoma" w:hAnsi="Tahoma"/>
                <w:noProof/>
                <w:sz w:val="20"/>
              </w:rPr>
              <w:t xml:space="preserve"> </w:t>
            </w:r>
          </w:p>
        </w:tc>
      </w:tr>
      <w:tr>
        <w:tc>
          <w:tcPr>
            <w:tcW w:w="9747" w:type="dxa"/>
            <w:shd w:val="clear" w:color="auto" w:fill="auto"/>
          </w:tcPr>
          <w:p>
            <w:pPr>
              <w:spacing w:after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 xml:space="preserve">Заинтересованите страни са единодушни относно необходимостта от много по-голяма координация, от наличието на повече ресурси и ефективното им използване и от по-ефективни инструменти за подобряване на рамката за прилагане на контрола в рамките на единния пазар и спрямо вноса в ЕС. </w:t>
            </w:r>
          </w:p>
        </w:tc>
      </w:tr>
      <w:tr>
        <w:tc>
          <w:tcPr>
            <w:tcW w:w="9747" w:type="dxa"/>
            <w:tcBorders>
              <w:bottom w:val="single" w:sz="4" w:space="0" w:color="auto"/>
            </w:tcBorders>
            <w:shd w:val="clear" w:color="auto" w:fill="CCCCCC"/>
          </w:tcPr>
          <w:p>
            <w:pPr>
              <w:spacing w:after="60"/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В. Въздействие на предпочитания вариант</w:t>
            </w:r>
          </w:p>
        </w:tc>
      </w:tr>
      <w:tr>
        <w:tc>
          <w:tcPr>
            <w:tcW w:w="9747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spacing w:after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Какви са ползите от предпочитания вариант (ако има такъв, в противен случай — от основните варианти)?</w:t>
            </w:r>
            <w:r>
              <w:rPr>
                <w:rFonts w:ascii="Tahoma" w:hAnsi="Tahoma"/>
                <w:noProof/>
                <w:sz w:val="20"/>
              </w:rPr>
              <w:t xml:space="preserve"> </w:t>
            </w:r>
          </w:p>
        </w:tc>
      </w:tr>
      <w:tr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after="60"/>
              <w:jc w:val="both"/>
              <w:rPr>
                <w:rFonts w:ascii="Tahoma" w:hAnsi="Tahoma" w:cs="Tahoma"/>
                <w:i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 xml:space="preserve">Инициативата ще доведе до по-ефективно правоприлагане в случай на несъответстващи на изискванията продукти в целия единен пазар и до по-ефективни проверки на вноса. Ползвателите на продукти ще бъдат по-добре защитени от неоправдани рискове за околната среда, общественото здраве и безопасността на работното място. Предприятията ще се възползват от помощ в областта на съответствието, от по-равнопоставени условия на конкуренция, както и от намаляване на нелоялната конкуренция. </w:t>
            </w:r>
          </w:p>
        </w:tc>
      </w:tr>
      <w:tr>
        <w:tc>
          <w:tcPr>
            <w:tcW w:w="9747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spacing w:after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Какви са разходите за предпочитания вариант (ако има такъв, в противен случай — за основните варианти)?</w:t>
            </w:r>
            <w:r>
              <w:rPr>
                <w:rFonts w:ascii="Tahoma" w:hAnsi="Tahoma"/>
                <w:noProof/>
                <w:sz w:val="20"/>
              </w:rPr>
              <w:t xml:space="preserve"> </w:t>
            </w:r>
          </w:p>
        </w:tc>
      </w:tr>
      <w:tr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after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 xml:space="preserve">На някои икономически оператори може да се наложи да се приспособят, за да могат да предоставят в цифров вид информацията относно съответствието, или да назначат отговарящо за нея лице в ЕС. Разходите за Комисията/бюджета на Съюза ще са свързани по-конкретно със създаването на мрежа на ЕС за съответствието на продуктите (18 млн. евро годишно). Не се очакват отрицателни екологични или социални въздействия. </w:t>
            </w:r>
          </w:p>
        </w:tc>
      </w:tr>
      <w:tr>
        <w:tc>
          <w:tcPr>
            <w:tcW w:w="9747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spacing w:after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 xml:space="preserve">Какви ще са последиците за предприятията, МСП и микропредприятията? </w:t>
            </w:r>
          </w:p>
        </w:tc>
      </w:tr>
      <w:tr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after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 xml:space="preserve">С предложението ще се помогне на предприятията, включително на МСП, да намалят отрицателното въздействие на нелоялната конкуренция или на липсата на съответствие. </w:t>
            </w:r>
          </w:p>
        </w:tc>
      </w:tr>
      <w:tr>
        <w:tc>
          <w:tcPr>
            <w:tcW w:w="9747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spacing w:after="60"/>
              <w:jc w:val="both"/>
              <w:rPr>
                <w:rFonts w:ascii="Tahoma" w:hAnsi="Tahoma" w:cs="Tahoma"/>
                <w:b/>
                <w:i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Ще има ли значително въздействие</w:t>
            </w:r>
            <w:r>
              <w:rPr>
                <w:rFonts w:ascii="Tahoma" w:hAnsi="Tahoma"/>
                <w:noProof/>
                <w:sz w:val="20"/>
              </w:rPr>
              <w:t xml:space="preserve"> </w:t>
            </w:r>
            <w:r>
              <w:rPr>
                <w:rFonts w:ascii="Tahoma" w:hAnsi="Tahoma"/>
                <w:b/>
                <w:noProof/>
                <w:sz w:val="20"/>
              </w:rPr>
              <w:t>върху националните бюджети и администрации?</w:t>
            </w:r>
            <w:r>
              <w:rPr>
                <w:rFonts w:ascii="Tahoma" w:hAnsi="Tahoma"/>
                <w:noProof/>
                <w:sz w:val="20"/>
              </w:rPr>
              <w:t xml:space="preserve"> </w:t>
            </w:r>
          </w:p>
        </w:tc>
      </w:tr>
      <w:tr>
        <w:tc>
          <w:tcPr>
            <w:tcW w:w="9747" w:type="dxa"/>
            <w:shd w:val="clear" w:color="auto" w:fill="auto"/>
          </w:tcPr>
          <w:p>
            <w:pPr>
              <w:spacing w:after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 xml:space="preserve">Държавите членки ще трябва да се приспособят към новите процедури, но също така ще спестят разходи в резултат на опростените процедури по сътрудничество. </w:t>
            </w:r>
          </w:p>
        </w:tc>
      </w:tr>
      <w:tr>
        <w:tc>
          <w:tcPr>
            <w:tcW w:w="9747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spacing w:after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Ще има ли други значителни въздействия?</w:t>
            </w:r>
            <w:r>
              <w:rPr>
                <w:rFonts w:ascii="Tahoma" w:hAnsi="Tahoma"/>
                <w:noProof/>
                <w:sz w:val="20"/>
              </w:rPr>
              <w:t xml:space="preserve"> </w:t>
            </w:r>
          </w:p>
        </w:tc>
      </w:tr>
      <w:tr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after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 xml:space="preserve">При прецизното определяне на правомощията на националните органи и мерките за правоприлагане трябва да се гарантира надлежното зачитане на основните права и принципите на законност и пропорционалност. </w:t>
            </w:r>
          </w:p>
        </w:tc>
      </w:tr>
      <w:tr>
        <w:tc>
          <w:tcPr>
            <w:tcW w:w="9747" w:type="dxa"/>
            <w:tcBorders>
              <w:bottom w:val="single" w:sz="4" w:space="0" w:color="auto"/>
            </w:tcBorders>
            <w:shd w:val="clear" w:color="auto" w:fill="C0C0C0"/>
          </w:tcPr>
          <w:p>
            <w:pPr>
              <w:spacing w:after="60"/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Г. Последващи действия</w:t>
            </w:r>
          </w:p>
        </w:tc>
      </w:tr>
      <w:tr>
        <w:tc>
          <w:tcPr>
            <w:tcW w:w="9747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spacing w:after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Кога ще се извърши преглед на политиката?</w:t>
            </w:r>
          </w:p>
        </w:tc>
      </w:tr>
      <w:tr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after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 xml:space="preserve">В допълнение към редовното набюдение, се очаква да се извърши оценка на функционирането на новата законодателна рамка след изтичане на около 5 години от нейното прилагане. </w:t>
            </w:r>
          </w:p>
        </w:tc>
      </w:tr>
    </w:tbl>
    <w:p>
      <w:pPr>
        <w:rPr>
          <w:rFonts w:ascii="Tahoma" w:hAnsi="Tahoma" w:cs="Tahoma"/>
          <w:noProof/>
          <w:sz w:val="2"/>
          <w:szCs w:val="2"/>
        </w:rPr>
      </w:pPr>
    </w:p>
    <w:sectPr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1134" w:bottom="1134" w:left="1134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  <w:endnote w:type="continuationNotice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-521775996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  <w:rPr>
            <w:rFonts w:ascii="Arial" w:hAnsi="Arial" w:cs="Arial"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fldChar w:fldCharType="begin"/>
        </w:r>
        <w:r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noProof/>
            <w:sz w:val="16"/>
            <w:szCs w:val="16"/>
          </w:rPr>
          <w:t>1</w:t>
        </w:r>
        <w:r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1">
    <w:p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">
    <w:nsid w:val="467E1DA0"/>
    <w:multiLevelType w:val="hybridMultilevel"/>
    <w:tmpl w:val="526C7FAC"/>
    <w:lvl w:ilvl="0" w:tplc="CC02176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B7606AA"/>
    <w:multiLevelType w:val="hybridMultilevel"/>
    <w:tmpl w:val="C5BEB632"/>
    <w:lvl w:ilvl="0" w:tplc="CC02176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CF74DC"/>
    <w:multiLevelType w:val="hybridMultilevel"/>
    <w:tmpl w:val="FE800A86"/>
    <w:lvl w:ilvl="0" w:tplc="0809000F">
      <w:start w:val="1"/>
      <w:numFmt w:val="decimal"/>
      <w:lvlText w:val="%1."/>
      <w:lvlJc w:val="left"/>
      <w:pPr>
        <w:ind w:left="1202" w:hanging="360"/>
      </w:pPr>
    </w:lvl>
    <w:lvl w:ilvl="1" w:tplc="08090019" w:tentative="1">
      <w:start w:val="1"/>
      <w:numFmt w:val="lowerLetter"/>
      <w:lvlText w:val="%2."/>
      <w:lvlJc w:val="left"/>
      <w:pPr>
        <w:ind w:left="1922" w:hanging="360"/>
      </w:pPr>
    </w:lvl>
    <w:lvl w:ilvl="2" w:tplc="0809001B" w:tentative="1">
      <w:start w:val="1"/>
      <w:numFmt w:val="lowerRoman"/>
      <w:lvlText w:val="%3."/>
      <w:lvlJc w:val="right"/>
      <w:pPr>
        <w:ind w:left="2642" w:hanging="180"/>
      </w:pPr>
    </w:lvl>
    <w:lvl w:ilvl="3" w:tplc="0809000F" w:tentative="1">
      <w:start w:val="1"/>
      <w:numFmt w:val="decimal"/>
      <w:lvlText w:val="%4."/>
      <w:lvlJc w:val="left"/>
      <w:pPr>
        <w:ind w:left="3362" w:hanging="360"/>
      </w:pPr>
    </w:lvl>
    <w:lvl w:ilvl="4" w:tplc="08090019" w:tentative="1">
      <w:start w:val="1"/>
      <w:numFmt w:val="lowerLetter"/>
      <w:lvlText w:val="%5."/>
      <w:lvlJc w:val="left"/>
      <w:pPr>
        <w:ind w:left="4082" w:hanging="360"/>
      </w:pPr>
    </w:lvl>
    <w:lvl w:ilvl="5" w:tplc="0809001B" w:tentative="1">
      <w:start w:val="1"/>
      <w:numFmt w:val="lowerRoman"/>
      <w:lvlText w:val="%6."/>
      <w:lvlJc w:val="right"/>
      <w:pPr>
        <w:ind w:left="4802" w:hanging="180"/>
      </w:pPr>
    </w:lvl>
    <w:lvl w:ilvl="6" w:tplc="0809000F" w:tentative="1">
      <w:start w:val="1"/>
      <w:numFmt w:val="decimal"/>
      <w:lvlText w:val="%7."/>
      <w:lvlJc w:val="left"/>
      <w:pPr>
        <w:ind w:left="5522" w:hanging="360"/>
      </w:pPr>
    </w:lvl>
    <w:lvl w:ilvl="7" w:tplc="08090019" w:tentative="1">
      <w:start w:val="1"/>
      <w:numFmt w:val="lowerLetter"/>
      <w:lvlText w:val="%8."/>
      <w:lvlJc w:val="left"/>
      <w:pPr>
        <w:ind w:left="6242" w:hanging="360"/>
      </w:pPr>
    </w:lvl>
    <w:lvl w:ilvl="8" w:tplc="0809001B" w:tentative="1">
      <w:start w:val="1"/>
      <w:numFmt w:val="lowerRoman"/>
      <w:lvlText w:val="%9."/>
      <w:lvlJc w:val="right"/>
      <w:pPr>
        <w:ind w:left="6962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hideSpellingErrors/>
  <w:hideGrammaticalErrors/>
  <w:revisionView w:markup="0"/>
  <w:defaultTabStop w:val="720"/>
  <w:characterSpacingControl w:val="doNotCompress"/>
  <w:hdrShapeDefaults>
    <o:shapedefaults v:ext="edit" spidmax="880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\u1087?\u1088?\u1080?\u1076?\u1088?\u1091?\u1078?\u1072?\u1074?\u1072?\u1097?"/>
    <w:docVar w:name="LW_CORRIGENDUM" w:val="&lt;UNUSED&gt;"/>
    <w:docVar w:name="LW_COVERPAGE_EXISTS" w:val="True"/>
    <w:docVar w:name="LW_COVERPAGE_GUID" w:val="16A809FE-1E3F-496F-A051-9939F8D6E8E0"/>
    <w:docVar w:name="LW_COVERPAGE_TYPE" w:val="1"/>
    <w:docVar w:name="LW_CROSSREFERENCE" w:val="{COM(2017) 795 final}_x000b_{SWD(2017) 466 final}_x000b_{SWD(2017) 468 final}_x000b_{SWD(2017) 469 final}_x000b_{SWD(2017) 470 final}"/>
    <w:docVar w:name="LW_DocType" w:val="NORMAL"/>
    <w:docVar w:name="LW_EMISSION" w:val="19.12.2017"/>
    <w:docVar w:name="LW_EMISSION_ISODATE" w:val="2017-12-19"/>
    <w:docVar w:name="LW_EMISSION_LOCATION" w:val="BRX"/>
    <w:docVar w:name="LW_EMISSION_PREFIX" w:val="Брюксел, "/>
    <w:docVar w:name="LW_EMISSION_SUFFIX" w:val="\u1075?."/>
    <w:docVar w:name="LW_ID_DOCTYPE_NONLW" w:val="CP-02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79?\u1072? \u1086?\u1087?\u1088?\u1077?\u1076?\u1077?\u1083?\u1103?\u1085?\u1077? \u1085?\u1072? \u1087?\u1088?\u1072?\u1074?\u1080?\u1083?\u1072? \u1080? \u1087?\u1088?\u1086?\u1094?\u1077?\u1076?\u1091?\u1088?\u1080? \u1079?\u1072? \u1087?\u1086?\u1089?\u1090?\u1080?\u1075?\u1072?\u1085?\u1077? \u1085?\u1072? \u1089?\u1098?\u1086?\u1090?\u1074?\u1077?\u1090?\u1089?\u1090?\u1074?\u1080?\u1077? \u1089?\u1098?\u1089? \u1079?\u1072?\u1082?\u1086?\u1085?\u1086?\u1076?\u1072?\u1090?\u1077?\u1083?\u1089?\u1090?\u1074?\u1086?\u1090?\u1086? \u1085?\u1072? \u1057?\u1098?\u1102?\u1079?\u1072? \u1079?\u1072? \u1093?\u1072?\u1088?\u1084?\u1086?\u1085?\u1080?\u1079?\u1072?\u1094?\u1080?\u1103? \u1074? \u1086?\u1073?\u1083?\u1072?\u1089?\u1090?\u1090?\u1072? \u1085?\u1072? \u1087?\u1088?\u1086?\u1076?\u1091?\u1082?\u1090?\u1080?\u1090?\u1077? \u1080? \u1079?\u1072? \u1085?\u1077?\u1075?\u1086?\u1074?\u1086?\u1090?\u1086? \u1087?\u1088?\u1080?\u1083?\u1072?\u1075?\u1072?\u1085?\u1077?, \u1080? \u1079?\u1072? \u1080?\u1079?\u1084?\u1077?\u1085?\u1077?\u1085?\u1080?\u1077? \u1085?\u1072? \u1088?\u1077?\u1075?\u1083?\u1072?\u1084?\u1077?\u1085?\u1090?\u1080? (\u1045?\u1057?) \u8470? 305/2011, (\u1045?\u1057?) \u8470? 528/2012, (\u1045?\u1057?) 2016/424, (\u1045?\u1057?) 2016/425, (\u1045?\u1057?) 2016/426 \u1080? (\u1045?\u1057?) 2017/1369 \u1085?\u1072? \u1045?\u1074?\u1088?\u1086?\u1087?\u1077?\u1081?\u1089?\u1082?\u1080?\u1103? \u1087?\u1072?\u1088?\u1083?\u1072?\u1084?\u1077?\u1085?\u1090? \u1080? \u1085?\u1072? \u1057?\u1098?\u1074?\u1077?\u1090?\u1072? \u1080? \u1085?\u1072? \u1076?\u1080?\u1088?\u1077?\u1082?\u1090?\u1080?\u1074?\u1080? 2004/42/\u1045?\u1054?, 2009/48/\u1045?\u1054?, 2010/35/\u1045?\u1057?, 2013/29/\u1045?\u1057?, 2013/53/\u1045?\u1057?, 2014/28/\u1045?\u1057?, 2014/29/\u1045?\u1057?, 2014/30/\u1045?\u1057?, 2014/31/\u1045?\u1057?, 2014/32/\u1045?\u1057?, 2014/33/\u1045?\u1057?, 2014/34/\u1045?\u1057?, 2014/35/\u1045?\u1057?, 2014/53/\u1045?\u1057?, 2014/68/\u1045?\u1057? \u1080? 2014/90/\u1045?\u1057? \u1085?\u1072? \u1045?\u1074?\u1088?\u1086?\u1087?\u1077?\u1081?\u1089?\u1082?\u1080?\u1103? \u1087?\u1072?\u1088?\u1083?\u1072?\u1084?\u1077?\u1085?\u1090? \u1080? \u1085?\u1072? \u1057?\u1098?\u1074?\u1077?\u1090?\u1072?"/>
    <w:docVar w:name="LW_PART_NBR" w:val="1"/>
    <w:docVar w:name="LW_PART_NBR_TOTAL" w:val="1"/>
    <w:docVar w:name="LW_REF.INST.NEW" w:val="SWD"/>
    <w:docVar w:name="LW_REF.INST.NEW_ADOPTED" w:val="final"/>
    <w:docVar w:name="LW_REF.INST.NEW_TEXT" w:val="(2017) 467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ITRE.OBJ.CP" w:val="&lt;UNUSED&gt;"/>
    <w:docVar w:name="LW_TYPE.DOC.CP" w:val="\u1056?\u1040?\u1041?\u1054?\u1058?\u1045?\u1053? \u1044?\u1054?\u1050?\u1059?\u1052?\u1045?\u1053?\u1058? \u1053?\u1040? \u1057?\u1051?\u1059?\u1046?\u1041?\u1048?\u1058?\u1045? \u1053?\u1040? \u1050?\u1054?\u1052?\u1048?\u1057?\u1048?\u1071?\u1058?\u1040?_x000b__x000b_\u1054?\u1041?\u1054?\u1041?\u1065?\u1045?\u1053?\u1040? \u1054?\u1062?\u1045?\u1053?\u1050?\u1040? \u1053?\u1040? \u1042?\u1066?\u1047?\u1044?\u1045?\u1049?\u1057?\u1058?\u1042?\u1048?\u1045?\u1058?\u1054?_x000b_"/>
    <w:docVar w:name="LW_TYPEACTEPRINCIPAL.CP" w:val="\u1055?\u1088?\u1077?\u1076?\u1083?\u1086?\u1078?\u1077?\u1085?\u1080?\u1077? \u1079?\u1072? \u1088?\u1077?\u1075?\u1083?\u1072?\u1084?\u1077?\u1085?\u1090? \u1085?\u1072? \u1045?\u1074?\u1088?\u1086?\u1087?\u1077?\u1081?\u1089?\u1082?\u1080?\u1103? \u1087?\u1072?\u1088?\u1083?\u1072?\u1084?\u1077?\u1085?\u1090? \u1080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jc w:val="both"/>
    </w:pPr>
    <w:rPr>
      <w:rFonts w:eastAsiaTheme="minorHAnsi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after="120"/>
      <w:jc w:val="both"/>
    </w:pPr>
    <w:rPr>
      <w:rFonts w:eastAsiaTheme="minorHAns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/>
      <w:ind w:left="-850" w:right="-850"/>
    </w:pPr>
    <w:rPr>
      <w:rFonts w:eastAsiaTheme="minorHAns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ext1">
    <w:name w:val="Text 1"/>
    <w:basedOn w:val="Normal"/>
    <w:link w:val="Text1Char"/>
    <w:pPr>
      <w:spacing w:after="240"/>
      <w:ind w:left="482"/>
      <w:jc w:val="both"/>
    </w:pPr>
    <w:rPr>
      <w:szCs w:val="20"/>
      <w:lang w:eastAsia="en-US"/>
    </w:rPr>
  </w:style>
  <w:style w:type="paragraph" w:styleId="FootnoteText">
    <w:name w:val="footnote text"/>
    <w:aliases w:val="Char,Fußnote,Carattere,fn,Footnotes,Footnote ak,Footnote Text Char1,Footnote Text Char Char,fn Char Char,footnote text Char Char,Footnotes Char Char,Footnote ak Char Char,fn Char1,footnote text Char1,Footnotes Char1,ft,Footnote Text_EP-LC"/>
    <w:basedOn w:val="Normal"/>
    <w:link w:val="FootnoteTextChar"/>
    <w:uiPriority w:val="99"/>
    <w:qFormat/>
    <w:pPr>
      <w:ind w:left="357" w:hanging="357"/>
      <w:jc w:val="both"/>
    </w:pPr>
    <w:rPr>
      <w:sz w:val="16"/>
      <w:szCs w:val="16"/>
      <w:lang w:eastAsia="en-US"/>
    </w:rPr>
  </w:style>
  <w:style w:type="character" w:customStyle="1" w:styleId="FootnoteTextChar">
    <w:name w:val="Footnote Text Char"/>
    <w:aliases w:val="Char Char,Fußnote Char,Carattere Char,fn Char,Footnotes Char,Footnote ak Char,Footnote Text Char1 Char,Footnote Text Char Char Char,fn Char Char Char,footnote text Char Char Char,Footnotes Char Char Char,Footnote ak Char Char Char"/>
    <w:basedOn w:val="DefaultParagraphFont"/>
    <w:link w:val="FootnoteText"/>
    <w:uiPriority w:val="99"/>
    <w:rPr>
      <w:rFonts w:ascii="Times New Roman" w:eastAsia="Times New Roman" w:hAnsi="Times New Roman" w:cs="Times New Roman"/>
      <w:sz w:val="16"/>
      <w:szCs w:val="16"/>
    </w:rPr>
  </w:style>
  <w:style w:type="character" w:customStyle="1" w:styleId="Text1Char">
    <w:name w:val="Text 1 Char"/>
    <w:link w:val="Text1"/>
    <w:rPr>
      <w:rFonts w:ascii="Times New Roman" w:eastAsia="Times New Roman" w:hAnsi="Times New Roman" w:cs="Times New Roman"/>
      <w:sz w:val="24"/>
      <w:szCs w:val="20"/>
    </w:rPr>
  </w:style>
  <w:style w:type="character" w:styleId="FootnoteReference">
    <w:name w:val="footnote reference"/>
    <w:aliases w:val="Footnote Reference Superscript,BVI fnr, BVI fnr,Footnote symbol,Footnote reference number,note TESI,Appel note de bas de p,Nota,SUPERS,Footnote number,EN Footnote Reference,-E Fußnotenzeichen,number Char Char,number,Ref,styl,styli,R,F"/>
    <w:link w:val="FootnotesymbolCarZchn"/>
    <w:uiPriority w:val="99"/>
    <w:qFormat/>
    <w:rPr>
      <w:vertAlign w:val="superscript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al"/>
    <w:link w:val="FootnoteReference"/>
    <w:uiPriority w:val="99"/>
    <w:pPr>
      <w:spacing w:after="160" w:line="240" w:lineRule="exact"/>
      <w:jc w:val="both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customStyle="1" w:styleId="ListBullet1">
    <w:name w:val="List Bullet 1"/>
    <w:basedOn w:val="Text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eclassification">
    <w:name w:val="Declassification"/>
    <w:basedOn w:val="Normal"/>
    <w:next w:val="Normal"/>
    <w:pPr>
      <w:jc w:val="both"/>
    </w:pPr>
    <w:rPr>
      <w:rFonts w:eastAsiaTheme="minorHAnsi"/>
      <w:szCs w:val="22"/>
      <w:lang w:eastAsia="en-US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/>
      <w:jc w:val="both"/>
    </w:pPr>
    <w:rPr>
      <w:rFonts w:eastAsiaTheme="minorHAnsi"/>
      <w:szCs w:val="22"/>
      <w:lang w:eastAsia="en-US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ind w:left="113" w:right="113"/>
      <w:jc w:val="center"/>
    </w:pPr>
    <w:rPr>
      <w:b/>
      <w:sz w:val="32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eastAsiaTheme="minorHAnsi"/>
      <w:szCs w:val="22"/>
      <w:lang w:eastAsia="en-US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/>
      <w:ind w:left="113" w:right="113"/>
      <w:jc w:val="center"/>
    </w:pPr>
    <w:rPr>
      <w:b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jc w:val="both"/>
    </w:pPr>
    <w:rPr>
      <w:rFonts w:eastAsiaTheme="minorHAnsi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after="120"/>
      <w:jc w:val="both"/>
    </w:pPr>
    <w:rPr>
      <w:rFonts w:eastAsiaTheme="minorHAns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/>
      <w:ind w:left="-850" w:right="-850"/>
    </w:pPr>
    <w:rPr>
      <w:rFonts w:eastAsiaTheme="minorHAns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ext1">
    <w:name w:val="Text 1"/>
    <w:basedOn w:val="Normal"/>
    <w:link w:val="Text1Char"/>
    <w:pPr>
      <w:spacing w:after="240"/>
      <w:ind w:left="482"/>
      <w:jc w:val="both"/>
    </w:pPr>
    <w:rPr>
      <w:szCs w:val="20"/>
      <w:lang w:eastAsia="en-US"/>
    </w:rPr>
  </w:style>
  <w:style w:type="paragraph" w:styleId="FootnoteText">
    <w:name w:val="footnote text"/>
    <w:aliases w:val="Char,Fußnote,Carattere,fn,Footnotes,Footnote ak,Footnote Text Char1,Footnote Text Char Char,fn Char Char,footnote text Char Char,Footnotes Char Char,Footnote ak Char Char,fn Char1,footnote text Char1,Footnotes Char1,ft,Footnote Text_EP-LC"/>
    <w:basedOn w:val="Normal"/>
    <w:link w:val="FootnoteTextChar"/>
    <w:uiPriority w:val="99"/>
    <w:qFormat/>
    <w:pPr>
      <w:ind w:left="357" w:hanging="357"/>
      <w:jc w:val="both"/>
    </w:pPr>
    <w:rPr>
      <w:sz w:val="16"/>
      <w:szCs w:val="16"/>
      <w:lang w:eastAsia="en-US"/>
    </w:rPr>
  </w:style>
  <w:style w:type="character" w:customStyle="1" w:styleId="FootnoteTextChar">
    <w:name w:val="Footnote Text Char"/>
    <w:aliases w:val="Char Char,Fußnote Char,Carattere Char,fn Char,Footnotes Char,Footnote ak Char,Footnote Text Char1 Char,Footnote Text Char Char Char,fn Char Char Char,footnote text Char Char Char,Footnotes Char Char Char,Footnote ak Char Char Char"/>
    <w:basedOn w:val="DefaultParagraphFont"/>
    <w:link w:val="FootnoteText"/>
    <w:uiPriority w:val="99"/>
    <w:rPr>
      <w:rFonts w:ascii="Times New Roman" w:eastAsia="Times New Roman" w:hAnsi="Times New Roman" w:cs="Times New Roman"/>
      <w:sz w:val="16"/>
      <w:szCs w:val="16"/>
    </w:rPr>
  </w:style>
  <w:style w:type="character" w:customStyle="1" w:styleId="Text1Char">
    <w:name w:val="Text 1 Char"/>
    <w:link w:val="Text1"/>
    <w:rPr>
      <w:rFonts w:ascii="Times New Roman" w:eastAsia="Times New Roman" w:hAnsi="Times New Roman" w:cs="Times New Roman"/>
      <w:sz w:val="24"/>
      <w:szCs w:val="20"/>
    </w:rPr>
  </w:style>
  <w:style w:type="character" w:styleId="FootnoteReference">
    <w:name w:val="footnote reference"/>
    <w:aliases w:val="Footnote Reference Superscript,BVI fnr, BVI fnr,Footnote symbol,Footnote reference number,note TESI,Appel note de bas de p,Nota,SUPERS,Footnote number,EN Footnote Reference,-E Fußnotenzeichen,number Char Char,number,Ref,styl,styli,R,F"/>
    <w:link w:val="FootnotesymbolCarZchn"/>
    <w:uiPriority w:val="99"/>
    <w:qFormat/>
    <w:rPr>
      <w:vertAlign w:val="superscript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al"/>
    <w:link w:val="FootnoteReference"/>
    <w:uiPriority w:val="99"/>
    <w:pPr>
      <w:spacing w:after="160" w:line="240" w:lineRule="exact"/>
      <w:jc w:val="both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customStyle="1" w:styleId="ListBullet1">
    <w:name w:val="List Bullet 1"/>
    <w:basedOn w:val="Text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eclassification">
    <w:name w:val="Declassification"/>
    <w:basedOn w:val="Normal"/>
    <w:next w:val="Normal"/>
    <w:pPr>
      <w:jc w:val="both"/>
    </w:pPr>
    <w:rPr>
      <w:rFonts w:eastAsiaTheme="minorHAnsi"/>
      <w:szCs w:val="22"/>
      <w:lang w:eastAsia="en-US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/>
      <w:jc w:val="both"/>
    </w:pPr>
    <w:rPr>
      <w:rFonts w:eastAsiaTheme="minorHAnsi"/>
      <w:szCs w:val="22"/>
      <w:lang w:eastAsia="en-US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ind w:left="113" w:right="113"/>
      <w:jc w:val="center"/>
    </w:pPr>
    <w:rPr>
      <w:b/>
      <w:sz w:val="32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eastAsiaTheme="minorHAnsi"/>
      <w:szCs w:val="22"/>
      <w:lang w:eastAsia="en-US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/>
      <w:ind w:left="113" w:right="113"/>
      <w:jc w:val="center"/>
    </w:pPr>
    <w:rPr>
      <w:b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emf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6DCF41F10D214DBDDF7E1F5EB8F7C1" ma:contentTypeVersion="1" ma:contentTypeDescription="Create a new document." ma:contentTypeScope="" ma:versionID="4d11a2104eb79e191fab213970d36f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BCCE80E-734A-4297-8D0E-984F7E32D7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588CBB-D78F-412D-9B35-4671E1A447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B228E3-FEEC-429F-8C93-CFCC37DE565D}">
  <ds:schemaRefs>
    <ds:schemaRef ds:uri="http://www.w3.org/XML/1998/namespace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760</Words>
  <Characters>4694</Characters>
  <Application>Microsoft Office Word</Application>
  <DocSecurity>0</DocSecurity>
  <Lines>76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21</cp:revision>
  <cp:lastPrinted>2017-03-09T07:11:00Z</cp:lastPrinted>
  <dcterms:created xsi:type="dcterms:W3CDTF">2017-12-11T15:15:00Z</dcterms:created>
  <dcterms:modified xsi:type="dcterms:W3CDTF">2018-01-22T13:07:00Z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">
    <vt:lpwstr>1</vt:lpwstr>
  </property>
  <property fmtid="{D5CDD505-2E9C-101B-9397-08002B2CF9AE}" pid="3" name="Total parts">
    <vt:lpwstr>1</vt:lpwstr>
  </property>
  <property fmtid="{D5CDD505-2E9C-101B-9397-08002B2CF9AE}" pid="4" name="DocStatus">
    <vt:lpwstr>Green</vt:lpwstr>
  </property>
  <property fmtid="{D5CDD505-2E9C-101B-9397-08002B2CF9AE}" pid="5" name="Order">
    <vt:r8>400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NewReviewCycle">
    <vt:lpwstr/>
  </property>
  <property fmtid="{D5CDD505-2E9C-101B-9397-08002B2CF9AE}" pid="9" name="ContentTypeId">
    <vt:lpwstr>0x010100AB6DCF41F10D214DBDDF7E1F5EB8F7C1</vt:lpwstr>
  </property>
  <property fmtid="{D5CDD505-2E9C-101B-9397-08002B2CF9AE}" pid="10" name="TemplateUrl">
    <vt:lpwstr/>
  </property>
  <property fmtid="{D5CDD505-2E9C-101B-9397-08002B2CF9AE}" pid="11" name="Level of sensitivity">
    <vt:lpwstr>Standard treatment</vt:lpwstr>
  </property>
  <property fmtid="{D5CDD505-2E9C-101B-9397-08002B2CF9AE}" pid="12" name="Classification">
    <vt:lpwstr> </vt:lpwstr>
  </property>
</Properties>
</file>